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napToGrid w:val="0"/>
        <w:spacing w:line="360" w:lineRule="auto"/>
        <w:jc w:val="center"/>
        <w:rPr>
          <w:rFonts w:ascii="宋体" w:hAnsi="宋体" w:eastAsia="宋体" w:cs="宋体"/>
          <w:color w:val="auto"/>
          <w:spacing w:val="-2"/>
          <w:sz w:val="72"/>
          <w:szCs w:val="72"/>
          <w:highlight w:val="none"/>
        </w:rPr>
      </w:pPr>
    </w:p>
    <w:p>
      <w:pPr>
        <w:snapToGrid w:val="0"/>
        <w:spacing w:line="360" w:lineRule="auto"/>
        <w:jc w:val="center"/>
        <w:rPr>
          <w:rFonts w:ascii="宋体" w:hAnsi="宋体" w:cs="宋体"/>
          <w:b/>
          <w:color w:val="auto"/>
          <w:sz w:val="72"/>
          <w:szCs w:val="72"/>
          <w:highlight w:val="none"/>
        </w:rPr>
      </w:pPr>
    </w:p>
    <w:p>
      <w:pPr>
        <w:pStyle w:val="30"/>
        <w:snapToGrid w:val="0"/>
        <w:spacing w:line="360" w:lineRule="auto"/>
        <w:jc w:val="center"/>
        <w:rPr>
          <w:rFonts w:ascii="宋体" w:hAnsi="宋体" w:eastAsia="宋体" w:cs="宋体"/>
          <w:b/>
          <w:color w:val="auto"/>
          <w:spacing w:val="-2"/>
          <w:sz w:val="90"/>
          <w:szCs w:val="90"/>
          <w:highlight w:val="none"/>
        </w:rPr>
      </w:pPr>
      <w:r>
        <w:rPr>
          <w:rFonts w:hint="eastAsia" w:ascii="宋体" w:hAnsi="宋体" w:eastAsia="宋体" w:cs="宋体"/>
          <w:b/>
          <w:color w:val="auto"/>
          <w:spacing w:val="-2"/>
          <w:sz w:val="90"/>
          <w:szCs w:val="90"/>
          <w:highlight w:val="none"/>
        </w:rPr>
        <w:t>公开招标文件</w:t>
      </w:r>
    </w:p>
    <w:p>
      <w:pPr>
        <w:snapToGrid w:val="0"/>
        <w:spacing w:line="360" w:lineRule="auto"/>
        <w:rPr>
          <w:rFonts w:ascii="宋体" w:hAnsi="宋体" w:cs="宋体"/>
          <w:b/>
          <w:color w:val="auto"/>
          <w:sz w:val="30"/>
          <w:szCs w:val="72"/>
          <w:highlight w:val="none"/>
        </w:rPr>
      </w:pPr>
    </w:p>
    <w:p>
      <w:pPr>
        <w:snapToGrid w:val="0"/>
        <w:spacing w:line="360" w:lineRule="auto"/>
        <w:rPr>
          <w:rFonts w:ascii="宋体" w:hAnsi="宋体" w:cs="宋体"/>
          <w:b/>
          <w:color w:val="auto"/>
          <w:sz w:val="30"/>
          <w:szCs w:val="72"/>
          <w:highlight w:val="none"/>
        </w:rPr>
      </w:pPr>
    </w:p>
    <w:p>
      <w:pPr>
        <w:snapToGrid w:val="0"/>
        <w:spacing w:line="360" w:lineRule="auto"/>
        <w:rPr>
          <w:rFonts w:ascii="宋体" w:hAnsi="宋体" w:cs="宋体"/>
          <w:b/>
          <w:color w:val="auto"/>
          <w:sz w:val="30"/>
          <w:szCs w:val="72"/>
          <w:highlight w:val="none"/>
        </w:rPr>
      </w:pPr>
    </w:p>
    <w:p>
      <w:pPr>
        <w:snapToGrid w:val="0"/>
        <w:spacing w:line="360" w:lineRule="auto"/>
        <w:ind w:left="2519" w:leftChars="435" w:hanging="1606" w:hangingChars="500"/>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项目名称：</w:t>
      </w:r>
      <w:r>
        <w:rPr>
          <w:rFonts w:hint="eastAsia" w:asciiTheme="majorEastAsia" w:hAnsiTheme="majorEastAsia" w:eastAsiaTheme="majorEastAsia"/>
          <w:b/>
          <w:bCs/>
          <w:color w:val="auto"/>
          <w:sz w:val="32"/>
          <w:szCs w:val="32"/>
          <w:highlight w:val="none"/>
          <w:lang w:eastAsia="zh-CN"/>
        </w:rPr>
        <w:t>广西雅长兰科植物国家级自然保护区智慧管理平台建设（监测与宣教二期）项目</w:t>
      </w:r>
    </w:p>
    <w:p>
      <w:pPr>
        <w:snapToGrid w:val="0"/>
        <w:spacing w:line="360" w:lineRule="auto"/>
        <w:ind w:left="2519" w:leftChars="435" w:hanging="1606" w:hangingChars="500"/>
        <w:rPr>
          <w:rFonts w:hint="eastAsia"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项目编号：</w:t>
      </w:r>
      <w:r>
        <w:rPr>
          <w:rFonts w:hint="eastAsia" w:asciiTheme="majorEastAsia" w:hAnsiTheme="majorEastAsia" w:eastAsiaTheme="majorEastAsia"/>
          <w:b/>
          <w:bCs/>
          <w:color w:val="auto"/>
          <w:sz w:val="32"/>
          <w:szCs w:val="32"/>
          <w:highlight w:val="none"/>
          <w:lang w:eastAsia="zh-CN"/>
        </w:rPr>
        <w:t>GXZC2021-G3-003416-GXYZ</w:t>
      </w:r>
    </w:p>
    <w:p>
      <w:pPr>
        <w:snapToGrid w:val="0"/>
        <w:spacing w:line="360" w:lineRule="auto"/>
        <w:ind w:left="2519" w:leftChars="435" w:hanging="1606" w:hangingChars="500"/>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采购计划文号：</w:t>
      </w:r>
      <w:r>
        <w:rPr>
          <w:color w:val="auto"/>
          <w:highlight w:val="none"/>
        </w:rPr>
        <w:fldChar w:fldCharType="begin"/>
      </w:r>
      <w:r>
        <w:rPr>
          <w:color w:val="auto"/>
          <w:highlight w:val="none"/>
        </w:rPr>
        <w:instrText xml:space="preserve"> HYPERLINK "https://pay.zcygov.cn/purchaseplan_front/" \l "/plan/list/detail?id=1000000000005394198&amp;encrypt=66dd6a1077a8711333d0e481a6347389" \t "https://www.zcygov.cn/delegation-order/order/orderInfo/detail/_blank" </w:instrText>
      </w:r>
      <w:r>
        <w:rPr>
          <w:color w:val="auto"/>
          <w:highlight w:val="none"/>
        </w:rPr>
        <w:fldChar w:fldCharType="separate"/>
      </w:r>
      <w:r>
        <w:rPr>
          <w:rFonts w:hint="eastAsia" w:asciiTheme="majorEastAsia" w:hAnsiTheme="majorEastAsia" w:eastAsiaTheme="majorEastAsia"/>
          <w:b/>
          <w:bCs/>
          <w:color w:val="auto"/>
          <w:sz w:val="32"/>
          <w:szCs w:val="32"/>
          <w:highlight w:val="none"/>
          <w:lang w:eastAsia="zh-CN"/>
        </w:rPr>
        <w:t>广西政采[2021]11066号-001</w:t>
      </w:r>
      <w:r>
        <w:rPr>
          <w:rFonts w:hint="eastAsia" w:asciiTheme="majorEastAsia" w:hAnsiTheme="majorEastAsia" w:eastAsiaTheme="majorEastAsia"/>
          <w:b/>
          <w:bCs/>
          <w:color w:val="auto"/>
          <w:sz w:val="32"/>
          <w:szCs w:val="32"/>
          <w:highlight w:val="none"/>
        </w:rPr>
        <w:fldChar w:fldCharType="end"/>
      </w:r>
    </w:p>
    <w:p>
      <w:pPr>
        <w:pStyle w:val="30"/>
        <w:snapToGrid w:val="0"/>
        <w:spacing w:line="360" w:lineRule="auto"/>
        <w:ind w:left="2476" w:leftChars="472" w:right="-197" w:rightChars="-94" w:hanging="1485" w:hangingChars="493"/>
        <w:rPr>
          <w:rFonts w:ascii="宋体" w:hAnsi="宋体" w:eastAsia="宋体" w:cs="宋体"/>
          <w:b/>
          <w:color w:val="auto"/>
          <w:sz w:val="30"/>
          <w:szCs w:val="72"/>
          <w:highlight w:val="none"/>
        </w:rPr>
      </w:pPr>
    </w:p>
    <w:p>
      <w:pPr>
        <w:pStyle w:val="30"/>
        <w:snapToGrid w:val="0"/>
        <w:spacing w:line="360" w:lineRule="auto"/>
        <w:ind w:left="2476" w:leftChars="472" w:right="-197" w:rightChars="-94" w:hanging="1485" w:hangingChars="493"/>
        <w:rPr>
          <w:rFonts w:ascii="宋体" w:hAnsi="宋体" w:eastAsia="宋体" w:cs="宋体"/>
          <w:b/>
          <w:color w:val="auto"/>
          <w:sz w:val="30"/>
          <w:szCs w:val="72"/>
          <w:highlight w:val="none"/>
        </w:rPr>
      </w:pPr>
    </w:p>
    <w:p>
      <w:pPr>
        <w:pStyle w:val="30"/>
        <w:snapToGrid w:val="0"/>
        <w:spacing w:line="360" w:lineRule="auto"/>
        <w:ind w:left="2476" w:leftChars="472" w:right="-197" w:rightChars="-94" w:hanging="1485" w:hangingChars="493"/>
        <w:rPr>
          <w:rFonts w:ascii="宋体" w:hAnsi="宋体" w:eastAsia="宋体" w:cs="宋体"/>
          <w:b/>
          <w:color w:val="auto"/>
          <w:sz w:val="30"/>
          <w:szCs w:val="72"/>
          <w:highlight w:val="none"/>
        </w:rPr>
      </w:pPr>
    </w:p>
    <w:p>
      <w:pPr>
        <w:pStyle w:val="30"/>
        <w:snapToGrid w:val="0"/>
        <w:spacing w:line="360" w:lineRule="auto"/>
        <w:ind w:left="2476" w:leftChars="472" w:right="-197" w:rightChars="-94" w:hanging="1485" w:hangingChars="493"/>
        <w:rPr>
          <w:rFonts w:ascii="宋体" w:hAnsi="宋体" w:eastAsia="宋体" w:cs="宋体"/>
          <w:b/>
          <w:color w:val="auto"/>
          <w:sz w:val="30"/>
          <w:szCs w:val="72"/>
          <w:highlight w:val="none"/>
        </w:rPr>
      </w:pPr>
    </w:p>
    <w:p>
      <w:pPr>
        <w:pStyle w:val="30"/>
        <w:snapToGrid w:val="0"/>
        <w:spacing w:line="360" w:lineRule="auto"/>
        <w:ind w:left="2760" w:leftChars="675" w:hanging="1342" w:hangingChars="469"/>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采购人：广西雅长兰科植物国家级自然保护区管理中心</w:t>
      </w:r>
    </w:p>
    <w:p>
      <w:pPr>
        <w:pStyle w:val="30"/>
        <w:snapToGrid w:val="0"/>
        <w:spacing w:line="360" w:lineRule="auto"/>
        <w:ind w:left="2760" w:leftChars="675" w:hanging="1342" w:hangingChars="469"/>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采购代理机构：广西邕政采购代理有限公司</w:t>
      </w:r>
    </w:p>
    <w:p>
      <w:pPr>
        <w:pStyle w:val="30"/>
        <w:snapToGrid w:val="0"/>
        <w:spacing w:line="360" w:lineRule="auto"/>
        <w:jc w:val="center"/>
        <w:rPr>
          <w:rFonts w:ascii="宋体" w:hAnsi="宋体" w:eastAsia="宋体" w:cs="宋体"/>
          <w:b/>
          <w:bCs/>
          <w:color w:val="auto"/>
          <w:w w:val="95"/>
          <w:sz w:val="30"/>
          <w:szCs w:val="30"/>
          <w:highlight w:val="none"/>
        </w:rPr>
      </w:pPr>
    </w:p>
    <w:p>
      <w:pPr>
        <w:pStyle w:val="30"/>
        <w:snapToGrid w:val="0"/>
        <w:spacing w:line="360" w:lineRule="auto"/>
        <w:ind w:firstLine="3955" w:firstLineChars="1382"/>
        <w:rPr>
          <w:rFonts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2021年</w:t>
      </w:r>
      <w:r>
        <w:rPr>
          <w:rFonts w:hint="eastAsia" w:ascii="宋体" w:hAnsi="宋体" w:eastAsia="宋体" w:cs="宋体"/>
          <w:b/>
          <w:bCs/>
          <w:color w:val="auto"/>
          <w:w w:val="95"/>
          <w:sz w:val="30"/>
          <w:szCs w:val="30"/>
          <w:highlight w:val="none"/>
          <w:lang w:val="en-US" w:eastAsia="zh-CN"/>
        </w:rPr>
        <w:t>9</w:t>
      </w:r>
      <w:r>
        <w:rPr>
          <w:rFonts w:hint="eastAsia" w:ascii="宋体" w:hAnsi="宋体" w:eastAsia="宋体" w:cs="宋体"/>
          <w:b/>
          <w:bCs/>
          <w:color w:val="auto"/>
          <w:w w:val="95"/>
          <w:sz w:val="30"/>
          <w:szCs w:val="30"/>
          <w:highlight w:val="none"/>
        </w:rPr>
        <w:t>月</w:t>
      </w:r>
    </w:p>
    <w:p>
      <w:pPr>
        <w:widowControl/>
        <w:snapToGrid w:val="0"/>
        <w:spacing w:line="360" w:lineRule="auto"/>
        <w:jc w:val="left"/>
        <w:rPr>
          <w:rFonts w:ascii="宋体" w:hAnsi="宋体" w:cs="宋体"/>
          <w:b/>
          <w:bCs/>
          <w:color w:val="auto"/>
          <w:w w:val="95"/>
          <w:sz w:val="30"/>
          <w:szCs w:val="30"/>
          <w:highlight w:val="none"/>
        </w:rPr>
      </w:pPr>
    </w:p>
    <w:p>
      <w:pPr>
        <w:pStyle w:val="30"/>
        <w:snapToGrid w:val="0"/>
        <w:spacing w:line="360" w:lineRule="auto"/>
        <w:jc w:val="center"/>
        <w:rPr>
          <w:rFonts w:ascii="宋体" w:hAnsi="宋体" w:eastAsia="宋体" w:cs="宋体"/>
          <w:b/>
          <w:color w:val="auto"/>
          <w:sz w:val="44"/>
          <w:szCs w:val="44"/>
          <w:highlight w:val="none"/>
        </w:rPr>
        <w:sectPr>
          <w:headerReference r:id="rId4" w:type="first"/>
          <w:headerReference r:id="rId3" w:type="default"/>
          <w:footerReference r:id="rId5" w:type="even"/>
          <w:pgSz w:w="11906" w:h="16838"/>
          <w:pgMar w:top="1440" w:right="1274" w:bottom="1440" w:left="1276" w:header="794" w:footer="850" w:gutter="0"/>
          <w:pgNumType w:start="0"/>
          <w:cols w:space="720" w:num="1"/>
          <w:titlePg/>
          <w:docGrid w:linePitch="312" w:charSpace="0"/>
        </w:sectPr>
      </w:pPr>
    </w:p>
    <w:p>
      <w:pPr>
        <w:pStyle w:val="30"/>
        <w:snapToGrid w:val="0"/>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目录</w:t>
      </w:r>
    </w:p>
    <w:p>
      <w:pPr>
        <w:pStyle w:val="30"/>
        <w:snapToGrid w:val="0"/>
        <w:spacing w:line="360" w:lineRule="auto"/>
        <w:jc w:val="center"/>
        <w:rPr>
          <w:rFonts w:ascii="宋体" w:hAnsi="宋体" w:eastAsia="宋体" w:cs="宋体"/>
          <w:b/>
          <w:bCs/>
          <w:color w:val="auto"/>
          <w:w w:val="95"/>
          <w:sz w:val="30"/>
          <w:szCs w:val="30"/>
          <w:highlight w:val="none"/>
        </w:rPr>
      </w:pPr>
    </w:p>
    <w:p>
      <w:pPr>
        <w:pStyle w:val="36"/>
        <w:tabs>
          <w:tab w:val="right" w:leader="dot" w:pos="9356"/>
          <w:tab w:val="clear" w:pos="9870"/>
        </w:tabs>
        <w:snapToGrid w:val="0"/>
        <w:spacing w:line="360" w:lineRule="auto"/>
        <w:rPr>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TOC \o "1-3" \h \z \u </w:instrText>
      </w:r>
      <w:r>
        <w:rPr>
          <w:rFonts w:hint="eastAsia" w:ascii="宋体" w:hAnsi="宋体" w:eastAsia="宋体" w:cs="宋体"/>
          <w:b/>
          <w:bCs w:val="0"/>
          <w:color w:val="auto"/>
          <w:sz w:val="28"/>
          <w:szCs w:val="28"/>
          <w:highlight w:val="none"/>
        </w:rPr>
        <w:fldChar w:fldCharType="separate"/>
      </w:r>
      <w:r>
        <w:rPr>
          <w:color w:val="auto"/>
          <w:highlight w:val="none"/>
        </w:rPr>
        <w:fldChar w:fldCharType="begin"/>
      </w:r>
      <w:r>
        <w:rPr>
          <w:color w:val="auto"/>
          <w:highlight w:val="none"/>
        </w:rPr>
        <w:instrText xml:space="preserve"> HYPERLINK \l "_Toc8871" </w:instrText>
      </w:r>
      <w:r>
        <w:rPr>
          <w:color w:val="auto"/>
          <w:highlight w:val="none"/>
        </w:rPr>
        <w:fldChar w:fldCharType="separate"/>
      </w:r>
      <w:r>
        <w:rPr>
          <w:rFonts w:hint="eastAsia" w:ascii="宋体" w:hAnsi="宋体" w:cs="宋体"/>
          <w:b/>
          <w:bCs w:val="0"/>
          <w:color w:val="auto"/>
          <w:sz w:val="28"/>
          <w:szCs w:val="28"/>
          <w:highlight w:val="none"/>
        </w:rPr>
        <w:t>第一章公开招标公告</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_Toc8871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sz w:val="28"/>
          <w:szCs w:val="28"/>
          <w:highlight w:val="none"/>
        </w:rPr>
        <w:fldChar w:fldCharType="end"/>
      </w:r>
    </w:p>
    <w:p>
      <w:pPr>
        <w:pStyle w:val="36"/>
        <w:tabs>
          <w:tab w:val="right" w:leader="dot" w:pos="9356"/>
          <w:tab w:val="clear" w:pos="9870"/>
        </w:tabs>
        <w:snapToGrid w:val="0"/>
        <w:spacing w:line="360" w:lineRule="auto"/>
        <w:rPr>
          <w:b/>
          <w:bCs w:val="0"/>
          <w:color w:val="auto"/>
          <w:sz w:val="28"/>
          <w:szCs w:val="28"/>
          <w:highlight w:val="none"/>
        </w:rPr>
      </w:pPr>
      <w:r>
        <w:rPr>
          <w:color w:val="auto"/>
          <w:highlight w:val="none"/>
        </w:rPr>
        <w:fldChar w:fldCharType="begin"/>
      </w:r>
      <w:r>
        <w:rPr>
          <w:color w:val="auto"/>
          <w:highlight w:val="none"/>
        </w:rPr>
        <w:instrText xml:space="preserve"> HYPERLINK \l "_Toc18175" </w:instrText>
      </w:r>
      <w:r>
        <w:rPr>
          <w:color w:val="auto"/>
          <w:highlight w:val="none"/>
        </w:rPr>
        <w:fldChar w:fldCharType="separate"/>
      </w:r>
      <w:r>
        <w:rPr>
          <w:rFonts w:hint="eastAsia" w:ascii="宋体" w:hAnsi="宋体" w:cs="宋体"/>
          <w:b/>
          <w:bCs w:val="0"/>
          <w:color w:val="auto"/>
          <w:sz w:val="28"/>
          <w:szCs w:val="28"/>
          <w:highlight w:val="none"/>
        </w:rPr>
        <w:t>第二章 采购需求一览表</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_Toc18175 </w:instrText>
      </w:r>
      <w:r>
        <w:rPr>
          <w:b/>
          <w:bCs w:val="0"/>
          <w:color w:val="auto"/>
          <w:sz w:val="28"/>
          <w:szCs w:val="28"/>
          <w:highlight w:val="none"/>
        </w:rPr>
        <w:fldChar w:fldCharType="separate"/>
      </w:r>
      <w:r>
        <w:rPr>
          <w:b/>
          <w:bCs w:val="0"/>
          <w:color w:val="auto"/>
          <w:sz w:val="28"/>
          <w:szCs w:val="28"/>
          <w:highlight w:val="none"/>
        </w:rPr>
        <w:t>5</w:t>
      </w:r>
      <w:r>
        <w:rPr>
          <w:b/>
          <w:bCs w:val="0"/>
          <w:color w:val="auto"/>
          <w:sz w:val="28"/>
          <w:szCs w:val="28"/>
          <w:highlight w:val="none"/>
        </w:rPr>
        <w:fldChar w:fldCharType="end"/>
      </w:r>
      <w:r>
        <w:rPr>
          <w:b/>
          <w:bCs w:val="0"/>
          <w:color w:val="auto"/>
          <w:sz w:val="28"/>
          <w:szCs w:val="28"/>
          <w:highlight w:val="none"/>
        </w:rPr>
        <w:fldChar w:fldCharType="end"/>
      </w:r>
    </w:p>
    <w:p>
      <w:pPr>
        <w:pStyle w:val="36"/>
        <w:tabs>
          <w:tab w:val="right" w:leader="dot" w:pos="9356"/>
          <w:tab w:val="clear" w:pos="9870"/>
        </w:tabs>
        <w:snapToGrid w:val="0"/>
        <w:spacing w:line="360" w:lineRule="auto"/>
        <w:rPr>
          <w:b/>
          <w:bCs w:val="0"/>
          <w:color w:val="auto"/>
          <w:sz w:val="28"/>
          <w:szCs w:val="28"/>
          <w:highlight w:val="none"/>
        </w:rPr>
      </w:pPr>
      <w:r>
        <w:rPr>
          <w:color w:val="auto"/>
          <w:highlight w:val="none"/>
        </w:rPr>
        <w:fldChar w:fldCharType="begin"/>
      </w:r>
      <w:r>
        <w:rPr>
          <w:color w:val="auto"/>
          <w:highlight w:val="none"/>
        </w:rPr>
        <w:instrText xml:space="preserve"> HYPERLINK \l "_Toc14640" </w:instrText>
      </w:r>
      <w:r>
        <w:rPr>
          <w:color w:val="auto"/>
          <w:highlight w:val="none"/>
        </w:rPr>
        <w:fldChar w:fldCharType="separate"/>
      </w:r>
      <w:r>
        <w:rPr>
          <w:rFonts w:hint="eastAsia" w:ascii="宋体" w:hAnsi="宋体" w:cs="宋体"/>
          <w:b/>
          <w:bCs w:val="0"/>
          <w:color w:val="auto"/>
          <w:sz w:val="28"/>
          <w:szCs w:val="28"/>
          <w:highlight w:val="none"/>
        </w:rPr>
        <w:t>第三章投标人须知</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_Toc14640 </w:instrText>
      </w:r>
      <w:r>
        <w:rPr>
          <w:b/>
          <w:bCs w:val="0"/>
          <w:color w:val="auto"/>
          <w:sz w:val="28"/>
          <w:szCs w:val="28"/>
          <w:highlight w:val="none"/>
        </w:rPr>
        <w:fldChar w:fldCharType="separate"/>
      </w:r>
      <w:r>
        <w:rPr>
          <w:b/>
          <w:bCs w:val="0"/>
          <w:color w:val="auto"/>
          <w:sz w:val="28"/>
          <w:szCs w:val="28"/>
          <w:highlight w:val="none"/>
        </w:rPr>
        <w:t>25</w:t>
      </w:r>
      <w:r>
        <w:rPr>
          <w:b/>
          <w:bCs w:val="0"/>
          <w:color w:val="auto"/>
          <w:sz w:val="28"/>
          <w:szCs w:val="28"/>
          <w:highlight w:val="none"/>
        </w:rPr>
        <w:fldChar w:fldCharType="end"/>
      </w:r>
      <w:r>
        <w:rPr>
          <w:b/>
          <w:bCs w:val="0"/>
          <w:color w:val="auto"/>
          <w:sz w:val="28"/>
          <w:szCs w:val="28"/>
          <w:highlight w:val="none"/>
        </w:rPr>
        <w:fldChar w:fldCharType="end"/>
      </w:r>
    </w:p>
    <w:p>
      <w:pPr>
        <w:pStyle w:val="36"/>
        <w:tabs>
          <w:tab w:val="right" w:leader="dot" w:pos="9356"/>
          <w:tab w:val="clear" w:pos="9870"/>
        </w:tabs>
        <w:snapToGrid w:val="0"/>
        <w:spacing w:line="360" w:lineRule="auto"/>
        <w:rPr>
          <w:b/>
          <w:bCs w:val="0"/>
          <w:color w:val="auto"/>
          <w:sz w:val="28"/>
          <w:szCs w:val="28"/>
          <w:highlight w:val="none"/>
        </w:rPr>
      </w:pPr>
      <w:r>
        <w:rPr>
          <w:color w:val="auto"/>
          <w:highlight w:val="none"/>
        </w:rPr>
        <w:fldChar w:fldCharType="begin"/>
      </w:r>
      <w:r>
        <w:rPr>
          <w:color w:val="auto"/>
          <w:highlight w:val="none"/>
        </w:rPr>
        <w:instrText xml:space="preserve"> HYPERLINK \l "_Toc16163" </w:instrText>
      </w:r>
      <w:r>
        <w:rPr>
          <w:color w:val="auto"/>
          <w:highlight w:val="none"/>
        </w:rPr>
        <w:fldChar w:fldCharType="separate"/>
      </w:r>
      <w:r>
        <w:rPr>
          <w:rFonts w:hint="eastAsia" w:ascii="宋体" w:hAnsi="宋体" w:cs="宋体"/>
          <w:b/>
          <w:bCs w:val="0"/>
          <w:color w:val="auto"/>
          <w:sz w:val="28"/>
          <w:szCs w:val="28"/>
          <w:highlight w:val="none"/>
        </w:rPr>
        <w:t>第四章</w:t>
      </w:r>
      <w:r>
        <w:rPr>
          <w:rFonts w:hint="eastAsia" w:ascii="宋体" w:hAnsi="宋体" w:eastAsia="宋体" w:cs="宋体"/>
          <w:b/>
          <w:bCs w:val="0"/>
          <w:color w:val="auto"/>
          <w:sz w:val="28"/>
          <w:szCs w:val="28"/>
          <w:highlight w:val="none"/>
        </w:rPr>
        <w:t xml:space="preserve"> </w:t>
      </w:r>
      <w:r>
        <w:rPr>
          <w:rFonts w:hint="eastAsia" w:ascii="宋体" w:hAnsi="宋体" w:cs="宋体"/>
          <w:b/>
          <w:bCs w:val="0"/>
          <w:color w:val="auto"/>
          <w:sz w:val="28"/>
          <w:szCs w:val="28"/>
          <w:highlight w:val="none"/>
        </w:rPr>
        <w:t>评标原则及评分标准</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_Toc16163 </w:instrText>
      </w:r>
      <w:r>
        <w:rPr>
          <w:b/>
          <w:bCs w:val="0"/>
          <w:color w:val="auto"/>
          <w:sz w:val="28"/>
          <w:szCs w:val="28"/>
          <w:highlight w:val="none"/>
        </w:rPr>
        <w:fldChar w:fldCharType="separate"/>
      </w:r>
      <w:r>
        <w:rPr>
          <w:b/>
          <w:bCs w:val="0"/>
          <w:color w:val="auto"/>
          <w:sz w:val="28"/>
          <w:szCs w:val="28"/>
          <w:highlight w:val="none"/>
        </w:rPr>
        <w:t>46</w:t>
      </w:r>
      <w:r>
        <w:rPr>
          <w:b/>
          <w:bCs w:val="0"/>
          <w:color w:val="auto"/>
          <w:sz w:val="28"/>
          <w:szCs w:val="28"/>
          <w:highlight w:val="none"/>
        </w:rPr>
        <w:fldChar w:fldCharType="end"/>
      </w:r>
      <w:r>
        <w:rPr>
          <w:b/>
          <w:bCs w:val="0"/>
          <w:color w:val="auto"/>
          <w:sz w:val="28"/>
          <w:szCs w:val="28"/>
          <w:highlight w:val="none"/>
        </w:rPr>
        <w:fldChar w:fldCharType="end"/>
      </w:r>
    </w:p>
    <w:p>
      <w:pPr>
        <w:pStyle w:val="36"/>
        <w:tabs>
          <w:tab w:val="right" w:leader="dot" w:pos="9356"/>
          <w:tab w:val="clear" w:pos="9870"/>
        </w:tabs>
        <w:snapToGrid w:val="0"/>
        <w:spacing w:line="360" w:lineRule="auto"/>
        <w:rPr>
          <w:b/>
          <w:bCs w:val="0"/>
          <w:color w:val="auto"/>
          <w:sz w:val="28"/>
          <w:szCs w:val="28"/>
          <w:highlight w:val="none"/>
        </w:rPr>
      </w:pPr>
      <w:r>
        <w:rPr>
          <w:color w:val="auto"/>
          <w:highlight w:val="none"/>
        </w:rPr>
        <w:fldChar w:fldCharType="begin"/>
      </w:r>
      <w:r>
        <w:rPr>
          <w:color w:val="auto"/>
          <w:highlight w:val="none"/>
        </w:rPr>
        <w:instrText xml:space="preserve"> HYPERLINK \l "_Toc26920" </w:instrText>
      </w:r>
      <w:r>
        <w:rPr>
          <w:color w:val="auto"/>
          <w:highlight w:val="none"/>
        </w:rPr>
        <w:fldChar w:fldCharType="separate"/>
      </w:r>
      <w:r>
        <w:rPr>
          <w:rFonts w:hint="eastAsia" w:ascii="宋体" w:hAnsi="宋体" w:cs="宋体"/>
          <w:b/>
          <w:bCs w:val="0"/>
          <w:color w:val="auto"/>
          <w:sz w:val="28"/>
          <w:szCs w:val="28"/>
          <w:highlight w:val="none"/>
        </w:rPr>
        <w:t>第五章合同主要条款格式</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_Toc26920 </w:instrText>
      </w:r>
      <w:r>
        <w:rPr>
          <w:b/>
          <w:bCs w:val="0"/>
          <w:color w:val="auto"/>
          <w:sz w:val="28"/>
          <w:szCs w:val="28"/>
          <w:highlight w:val="none"/>
        </w:rPr>
        <w:fldChar w:fldCharType="separate"/>
      </w:r>
      <w:r>
        <w:rPr>
          <w:b/>
          <w:bCs w:val="0"/>
          <w:color w:val="auto"/>
          <w:sz w:val="28"/>
          <w:szCs w:val="28"/>
          <w:highlight w:val="none"/>
        </w:rPr>
        <w:t>50</w:t>
      </w:r>
      <w:r>
        <w:rPr>
          <w:b/>
          <w:bCs w:val="0"/>
          <w:color w:val="auto"/>
          <w:sz w:val="28"/>
          <w:szCs w:val="28"/>
          <w:highlight w:val="none"/>
        </w:rPr>
        <w:fldChar w:fldCharType="end"/>
      </w:r>
      <w:r>
        <w:rPr>
          <w:b/>
          <w:bCs w:val="0"/>
          <w:color w:val="auto"/>
          <w:sz w:val="28"/>
          <w:szCs w:val="28"/>
          <w:highlight w:val="none"/>
        </w:rPr>
        <w:fldChar w:fldCharType="end"/>
      </w:r>
    </w:p>
    <w:p>
      <w:pPr>
        <w:pStyle w:val="36"/>
        <w:tabs>
          <w:tab w:val="right" w:leader="dot" w:pos="9356"/>
          <w:tab w:val="clear" w:pos="9870"/>
        </w:tabs>
        <w:snapToGrid w:val="0"/>
        <w:spacing w:line="360" w:lineRule="auto"/>
        <w:rPr>
          <w:b/>
          <w:bCs w:val="0"/>
          <w:color w:val="auto"/>
          <w:sz w:val="28"/>
          <w:szCs w:val="28"/>
          <w:highlight w:val="none"/>
        </w:rPr>
      </w:pPr>
      <w:r>
        <w:rPr>
          <w:color w:val="auto"/>
          <w:highlight w:val="none"/>
        </w:rPr>
        <w:fldChar w:fldCharType="begin"/>
      </w:r>
      <w:r>
        <w:rPr>
          <w:color w:val="auto"/>
          <w:highlight w:val="none"/>
        </w:rPr>
        <w:instrText xml:space="preserve"> HYPERLINK \l "_Toc810" </w:instrText>
      </w:r>
      <w:r>
        <w:rPr>
          <w:color w:val="auto"/>
          <w:highlight w:val="none"/>
        </w:rPr>
        <w:fldChar w:fldCharType="separate"/>
      </w:r>
      <w:r>
        <w:rPr>
          <w:rFonts w:hint="eastAsia" w:ascii="宋体" w:hAnsi="宋体" w:cs="宋体"/>
          <w:b/>
          <w:bCs w:val="0"/>
          <w:color w:val="auto"/>
          <w:sz w:val="28"/>
          <w:szCs w:val="28"/>
          <w:highlight w:val="none"/>
        </w:rPr>
        <w:t>第六章投标文件格式</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_Toc810 </w:instrText>
      </w:r>
      <w:r>
        <w:rPr>
          <w:b/>
          <w:bCs w:val="0"/>
          <w:color w:val="auto"/>
          <w:sz w:val="28"/>
          <w:szCs w:val="28"/>
          <w:highlight w:val="none"/>
        </w:rPr>
        <w:fldChar w:fldCharType="separate"/>
      </w:r>
      <w:r>
        <w:rPr>
          <w:b/>
          <w:bCs w:val="0"/>
          <w:color w:val="auto"/>
          <w:sz w:val="28"/>
          <w:szCs w:val="28"/>
          <w:highlight w:val="none"/>
        </w:rPr>
        <w:t>56</w:t>
      </w:r>
      <w:r>
        <w:rPr>
          <w:b/>
          <w:bCs w:val="0"/>
          <w:color w:val="auto"/>
          <w:sz w:val="28"/>
          <w:szCs w:val="28"/>
          <w:highlight w:val="none"/>
        </w:rPr>
        <w:fldChar w:fldCharType="end"/>
      </w:r>
      <w:r>
        <w:rPr>
          <w:b/>
          <w:bCs w:val="0"/>
          <w:color w:val="auto"/>
          <w:sz w:val="28"/>
          <w:szCs w:val="28"/>
          <w:highlight w:val="none"/>
        </w:rPr>
        <w:fldChar w:fldCharType="end"/>
      </w:r>
    </w:p>
    <w:p>
      <w:pPr>
        <w:snapToGrid w:val="0"/>
        <w:spacing w:line="360" w:lineRule="auto"/>
        <w:ind w:firstLine="562" w:firstLineChars="200"/>
        <w:jc w:val="left"/>
        <w:rPr>
          <w:rFonts w:ascii="宋体" w:hAnsi="宋体" w:cs="宋体"/>
          <w:color w:val="auto"/>
          <w:szCs w:val="21"/>
          <w:highlight w:val="none"/>
        </w:rPr>
      </w:pPr>
      <w:r>
        <w:rPr>
          <w:rFonts w:hint="eastAsia" w:ascii="宋体" w:hAnsi="宋体" w:cs="宋体"/>
          <w:b/>
          <w:color w:val="auto"/>
          <w:sz w:val="28"/>
          <w:szCs w:val="28"/>
          <w:highlight w:val="none"/>
        </w:rPr>
        <w:fldChar w:fldCharType="end"/>
      </w:r>
    </w:p>
    <w:p>
      <w:pPr>
        <w:tabs>
          <w:tab w:val="left" w:pos="8083"/>
          <w:tab w:val="right" w:leader="dot" w:pos="9660"/>
        </w:tabs>
        <w:snapToGrid w:val="0"/>
        <w:spacing w:line="360" w:lineRule="auto"/>
        <w:jc w:val="left"/>
        <w:rPr>
          <w:rFonts w:ascii="宋体" w:hAnsi="宋体" w:cs="宋体"/>
          <w:color w:val="auto"/>
          <w:sz w:val="30"/>
          <w:highlight w:val="none"/>
        </w:rPr>
      </w:pPr>
      <w:r>
        <w:rPr>
          <w:rFonts w:ascii="宋体" w:hAnsi="宋体" w:cs="宋体"/>
          <w:color w:val="auto"/>
          <w:sz w:val="30"/>
          <w:highlight w:val="none"/>
        </w:rPr>
        <w:tab/>
      </w:r>
    </w:p>
    <w:p>
      <w:pPr>
        <w:snapToGrid w:val="0"/>
        <w:spacing w:line="360" w:lineRule="auto"/>
        <w:rPr>
          <w:rFonts w:ascii="宋体" w:hAnsi="宋体" w:cs="宋体"/>
          <w:color w:val="auto"/>
          <w:sz w:val="30"/>
          <w:highlight w:val="none"/>
        </w:rPr>
      </w:pPr>
    </w:p>
    <w:p>
      <w:pPr>
        <w:pStyle w:val="49"/>
        <w:snapToGrid w:val="0"/>
        <w:spacing w:line="360" w:lineRule="auto"/>
        <w:rPr>
          <w:rFonts w:ascii="宋体" w:hAnsi="宋体" w:cs="宋体"/>
          <w:color w:val="auto"/>
          <w:highlight w:val="none"/>
        </w:rPr>
        <w:sectPr>
          <w:footerReference r:id="rId7" w:type="first"/>
          <w:footerReference r:id="rId6" w:type="default"/>
          <w:pgSz w:w="11906" w:h="16838"/>
          <w:pgMar w:top="1440" w:right="1274" w:bottom="1440" w:left="1276" w:header="794" w:footer="850" w:gutter="0"/>
          <w:pgNumType w:start="1"/>
          <w:cols w:space="720" w:num="1"/>
          <w:titlePg/>
          <w:docGrid w:linePitch="312" w:charSpace="0"/>
        </w:sectPr>
      </w:pPr>
      <w:bookmarkStart w:id="0" w:name="_Toc482865130"/>
      <w:bookmarkStart w:id="1" w:name="_Toc482865300"/>
      <w:bookmarkStart w:id="2" w:name="_Toc254970489"/>
      <w:bookmarkStart w:id="3" w:name="_Toc483327789"/>
      <w:bookmarkStart w:id="4" w:name="_Toc254970630"/>
    </w:p>
    <w:p>
      <w:pPr>
        <w:pStyle w:val="49"/>
        <w:snapToGrid w:val="0"/>
        <w:spacing w:line="360" w:lineRule="auto"/>
        <w:rPr>
          <w:rFonts w:ascii="宋体" w:hAnsi="宋体" w:cs="宋体"/>
          <w:b w:val="0"/>
          <w:color w:val="auto"/>
          <w:highlight w:val="none"/>
        </w:rPr>
      </w:pPr>
      <w:bookmarkStart w:id="5" w:name="_Toc8871"/>
      <w:r>
        <w:rPr>
          <w:rFonts w:hint="eastAsia" w:ascii="宋体" w:hAnsi="宋体" w:cs="宋体"/>
          <w:color w:val="auto"/>
          <w:highlight w:val="none"/>
        </w:rPr>
        <w:t>第一章公开招标公告</w:t>
      </w:r>
      <w:bookmarkEnd w:id="0"/>
      <w:bookmarkEnd w:id="1"/>
      <w:bookmarkEnd w:id="2"/>
      <w:bookmarkEnd w:id="3"/>
      <w:bookmarkEnd w:id="4"/>
      <w:bookmarkEnd w:id="5"/>
    </w:p>
    <w:p>
      <w:pPr>
        <w:pStyle w:val="107"/>
        <w:snapToGrid w:val="0"/>
        <w:spacing w:line="360" w:lineRule="auto"/>
        <w:rPr>
          <w:rFonts w:ascii="宋体" w:hAnsi="宋体" w:cs="宋体"/>
          <w:color w:val="auto"/>
          <w:highlight w:val="none"/>
        </w:rPr>
      </w:pPr>
    </w:p>
    <w:p>
      <w:pPr>
        <w:pageBreakBefore w:val="0"/>
        <w:pBdr>
          <w:top w:val="single" w:color="auto" w:sz="4" w:space="1"/>
          <w:left w:val="single" w:color="auto" w:sz="4" w:space="4"/>
          <w:bottom w:val="single" w:color="auto" w:sz="4" w:space="1"/>
          <w:right w:val="single" w:color="auto" w:sz="4" w:space="4"/>
        </w:pBdr>
        <w:kinsoku/>
        <w:overflowPunct/>
        <w:autoSpaceDE/>
        <w:autoSpaceDN/>
        <w:bidi w:val="0"/>
        <w:adjustRightInd/>
        <w:snapToGrid w:val="0"/>
        <w:spacing w:line="360" w:lineRule="auto"/>
        <w:ind w:firstLine="480" w:firstLineChars="200"/>
        <w:rPr>
          <w:rFonts w:ascii="宋体" w:hAnsi="宋体"/>
          <w:sz w:val="24"/>
        </w:rPr>
      </w:pPr>
      <w:bookmarkStart w:id="6" w:name="_Toc483327791"/>
      <w:bookmarkStart w:id="7" w:name="_Toc482865132"/>
      <w:bookmarkStart w:id="8" w:name="_Toc482865302"/>
      <w:bookmarkStart w:id="9" w:name="_Toc482864531"/>
      <w:bookmarkStart w:id="10" w:name="_Toc293863301"/>
      <w:r>
        <w:rPr>
          <w:rFonts w:hint="eastAsia" w:ascii="宋体" w:hAnsi="宋体"/>
          <w:sz w:val="24"/>
        </w:rPr>
        <w:t>项目概况</w:t>
      </w:r>
    </w:p>
    <w:p>
      <w:pPr>
        <w:pageBreakBefore w:val="0"/>
        <w:pBdr>
          <w:top w:val="single" w:color="auto" w:sz="4" w:space="1"/>
          <w:left w:val="single" w:color="auto" w:sz="4" w:space="4"/>
          <w:bottom w:val="single" w:color="auto" w:sz="4" w:space="1"/>
          <w:right w:val="single" w:color="auto" w:sz="4" w:space="4"/>
        </w:pBdr>
        <w:kinsoku/>
        <w:wordWrap w:val="0"/>
        <w:overflowPunct/>
        <w:autoSpaceDE/>
        <w:autoSpaceDN/>
        <w:bidi w:val="0"/>
        <w:adjustRightInd/>
        <w:snapToGrid w:val="0"/>
        <w:spacing w:line="360" w:lineRule="auto"/>
        <w:ind w:firstLine="480" w:firstLineChars="200"/>
        <w:rPr>
          <w:rFonts w:ascii="宋体" w:hAnsi="宋体"/>
          <w:sz w:val="24"/>
        </w:rPr>
      </w:pPr>
      <w:r>
        <w:rPr>
          <w:rFonts w:hint="eastAsia" w:ascii="宋体" w:hAnsi="宋体"/>
          <w:sz w:val="24"/>
          <w:u w:val="single"/>
          <w:lang w:eastAsia="zh-CN"/>
        </w:rPr>
        <w:t>广西雅长兰科植物国家级自然保护区智慧管理平台建设（监测与宣教二期）项目</w:t>
      </w:r>
      <w:r>
        <w:rPr>
          <w:rFonts w:hint="eastAsia" w:ascii="宋体" w:hAnsi="宋体"/>
          <w:sz w:val="24"/>
          <w:u w:val="single"/>
        </w:rPr>
        <w:t>（项目编号：</w:t>
      </w:r>
      <w:r>
        <w:rPr>
          <w:rFonts w:hint="eastAsia" w:ascii="宋体" w:hAnsi="宋体"/>
          <w:sz w:val="24"/>
          <w:u w:val="single"/>
          <w:lang w:eastAsia="zh-CN"/>
        </w:rPr>
        <w:t>GXZC2021-G3-003416-GXYZ</w:t>
      </w:r>
      <w:r>
        <w:rPr>
          <w:rFonts w:hint="eastAsia" w:ascii="宋体" w:hAnsi="宋体"/>
          <w:sz w:val="24"/>
          <w:u w:val="single"/>
        </w:rPr>
        <w:t>）</w:t>
      </w:r>
      <w:r>
        <w:rPr>
          <w:rFonts w:hint="eastAsia" w:ascii="宋体" w:hAnsi="宋体"/>
          <w:sz w:val="24"/>
        </w:rPr>
        <w:t>招标项目的潜在投标人应在</w:t>
      </w:r>
      <w:r>
        <w:rPr>
          <w:rFonts w:hint="eastAsia" w:ascii="宋体" w:hAnsi="宋体"/>
          <w:sz w:val="24"/>
          <w:u w:val="single"/>
        </w:rPr>
        <w:t>广西邕政采购代理有限公司</w:t>
      </w:r>
      <w:r>
        <w:rPr>
          <w:rFonts w:hint="eastAsia" w:ascii="新宋体" w:hAnsi="新宋体" w:eastAsia="新宋体" w:cs="新宋体"/>
          <w:sz w:val="24"/>
          <w:u w:val="single"/>
        </w:rPr>
        <w:t>通过现场或</w:t>
      </w:r>
      <w:r>
        <w:rPr>
          <w:rFonts w:hint="eastAsia" w:ascii="宋体" w:hAnsi="宋体"/>
          <w:sz w:val="24"/>
          <w:u w:val="single"/>
        </w:rPr>
        <w:t>电子邮箱方式</w:t>
      </w:r>
      <w:r>
        <w:rPr>
          <w:rFonts w:hint="eastAsia" w:ascii="宋体" w:hAnsi="宋体"/>
          <w:sz w:val="24"/>
        </w:rPr>
        <w:t>获取招标文件，并于</w:t>
      </w:r>
      <w:r>
        <w:rPr>
          <w:rFonts w:hint="eastAsia" w:ascii="宋体" w:hAnsi="宋体"/>
          <w:sz w:val="24"/>
          <w:u w:val="single"/>
        </w:rPr>
        <w:t>2021</w:t>
      </w:r>
      <w:r>
        <w:rPr>
          <w:rFonts w:hint="eastAsia" w:ascii="宋体" w:hAnsi="宋体"/>
          <w:bCs/>
          <w:sz w:val="24"/>
          <w:u w:val="single"/>
        </w:rPr>
        <w:t>年</w:t>
      </w:r>
      <w:r>
        <w:rPr>
          <w:rFonts w:hint="eastAsia" w:ascii="宋体" w:hAnsi="宋体"/>
          <w:bCs/>
          <w:sz w:val="24"/>
          <w:u w:val="single"/>
          <w:lang w:val="en-US" w:eastAsia="zh-CN"/>
        </w:rPr>
        <w:t>9</w:t>
      </w:r>
      <w:r>
        <w:rPr>
          <w:rFonts w:hint="eastAsia" w:ascii="宋体" w:hAnsi="宋体"/>
          <w:bCs/>
          <w:sz w:val="24"/>
          <w:u w:val="single"/>
        </w:rPr>
        <w:t>月</w:t>
      </w:r>
      <w:r>
        <w:rPr>
          <w:rFonts w:hint="eastAsia" w:ascii="宋体" w:hAnsi="宋体"/>
          <w:bCs/>
          <w:sz w:val="24"/>
          <w:u w:val="single"/>
          <w:lang w:val="en-US" w:eastAsia="zh-CN"/>
        </w:rPr>
        <w:t>30</w:t>
      </w:r>
      <w:r>
        <w:rPr>
          <w:rFonts w:hint="eastAsia" w:ascii="宋体" w:hAnsi="宋体"/>
          <w:bCs/>
          <w:sz w:val="24"/>
          <w:u w:val="single"/>
        </w:rPr>
        <w:t>日</w:t>
      </w:r>
      <w:r>
        <w:rPr>
          <w:rFonts w:hint="eastAsia" w:ascii="宋体" w:hAnsi="宋体"/>
          <w:bCs/>
          <w:sz w:val="24"/>
          <w:u w:val="single"/>
          <w:lang w:val="en-US" w:eastAsia="zh-CN"/>
        </w:rPr>
        <w:t>14</w:t>
      </w:r>
      <w:r>
        <w:rPr>
          <w:rFonts w:hint="eastAsia" w:ascii="宋体" w:hAnsi="宋体"/>
          <w:bCs/>
          <w:sz w:val="24"/>
          <w:u w:val="single"/>
        </w:rPr>
        <w:t>点</w:t>
      </w:r>
      <w:r>
        <w:rPr>
          <w:rFonts w:hint="eastAsia" w:ascii="宋体" w:hAnsi="宋体"/>
          <w:bCs/>
          <w:sz w:val="24"/>
          <w:u w:val="single"/>
          <w:lang w:val="en-US" w:eastAsia="zh-CN"/>
        </w:rPr>
        <w:t>00</w:t>
      </w:r>
      <w:r>
        <w:rPr>
          <w:rFonts w:hint="eastAsia" w:ascii="宋体" w:hAnsi="宋体"/>
          <w:bCs/>
          <w:sz w:val="24"/>
          <w:u w:val="single"/>
        </w:rPr>
        <w:t>分（</w:t>
      </w:r>
      <w:r>
        <w:rPr>
          <w:rFonts w:hint="eastAsia" w:ascii="宋体" w:hAnsi="宋体"/>
          <w:bCs/>
          <w:sz w:val="24"/>
        </w:rPr>
        <w:t>北京时间）前递交投标文件</w:t>
      </w:r>
      <w:r>
        <w:rPr>
          <w:rFonts w:hint="eastAsia" w:ascii="宋体" w:hAnsi="宋体"/>
          <w:sz w:val="24"/>
        </w:rPr>
        <w:t>。</w:t>
      </w:r>
    </w:p>
    <w:p>
      <w:pPr>
        <w:keepNext/>
        <w:keepLines/>
        <w:pageBreakBefore w:val="0"/>
        <w:kinsoku/>
        <w:overflowPunct/>
        <w:autoSpaceDE/>
        <w:autoSpaceDN/>
        <w:bidi w:val="0"/>
        <w:adjustRightInd/>
        <w:snapToGrid w:val="0"/>
        <w:spacing w:line="360" w:lineRule="auto"/>
        <w:rPr>
          <w:rFonts w:ascii="宋体" w:hAnsi="宋体" w:cs="宋体"/>
          <w:b/>
          <w:bCs/>
          <w:sz w:val="24"/>
        </w:rPr>
      </w:pPr>
      <w:bookmarkStart w:id="11" w:name="_Toc28359079"/>
      <w:bookmarkStart w:id="12" w:name="_Toc35393621"/>
      <w:bookmarkStart w:id="13" w:name="_Toc28359002"/>
      <w:bookmarkStart w:id="14" w:name="_Toc35393790"/>
      <w:bookmarkStart w:id="15" w:name="_Toc57024383"/>
      <w:bookmarkStart w:id="16" w:name="_Hlk24379207"/>
      <w:r>
        <w:rPr>
          <w:rFonts w:hint="eastAsia" w:ascii="宋体" w:hAnsi="宋体" w:cs="宋体"/>
          <w:b/>
          <w:bCs/>
          <w:sz w:val="24"/>
        </w:rPr>
        <w:t>一、项目基本情况</w:t>
      </w:r>
      <w:bookmarkEnd w:id="11"/>
      <w:bookmarkEnd w:id="12"/>
      <w:bookmarkEnd w:id="13"/>
      <w:bookmarkEnd w:id="14"/>
      <w:bookmarkEnd w:id="15"/>
    </w:p>
    <w:p>
      <w:pPr>
        <w:pageBreakBefore w:val="0"/>
        <w:kinsoku/>
        <w:overflowPunct/>
        <w:autoSpaceDE/>
        <w:autoSpaceDN/>
        <w:bidi w:val="0"/>
        <w:adjustRightInd/>
        <w:snapToGrid w:val="0"/>
        <w:spacing w:line="360" w:lineRule="auto"/>
        <w:ind w:firstLine="480" w:firstLineChars="200"/>
        <w:rPr>
          <w:rFonts w:ascii="宋体" w:hAnsi="宋体"/>
          <w:sz w:val="24"/>
        </w:rPr>
      </w:pPr>
      <w:r>
        <w:rPr>
          <w:rFonts w:hint="eastAsia" w:ascii="宋体" w:hAnsi="宋体"/>
          <w:sz w:val="24"/>
        </w:rPr>
        <w:t>项目编号：</w:t>
      </w:r>
      <w:r>
        <w:rPr>
          <w:rFonts w:hint="eastAsia" w:ascii="宋体" w:hAnsi="宋体"/>
          <w:sz w:val="24"/>
          <w:lang w:eastAsia="zh-CN"/>
        </w:rPr>
        <w:t>GXZC2021-G3-003416-GXYZ</w:t>
      </w:r>
      <w:r>
        <w:rPr>
          <w:rFonts w:hint="eastAsia" w:ascii="宋体" w:hAnsi="宋体"/>
          <w:sz w:val="24"/>
        </w:rPr>
        <w:t xml:space="preserve">                           </w:t>
      </w:r>
    </w:p>
    <w:p>
      <w:pPr>
        <w:pageBreakBefore w:val="0"/>
        <w:kinsoku/>
        <w:overflowPunct/>
        <w:autoSpaceDE/>
        <w:autoSpaceDN/>
        <w:bidi w:val="0"/>
        <w:adjustRightInd/>
        <w:snapToGrid w:val="0"/>
        <w:spacing w:line="360" w:lineRule="auto"/>
        <w:ind w:firstLine="480" w:firstLineChars="200"/>
        <w:rPr>
          <w:rFonts w:ascii="宋体" w:hAnsi="宋体"/>
          <w:sz w:val="24"/>
        </w:rPr>
      </w:pPr>
      <w:r>
        <w:rPr>
          <w:rFonts w:hint="eastAsia" w:ascii="宋体" w:hAnsi="宋体"/>
          <w:sz w:val="24"/>
        </w:rPr>
        <w:t>采购计划文号：</w:t>
      </w:r>
      <w:r>
        <w:fldChar w:fldCharType="begin"/>
      </w:r>
      <w:r>
        <w:instrText xml:space="preserve"> HYPERLINK "https://pay.zcygov.cn/purchaseplan_front/" \l "/plan/list/detail?id=1000000000005394198&amp;encrypt=66dd6a1077a8711333d0e481a6347389" \t "https://www.zcygov.cn/delegation-order/order/orderInfo/detail/_blank" </w:instrText>
      </w:r>
      <w:r>
        <w:fldChar w:fldCharType="separate"/>
      </w:r>
      <w:r>
        <w:rPr>
          <w:rFonts w:hint="eastAsia" w:ascii="宋体" w:hAnsi="宋体"/>
          <w:sz w:val="24"/>
          <w:lang w:eastAsia="zh-CN"/>
        </w:rPr>
        <w:t>广西政采[2021]11066号-001</w:t>
      </w:r>
      <w:r>
        <w:rPr>
          <w:rFonts w:hint="eastAsia" w:ascii="宋体" w:hAnsi="宋体"/>
          <w:sz w:val="24"/>
        </w:rPr>
        <w:fldChar w:fldCharType="end"/>
      </w:r>
      <w:r>
        <w:rPr>
          <w:rFonts w:hint="eastAsia" w:ascii="宋体" w:hAnsi="宋体"/>
          <w:sz w:val="24"/>
        </w:rPr>
        <w:t xml:space="preserve">              </w:t>
      </w:r>
    </w:p>
    <w:p>
      <w:pPr>
        <w:pageBreakBefore w:val="0"/>
        <w:kinsoku/>
        <w:overflowPunct/>
        <w:autoSpaceDE/>
        <w:autoSpaceDN/>
        <w:bidi w:val="0"/>
        <w:adjustRightInd/>
        <w:snapToGrid w:val="0"/>
        <w:spacing w:line="360" w:lineRule="auto"/>
        <w:ind w:firstLine="480" w:firstLineChars="200"/>
        <w:rPr>
          <w:rFonts w:ascii="宋体" w:hAnsi="宋体"/>
          <w:sz w:val="24"/>
        </w:rPr>
      </w:pPr>
      <w:r>
        <w:rPr>
          <w:rFonts w:hint="eastAsia" w:ascii="宋体" w:hAnsi="宋体"/>
          <w:sz w:val="24"/>
        </w:rPr>
        <w:t>项目名称：</w:t>
      </w:r>
      <w:r>
        <w:rPr>
          <w:rFonts w:hint="eastAsia" w:ascii="宋体" w:hAnsi="宋体"/>
          <w:sz w:val="24"/>
          <w:lang w:eastAsia="zh-CN"/>
        </w:rPr>
        <w:t>广西雅长兰科植物国家级自然保护区智慧管理平台建设（监测与宣教二期）项目</w:t>
      </w:r>
      <w:r>
        <w:rPr>
          <w:rFonts w:hint="eastAsia" w:ascii="宋体" w:hAnsi="宋体"/>
          <w:sz w:val="24"/>
        </w:rPr>
        <w:t>）</w:t>
      </w:r>
    </w:p>
    <w:bookmarkEnd w:id="16"/>
    <w:p>
      <w:pPr>
        <w:pageBreakBefore w:val="0"/>
        <w:kinsoku/>
        <w:overflowPunct/>
        <w:autoSpaceDE/>
        <w:autoSpaceDN/>
        <w:bidi w:val="0"/>
        <w:adjustRightInd/>
        <w:snapToGrid w:val="0"/>
        <w:spacing w:line="360" w:lineRule="auto"/>
        <w:ind w:firstLine="480" w:firstLineChars="200"/>
        <w:rPr>
          <w:rFonts w:ascii="宋体" w:hAnsi="宋体"/>
          <w:color w:val="auto"/>
          <w:sz w:val="24"/>
        </w:rPr>
      </w:pPr>
      <w:r>
        <w:rPr>
          <w:rFonts w:hint="eastAsia" w:ascii="宋体" w:hAnsi="宋体"/>
          <w:color w:val="auto"/>
          <w:sz w:val="24"/>
        </w:rPr>
        <w:t>预算金额：人民币玖佰柒拾万元整(￥9</w:t>
      </w:r>
      <w:r>
        <w:rPr>
          <w:rFonts w:ascii="宋体" w:hAnsi="宋体"/>
          <w:color w:val="auto"/>
          <w:sz w:val="24"/>
        </w:rPr>
        <w:t>700</w:t>
      </w:r>
      <w:r>
        <w:rPr>
          <w:rFonts w:hint="eastAsia" w:ascii="宋体" w:hAnsi="宋体"/>
          <w:color w:val="auto"/>
          <w:sz w:val="24"/>
        </w:rPr>
        <w:t>000.00元)</w:t>
      </w:r>
    </w:p>
    <w:p>
      <w:pPr>
        <w:pageBreakBefore w:val="0"/>
        <w:kinsoku/>
        <w:overflowPunct/>
        <w:autoSpaceDE/>
        <w:autoSpaceDN/>
        <w:bidi w:val="0"/>
        <w:adjustRightInd/>
        <w:snapToGrid w:val="0"/>
        <w:spacing w:line="360" w:lineRule="auto"/>
        <w:ind w:firstLine="480" w:firstLineChars="200"/>
        <w:rPr>
          <w:rFonts w:ascii="宋体" w:hAnsi="宋体"/>
          <w:color w:val="auto"/>
          <w:sz w:val="24"/>
        </w:rPr>
      </w:pPr>
      <w:r>
        <w:rPr>
          <w:rFonts w:hint="eastAsia" w:ascii="宋体" w:hAnsi="宋体"/>
          <w:color w:val="auto"/>
          <w:sz w:val="24"/>
        </w:rPr>
        <w:t>最高限价：人民币玖佰柒拾万元整(￥9700000.00元)，其中暂列金肆拾捌万伍仟元</w:t>
      </w:r>
      <w:r>
        <w:rPr>
          <w:rFonts w:hint="eastAsia" w:ascii="宋体" w:hAnsi="宋体"/>
          <w:color w:val="auto"/>
          <w:sz w:val="24"/>
          <w:lang w:val="en-US" w:eastAsia="zh-CN"/>
        </w:rPr>
        <w:t>整</w:t>
      </w:r>
      <w:r>
        <w:rPr>
          <w:rFonts w:hint="eastAsia" w:ascii="宋体" w:hAnsi="宋体"/>
          <w:color w:val="auto"/>
          <w:sz w:val="24"/>
        </w:rPr>
        <w:t>（￥485000.00元）</w:t>
      </w:r>
    </w:p>
    <w:p>
      <w:pPr>
        <w:pageBreakBefore w:val="0"/>
        <w:kinsoku/>
        <w:overflowPunct/>
        <w:autoSpaceDE/>
        <w:autoSpaceDN/>
        <w:bidi w:val="0"/>
        <w:adjustRightInd/>
        <w:snapToGrid w:val="0"/>
        <w:spacing w:line="360" w:lineRule="auto"/>
        <w:ind w:firstLine="480" w:firstLineChars="200"/>
        <w:rPr>
          <w:rFonts w:ascii="宋体" w:hAnsi="宋体"/>
          <w:sz w:val="24"/>
          <w:u w:val="single"/>
        </w:rPr>
      </w:pPr>
      <w:r>
        <w:rPr>
          <w:rFonts w:hint="eastAsia" w:ascii="宋体" w:hAnsi="宋体"/>
          <w:sz w:val="24"/>
        </w:rPr>
        <w:t>采购需求:</w:t>
      </w:r>
    </w:p>
    <w:tbl>
      <w:tblPr>
        <w:tblStyle w:val="53"/>
        <w:tblW w:w="87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1643"/>
        <w:gridCol w:w="1585"/>
        <w:gridCol w:w="1598"/>
        <w:gridCol w:w="3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783" w:type="dxa"/>
            <w:noWrap w:val="0"/>
            <w:tcMar>
              <w:left w:w="0" w:type="dxa"/>
              <w:bottom w:w="0" w:type="dxa"/>
              <w:right w:w="0" w:type="dxa"/>
            </w:tcMar>
            <w:vAlign w:val="center"/>
          </w:tcPr>
          <w:p>
            <w:pPr>
              <w:pStyle w:val="119"/>
              <w:pageBreakBefore w:val="0"/>
              <w:kinsoku/>
              <w:overflowPunct/>
              <w:autoSpaceDE/>
              <w:autoSpaceDN/>
              <w:bidi w:val="0"/>
              <w:adjustRightInd/>
              <w:spacing w:line="360" w:lineRule="auto"/>
              <w:jc w:val="center"/>
              <w:rPr>
                <w:rFonts w:ascii="新宋体" w:hAnsi="新宋体" w:eastAsia="新宋体" w:cs="新宋体"/>
                <w:b/>
                <w:bCs/>
                <w:sz w:val="24"/>
              </w:rPr>
            </w:pPr>
            <w:r>
              <w:rPr>
                <w:rFonts w:hint="eastAsia" w:ascii="新宋体" w:hAnsi="新宋体" w:eastAsia="新宋体" w:cs="新宋体"/>
                <w:szCs w:val="18"/>
              </w:rPr>
              <w:t>项号</w:t>
            </w:r>
          </w:p>
        </w:tc>
        <w:tc>
          <w:tcPr>
            <w:tcW w:w="1643" w:type="dxa"/>
            <w:noWrap w:val="0"/>
            <w:vAlign w:val="center"/>
          </w:tcPr>
          <w:p>
            <w:pPr>
              <w:pStyle w:val="119"/>
              <w:pageBreakBefore w:val="0"/>
              <w:kinsoku/>
              <w:overflowPunct/>
              <w:autoSpaceDE/>
              <w:autoSpaceDN/>
              <w:bidi w:val="0"/>
              <w:adjustRightInd/>
              <w:spacing w:line="360" w:lineRule="auto"/>
              <w:jc w:val="center"/>
              <w:rPr>
                <w:rFonts w:ascii="新宋体" w:hAnsi="新宋体" w:eastAsia="新宋体" w:cs="新宋体"/>
                <w:b/>
                <w:bCs/>
                <w:sz w:val="24"/>
              </w:rPr>
            </w:pPr>
            <w:r>
              <w:rPr>
                <w:rFonts w:hint="eastAsia" w:ascii="新宋体" w:hAnsi="新宋体" w:eastAsia="新宋体" w:cs="新宋体"/>
                <w:szCs w:val="18"/>
              </w:rPr>
              <w:t>服务名称</w:t>
            </w:r>
          </w:p>
        </w:tc>
        <w:tc>
          <w:tcPr>
            <w:tcW w:w="1585" w:type="dxa"/>
            <w:noWrap w:val="0"/>
            <w:vAlign w:val="center"/>
          </w:tcPr>
          <w:p>
            <w:pPr>
              <w:pStyle w:val="119"/>
              <w:pageBreakBefore w:val="0"/>
              <w:kinsoku/>
              <w:overflowPunct/>
              <w:autoSpaceDE/>
              <w:autoSpaceDN/>
              <w:bidi w:val="0"/>
              <w:adjustRightInd/>
              <w:spacing w:line="360" w:lineRule="auto"/>
              <w:jc w:val="center"/>
              <w:rPr>
                <w:rFonts w:ascii="新宋体" w:hAnsi="新宋体" w:eastAsia="新宋体" w:cs="新宋体"/>
                <w:b/>
                <w:bCs/>
                <w:sz w:val="24"/>
              </w:rPr>
            </w:pPr>
            <w:r>
              <w:rPr>
                <w:rFonts w:hint="eastAsia" w:ascii="新宋体" w:hAnsi="新宋体" w:eastAsia="新宋体" w:cs="新宋体"/>
                <w:szCs w:val="18"/>
              </w:rPr>
              <w:t>功能模块</w:t>
            </w:r>
          </w:p>
        </w:tc>
        <w:tc>
          <w:tcPr>
            <w:tcW w:w="1598" w:type="dxa"/>
            <w:tcBorders>
              <w:right w:val="single" w:color="auto" w:sz="4" w:space="0"/>
            </w:tcBorders>
            <w:noWrap w:val="0"/>
            <w:vAlign w:val="center"/>
          </w:tcPr>
          <w:p>
            <w:pPr>
              <w:pStyle w:val="119"/>
              <w:pageBreakBefore w:val="0"/>
              <w:kinsoku/>
              <w:overflowPunct/>
              <w:autoSpaceDE/>
              <w:autoSpaceDN/>
              <w:bidi w:val="0"/>
              <w:adjustRightInd/>
              <w:spacing w:line="360" w:lineRule="auto"/>
              <w:jc w:val="center"/>
              <w:rPr>
                <w:rFonts w:hint="eastAsia" w:ascii="新宋体" w:hAnsi="新宋体" w:eastAsia="新宋体" w:cs="新宋体"/>
                <w:b/>
                <w:bCs/>
                <w:sz w:val="24"/>
              </w:rPr>
            </w:pPr>
            <w:r>
              <w:rPr>
                <w:rFonts w:hint="eastAsia" w:ascii="新宋体" w:hAnsi="新宋体" w:eastAsia="新宋体" w:cs="新宋体"/>
                <w:szCs w:val="18"/>
              </w:rPr>
              <w:t>数量/单位</w:t>
            </w:r>
          </w:p>
        </w:tc>
        <w:tc>
          <w:tcPr>
            <w:tcW w:w="3102" w:type="dxa"/>
            <w:tcBorders>
              <w:right w:val="single" w:color="auto" w:sz="4" w:space="0"/>
            </w:tcBorders>
            <w:noWrap w:val="0"/>
            <w:vAlign w:val="center"/>
          </w:tcPr>
          <w:p>
            <w:pPr>
              <w:pageBreakBefore w:val="0"/>
              <w:kinsoku/>
              <w:wordWrap w:val="0"/>
              <w:overflowPunct/>
              <w:autoSpaceDE/>
              <w:autoSpaceDN/>
              <w:bidi w:val="0"/>
              <w:adjustRightInd/>
              <w:snapToGrid w:val="0"/>
              <w:spacing w:line="360" w:lineRule="auto"/>
              <w:jc w:val="center"/>
              <w:rPr>
                <w:rFonts w:ascii="新宋体" w:hAnsi="新宋体" w:eastAsia="新宋体" w:cs="新宋体"/>
                <w:b/>
                <w:bCs/>
                <w:sz w:val="24"/>
              </w:rPr>
            </w:pPr>
            <w:r>
              <w:rPr>
                <w:rFonts w:hint="eastAsia" w:ascii="新宋体" w:hAnsi="新宋体" w:eastAsia="新宋体" w:cs="新宋体"/>
                <w:b/>
                <w:bCs/>
                <w:sz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711" w:type="dxa"/>
            <w:gridSpan w:val="5"/>
            <w:tcBorders>
              <w:right w:val="single" w:color="auto" w:sz="4" w:space="0"/>
            </w:tcBorders>
            <w:noWrap w:val="0"/>
            <w:vAlign w:val="center"/>
          </w:tcPr>
          <w:p>
            <w:pPr>
              <w:pageBreakBefore w:val="0"/>
              <w:kinsoku/>
              <w:wordWrap w:val="0"/>
              <w:overflowPunct/>
              <w:autoSpaceDE/>
              <w:autoSpaceDN/>
              <w:bidi w:val="0"/>
              <w:adjustRightInd/>
              <w:snapToGrid w:val="0"/>
              <w:spacing w:line="360" w:lineRule="auto"/>
              <w:rPr>
                <w:rFonts w:hint="eastAsia" w:ascii="新宋体" w:hAnsi="新宋体" w:eastAsia="新宋体" w:cs="新宋体"/>
                <w:b w:val="0"/>
                <w:bCs/>
                <w:szCs w:val="18"/>
              </w:rPr>
            </w:pPr>
            <w:r>
              <w:rPr>
                <w:rFonts w:hint="eastAsia" w:ascii="新宋体" w:hAnsi="新宋体" w:eastAsia="新宋体" w:cs="新宋体"/>
                <w:b w:val="0"/>
                <w:bCs/>
                <w:szCs w:val="18"/>
              </w:rPr>
              <w:t>一、系统平台服务（详细配置不低于设计文件要求）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783" w:type="dxa"/>
            <w:noWrap w:val="0"/>
            <w:vAlign w:val="center"/>
          </w:tcPr>
          <w:p>
            <w:pPr>
              <w:pStyle w:val="119"/>
              <w:pageBreakBefore w:val="0"/>
              <w:kinsoku/>
              <w:overflowPunct/>
              <w:autoSpaceDE/>
              <w:autoSpaceDN/>
              <w:bidi w:val="0"/>
              <w:adjustRightInd/>
              <w:spacing w:line="360" w:lineRule="auto"/>
              <w:rPr>
                <w:rFonts w:ascii="新宋体" w:hAnsi="新宋体" w:eastAsia="新宋体" w:cs="新宋体"/>
                <w:sz w:val="24"/>
              </w:rPr>
            </w:pPr>
            <w:r>
              <w:rPr>
                <w:rFonts w:hint="eastAsia" w:ascii="新宋体" w:hAnsi="新宋体" w:eastAsia="新宋体" w:cs="新宋体"/>
                <w:b w:val="0"/>
                <w:bCs/>
                <w:szCs w:val="18"/>
              </w:rPr>
              <w:t>1</w:t>
            </w:r>
          </w:p>
        </w:tc>
        <w:tc>
          <w:tcPr>
            <w:tcW w:w="1643" w:type="dxa"/>
            <w:noWrap w:val="0"/>
            <w:vAlign w:val="center"/>
          </w:tcPr>
          <w:p>
            <w:pPr>
              <w:pStyle w:val="119"/>
              <w:pageBreakBefore w:val="0"/>
              <w:kinsoku/>
              <w:overflowPunct/>
              <w:autoSpaceDE/>
              <w:autoSpaceDN/>
              <w:bidi w:val="0"/>
              <w:adjustRightInd/>
              <w:spacing w:line="360" w:lineRule="auto"/>
              <w:rPr>
                <w:rFonts w:ascii="新宋体" w:hAnsi="新宋体" w:eastAsia="新宋体" w:cs="新宋体"/>
                <w:bCs/>
                <w:sz w:val="24"/>
              </w:rPr>
            </w:pPr>
            <w:r>
              <w:rPr>
                <w:rFonts w:hint="eastAsia" w:ascii="新宋体" w:hAnsi="新宋体" w:eastAsia="新宋体" w:cs="新宋体"/>
                <w:b w:val="0"/>
                <w:bCs/>
                <w:szCs w:val="18"/>
              </w:rPr>
              <w:t>综合管理办公平台服务</w:t>
            </w:r>
          </w:p>
        </w:tc>
        <w:tc>
          <w:tcPr>
            <w:tcW w:w="1585" w:type="dxa"/>
            <w:noWrap w:val="0"/>
            <w:vAlign w:val="center"/>
          </w:tcPr>
          <w:p>
            <w:pPr>
              <w:pStyle w:val="119"/>
              <w:pageBreakBefore w:val="0"/>
              <w:kinsoku/>
              <w:overflowPunct/>
              <w:autoSpaceDE/>
              <w:autoSpaceDN/>
              <w:bidi w:val="0"/>
              <w:adjustRightInd/>
              <w:spacing w:line="360" w:lineRule="auto"/>
              <w:rPr>
                <w:rFonts w:ascii="新宋体" w:hAnsi="新宋体" w:eastAsia="新宋体" w:cs="新宋体"/>
                <w:bCs/>
                <w:szCs w:val="24"/>
              </w:rPr>
            </w:pPr>
            <w:r>
              <w:rPr>
                <w:rFonts w:hint="eastAsia" w:ascii="新宋体" w:hAnsi="新宋体" w:eastAsia="新宋体" w:cs="新宋体"/>
                <w:b w:val="0"/>
                <w:bCs/>
                <w:szCs w:val="18"/>
              </w:rPr>
              <w:t>提供自然保护区综合科研监测管理、自然资源监测、保护区设备管理、森林资源监测，实现自然保护区综合科研监测管理功能。</w:t>
            </w:r>
          </w:p>
        </w:tc>
        <w:tc>
          <w:tcPr>
            <w:tcW w:w="1598" w:type="dxa"/>
            <w:tcBorders>
              <w:right w:val="single" w:color="auto" w:sz="4" w:space="0"/>
            </w:tcBorders>
            <w:noWrap w:val="0"/>
            <w:vAlign w:val="center"/>
          </w:tcPr>
          <w:p>
            <w:pPr>
              <w:pStyle w:val="119"/>
              <w:pageBreakBefore w:val="0"/>
              <w:kinsoku/>
              <w:overflowPunct/>
              <w:autoSpaceDE/>
              <w:autoSpaceDN/>
              <w:bidi w:val="0"/>
              <w:adjustRightInd/>
              <w:spacing w:line="360" w:lineRule="auto"/>
              <w:rPr>
                <w:rFonts w:ascii="新宋体" w:hAnsi="新宋体" w:eastAsia="新宋体" w:cs="新宋体"/>
                <w:bCs/>
                <w:szCs w:val="24"/>
              </w:rPr>
            </w:pPr>
            <w:r>
              <w:rPr>
                <w:rFonts w:hint="eastAsia" w:ascii="新宋体" w:hAnsi="新宋体" w:eastAsia="新宋体" w:cs="新宋体"/>
                <w:b w:val="0"/>
                <w:bCs/>
                <w:szCs w:val="18"/>
              </w:rPr>
              <w:t>1套</w:t>
            </w:r>
          </w:p>
        </w:tc>
        <w:tc>
          <w:tcPr>
            <w:tcW w:w="3102" w:type="dxa"/>
            <w:tcBorders>
              <w:right w:val="single" w:color="auto" w:sz="4" w:space="0"/>
            </w:tcBorders>
            <w:noWrap w:val="0"/>
            <w:vAlign w:val="top"/>
          </w:tcPr>
          <w:p>
            <w:pPr>
              <w:pStyle w:val="119"/>
              <w:pageBreakBefore w:val="0"/>
              <w:kinsoku/>
              <w:overflowPunct/>
              <w:autoSpaceDE/>
              <w:autoSpaceDN/>
              <w:bidi w:val="0"/>
              <w:adjustRightInd/>
              <w:spacing w:line="360" w:lineRule="auto"/>
              <w:rPr>
                <w:rFonts w:ascii="新宋体" w:hAnsi="新宋体" w:eastAsia="新宋体" w:cs="新宋体"/>
                <w:b w:val="0"/>
                <w:bCs/>
                <w:szCs w:val="18"/>
              </w:rPr>
            </w:pPr>
            <w:r>
              <w:rPr>
                <w:rFonts w:hint="eastAsia" w:ascii="新宋体" w:hAnsi="新宋体" w:eastAsia="新宋体" w:cs="新宋体"/>
                <w:b w:val="0"/>
                <w:bCs/>
                <w:szCs w:val="18"/>
              </w:rPr>
              <w:t>一、总体需求</w:t>
            </w:r>
          </w:p>
          <w:p>
            <w:pPr>
              <w:pageBreakBefore w:val="0"/>
              <w:kinsoku/>
              <w:wordWrap w:val="0"/>
              <w:overflowPunct/>
              <w:autoSpaceDE/>
              <w:autoSpaceDN/>
              <w:bidi w:val="0"/>
              <w:adjustRightInd/>
              <w:snapToGrid w:val="0"/>
              <w:spacing w:line="360" w:lineRule="auto"/>
              <w:ind w:firstLine="480" w:firstLineChars="200"/>
              <w:rPr>
                <w:rFonts w:hint="eastAsia" w:ascii="新宋体" w:hAnsi="新宋体" w:eastAsia="新宋体" w:cs="新宋体"/>
                <w:bCs/>
                <w:sz w:val="24"/>
              </w:rPr>
            </w:pPr>
            <w:r>
              <w:rPr>
                <w:rFonts w:hint="eastAsia" w:ascii="新宋体" w:hAnsi="新宋体" w:eastAsia="新宋体" w:cs="新宋体"/>
                <w:bCs/>
                <w:sz w:val="24"/>
              </w:rPr>
              <w:t>雅长保护区监测和宣传教育项目暨现代生态管护系统项目主要建立以“一中心五平台”应用为核心的现代生态管护系统，构建可感知、可互联、可分析的一体化业务体系，实现保护区各类数据资源的统一管理、信息共享及数据分析与应用，增强行政服务、资源监管、应急处置、智慧调度的决策能力，为实现科学化决策、精细化管理、精准化服务、高效化办公奠定基础……</w:t>
            </w:r>
          </w:p>
          <w:p>
            <w:pPr>
              <w:pageBreakBefore w:val="0"/>
              <w:kinsoku/>
              <w:wordWrap w:val="0"/>
              <w:overflowPunct/>
              <w:autoSpaceDE/>
              <w:autoSpaceDN/>
              <w:bidi w:val="0"/>
              <w:adjustRightInd/>
              <w:snapToGrid w:val="0"/>
              <w:spacing w:line="360" w:lineRule="auto"/>
              <w:ind w:firstLine="480" w:firstLineChars="200"/>
              <w:rPr>
                <w:rFonts w:hint="default" w:ascii="新宋体" w:hAnsi="新宋体" w:eastAsia="新宋体" w:cs="新宋体"/>
                <w:sz w:val="24"/>
                <w:lang w:val="en-US" w:eastAsia="zh-CN"/>
              </w:rPr>
            </w:pPr>
            <w:r>
              <w:rPr>
                <w:rFonts w:hint="eastAsia" w:ascii="新宋体" w:hAnsi="新宋体" w:eastAsia="新宋体" w:cs="新宋体"/>
                <w:bCs/>
                <w:sz w:val="24"/>
                <w:lang w:val="en-US" w:eastAsia="zh-CN"/>
              </w:rPr>
              <w:t>详见公开招标文件。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609" w:type="dxa"/>
            <w:gridSpan w:val="4"/>
            <w:tcBorders>
              <w:right w:val="single" w:color="auto" w:sz="4" w:space="0"/>
            </w:tcBorders>
            <w:noWrap w:val="0"/>
            <w:vAlign w:val="center"/>
          </w:tcPr>
          <w:p>
            <w:pPr>
              <w:pageBreakBefore w:val="0"/>
              <w:kinsoku/>
              <w:wordWrap w:val="0"/>
              <w:overflowPunct/>
              <w:autoSpaceDE/>
              <w:autoSpaceDN/>
              <w:bidi w:val="0"/>
              <w:adjustRightInd/>
              <w:snapToGrid w:val="0"/>
              <w:spacing w:line="360" w:lineRule="auto"/>
              <w:rPr>
                <w:rFonts w:ascii="新宋体" w:hAnsi="新宋体" w:eastAsia="新宋体" w:cs="新宋体"/>
                <w:bCs/>
                <w:sz w:val="24"/>
              </w:rPr>
            </w:pPr>
            <w:r>
              <w:rPr>
                <w:rFonts w:hint="eastAsia" w:ascii="新宋体" w:hAnsi="新宋体" w:eastAsia="新宋体" w:cs="新宋体"/>
                <w:b w:val="0"/>
                <w:bCs/>
                <w:szCs w:val="18"/>
              </w:rPr>
              <w:t>二、通信传输网络服务</w:t>
            </w:r>
          </w:p>
        </w:tc>
        <w:tc>
          <w:tcPr>
            <w:tcW w:w="3102" w:type="dxa"/>
            <w:tcBorders>
              <w:right w:val="single" w:color="auto" w:sz="4" w:space="0"/>
            </w:tcBorders>
            <w:noWrap w:val="0"/>
            <w:vAlign w:val="center"/>
          </w:tcPr>
          <w:p>
            <w:pPr>
              <w:pageBreakBefore w:val="0"/>
              <w:kinsoku/>
              <w:wordWrap w:val="0"/>
              <w:overflowPunct/>
              <w:autoSpaceDE/>
              <w:autoSpaceDN/>
              <w:bidi w:val="0"/>
              <w:adjustRightInd/>
              <w:snapToGrid w:val="0"/>
              <w:spacing w:line="360" w:lineRule="auto"/>
              <w:rPr>
                <w:rFonts w:ascii="新宋体" w:hAnsi="新宋体" w:eastAsia="新宋体" w:cs="新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83" w:type="dxa"/>
            <w:noWrap w:val="0"/>
            <w:vAlign w:val="center"/>
          </w:tcPr>
          <w:p>
            <w:pPr>
              <w:pageBreakBefore w:val="0"/>
              <w:widowControl/>
              <w:kinsoku/>
              <w:overflowPunct/>
              <w:topLinePunct/>
              <w:autoSpaceDE/>
              <w:autoSpaceDN/>
              <w:bidi w:val="0"/>
              <w:adjustRightInd/>
              <w:snapToGrid w:val="0"/>
              <w:spacing w:line="360" w:lineRule="auto"/>
              <w:jc w:val="center"/>
              <w:textAlignment w:val="center"/>
              <w:rPr>
                <w:rFonts w:ascii="新宋体" w:hAnsi="新宋体" w:eastAsia="新宋体" w:cs="新宋体"/>
                <w:sz w:val="24"/>
              </w:rPr>
            </w:pPr>
            <w:r>
              <w:rPr>
                <w:rFonts w:hint="eastAsia" w:ascii="新宋体" w:hAnsi="新宋体" w:eastAsia="新宋体" w:cs="新宋体"/>
                <w:bCs/>
                <w:sz w:val="24"/>
              </w:rPr>
              <w:t>……</w:t>
            </w:r>
          </w:p>
        </w:tc>
        <w:tc>
          <w:tcPr>
            <w:tcW w:w="1643" w:type="dxa"/>
            <w:noWrap w:val="0"/>
            <w:vAlign w:val="center"/>
          </w:tcPr>
          <w:p>
            <w:pPr>
              <w:pageBreakBefore w:val="0"/>
              <w:widowControl/>
              <w:kinsoku/>
              <w:overflowPunct/>
              <w:topLinePunct/>
              <w:autoSpaceDE/>
              <w:autoSpaceDN/>
              <w:bidi w:val="0"/>
              <w:adjustRightInd/>
              <w:snapToGrid w:val="0"/>
              <w:spacing w:line="360" w:lineRule="auto"/>
              <w:textAlignment w:val="center"/>
              <w:rPr>
                <w:rFonts w:ascii="新宋体" w:hAnsi="新宋体" w:eastAsia="新宋体" w:cs="新宋体"/>
                <w:sz w:val="24"/>
              </w:rPr>
            </w:pPr>
            <w:r>
              <w:rPr>
                <w:rFonts w:hint="eastAsia" w:ascii="新宋体" w:hAnsi="新宋体" w:eastAsia="新宋体" w:cs="新宋体"/>
                <w:bCs/>
                <w:sz w:val="24"/>
              </w:rPr>
              <w:t>……</w:t>
            </w:r>
          </w:p>
        </w:tc>
        <w:tc>
          <w:tcPr>
            <w:tcW w:w="1585" w:type="dxa"/>
            <w:noWrap w:val="0"/>
            <w:vAlign w:val="center"/>
          </w:tcPr>
          <w:p>
            <w:pPr>
              <w:pageBreakBefore w:val="0"/>
              <w:widowControl/>
              <w:kinsoku/>
              <w:overflowPunct/>
              <w:topLinePunct/>
              <w:autoSpaceDE/>
              <w:autoSpaceDN/>
              <w:bidi w:val="0"/>
              <w:adjustRightInd/>
              <w:snapToGrid w:val="0"/>
              <w:spacing w:line="360" w:lineRule="auto"/>
              <w:jc w:val="center"/>
              <w:textAlignment w:val="center"/>
              <w:rPr>
                <w:rFonts w:ascii="新宋体" w:hAnsi="新宋体" w:eastAsia="新宋体" w:cs="新宋体"/>
                <w:bCs/>
                <w:sz w:val="24"/>
              </w:rPr>
            </w:pPr>
            <w:r>
              <w:rPr>
                <w:rFonts w:hint="eastAsia" w:ascii="新宋体" w:hAnsi="新宋体" w:eastAsia="新宋体" w:cs="新宋体"/>
                <w:bCs/>
                <w:sz w:val="24"/>
              </w:rPr>
              <w:t>……</w:t>
            </w:r>
          </w:p>
        </w:tc>
        <w:tc>
          <w:tcPr>
            <w:tcW w:w="1598" w:type="dxa"/>
            <w:tcBorders>
              <w:right w:val="single" w:color="auto" w:sz="4" w:space="0"/>
            </w:tcBorders>
            <w:noWrap w:val="0"/>
            <w:vAlign w:val="center"/>
          </w:tcPr>
          <w:p>
            <w:pPr>
              <w:pageBreakBefore w:val="0"/>
              <w:widowControl/>
              <w:kinsoku/>
              <w:overflowPunct/>
              <w:topLinePunct/>
              <w:autoSpaceDE/>
              <w:autoSpaceDN/>
              <w:bidi w:val="0"/>
              <w:adjustRightInd/>
              <w:snapToGrid w:val="0"/>
              <w:spacing w:line="360" w:lineRule="auto"/>
              <w:jc w:val="center"/>
              <w:textAlignment w:val="center"/>
              <w:rPr>
                <w:rFonts w:ascii="新宋体" w:hAnsi="新宋体" w:eastAsia="新宋体" w:cs="新宋体"/>
                <w:bCs/>
                <w:sz w:val="24"/>
              </w:rPr>
            </w:pPr>
            <w:r>
              <w:rPr>
                <w:rFonts w:hint="eastAsia" w:ascii="新宋体" w:hAnsi="新宋体" w:eastAsia="新宋体" w:cs="新宋体"/>
                <w:bCs/>
                <w:sz w:val="24"/>
              </w:rPr>
              <w:t>……</w:t>
            </w:r>
          </w:p>
        </w:tc>
        <w:tc>
          <w:tcPr>
            <w:tcW w:w="3102" w:type="dxa"/>
            <w:tcBorders>
              <w:right w:val="single" w:color="auto" w:sz="4" w:space="0"/>
            </w:tcBorders>
            <w:noWrap w:val="0"/>
            <w:vAlign w:val="center"/>
          </w:tcPr>
          <w:p>
            <w:pPr>
              <w:pageBreakBefore w:val="0"/>
              <w:widowControl/>
              <w:kinsoku/>
              <w:overflowPunct/>
              <w:topLinePunct/>
              <w:autoSpaceDE/>
              <w:autoSpaceDN/>
              <w:bidi w:val="0"/>
              <w:adjustRightInd/>
              <w:snapToGrid w:val="0"/>
              <w:spacing w:line="360" w:lineRule="auto"/>
              <w:ind w:firstLine="480" w:firstLineChars="200"/>
              <w:jc w:val="left"/>
              <w:textAlignment w:val="center"/>
              <w:rPr>
                <w:rFonts w:ascii="新宋体" w:hAnsi="新宋体" w:eastAsia="新宋体" w:cs="新宋体"/>
                <w:bCs/>
                <w:sz w:val="24"/>
              </w:rPr>
            </w:pPr>
            <w:r>
              <w:rPr>
                <w:rFonts w:hint="eastAsia" w:ascii="新宋体" w:hAnsi="新宋体" w:eastAsia="新宋体" w:cs="新宋体"/>
                <w:bCs/>
                <w:sz w:val="24"/>
              </w:rPr>
              <w:t>……</w:t>
            </w:r>
          </w:p>
        </w:tc>
      </w:tr>
    </w:tbl>
    <w:p>
      <w:pPr>
        <w:pStyle w:val="47"/>
        <w:pageBreakBefore w:val="0"/>
        <w:kinsoku/>
        <w:overflowPunct/>
        <w:autoSpaceDE/>
        <w:autoSpaceDN/>
        <w:bidi w:val="0"/>
        <w:adjustRightInd/>
        <w:snapToGrid w:val="0"/>
        <w:spacing w:before="0" w:beforeAutospacing="0" w:after="0" w:afterAutospacing="0" w:line="360" w:lineRule="auto"/>
        <w:ind w:firstLine="480" w:firstLineChars="200"/>
        <w:rPr>
          <w:rFonts w:ascii="宋体" w:hAnsi="宋体"/>
          <w:u w:val="single"/>
        </w:rPr>
      </w:pPr>
      <w:r>
        <w:rPr>
          <w:rFonts w:hint="eastAsia" w:ascii="宋体" w:hAnsi="宋体" w:eastAsia="宋体"/>
        </w:rPr>
        <w:t>如需进一步了解详细内容，详见公开招标文件。</w:t>
      </w:r>
    </w:p>
    <w:p>
      <w:pPr>
        <w:pageBreakBefore w:val="0"/>
        <w:kinsoku/>
        <w:overflowPunct/>
        <w:autoSpaceDE/>
        <w:autoSpaceDN/>
        <w:bidi w:val="0"/>
        <w:adjustRightInd/>
        <w:snapToGrid w:val="0"/>
        <w:spacing w:line="360" w:lineRule="auto"/>
        <w:ind w:firstLine="480" w:firstLineChars="200"/>
        <w:rPr>
          <w:rFonts w:ascii="宋体" w:hAnsi="宋体"/>
          <w:sz w:val="24"/>
        </w:rPr>
      </w:pPr>
      <w:r>
        <w:rPr>
          <w:rFonts w:hint="eastAsia" w:ascii="宋体" w:hAnsi="宋体"/>
          <w:sz w:val="24"/>
        </w:rPr>
        <w:t>本项目不接受联合体投标。</w:t>
      </w:r>
    </w:p>
    <w:p>
      <w:pPr>
        <w:keepNext/>
        <w:keepLines/>
        <w:pageBreakBefore w:val="0"/>
        <w:kinsoku/>
        <w:overflowPunct/>
        <w:autoSpaceDE/>
        <w:autoSpaceDN/>
        <w:bidi w:val="0"/>
        <w:adjustRightInd/>
        <w:snapToGrid w:val="0"/>
        <w:spacing w:line="360" w:lineRule="auto"/>
        <w:rPr>
          <w:rFonts w:ascii="宋体" w:hAnsi="宋体" w:cs="宋体"/>
          <w:b/>
          <w:bCs/>
          <w:sz w:val="24"/>
        </w:rPr>
      </w:pPr>
      <w:bookmarkStart w:id="17" w:name="_Toc57024384"/>
      <w:bookmarkStart w:id="18" w:name="_Toc35393791"/>
      <w:bookmarkStart w:id="19" w:name="_Toc28359003"/>
      <w:bookmarkStart w:id="20" w:name="_Toc28359080"/>
      <w:bookmarkStart w:id="21" w:name="_Toc35393622"/>
      <w:r>
        <w:rPr>
          <w:rFonts w:hint="eastAsia" w:ascii="宋体" w:hAnsi="宋体" w:cs="宋体"/>
          <w:b/>
          <w:bCs/>
          <w:sz w:val="24"/>
        </w:rPr>
        <w:t>二、申请人的资格要求：</w:t>
      </w:r>
      <w:bookmarkEnd w:id="17"/>
      <w:bookmarkEnd w:id="18"/>
      <w:bookmarkEnd w:id="19"/>
      <w:bookmarkEnd w:id="20"/>
      <w:bookmarkEnd w:id="21"/>
    </w:p>
    <w:p>
      <w:pPr>
        <w:pStyle w:val="47"/>
        <w:pageBreakBefore w:val="0"/>
        <w:kinsoku/>
        <w:wordWrap w:val="0"/>
        <w:overflowPunct/>
        <w:autoSpaceDE/>
        <w:autoSpaceDN/>
        <w:bidi w:val="0"/>
        <w:adjustRightInd/>
        <w:snapToGrid w:val="0"/>
        <w:spacing w:before="0" w:beforeAutospacing="0" w:after="0" w:afterAutospacing="0" w:line="360" w:lineRule="auto"/>
        <w:ind w:firstLine="420"/>
      </w:pPr>
      <w:bookmarkStart w:id="22" w:name="_Toc57024385"/>
      <w:bookmarkStart w:id="23" w:name="_Toc28359004"/>
      <w:bookmarkStart w:id="24" w:name="_Toc28359081"/>
      <w:bookmarkStart w:id="25" w:name="_Toc35393792"/>
      <w:bookmarkStart w:id="26" w:name="_Toc35393623"/>
      <w:r>
        <w:rPr>
          <w:rFonts w:hint="eastAsia"/>
        </w:rPr>
        <w:t>1.符合《中华人民共和国政府采购法》第二十二条规定；</w:t>
      </w:r>
    </w:p>
    <w:p>
      <w:pPr>
        <w:pStyle w:val="47"/>
        <w:pageBreakBefore w:val="0"/>
        <w:kinsoku/>
        <w:wordWrap w:val="0"/>
        <w:overflowPunct/>
        <w:autoSpaceDE/>
        <w:autoSpaceDN/>
        <w:bidi w:val="0"/>
        <w:adjustRightInd/>
        <w:snapToGrid w:val="0"/>
        <w:spacing w:before="0" w:beforeAutospacing="0" w:after="0" w:afterAutospacing="0" w:line="360" w:lineRule="auto"/>
        <w:ind w:firstLine="420"/>
      </w:pPr>
      <w:r>
        <w:t>2</w:t>
      </w:r>
      <w:r>
        <w:rPr>
          <w:rFonts w:hint="eastAsia"/>
        </w:rPr>
        <w:t>.本项目需落实的政府采购政策：</w:t>
      </w:r>
      <w:r>
        <w:rPr>
          <w:rFonts w:hint="eastAsia" w:ascii="宋体" w:hAnsi="宋体" w:eastAsia="宋体" w:cs="宋体"/>
        </w:rPr>
        <w:t>1）本项目属于非专门面向中小企业项目。中小企业应符合《政府采购促进中小企业发展管理办法》（财库〔2020〕46号）规定。2）符合《关于政府采购支持监狱企业发展有关问题的通知》(财库[2014]68号)的规定，认定为监狱企业的，在政府采购活动中，监狱企业视同小型、微型企业。3）符合《关于促进残疾人就业政府采购政策的通知》(财库〔2017〕141号)的规定，认定为残疾人福利性单位的，在政府采购活动中，残疾人福利性单位视同小型、微型企业。</w:t>
      </w:r>
    </w:p>
    <w:p>
      <w:pPr>
        <w:pStyle w:val="47"/>
        <w:pageBreakBefore w:val="0"/>
        <w:kinsoku/>
        <w:wordWrap w:val="0"/>
        <w:overflowPunct/>
        <w:autoSpaceDE/>
        <w:autoSpaceDN/>
        <w:bidi w:val="0"/>
        <w:adjustRightInd/>
        <w:snapToGrid w:val="0"/>
        <w:spacing w:before="0" w:beforeAutospacing="0" w:after="0" w:afterAutospacing="0" w:line="360" w:lineRule="auto"/>
        <w:ind w:firstLine="420"/>
      </w:pPr>
      <w:r>
        <w:t>3</w:t>
      </w:r>
      <w:r>
        <w:rPr>
          <w:rFonts w:hint="eastAsia"/>
        </w:rPr>
        <w:t>.本项目的特定资格要求：本项目允许电信行业的分支机构参与投标。</w:t>
      </w:r>
    </w:p>
    <w:p>
      <w:pPr>
        <w:pStyle w:val="47"/>
        <w:pageBreakBefore w:val="0"/>
        <w:kinsoku/>
        <w:wordWrap w:val="0"/>
        <w:overflowPunct/>
        <w:autoSpaceDE/>
        <w:autoSpaceDN/>
        <w:bidi w:val="0"/>
        <w:adjustRightInd/>
        <w:snapToGrid w:val="0"/>
        <w:spacing w:before="0" w:beforeAutospacing="0" w:after="0" w:afterAutospacing="0" w:line="360" w:lineRule="auto"/>
        <w:ind w:firstLine="420"/>
      </w:pPr>
      <w:r>
        <w:t>4</w:t>
      </w:r>
      <w:r>
        <w:rPr>
          <w:rFonts w:hint="eastAsia"/>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47"/>
        <w:pageBreakBefore w:val="0"/>
        <w:kinsoku/>
        <w:wordWrap w:val="0"/>
        <w:overflowPunct/>
        <w:autoSpaceDE/>
        <w:autoSpaceDN/>
        <w:bidi w:val="0"/>
        <w:adjustRightInd/>
        <w:snapToGrid w:val="0"/>
        <w:spacing w:before="0" w:beforeAutospacing="0" w:after="0" w:afterAutospacing="0" w:line="360" w:lineRule="auto"/>
        <w:ind w:firstLine="420"/>
      </w:pPr>
      <w:r>
        <w:t>5</w:t>
      </w:r>
      <w:r>
        <w:rPr>
          <w:rFonts w:hint="eastAsia"/>
        </w:rPr>
        <w:t>.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47"/>
        <w:pageBreakBefore w:val="0"/>
        <w:kinsoku/>
        <w:wordWrap w:val="0"/>
        <w:overflowPunct/>
        <w:autoSpaceDE/>
        <w:autoSpaceDN/>
        <w:bidi w:val="0"/>
        <w:adjustRightInd/>
        <w:snapToGrid w:val="0"/>
        <w:spacing w:before="0" w:beforeAutospacing="0" w:after="0" w:afterAutospacing="0" w:line="360" w:lineRule="auto"/>
        <w:ind w:firstLine="420"/>
      </w:pPr>
      <w:r>
        <w:t>6</w:t>
      </w:r>
      <w:r>
        <w:rPr>
          <w:rFonts w:hint="eastAsia"/>
        </w:rPr>
        <w:t>.本项目不接受联合体投标。</w:t>
      </w:r>
    </w:p>
    <w:p>
      <w:pPr>
        <w:keepNext/>
        <w:keepLines/>
        <w:pageBreakBefore w:val="0"/>
        <w:kinsoku/>
        <w:overflowPunct/>
        <w:autoSpaceDE/>
        <w:autoSpaceDN/>
        <w:bidi w:val="0"/>
        <w:adjustRightInd/>
        <w:snapToGrid w:val="0"/>
        <w:spacing w:line="360" w:lineRule="auto"/>
        <w:rPr>
          <w:rFonts w:ascii="宋体" w:hAnsi="宋体" w:cs="宋体"/>
          <w:b/>
          <w:bCs/>
          <w:sz w:val="24"/>
        </w:rPr>
      </w:pPr>
      <w:r>
        <w:rPr>
          <w:rFonts w:hint="eastAsia" w:ascii="宋体" w:hAnsi="宋体" w:cs="宋体"/>
          <w:b/>
          <w:bCs/>
          <w:sz w:val="24"/>
        </w:rPr>
        <w:t>三、获取招标文件</w:t>
      </w:r>
      <w:bookmarkEnd w:id="22"/>
      <w:bookmarkEnd w:id="23"/>
      <w:bookmarkEnd w:id="24"/>
      <w:bookmarkEnd w:id="25"/>
      <w:bookmarkEnd w:id="26"/>
    </w:p>
    <w:p>
      <w:pPr>
        <w:pageBreakBefore w:val="0"/>
        <w:kinsoku/>
        <w:overflowPunct/>
        <w:autoSpaceDE/>
        <w:autoSpaceDN/>
        <w:bidi w:val="0"/>
        <w:adjustRightInd/>
        <w:snapToGrid w:val="0"/>
        <w:spacing w:line="360" w:lineRule="auto"/>
        <w:ind w:firstLine="540"/>
        <w:rPr>
          <w:rFonts w:ascii="宋体" w:hAnsi="宋体" w:cs="宋体"/>
          <w:sz w:val="24"/>
        </w:rPr>
      </w:pPr>
      <w:r>
        <w:rPr>
          <w:rFonts w:hint="eastAsia" w:ascii="宋体" w:hAnsi="宋体" w:cs="宋体"/>
          <w:b/>
          <w:bCs/>
          <w:sz w:val="24"/>
        </w:rPr>
        <w:t>时间：</w:t>
      </w:r>
      <w:r>
        <w:rPr>
          <w:rFonts w:hint="eastAsia" w:ascii="宋体" w:hAnsi="宋体" w:cs="宋体"/>
          <w:sz w:val="24"/>
        </w:rPr>
        <w:t>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日至2021年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日止（工作日，节假日除外），每日上午9：00至12：00，下午15:00至18：00（北京时间，下同）。</w:t>
      </w:r>
    </w:p>
    <w:p>
      <w:pPr>
        <w:pageBreakBefore w:val="0"/>
        <w:kinsoku/>
        <w:overflowPunct/>
        <w:autoSpaceDE/>
        <w:autoSpaceDN/>
        <w:bidi w:val="0"/>
        <w:adjustRightInd/>
        <w:snapToGrid w:val="0"/>
        <w:spacing w:line="360" w:lineRule="auto"/>
        <w:ind w:firstLine="540"/>
        <w:rPr>
          <w:rFonts w:ascii="宋体" w:hAnsi="宋体" w:cs="宋体"/>
          <w:sz w:val="24"/>
        </w:rPr>
      </w:pPr>
      <w:r>
        <w:rPr>
          <w:rFonts w:hint="eastAsia" w:ascii="宋体" w:hAnsi="宋体" w:cs="宋体"/>
          <w:b/>
          <w:bCs/>
          <w:sz w:val="24"/>
        </w:rPr>
        <w:t>地点：</w:t>
      </w:r>
      <w:r>
        <w:rPr>
          <w:rFonts w:hint="eastAsia" w:ascii="宋体" w:hAnsi="宋体" w:cs="宋体"/>
          <w:sz w:val="24"/>
        </w:rPr>
        <w:t>南宁市青秀区思贤路45号创投中心16A层</w:t>
      </w:r>
    </w:p>
    <w:p>
      <w:pPr>
        <w:pStyle w:val="51"/>
        <w:pageBreakBefore w:val="0"/>
        <w:kinsoku/>
        <w:overflowPunct/>
        <w:autoSpaceDE/>
        <w:autoSpaceDN/>
        <w:bidi w:val="0"/>
        <w:adjustRightInd/>
        <w:snapToGrid w:val="0"/>
        <w:spacing w:after="0" w:line="360" w:lineRule="auto"/>
        <w:rPr>
          <w:rFonts w:ascii="新宋体" w:hAnsi="新宋体" w:eastAsia="新宋体" w:cs="新宋体"/>
          <w:sz w:val="24"/>
          <w:u w:val="single"/>
        </w:rPr>
      </w:pPr>
      <w:r>
        <w:rPr>
          <w:rFonts w:hint="eastAsia" w:hAnsi="宋体" w:cs="宋体"/>
          <w:b/>
          <w:bCs/>
          <w:sz w:val="24"/>
        </w:rPr>
        <w:t>方式：</w:t>
      </w:r>
      <w:r>
        <w:rPr>
          <w:rFonts w:hint="eastAsia" w:ascii="新宋体" w:hAnsi="新宋体" w:eastAsia="新宋体" w:cs="新宋体"/>
          <w:sz w:val="24"/>
          <w:u w:val="single"/>
        </w:rPr>
        <w:t>潜在投标人通过现场或电子邮件获取采购文件，获取文件时提供证明文件及联系方式，采购代理机构核查完毕后将招标文件电子版以电子邮件形式发送至投标人邮箱。证明材料：法定代表人（或负责人）（法人资格证明、身份证原件及复印件）或授权委托代理人（授权委托书原件、身份证原件及复印件），复印件均需加盖单位公章。以上证明文件要求为原件或清晰的扫描件。</w:t>
      </w:r>
    </w:p>
    <w:p>
      <w:pPr>
        <w:pStyle w:val="51"/>
        <w:pageBreakBefore w:val="0"/>
        <w:kinsoku/>
        <w:overflowPunct/>
        <w:autoSpaceDE/>
        <w:autoSpaceDN/>
        <w:bidi w:val="0"/>
        <w:adjustRightInd/>
        <w:snapToGrid w:val="0"/>
        <w:spacing w:after="0" w:line="360" w:lineRule="auto"/>
        <w:rPr>
          <w:rFonts w:hAnsi="宋体" w:cs="宋体"/>
          <w:sz w:val="24"/>
        </w:rPr>
      </w:pPr>
      <w:r>
        <w:rPr>
          <w:rFonts w:hint="eastAsia" w:ascii="新宋体" w:hAnsi="新宋体" w:eastAsia="新宋体" w:cs="新宋体"/>
          <w:b/>
          <w:bCs/>
          <w:sz w:val="24"/>
          <w:u w:val="single"/>
        </w:rPr>
        <w:t>购买文件联系人及电话：</w:t>
      </w:r>
      <w:r>
        <w:rPr>
          <w:rFonts w:hint="eastAsia" w:ascii="新宋体" w:hAnsi="新宋体" w:eastAsia="新宋体" w:cs="新宋体"/>
          <w:sz w:val="24"/>
          <w:u w:val="single"/>
        </w:rPr>
        <w:t>黄工、罗工  0771-2442850；邮箱：</w:t>
      </w:r>
      <w:r>
        <w:fldChar w:fldCharType="begin"/>
      </w:r>
      <w:r>
        <w:instrText xml:space="preserve"> HYPERLINK "mailto:gxyzcg@163.com" </w:instrText>
      </w:r>
      <w:r>
        <w:fldChar w:fldCharType="separate"/>
      </w:r>
      <w:r>
        <w:rPr>
          <w:rFonts w:hint="eastAsia" w:ascii="新宋体" w:hAnsi="新宋体" w:eastAsia="新宋体" w:cs="新宋体"/>
          <w:sz w:val="24"/>
          <w:u w:val="single"/>
        </w:rPr>
        <w:t>gxyzcg@163.com</w:t>
      </w:r>
      <w:r>
        <w:rPr>
          <w:rFonts w:hint="eastAsia" w:ascii="新宋体" w:hAnsi="新宋体" w:eastAsia="新宋体" w:cs="新宋体"/>
          <w:sz w:val="24"/>
          <w:u w:val="single"/>
        </w:rPr>
        <w:fldChar w:fldCharType="end"/>
      </w:r>
      <w:r>
        <w:rPr>
          <w:rFonts w:hint="eastAsia" w:ascii="新宋体" w:hAnsi="新宋体" w:eastAsia="新宋体" w:cs="新宋体"/>
          <w:sz w:val="24"/>
          <w:u w:val="single"/>
        </w:rPr>
        <w:t>。</w:t>
      </w:r>
    </w:p>
    <w:p>
      <w:pPr>
        <w:pageBreakBefore w:val="0"/>
        <w:kinsoku/>
        <w:overflowPunct/>
        <w:autoSpaceDE/>
        <w:autoSpaceDN/>
        <w:bidi w:val="0"/>
        <w:adjustRightInd/>
        <w:snapToGrid w:val="0"/>
        <w:spacing w:line="360" w:lineRule="auto"/>
        <w:ind w:firstLine="482" w:firstLineChars="200"/>
        <w:jc w:val="left"/>
        <w:rPr>
          <w:rFonts w:ascii="宋体" w:hAnsi="宋体"/>
          <w:sz w:val="24"/>
        </w:rPr>
      </w:pPr>
      <w:r>
        <w:rPr>
          <w:rFonts w:hint="eastAsia" w:ascii="宋体" w:hAnsi="宋体" w:cs="宋体"/>
          <w:b/>
          <w:bCs/>
          <w:sz w:val="24"/>
        </w:rPr>
        <w:t>售价：</w:t>
      </w:r>
      <w:r>
        <w:rPr>
          <w:rFonts w:hint="eastAsia" w:ascii="宋体" w:hAnsi="宋体"/>
          <w:sz w:val="24"/>
        </w:rPr>
        <w:t>公开招标文件</w:t>
      </w:r>
      <w:r>
        <w:rPr>
          <w:rFonts w:ascii="宋体" w:hAnsi="宋体"/>
          <w:sz w:val="24"/>
        </w:rPr>
        <w:t>工本费每本售价250元，售后不退。【投标人须于招标文件发售截止时间将工本费</w:t>
      </w:r>
      <w:r>
        <w:rPr>
          <w:rFonts w:hint="eastAsia" w:ascii="宋体" w:hAnsi="宋体"/>
          <w:sz w:val="24"/>
        </w:rPr>
        <w:t>以现金形式或转账形式</w:t>
      </w:r>
      <w:r>
        <w:rPr>
          <w:rFonts w:ascii="宋体" w:hAnsi="宋体"/>
          <w:sz w:val="24"/>
        </w:rPr>
        <w:t>汇至</w:t>
      </w:r>
      <w:r>
        <w:rPr>
          <w:rFonts w:hint="eastAsia" w:ascii="宋体" w:hAnsi="宋体"/>
          <w:sz w:val="24"/>
        </w:rPr>
        <w:t>广西邕政采购代理有限公司</w:t>
      </w:r>
      <w:r>
        <w:rPr>
          <w:rFonts w:ascii="宋体" w:hAnsi="宋体"/>
          <w:sz w:val="24"/>
        </w:rPr>
        <w:t>指定账户，汇款、转账时请备注项目名称或项目编号信息。】</w:t>
      </w:r>
    </w:p>
    <w:p>
      <w:pPr>
        <w:pageBreakBefore w:val="0"/>
        <w:kinsoku/>
        <w:overflowPunct/>
        <w:autoSpaceDE/>
        <w:autoSpaceDN/>
        <w:bidi w:val="0"/>
        <w:adjustRightInd/>
        <w:snapToGrid w:val="0"/>
        <w:spacing w:line="360" w:lineRule="auto"/>
        <w:ind w:left="479" w:leftChars="228"/>
        <w:jc w:val="left"/>
        <w:rPr>
          <w:rFonts w:ascii="宋体" w:hAnsi="宋体" w:cs="宋体"/>
          <w:sz w:val="24"/>
        </w:rPr>
      </w:pPr>
      <w:r>
        <w:rPr>
          <w:rFonts w:hint="eastAsia" w:ascii="宋体" w:hAnsi="宋体" w:cs="宋体"/>
          <w:sz w:val="24"/>
        </w:rPr>
        <w:t>购买招标文件的指定账户：</w:t>
      </w:r>
    </w:p>
    <w:p>
      <w:pPr>
        <w:pageBreakBefore w:val="0"/>
        <w:kinsoku/>
        <w:overflowPunct/>
        <w:autoSpaceDE/>
        <w:autoSpaceDN/>
        <w:bidi w:val="0"/>
        <w:adjustRightInd/>
        <w:snapToGrid w:val="0"/>
        <w:spacing w:line="360" w:lineRule="auto"/>
        <w:ind w:left="479" w:leftChars="228"/>
        <w:jc w:val="left"/>
        <w:rPr>
          <w:rFonts w:ascii="宋体" w:hAnsi="宋体" w:cs="宋体"/>
          <w:sz w:val="24"/>
        </w:rPr>
      </w:pPr>
      <w:r>
        <w:rPr>
          <w:rFonts w:hint="eastAsia" w:ascii="宋体" w:hAnsi="宋体" w:cs="宋体"/>
          <w:sz w:val="24"/>
        </w:rPr>
        <w:t>开户名称：广西邕政采购代理有限公司</w:t>
      </w:r>
    </w:p>
    <w:p>
      <w:pPr>
        <w:pageBreakBefore w:val="0"/>
        <w:kinsoku/>
        <w:overflowPunct/>
        <w:autoSpaceDE/>
        <w:autoSpaceDN/>
        <w:bidi w:val="0"/>
        <w:adjustRightInd/>
        <w:snapToGrid w:val="0"/>
        <w:spacing w:line="360" w:lineRule="auto"/>
        <w:ind w:firstLine="480" w:firstLineChars="200"/>
        <w:jc w:val="left"/>
        <w:rPr>
          <w:rFonts w:ascii="宋体" w:hAnsi="宋体" w:cs="宋体"/>
          <w:sz w:val="24"/>
        </w:rPr>
      </w:pPr>
      <w:r>
        <w:rPr>
          <w:rFonts w:hint="eastAsia" w:ascii="宋体" w:hAnsi="宋体" w:cs="宋体"/>
          <w:sz w:val="24"/>
        </w:rPr>
        <w:t>开户银行：交通银行南宁东葛西支行</w:t>
      </w:r>
    </w:p>
    <w:p>
      <w:pPr>
        <w:pageBreakBefore w:val="0"/>
        <w:kinsoku/>
        <w:overflowPunct/>
        <w:autoSpaceDE/>
        <w:autoSpaceDN/>
        <w:bidi w:val="0"/>
        <w:adjustRightInd/>
        <w:snapToGrid w:val="0"/>
        <w:spacing w:line="360" w:lineRule="auto"/>
        <w:ind w:firstLine="480" w:firstLineChars="200"/>
        <w:jc w:val="left"/>
        <w:rPr>
          <w:rFonts w:ascii="宋体" w:hAnsi="宋体" w:cs="宋体"/>
          <w:sz w:val="24"/>
        </w:rPr>
      </w:pPr>
      <w:r>
        <w:rPr>
          <w:rFonts w:hint="eastAsia" w:ascii="宋体" w:hAnsi="宋体" w:cs="宋体"/>
          <w:sz w:val="24"/>
        </w:rPr>
        <w:t>账号：4510 6070 1018 1602 32818</w:t>
      </w:r>
    </w:p>
    <w:p>
      <w:pPr>
        <w:pStyle w:val="47"/>
        <w:pageBreakBefore w:val="0"/>
        <w:kinsoku/>
        <w:overflowPunct/>
        <w:autoSpaceDE/>
        <w:autoSpaceDN/>
        <w:bidi w:val="0"/>
        <w:adjustRightInd/>
        <w:snapToGrid w:val="0"/>
        <w:spacing w:before="0" w:beforeAutospacing="0" w:after="0" w:afterAutospacing="0" w:line="360" w:lineRule="auto"/>
        <w:rPr>
          <w:rFonts w:ascii="宋体" w:hAnsi="宋体" w:eastAsia="宋体"/>
        </w:rPr>
      </w:pPr>
      <w:r>
        <w:rPr>
          <w:rStyle w:val="58"/>
          <w:rFonts w:hint="eastAsia" w:ascii="宋体" w:hAnsi="宋体" w:eastAsia="宋体"/>
        </w:rPr>
        <w:t>四、提交投标文件截止时间、开标时间和地点：</w:t>
      </w:r>
    </w:p>
    <w:p>
      <w:pPr>
        <w:pStyle w:val="47"/>
        <w:pageBreakBefore w:val="0"/>
        <w:kinsoku/>
        <w:overflowPunct/>
        <w:autoSpaceDE/>
        <w:autoSpaceDN/>
        <w:bidi w:val="0"/>
        <w:adjustRightInd/>
        <w:snapToGrid w:val="0"/>
        <w:spacing w:before="0" w:beforeAutospacing="0" w:after="0" w:afterAutospacing="0" w:line="360" w:lineRule="auto"/>
        <w:ind w:firstLine="420"/>
        <w:rPr>
          <w:rFonts w:ascii="宋体" w:hAnsi="宋体"/>
        </w:rPr>
      </w:pPr>
      <w:r>
        <w:rPr>
          <w:rFonts w:hint="eastAsia" w:ascii="宋体" w:hAnsi="宋体" w:cs="宋体"/>
        </w:rPr>
        <w:t>截止时间：20</w:t>
      </w:r>
      <w:r>
        <w:rPr>
          <w:rFonts w:hint="eastAsia" w:ascii="宋体" w:hAnsi="宋体"/>
        </w:rPr>
        <w:t>21年</w:t>
      </w:r>
      <w:r>
        <w:rPr>
          <w:rFonts w:hint="eastAsia" w:ascii="宋体" w:hAnsi="宋体"/>
          <w:lang w:val="en-US" w:eastAsia="zh-CN"/>
        </w:rPr>
        <w:t>9</w:t>
      </w:r>
      <w:r>
        <w:rPr>
          <w:rFonts w:hint="eastAsia" w:ascii="宋体" w:hAnsi="宋体"/>
        </w:rPr>
        <w:t>月</w:t>
      </w:r>
      <w:r>
        <w:rPr>
          <w:rFonts w:hint="eastAsia" w:ascii="宋体" w:hAnsi="宋体"/>
          <w:lang w:val="en-US" w:eastAsia="zh-CN"/>
        </w:rPr>
        <w:t>30</w:t>
      </w:r>
      <w:r>
        <w:rPr>
          <w:rFonts w:hint="eastAsia" w:ascii="宋体" w:hAnsi="宋体"/>
        </w:rPr>
        <w:t>日</w:t>
      </w:r>
      <w:r>
        <w:rPr>
          <w:rFonts w:hint="eastAsia" w:ascii="宋体" w:hAnsi="宋体"/>
          <w:lang w:val="en-US" w:eastAsia="zh-CN"/>
        </w:rPr>
        <w:t>14</w:t>
      </w:r>
      <w:r>
        <w:rPr>
          <w:rFonts w:hint="eastAsia" w:ascii="宋体" w:hAnsi="宋体"/>
        </w:rPr>
        <w:t>时</w:t>
      </w:r>
      <w:r>
        <w:rPr>
          <w:rFonts w:hint="eastAsia" w:ascii="宋体" w:hAnsi="宋体"/>
          <w:lang w:val="en-US" w:eastAsia="zh-CN"/>
        </w:rPr>
        <w:t>00</w:t>
      </w:r>
      <w:r>
        <w:rPr>
          <w:rFonts w:hint="eastAsia" w:ascii="宋体" w:hAnsi="宋体"/>
        </w:rPr>
        <w:t>分（北京时间）</w:t>
      </w:r>
    </w:p>
    <w:p>
      <w:pPr>
        <w:pStyle w:val="47"/>
        <w:pageBreakBefore w:val="0"/>
        <w:kinsoku/>
        <w:overflowPunct/>
        <w:autoSpaceDE/>
        <w:autoSpaceDN/>
        <w:bidi w:val="0"/>
        <w:adjustRightInd/>
        <w:snapToGrid w:val="0"/>
        <w:spacing w:before="0" w:beforeAutospacing="0" w:after="0" w:afterAutospacing="0" w:line="360" w:lineRule="auto"/>
        <w:ind w:firstLine="420"/>
        <w:rPr>
          <w:rFonts w:ascii="宋体" w:hAnsi="宋体"/>
        </w:rPr>
      </w:pPr>
      <w:r>
        <w:rPr>
          <w:rFonts w:hint="eastAsia"/>
        </w:rPr>
        <w:t>递交时间：供应商于</w:t>
      </w:r>
      <w:r>
        <w:rPr>
          <w:rFonts w:hint="eastAsia" w:ascii="宋体" w:hAnsi="宋体"/>
        </w:rPr>
        <w:t>2021年</w:t>
      </w:r>
      <w:r>
        <w:rPr>
          <w:rFonts w:hint="eastAsia" w:ascii="宋体" w:hAnsi="宋体"/>
          <w:lang w:val="en-US" w:eastAsia="zh-CN"/>
        </w:rPr>
        <w:t>9</w:t>
      </w:r>
      <w:r>
        <w:rPr>
          <w:rFonts w:hint="eastAsia" w:ascii="宋体" w:hAnsi="宋体"/>
        </w:rPr>
        <w:t>月</w:t>
      </w:r>
      <w:r>
        <w:rPr>
          <w:rFonts w:hint="eastAsia" w:ascii="宋体" w:hAnsi="宋体"/>
          <w:lang w:val="en-US" w:eastAsia="zh-CN"/>
        </w:rPr>
        <w:t>30</w:t>
      </w:r>
      <w:r>
        <w:rPr>
          <w:rFonts w:hint="eastAsia" w:ascii="宋体" w:hAnsi="宋体" w:cs="宋体"/>
        </w:rPr>
        <w:t>日</w:t>
      </w:r>
      <w:r>
        <w:rPr>
          <w:rFonts w:hint="eastAsia" w:ascii="宋体" w:hAnsi="宋体" w:cs="宋体"/>
          <w:lang w:val="en-US" w:eastAsia="zh-CN"/>
        </w:rPr>
        <w:t>13</w:t>
      </w:r>
      <w:r>
        <w:rPr>
          <w:rFonts w:hint="eastAsia" w:ascii="宋体" w:hAnsi="宋体" w:cs="宋体"/>
        </w:rPr>
        <w:t>时30分至</w:t>
      </w:r>
      <w:r>
        <w:rPr>
          <w:rFonts w:hint="eastAsia" w:ascii="宋体" w:hAnsi="宋体" w:cs="宋体"/>
          <w:lang w:val="en-US" w:eastAsia="zh-CN"/>
        </w:rPr>
        <w:t>14</w:t>
      </w:r>
      <w:r>
        <w:rPr>
          <w:rFonts w:hint="eastAsia" w:ascii="宋体" w:hAnsi="宋体" w:cs="宋体"/>
        </w:rPr>
        <w:t>时</w:t>
      </w:r>
      <w:r>
        <w:rPr>
          <w:rFonts w:hint="eastAsia" w:ascii="宋体" w:hAnsi="宋体" w:cs="宋体"/>
          <w:lang w:val="en-US" w:eastAsia="zh-CN"/>
        </w:rPr>
        <w:t>0</w:t>
      </w:r>
      <w:r>
        <w:rPr>
          <w:rFonts w:hint="eastAsia" w:ascii="宋体" w:hAnsi="宋体" w:cs="宋体"/>
        </w:rPr>
        <w:t>0分到开标地</w:t>
      </w:r>
      <w:r>
        <w:rPr>
          <w:rFonts w:hint="eastAsia"/>
        </w:rPr>
        <w:t>点现场递交。</w:t>
      </w:r>
    </w:p>
    <w:p>
      <w:pPr>
        <w:pStyle w:val="47"/>
        <w:pageBreakBefore w:val="0"/>
        <w:kinsoku/>
        <w:overflowPunct/>
        <w:autoSpaceDE/>
        <w:autoSpaceDN/>
        <w:bidi w:val="0"/>
        <w:adjustRightInd/>
        <w:snapToGrid w:val="0"/>
        <w:spacing w:before="0" w:beforeAutospacing="0" w:after="0" w:afterAutospacing="0" w:line="360" w:lineRule="auto"/>
        <w:ind w:firstLine="420"/>
        <w:rPr>
          <w:rFonts w:ascii="宋体" w:hAnsi="宋体"/>
        </w:rPr>
      </w:pPr>
      <w:r>
        <w:rPr>
          <w:rFonts w:hint="eastAsia" w:ascii="宋体" w:hAnsi="宋体"/>
        </w:rPr>
        <w:t>开标地点：广西壮族自治区公共资源交易中心(广西南宁市青秀区怡宾路6号广西政务服务中心四楼，具体详见四楼电子显示屏场地安排)。</w:t>
      </w:r>
    </w:p>
    <w:p>
      <w:pPr>
        <w:pStyle w:val="47"/>
        <w:pageBreakBefore w:val="0"/>
        <w:kinsoku/>
        <w:overflowPunct/>
        <w:autoSpaceDE/>
        <w:autoSpaceDN/>
        <w:bidi w:val="0"/>
        <w:adjustRightInd/>
        <w:snapToGrid w:val="0"/>
        <w:spacing w:before="0" w:beforeAutospacing="0" w:after="0" w:afterAutospacing="0" w:line="360" w:lineRule="auto"/>
        <w:ind w:firstLine="420"/>
        <w:rPr>
          <w:rStyle w:val="58"/>
          <w:rFonts w:ascii="宋体" w:hAnsi="宋体" w:eastAsia="宋体"/>
        </w:rPr>
      </w:pPr>
      <w:r>
        <w:rPr>
          <w:rFonts w:hint="eastAsia" w:ascii="宋体" w:hAnsi="宋体"/>
        </w:rPr>
        <w:t>递交方式：现场提交</w:t>
      </w:r>
    </w:p>
    <w:p>
      <w:pPr>
        <w:pStyle w:val="47"/>
        <w:pageBreakBefore w:val="0"/>
        <w:kinsoku/>
        <w:overflowPunct/>
        <w:autoSpaceDE/>
        <w:autoSpaceDN/>
        <w:bidi w:val="0"/>
        <w:adjustRightInd/>
        <w:snapToGrid w:val="0"/>
        <w:spacing w:before="0" w:beforeAutospacing="0" w:after="0" w:afterAutospacing="0" w:line="360" w:lineRule="auto"/>
        <w:rPr>
          <w:rFonts w:ascii="宋体" w:hAnsi="宋体" w:eastAsia="宋体"/>
        </w:rPr>
      </w:pPr>
      <w:r>
        <w:rPr>
          <w:rStyle w:val="58"/>
          <w:rFonts w:hint="eastAsia" w:ascii="宋体" w:hAnsi="宋体" w:eastAsia="宋体"/>
        </w:rPr>
        <w:t>五、公告期限：</w:t>
      </w:r>
    </w:p>
    <w:p>
      <w:pPr>
        <w:pStyle w:val="47"/>
        <w:pageBreakBefore w:val="0"/>
        <w:kinsoku/>
        <w:overflowPunct/>
        <w:autoSpaceDE/>
        <w:autoSpaceDN/>
        <w:bidi w:val="0"/>
        <w:adjustRightInd/>
        <w:snapToGrid w:val="0"/>
        <w:spacing w:before="0" w:beforeAutospacing="0" w:after="0" w:afterAutospacing="0" w:line="360" w:lineRule="auto"/>
        <w:ind w:firstLine="420"/>
        <w:rPr>
          <w:rFonts w:ascii="宋体" w:hAnsi="宋体" w:eastAsia="宋体"/>
        </w:rPr>
      </w:pPr>
      <w:r>
        <w:rPr>
          <w:rFonts w:hint="eastAsia" w:ascii="宋体" w:hAnsi="宋体" w:eastAsia="宋体"/>
        </w:rPr>
        <w:t>自本公告发布之日起5个工作日（</w:t>
      </w:r>
      <w:r>
        <w:rPr>
          <w:rFonts w:hint="eastAsia" w:ascii="宋体" w:hAnsi="宋体" w:cs="宋体"/>
          <w:sz w:val="24"/>
        </w:rPr>
        <w:t>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日至2021年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eastAsia="宋体"/>
        </w:rPr>
        <w:t>结束）。</w:t>
      </w:r>
    </w:p>
    <w:p>
      <w:pPr>
        <w:pStyle w:val="47"/>
        <w:pageBreakBefore w:val="0"/>
        <w:numPr>
          <w:ilvl w:val="0"/>
          <w:numId w:val="4"/>
        </w:numPr>
        <w:kinsoku/>
        <w:overflowPunct/>
        <w:autoSpaceDE/>
        <w:autoSpaceDN/>
        <w:bidi w:val="0"/>
        <w:adjustRightInd/>
        <w:snapToGrid w:val="0"/>
        <w:spacing w:before="0" w:beforeAutospacing="0" w:after="0" w:afterAutospacing="0" w:line="360" w:lineRule="auto"/>
        <w:rPr>
          <w:rStyle w:val="58"/>
          <w:rFonts w:ascii="宋体" w:hAnsi="宋体" w:eastAsia="宋体"/>
        </w:rPr>
      </w:pPr>
      <w:r>
        <w:rPr>
          <w:rStyle w:val="58"/>
          <w:rFonts w:hint="eastAsia" w:ascii="宋体" w:hAnsi="宋体" w:eastAsia="宋体"/>
        </w:rPr>
        <w:t>其他补充事项：</w:t>
      </w:r>
    </w:p>
    <w:p>
      <w:pPr>
        <w:pStyle w:val="47"/>
        <w:pageBreakBefore w:val="0"/>
        <w:kinsoku/>
        <w:overflowPunct/>
        <w:autoSpaceDE/>
        <w:autoSpaceDN/>
        <w:bidi w:val="0"/>
        <w:adjustRightInd/>
        <w:snapToGrid w:val="0"/>
        <w:spacing w:before="0" w:beforeAutospacing="0" w:after="0" w:afterAutospacing="0" w:line="360" w:lineRule="auto"/>
        <w:ind w:firstLine="482" w:firstLineChars="200"/>
        <w:rPr>
          <w:rFonts w:ascii="宋体" w:hAnsi="宋体" w:eastAsia="宋体"/>
        </w:rPr>
      </w:pPr>
      <w:r>
        <w:rPr>
          <w:rFonts w:hint="eastAsia" w:ascii="宋体" w:hAnsi="宋体" w:eastAsia="宋体"/>
          <w:b/>
          <w:bCs/>
        </w:rPr>
        <w:t>1、网上查询地址：</w:t>
      </w:r>
      <w:r>
        <w:rPr>
          <w:rFonts w:hint="eastAsia" w:ascii="宋体" w:hAnsi="宋体" w:eastAsia="宋体"/>
        </w:rPr>
        <w:t>www.ccgp.gov.cn（中国政府采购网）、zfcg.gxzf.gov.cn（广西壮族自治区政府采购网）、gxggzy.gxzf.gov.cn/index.shtml（广西公共资源交易中心网站）</w:t>
      </w:r>
    </w:p>
    <w:p>
      <w:pPr>
        <w:pStyle w:val="47"/>
        <w:pageBreakBefore w:val="0"/>
        <w:kinsoku/>
        <w:overflowPunct/>
        <w:autoSpaceDE/>
        <w:autoSpaceDN/>
        <w:bidi w:val="0"/>
        <w:adjustRightInd/>
        <w:snapToGrid w:val="0"/>
        <w:spacing w:before="0" w:beforeAutospacing="0" w:after="0" w:afterAutospacing="0" w:line="360" w:lineRule="auto"/>
        <w:ind w:firstLine="482" w:firstLineChars="200"/>
        <w:rPr>
          <w:rFonts w:ascii="宋体" w:hAnsi="宋体" w:eastAsia="宋体"/>
          <w:b/>
          <w:bCs/>
        </w:rPr>
      </w:pPr>
      <w:r>
        <w:rPr>
          <w:rFonts w:hint="eastAsia" w:ascii="宋体" w:hAnsi="宋体" w:eastAsia="宋体"/>
          <w:b/>
          <w:bCs/>
        </w:rPr>
        <w:t>2、投标保证金</w:t>
      </w:r>
    </w:p>
    <w:p>
      <w:pPr>
        <w:pStyle w:val="47"/>
        <w:pageBreakBefore w:val="0"/>
        <w:kinsoku/>
        <w:overflowPunct/>
        <w:autoSpaceDE/>
        <w:autoSpaceDN/>
        <w:bidi w:val="0"/>
        <w:adjustRightInd/>
        <w:snapToGrid w:val="0"/>
        <w:spacing w:before="0" w:beforeAutospacing="0" w:after="0" w:afterAutospacing="0" w:line="360" w:lineRule="auto"/>
        <w:ind w:firstLine="480" w:firstLineChars="200"/>
        <w:rPr>
          <w:rFonts w:ascii="宋体" w:hAnsi="宋体" w:eastAsia="宋体"/>
        </w:rPr>
      </w:pPr>
      <w:r>
        <w:rPr>
          <w:rFonts w:hint="eastAsia" w:ascii="宋体" w:hAnsi="宋体" w:eastAsia="宋体"/>
        </w:rPr>
        <w:t>投标保</w:t>
      </w:r>
      <w:r>
        <w:rPr>
          <w:rFonts w:hint="eastAsia" w:ascii="宋体" w:hAnsi="宋体" w:eastAsia="宋体"/>
          <w:color w:val="auto"/>
        </w:rPr>
        <w:t>证金人民币：</w:t>
      </w:r>
      <w:r>
        <w:rPr>
          <w:rFonts w:hint="eastAsia" w:ascii="宋体" w:hAnsi="宋体" w:eastAsia="宋体"/>
          <w:color w:val="auto"/>
          <w:highlight w:val="none"/>
          <w:lang w:eastAsia="zh-CN"/>
        </w:rPr>
        <w:t>伍</w:t>
      </w:r>
      <w:r>
        <w:rPr>
          <w:rFonts w:hint="eastAsia" w:ascii="宋体" w:hAnsi="宋体" w:eastAsia="宋体"/>
          <w:color w:val="auto"/>
          <w:highlight w:val="none"/>
        </w:rPr>
        <w:t>万元整（¥</w:t>
      </w:r>
      <w:r>
        <w:rPr>
          <w:rFonts w:hint="eastAsia" w:ascii="宋体" w:hAnsi="宋体" w:eastAsia="宋体"/>
          <w:color w:val="auto"/>
          <w:highlight w:val="none"/>
          <w:lang w:val="en-US" w:eastAsia="zh-CN"/>
        </w:rPr>
        <w:t>5</w:t>
      </w:r>
      <w:r>
        <w:rPr>
          <w:rFonts w:hint="eastAsia" w:ascii="宋体" w:hAnsi="宋体" w:eastAsia="宋体"/>
          <w:color w:val="auto"/>
          <w:highlight w:val="none"/>
        </w:rPr>
        <w:t xml:space="preserve">0000.00元） </w:t>
      </w:r>
      <w:r>
        <w:rPr>
          <w:rFonts w:hint="eastAsia" w:ascii="宋体" w:hAnsi="宋体" w:eastAsia="宋体"/>
          <w:color w:val="auto"/>
        </w:rPr>
        <w:t>（须</w:t>
      </w:r>
      <w:r>
        <w:rPr>
          <w:rFonts w:hint="eastAsia" w:ascii="宋体" w:hAnsi="宋体" w:eastAsia="宋体"/>
        </w:rPr>
        <w:t>足额缴纳，否则投标无效）</w:t>
      </w:r>
    </w:p>
    <w:p>
      <w:pPr>
        <w:pStyle w:val="47"/>
        <w:pageBreakBefore w:val="0"/>
        <w:kinsoku/>
        <w:overflowPunct/>
        <w:autoSpaceDE/>
        <w:autoSpaceDN/>
        <w:bidi w:val="0"/>
        <w:adjustRightInd/>
        <w:snapToGrid w:val="0"/>
        <w:spacing w:before="0" w:beforeAutospacing="0" w:after="0" w:afterAutospacing="0" w:line="360" w:lineRule="auto"/>
        <w:ind w:firstLine="480" w:firstLineChars="200"/>
        <w:rPr>
          <w:rFonts w:ascii="宋体" w:hAnsi="宋体" w:eastAsia="宋体"/>
        </w:rPr>
      </w:pPr>
      <w:r>
        <w:rPr>
          <w:rFonts w:hint="eastAsia" w:ascii="宋体" w:hAnsi="宋体" w:eastAsia="宋体"/>
        </w:rPr>
        <w:t>投标人应于投标截止时间前将投标保证金从基本帐户以转账或电汇存入形式交至以下账户：</w:t>
      </w:r>
    </w:p>
    <w:p>
      <w:pPr>
        <w:pStyle w:val="47"/>
        <w:pageBreakBefore w:val="0"/>
        <w:kinsoku/>
        <w:overflowPunct/>
        <w:autoSpaceDE/>
        <w:autoSpaceDN/>
        <w:bidi w:val="0"/>
        <w:adjustRightInd/>
        <w:snapToGrid w:val="0"/>
        <w:spacing w:before="0" w:beforeAutospacing="0" w:after="0" w:afterAutospacing="0" w:line="360" w:lineRule="auto"/>
        <w:ind w:firstLine="480" w:firstLineChars="200"/>
        <w:rPr>
          <w:rFonts w:ascii="宋体" w:hAnsi="宋体" w:eastAsia="宋体"/>
        </w:rPr>
      </w:pPr>
      <w:r>
        <w:rPr>
          <w:rFonts w:hint="eastAsia" w:ascii="宋体" w:hAnsi="宋体" w:eastAsia="宋体"/>
        </w:rPr>
        <w:t>开户名称：广西邕政采购代理有限公司</w:t>
      </w:r>
    </w:p>
    <w:p>
      <w:pPr>
        <w:pStyle w:val="47"/>
        <w:pageBreakBefore w:val="0"/>
        <w:kinsoku/>
        <w:overflowPunct/>
        <w:autoSpaceDE/>
        <w:autoSpaceDN/>
        <w:bidi w:val="0"/>
        <w:adjustRightInd/>
        <w:snapToGrid w:val="0"/>
        <w:spacing w:before="0" w:beforeAutospacing="0" w:after="0" w:afterAutospacing="0" w:line="360" w:lineRule="auto"/>
        <w:ind w:firstLine="480" w:firstLineChars="200"/>
        <w:rPr>
          <w:rFonts w:ascii="宋体" w:hAnsi="宋体" w:eastAsia="宋体"/>
        </w:rPr>
      </w:pPr>
      <w:r>
        <w:rPr>
          <w:rFonts w:hint="eastAsia" w:ascii="宋体" w:hAnsi="宋体" w:eastAsia="宋体"/>
        </w:rPr>
        <w:t>开户银行：交通银行南宁东葛西支行</w:t>
      </w:r>
    </w:p>
    <w:p>
      <w:pPr>
        <w:pStyle w:val="47"/>
        <w:pageBreakBefore w:val="0"/>
        <w:kinsoku/>
        <w:overflowPunct/>
        <w:autoSpaceDE/>
        <w:autoSpaceDN/>
        <w:bidi w:val="0"/>
        <w:adjustRightInd/>
        <w:snapToGrid w:val="0"/>
        <w:spacing w:before="0" w:beforeAutospacing="0" w:after="0" w:afterAutospacing="0" w:line="360" w:lineRule="auto"/>
        <w:ind w:firstLine="480" w:firstLineChars="200"/>
        <w:rPr>
          <w:rFonts w:ascii="宋体" w:hAnsi="宋体" w:eastAsia="宋体"/>
        </w:rPr>
      </w:pPr>
      <w:r>
        <w:rPr>
          <w:rFonts w:hint="eastAsia" w:ascii="宋体" w:hAnsi="宋体" w:eastAsia="宋体"/>
        </w:rPr>
        <w:t>账号：451060702018160082066</w:t>
      </w:r>
    </w:p>
    <w:p>
      <w:pPr>
        <w:pStyle w:val="47"/>
        <w:pageBreakBefore w:val="0"/>
        <w:kinsoku/>
        <w:overflowPunct/>
        <w:autoSpaceDE/>
        <w:autoSpaceDN/>
        <w:bidi w:val="0"/>
        <w:adjustRightInd/>
        <w:snapToGrid w:val="0"/>
        <w:spacing w:before="0" w:beforeAutospacing="0" w:after="0" w:afterAutospacing="0" w:line="360" w:lineRule="auto"/>
        <w:ind w:firstLine="480" w:firstLineChars="200"/>
        <w:rPr>
          <w:rFonts w:hint="eastAsia" w:ascii="宋体" w:hAnsi="宋体" w:eastAsia="宋体"/>
          <w:lang w:eastAsia="zh-CN"/>
        </w:rPr>
      </w:pPr>
      <w:r>
        <w:rPr>
          <w:rFonts w:hint="eastAsia" w:ascii="宋体" w:hAnsi="宋体" w:eastAsia="宋体"/>
        </w:rPr>
        <w:t>本项目不接受现金形式或从个人账户转出的投标保证金，否则视为无效投标保证金</w:t>
      </w:r>
      <w:r>
        <w:rPr>
          <w:rFonts w:hint="eastAsia" w:ascii="宋体" w:hAnsi="宋体" w:eastAsia="宋体"/>
          <w:lang w:eastAsia="zh-CN"/>
        </w:rPr>
        <w:t>。</w:t>
      </w:r>
    </w:p>
    <w:p>
      <w:pPr>
        <w:pStyle w:val="47"/>
        <w:pageBreakBefore w:val="0"/>
        <w:numPr>
          <w:ilvl w:val="0"/>
          <w:numId w:val="5"/>
        </w:numPr>
        <w:kinsoku/>
        <w:overflowPunct/>
        <w:autoSpaceDE/>
        <w:autoSpaceDN/>
        <w:bidi w:val="0"/>
        <w:adjustRightInd/>
        <w:snapToGrid w:val="0"/>
        <w:spacing w:before="0" w:beforeAutospacing="0" w:after="0" w:afterAutospacing="0" w:line="360" w:lineRule="auto"/>
        <w:ind w:firstLine="480" w:firstLineChars="200"/>
        <w:rPr>
          <w:rFonts w:ascii="宋体" w:hAnsi="宋体" w:eastAsia="宋体"/>
        </w:rPr>
      </w:pPr>
      <w:r>
        <w:rPr>
          <w:rFonts w:hint="eastAsia" w:ascii="宋体" w:hAnsi="宋体" w:eastAsia="宋体"/>
        </w:rPr>
        <w:t>为配合采购单位政府采购项目执行和备案，未在政采云注册的供应商可在获取招标文件后登录政采云进行注册，如在操作过程中遇到问题或者需要技术支持，请致电政采云客服热线：400-881-7190。</w:t>
      </w:r>
    </w:p>
    <w:p>
      <w:pPr>
        <w:pageBreakBefore w:val="0"/>
        <w:kinsoku/>
        <w:overflowPunct/>
        <w:autoSpaceDE/>
        <w:autoSpaceDN/>
        <w:bidi w:val="0"/>
        <w:adjustRightInd/>
        <w:snapToGrid w:val="0"/>
        <w:spacing w:line="360" w:lineRule="auto"/>
        <w:ind w:firstLine="480" w:firstLineChars="200"/>
        <w:rPr>
          <w:rFonts w:ascii="宋体" w:hAnsi="宋体" w:eastAsia="宋体"/>
        </w:rPr>
      </w:pPr>
      <w:r>
        <w:rPr>
          <w:rFonts w:hint="eastAsia" w:ascii="宋体" w:hAnsi="宋体" w:cs="宋体"/>
          <w:bCs/>
          <w:sz w:val="24"/>
        </w:rPr>
        <w:t>4、本项目所属行业：软件和信息技术服务业。</w:t>
      </w:r>
    </w:p>
    <w:p>
      <w:pPr>
        <w:pStyle w:val="47"/>
        <w:pageBreakBefore w:val="0"/>
        <w:kinsoku/>
        <w:overflowPunct/>
        <w:autoSpaceDE/>
        <w:autoSpaceDN/>
        <w:bidi w:val="0"/>
        <w:adjustRightInd/>
        <w:snapToGrid w:val="0"/>
        <w:spacing w:before="0" w:beforeAutospacing="0" w:after="0" w:afterAutospacing="0" w:line="360" w:lineRule="auto"/>
        <w:rPr>
          <w:rFonts w:ascii="宋体" w:hAnsi="宋体" w:eastAsia="宋体"/>
        </w:rPr>
      </w:pPr>
      <w:r>
        <w:rPr>
          <w:rStyle w:val="58"/>
          <w:rFonts w:hint="eastAsia" w:ascii="宋体" w:hAnsi="宋体" w:eastAsia="宋体"/>
        </w:rPr>
        <w:t>七、对本次招标提出询问，请按以下方式联系。</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rPr>
      </w:pPr>
      <w:r>
        <w:rPr>
          <w:rFonts w:hint="eastAsia" w:ascii="宋体" w:hAnsi="宋体" w:eastAsia="宋体"/>
        </w:rPr>
        <w:t>1.采购人信息：</w:t>
      </w:r>
      <w:permStart w:id="0" w:edGrp="everyone"/>
      <w:permEnd w:id="0"/>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rPr>
      </w:pPr>
      <w:r>
        <w:rPr>
          <w:rFonts w:hint="eastAsia" w:ascii="宋体" w:hAnsi="宋体" w:eastAsia="宋体"/>
        </w:rPr>
        <w:t>名称：广西雅长兰科植物国家级自然保护区管理中心</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rPr>
      </w:pPr>
      <w:r>
        <w:rPr>
          <w:rFonts w:hint="eastAsia" w:ascii="宋体" w:hAnsi="宋体" w:eastAsia="宋体"/>
        </w:rPr>
        <w:t>地址：广西乐业县同乐镇</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hint="eastAsia" w:ascii="宋体" w:hAnsi="宋体" w:eastAsia="宋体"/>
          <w:lang w:eastAsia="zh-CN"/>
        </w:rPr>
      </w:pPr>
      <w:r>
        <w:rPr>
          <w:rFonts w:hint="eastAsia" w:ascii="宋体" w:hAnsi="宋体" w:eastAsia="宋体"/>
        </w:rPr>
        <w:t xml:space="preserve">联系人及电话：黄显菊  </w:t>
      </w:r>
      <w:r>
        <w:rPr>
          <w:rFonts w:hint="eastAsia" w:ascii="宋体" w:hAnsi="宋体"/>
          <w:lang w:eastAsia="zh-CN"/>
        </w:rPr>
        <w:t>19977676330</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rPr>
      </w:pPr>
      <w:r>
        <w:rPr>
          <w:rFonts w:hint="eastAsia" w:ascii="宋体" w:hAnsi="宋体" w:eastAsia="宋体"/>
        </w:rPr>
        <w:t>2.采购代理机构信息：</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rPr>
      </w:pPr>
      <w:r>
        <w:rPr>
          <w:rFonts w:hint="eastAsia" w:ascii="宋体" w:hAnsi="宋体" w:eastAsia="宋体"/>
        </w:rPr>
        <w:t>名称：广西邕政采购代理有限公司</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rPr>
      </w:pPr>
      <w:r>
        <w:rPr>
          <w:rFonts w:hint="eastAsia" w:ascii="宋体" w:hAnsi="宋体" w:eastAsia="宋体"/>
        </w:rPr>
        <w:t>联系地址：南宁市青秀区思贤路45号创投中心16A层</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rPr>
      </w:pPr>
      <w:r>
        <w:rPr>
          <w:rFonts w:hint="eastAsia" w:ascii="宋体" w:hAnsi="宋体" w:eastAsia="宋体"/>
        </w:rPr>
        <w:t xml:space="preserve">项目联系人及联系电话：黄工、罗工  0771-2442850 </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rPr>
      </w:pPr>
      <w:r>
        <w:rPr>
          <w:rFonts w:hint="eastAsia" w:ascii="宋体" w:hAnsi="宋体" w:eastAsia="宋体"/>
        </w:rPr>
        <w:t>3.项目联系方式</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rPr>
      </w:pPr>
      <w:r>
        <w:rPr>
          <w:rFonts w:hint="eastAsia" w:ascii="宋体" w:hAnsi="宋体" w:eastAsia="宋体"/>
        </w:rPr>
        <w:t>项目联系人：黄工、罗工</w:t>
      </w:r>
    </w:p>
    <w:p>
      <w:pPr>
        <w:pStyle w:val="47"/>
        <w:pageBreakBefore w:val="0"/>
        <w:kinsoku/>
        <w:overflowPunct/>
        <w:autoSpaceDE/>
        <w:autoSpaceDN/>
        <w:bidi w:val="0"/>
        <w:adjustRightInd/>
        <w:snapToGrid w:val="0"/>
        <w:spacing w:before="0" w:beforeAutospacing="0" w:after="0" w:afterAutospacing="0" w:line="360" w:lineRule="auto"/>
        <w:ind w:right="840" w:firstLine="420"/>
        <w:rPr>
          <w:rFonts w:ascii="宋体" w:hAnsi="宋体" w:eastAsia="宋体" w:cs="宋体"/>
        </w:rPr>
      </w:pPr>
      <w:r>
        <w:rPr>
          <w:rFonts w:hint="eastAsia" w:ascii="宋体" w:hAnsi="宋体" w:eastAsia="宋体"/>
        </w:rPr>
        <w:t>电话：0771-2442850</w:t>
      </w:r>
    </w:p>
    <w:p>
      <w:pPr>
        <w:pageBreakBefore w:val="0"/>
        <w:kinsoku/>
        <w:overflowPunct/>
        <w:autoSpaceDE/>
        <w:autoSpaceDN/>
        <w:bidi w:val="0"/>
        <w:adjustRightInd/>
        <w:snapToGrid w:val="0"/>
        <w:spacing w:line="360" w:lineRule="auto"/>
        <w:rPr>
          <w:rFonts w:hint="eastAsia" w:ascii="宋体" w:hAnsi="宋体" w:eastAsia="宋体" w:cs="宋体"/>
          <w:sz w:val="24"/>
          <w:szCs w:val="24"/>
        </w:rPr>
      </w:pPr>
      <w:r>
        <w:rPr>
          <w:rFonts w:hint="eastAsia" w:ascii="宋体" w:hAnsi="宋体" w:eastAsia="宋体"/>
          <w:sz w:val="24"/>
        </w:rPr>
        <w:t xml:space="preserve">                                                 发布日期：2021年</w:t>
      </w:r>
      <w:r>
        <w:rPr>
          <w:rFonts w:hint="eastAsia" w:ascii="宋体" w:hAnsi="宋体"/>
          <w:sz w:val="24"/>
          <w:lang w:val="en-US" w:eastAsia="zh-CN"/>
        </w:rPr>
        <w:t>9</w:t>
      </w:r>
      <w:r>
        <w:rPr>
          <w:rFonts w:hint="eastAsia" w:ascii="宋体" w:hAnsi="宋体" w:eastAsia="宋体"/>
          <w:sz w:val="24"/>
        </w:rPr>
        <w:t>月</w:t>
      </w:r>
      <w:r>
        <w:rPr>
          <w:rFonts w:hint="eastAsia" w:ascii="宋体" w:hAnsi="宋体"/>
          <w:sz w:val="24"/>
          <w:lang w:val="en-US" w:eastAsia="zh-CN"/>
        </w:rPr>
        <w:t>9</w:t>
      </w:r>
      <w:r>
        <w:rPr>
          <w:rFonts w:hint="eastAsia" w:ascii="宋体" w:hAnsi="宋体" w:eastAsia="宋体"/>
          <w:sz w:val="24"/>
        </w:rPr>
        <w:t>日</w:t>
      </w:r>
    </w:p>
    <w:p>
      <w:pPr>
        <w:pStyle w:val="49"/>
        <w:snapToGrid w:val="0"/>
        <w:spacing w:line="360" w:lineRule="auto"/>
        <w:jc w:val="both"/>
        <w:rPr>
          <w:rFonts w:ascii="宋体" w:hAnsi="宋体" w:cs="宋体"/>
          <w:color w:val="auto"/>
          <w:highlight w:val="none"/>
        </w:rPr>
        <w:sectPr>
          <w:footerReference r:id="rId9" w:type="first"/>
          <w:footerReference r:id="rId8" w:type="default"/>
          <w:pgSz w:w="11906" w:h="16838"/>
          <w:pgMar w:top="1440" w:right="1274" w:bottom="1440" w:left="1276" w:header="794" w:footer="850" w:gutter="0"/>
          <w:pgNumType w:start="1"/>
          <w:cols w:space="720" w:num="1"/>
          <w:titlePg/>
          <w:docGrid w:linePitch="312" w:charSpace="0"/>
        </w:sectPr>
      </w:pPr>
    </w:p>
    <w:p>
      <w:pPr>
        <w:pStyle w:val="49"/>
        <w:snapToGrid w:val="0"/>
        <w:spacing w:line="360" w:lineRule="auto"/>
        <w:rPr>
          <w:rFonts w:ascii="宋体" w:hAnsi="宋体" w:cs="宋体"/>
          <w:color w:val="auto"/>
          <w:highlight w:val="none"/>
        </w:rPr>
      </w:pPr>
      <w:bookmarkStart w:id="27" w:name="_Toc18175"/>
      <w:r>
        <w:rPr>
          <w:rFonts w:hint="eastAsia" w:ascii="宋体" w:hAnsi="宋体" w:cs="宋体"/>
          <w:color w:val="auto"/>
          <w:highlight w:val="none"/>
        </w:rPr>
        <w:t>第二章 采购需求一览表</w:t>
      </w:r>
      <w:bookmarkEnd w:id="27"/>
    </w:p>
    <w:p>
      <w:pPr>
        <w:pStyle w:val="30"/>
        <w:snapToGrid w:val="0"/>
        <w:spacing w:line="360" w:lineRule="auto"/>
        <w:rPr>
          <w:rFonts w:ascii="宋体" w:hAnsi="宋体" w:eastAsia="宋体" w:cs="宋体"/>
          <w:b/>
          <w:color w:val="auto"/>
          <w:sz w:val="24"/>
          <w:highlight w:val="none"/>
        </w:rPr>
      </w:pPr>
    </w:p>
    <w:p>
      <w:pPr>
        <w:snapToGrid w:val="0"/>
        <w:spacing w:line="360" w:lineRule="auto"/>
        <w:rPr>
          <w:rFonts w:ascii="宋体" w:hAnsi="宋体" w:cs="宋体"/>
          <w:b/>
          <w:bCs/>
          <w:color w:val="auto"/>
          <w:highlight w:val="none"/>
        </w:rPr>
      </w:pPr>
      <w:r>
        <w:rPr>
          <w:rFonts w:hint="eastAsia" w:ascii="宋体" w:hAnsi="宋体" w:cs="宋体"/>
          <w:b/>
          <w:bCs/>
          <w:color w:val="auto"/>
          <w:highlight w:val="none"/>
        </w:rPr>
        <w:t>说明：</w:t>
      </w:r>
    </w:p>
    <w:p>
      <w:pPr>
        <w:numPr>
          <w:ilvl w:val="0"/>
          <w:numId w:val="6"/>
        </w:numPr>
        <w:snapToGrid w:val="0"/>
        <w:spacing w:line="360" w:lineRule="auto"/>
        <w:ind w:left="6" w:firstLine="414" w:firstLineChars="172"/>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本采购需求一览表中标注★、▲号的部分为实质性要求和条件。</w:t>
      </w:r>
    </w:p>
    <w:p>
      <w:pPr>
        <w:snapToGrid w:val="0"/>
        <w:spacing w:line="360" w:lineRule="auto"/>
        <w:ind w:firstLine="482" w:firstLineChars="200"/>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本采购需求一览表中内容如与第六章“合同条款及格式”相关条款不一致的，以本表为准。</w:t>
      </w:r>
    </w:p>
    <w:p>
      <w:pPr>
        <w:snapToGrid w:val="0"/>
        <w:spacing w:line="360" w:lineRule="auto"/>
        <w:ind w:firstLine="482" w:firstLineChars="200"/>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3、本项目采购最高限价为：人民币玖佰柒拾万元整(￥9700000.00元)，其中暂列金肆拾捌万伍仟元（￥485000.00元）</w:t>
      </w:r>
    </w:p>
    <w:p>
      <w:pPr>
        <w:framePr w:hSpace="180" w:wrap="around" w:vAnchor="text" w:hAnchor="page" w:x="847" w:y="522"/>
        <w:suppressOverlap/>
        <w:snapToGrid w:val="0"/>
        <w:spacing w:line="360" w:lineRule="auto"/>
        <w:ind w:firstLine="482" w:firstLineChars="200"/>
        <w:rPr>
          <w:rFonts w:asciiTheme="majorEastAsia" w:hAnsiTheme="majorEastAsia" w:eastAsiaTheme="majorEastAsia"/>
          <w:b/>
          <w:bCs/>
          <w:color w:val="auto"/>
          <w:sz w:val="24"/>
          <w:highlight w:val="none"/>
        </w:rPr>
      </w:pPr>
    </w:p>
    <w:tbl>
      <w:tblPr>
        <w:tblStyle w:val="53"/>
        <w:tblpPr w:leftFromText="180" w:rightFromText="180" w:vertAnchor="text" w:horzAnchor="page" w:tblpX="847" w:tblpY="522"/>
        <w:tblOverlap w:val="never"/>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329"/>
        <w:gridCol w:w="499"/>
        <w:gridCol w:w="637"/>
        <w:gridCol w:w="1220"/>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9" w:type="pct"/>
            <w:tcBorders>
              <w:top w:val="single" w:color="auto" w:sz="4" w:space="0"/>
              <w:left w:val="single" w:color="auto" w:sz="4" w:space="0"/>
              <w:bottom w:val="single" w:color="auto" w:sz="4" w:space="0"/>
              <w:right w:val="single" w:color="auto" w:sz="4" w:space="0"/>
              <w:tl2br w:val="nil"/>
              <w:tr2bl w:val="nil"/>
            </w:tcBorders>
            <w:tcMar>
              <w:top w:w="0" w:type="dxa"/>
              <w:left w:w="0" w:type="dxa"/>
              <w:bottom w:w="0" w:type="dxa"/>
              <w:right w:w="0" w:type="dxa"/>
            </w:tcMar>
            <w:vAlign w:val="center"/>
          </w:tcPr>
          <w:p>
            <w:pPr>
              <w:pStyle w:val="119"/>
              <w:spacing w:line="360" w:lineRule="auto"/>
              <w:jc w:val="center"/>
              <w:rPr>
                <w:rFonts w:ascii="新宋体" w:hAnsi="新宋体" w:eastAsia="新宋体" w:cs="新宋体"/>
                <w:color w:val="auto"/>
                <w:szCs w:val="18"/>
                <w:highlight w:val="none"/>
              </w:rPr>
            </w:pPr>
            <w:r>
              <w:rPr>
                <w:rFonts w:hint="eastAsia" w:ascii="新宋体" w:hAnsi="新宋体" w:eastAsia="新宋体" w:cs="新宋体"/>
                <w:color w:val="auto"/>
                <w:szCs w:val="18"/>
                <w:highlight w:val="none"/>
              </w:rPr>
              <w:t>项号</w:t>
            </w:r>
          </w:p>
        </w:tc>
        <w:tc>
          <w:tcPr>
            <w:tcW w:w="709" w:type="pct"/>
            <w:tcBorders>
              <w:top w:val="single" w:color="auto" w:sz="4" w:space="0"/>
              <w:left w:val="nil"/>
              <w:bottom w:val="single" w:color="auto" w:sz="4" w:space="0"/>
              <w:right w:val="single" w:color="auto" w:sz="4" w:space="0"/>
              <w:tl2br w:val="nil"/>
              <w:tr2bl w:val="nil"/>
            </w:tcBorders>
            <w:vAlign w:val="center"/>
          </w:tcPr>
          <w:p>
            <w:pPr>
              <w:pStyle w:val="119"/>
              <w:spacing w:line="360" w:lineRule="auto"/>
              <w:jc w:val="center"/>
              <w:rPr>
                <w:rFonts w:ascii="新宋体" w:hAnsi="新宋体" w:eastAsia="新宋体" w:cs="新宋体"/>
                <w:color w:val="auto"/>
                <w:szCs w:val="18"/>
                <w:highlight w:val="none"/>
              </w:rPr>
            </w:pPr>
            <w:r>
              <w:rPr>
                <w:rFonts w:hint="eastAsia" w:ascii="新宋体" w:hAnsi="新宋体" w:eastAsia="新宋体" w:cs="新宋体"/>
                <w:color w:val="auto"/>
                <w:szCs w:val="18"/>
                <w:highlight w:val="none"/>
              </w:rPr>
              <w:t>服务名称</w:t>
            </w:r>
          </w:p>
        </w:tc>
        <w:tc>
          <w:tcPr>
            <w:tcW w:w="606" w:type="pct"/>
            <w:gridSpan w:val="2"/>
            <w:tcBorders>
              <w:top w:val="single" w:color="auto" w:sz="4" w:space="0"/>
              <w:left w:val="nil"/>
              <w:bottom w:val="single" w:color="auto" w:sz="4" w:space="0"/>
              <w:right w:val="single" w:color="auto" w:sz="4" w:space="0"/>
              <w:tl2br w:val="nil"/>
              <w:tr2bl w:val="nil"/>
            </w:tcBorders>
            <w:vAlign w:val="center"/>
          </w:tcPr>
          <w:p>
            <w:pPr>
              <w:pStyle w:val="119"/>
              <w:spacing w:line="360" w:lineRule="auto"/>
              <w:jc w:val="center"/>
              <w:rPr>
                <w:rFonts w:ascii="新宋体" w:hAnsi="新宋体" w:eastAsia="新宋体" w:cs="新宋体"/>
                <w:color w:val="auto"/>
                <w:szCs w:val="18"/>
                <w:highlight w:val="none"/>
              </w:rPr>
            </w:pPr>
            <w:r>
              <w:rPr>
                <w:rFonts w:hint="eastAsia" w:ascii="新宋体" w:hAnsi="新宋体" w:eastAsia="新宋体" w:cs="新宋体"/>
                <w:color w:val="auto"/>
                <w:szCs w:val="18"/>
                <w:highlight w:val="none"/>
              </w:rPr>
              <w:t>功能模块</w:t>
            </w:r>
          </w:p>
        </w:tc>
        <w:tc>
          <w:tcPr>
            <w:tcW w:w="651" w:type="pct"/>
            <w:tcBorders>
              <w:top w:val="single" w:color="auto" w:sz="4" w:space="0"/>
              <w:left w:val="nil"/>
              <w:bottom w:val="single" w:color="auto" w:sz="4" w:space="0"/>
              <w:right w:val="single" w:color="auto" w:sz="4" w:space="0"/>
              <w:tl2br w:val="nil"/>
              <w:tr2bl w:val="nil"/>
            </w:tcBorders>
            <w:vAlign w:val="center"/>
          </w:tcPr>
          <w:p>
            <w:pPr>
              <w:pStyle w:val="119"/>
              <w:spacing w:line="360" w:lineRule="auto"/>
              <w:jc w:val="center"/>
              <w:rPr>
                <w:rFonts w:ascii="新宋体" w:hAnsi="新宋体" w:eastAsia="新宋体" w:cs="新宋体"/>
                <w:color w:val="auto"/>
                <w:szCs w:val="18"/>
                <w:highlight w:val="none"/>
              </w:rPr>
            </w:pPr>
            <w:r>
              <w:rPr>
                <w:rFonts w:hint="eastAsia" w:ascii="新宋体" w:hAnsi="新宋体" w:eastAsia="新宋体" w:cs="新宋体"/>
                <w:color w:val="auto"/>
                <w:szCs w:val="18"/>
                <w:highlight w:val="none"/>
              </w:rPr>
              <w:t>数量/单位</w:t>
            </w:r>
          </w:p>
        </w:tc>
        <w:tc>
          <w:tcPr>
            <w:tcW w:w="2743" w:type="pct"/>
            <w:tcBorders>
              <w:top w:val="single" w:color="auto" w:sz="4" w:space="0"/>
              <w:left w:val="nil"/>
              <w:bottom w:val="single" w:color="auto" w:sz="4" w:space="0"/>
              <w:right w:val="single" w:color="auto" w:sz="4" w:space="0"/>
              <w:tl2br w:val="nil"/>
              <w:tr2bl w:val="nil"/>
            </w:tcBorders>
            <w:vAlign w:val="center"/>
          </w:tcPr>
          <w:p>
            <w:pPr>
              <w:pStyle w:val="119"/>
              <w:spacing w:line="360" w:lineRule="auto"/>
              <w:jc w:val="center"/>
              <w:rPr>
                <w:rFonts w:ascii="新宋体" w:hAnsi="新宋体" w:eastAsia="新宋体" w:cs="新宋体"/>
                <w:color w:val="auto"/>
                <w:szCs w:val="18"/>
                <w:highlight w:val="none"/>
              </w:rPr>
            </w:pPr>
            <w:r>
              <w:rPr>
                <w:rFonts w:hint="eastAsia" w:ascii="新宋体" w:hAnsi="新宋体" w:eastAsia="新宋体" w:cs="新宋体"/>
                <w:color w:val="auto"/>
                <w:szCs w:val="18"/>
                <w:highlight w:val="none"/>
              </w:rPr>
              <w:t>服务内容要求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00" w:type="pct"/>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一、系统平台服务（详细配置不低于设计文件要求）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1" w:hRule="atLeast"/>
        </w:trPr>
        <w:tc>
          <w:tcPr>
            <w:tcW w:w="289"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w:t>
            </w:r>
          </w:p>
        </w:tc>
        <w:tc>
          <w:tcPr>
            <w:tcW w:w="709"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综合管理办公平台服务</w:t>
            </w:r>
          </w:p>
        </w:tc>
        <w:tc>
          <w:tcPr>
            <w:tcW w:w="606"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提供自然保护区综合科研监测管理、自然资源监测、保护区设备管理、森林资源监测，实现自然保护区综合科研监测管理功能。</w:t>
            </w:r>
          </w:p>
        </w:tc>
        <w:tc>
          <w:tcPr>
            <w:tcW w:w="651"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1套</w:t>
            </w: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一、总体需求</w:t>
            </w:r>
          </w:p>
          <w:p>
            <w:pPr>
              <w:spacing w:line="360" w:lineRule="auto"/>
              <w:ind w:firstLine="48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雅长保护区监测和宣传教育项目暨现代生态管护系统项目主要建立以“一中心五平台”应用为核心的现代生态管护系统，构建可感知、可互联、可分析的一体化业务体系，实现保护区各类数据资源的统一管理、信息共享及数据分析与应用，增强行政服务、资源监管、应急处置、智慧调度的决策能力，为实现科学化决策、精细化管理、精准化服务、高效化办公奠定基础，全面提升保护区建设管理水平和服务质量，全面实现“建设标准化、管理规范化、监测科学化、宣教多元化、社区和谐化”的建设目标。</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二、功能需求</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bCs w:val="0"/>
                <w:color w:val="auto"/>
                <w:szCs w:val="18"/>
                <w:highlight w:val="none"/>
              </w:rPr>
              <w:t>（一）</w:t>
            </w:r>
            <w:r>
              <w:rPr>
                <w:rFonts w:hint="eastAsia" w:ascii="新宋体" w:hAnsi="新宋体" w:eastAsia="新宋体" w:cs="新宋体"/>
                <w:b w:val="0"/>
                <w:bCs/>
                <w:color w:val="auto"/>
                <w:szCs w:val="18"/>
                <w:highlight w:val="none"/>
              </w:rPr>
              <w:t>综合管理办公平台：主要包含规范管理、科研监测、资源管护、灾害防控、科普宣教、社区服务（预留接口）等系统开发，另结合保护区实际办公需要，将综合管理平台中日常办公业务内容实现移动化办公处置。开发综合管理平台APP库，用户根据实际需要自行下载相应系统模块，移动管理APP基于Android平台开发。</w:t>
            </w:r>
          </w:p>
          <w:p>
            <w:pPr>
              <w:pStyle w:val="119"/>
              <w:numPr>
                <w:ilvl w:val="0"/>
                <w:numId w:val="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OA系统：现有OA系统集成综合管理办公平台，支持针对系统的单点登录。</w:t>
            </w:r>
          </w:p>
          <w:p>
            <w:pPr>
              <w:pStyle w:val="119"/>
              <w:numPr>
                <w:ilvl w:val="0"/>
                <w:numId w:val="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日常管理：针对日常工作的会议、人员打开、后勤接待的管理。</w:t>
            </w:r>
          </w:p>
          <w:p>
            <w:pPr>
              <w:pStyle w:val="119"/>
              <w:numPr>
                <w:ilvl w:val="0"/>
                <w:numId w:val="8"/>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会议安排：针对保护区日常会议工作的会议室设定、会议室申请、会议室审批和信息查询统计。</w:t>
            </w:r>
          </w:p>
          <w:p>
            <w:pPr>
              <w:pStyle w:val="119"/>
              <w:numPr>
                <w:ilvl w:val="0"/>
                <w:numId w:val="8"/>
              </w:numPr>
              <w:spacing w:line="360" w:lineRule="auto"/>
              <w:rPr>
                <w:rFonts w:hint="eastAsia"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日常打卡：针对保护区日常人员登陆管理系统，进行打卡。并进行打卡的查看、信息查询统计。</w:t>
            </w:r>
          </w:p>
          <w:p>
            <w:pPr>
              <w:pStyle w:val="119"/>
              <w:numPr>
                <w:ilvl w:val="0"/>
                <w:numId w:val="8"/>
              </w:numPr>
              <w:spacing w:line="360" w:lineRule="auto"/>
              <w:rPr>
                <w:rFonts w:hint="eastAsia"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后勤接待：基于后勤管理的日常后勤接待管理，包括接待信息登记、信息查询和统计。</w:t>
            </w:r>
          </w:p>
          <w:p>
            <w:pPr>
              <w:pStyle w:val="119"/>
              <w:numPr>
                <w:ilvl w:val="0"/>
                <w:numId w:val="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应急管理：对于保护区重大事项事前上报、事中核实、事后处置全流程实现电子化管理。</w:t>
            </w:r>
          </w:p>
          <w:p>
            <w:pPr>
              <w:pStyle w:val="119"/>
              <w:numPr>
                <w:ilvl w:val="0"/>
                <w:numId w:val="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应急事件流程处置：对保护区应急事件登记、上报、核实、处置进行信息管理，提供对应信息编辑、查询和统计。</w:t>
            </w:r>
          </w:p>
          <w:p>
            <w:pPr>
              <w:pStyle w:val="119"/>
              <w:numPr>
                <w:ilvl w:val="0"/>
                <w:numId w:val="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应急处置库：建立应急处置库，包括应急方案、处置流程、应急物资、应急队伍。</w:t>
            </w:r>
          </w:p>
          <w:p>
            <w:pPr>
              <w:pStyle w:val="119"/>
              <w:numPr>
                <w:ilvl w:val="0"/>
                <w:numId w:val="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应急预案管控：根据应急类型，依托应急处置库提供相关处置应急预案、应急处置信息。</w:t>
            </w:r>
          </w:p>
          <w:p>
            <w:pPr>
              <w:pStyle w:val="119"/>
              <w:numPr>
                <w:ilvl w:val="0"/>
                <w:numId w:val="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分析决策：综合保护区相关业务内容和数据，对保护区的各种数据通过决策模型进行决策信息查询和统计分析。</w:t>
            </w:r>
          </w:p>
          <w:p>
            <w:pPr>
              <w:pStyle w:val="119"/>
              <w:numPr>
                <w:ilvl w:val="0"/>
                <w:numId w:val="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数据驾驶舱：决策统计信息与领导驾驶舱对接，实现信息可视化展示。</w:t>
            </w:r>
          </w:p>
          <w:p>
            <w:pPr>
              <w:pStyle w:val="119"/>
              <w:numPr>
                <w:ilvl w:val="0"/>
                <w:numId w:val="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管理区信息管控：能够对保护区规范管理、科研监测、资源管护、灾害防治、科普宣教信息进行决策查询和统计分析。</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bCs w:val="0"/>
                <w:color w:val="auto"/>
                <w:szCs w:val="18"/>
                <w:highlight w:val="none"/>
              </w:rPr>
              <w:t>（二）</w:t>
            </w:r>
            <w:r>
              <w:rPr>
                <w:rFonts w:hint="eastAsia" w:ascii="新宋体" w:hAnsi="新宋体" w:eastAsia="新宋体" w:cs="新宋体"/>
                <w:b w:val="0"/>
                <w:bCs/>
                <w:color w:val="auto"/>
                <w:szCs w:val="18"/>
                <w:highlight w:val="none"/>
              </w:rPr>
              <w:t>科研监测</w:t>
            </w:r>
          </w:p>
          <w:p>
            <w:pPr>
              <w:pStyle w:val="119"/>
              <w:spacing w:line="360" w:lineRule="auto"/>
              <w:ind w:firstLine="480" w:firstLineChars="200"/>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野生动植物检测（含重点兰花检测，红外相机管理系统）：现有野生动植物监测系统集成综合管理办公平台。支持针对系统的单点登录。</w:t>
            </w:r>
          </w:p>
          <w:p>
            <w:pPr>
              <w:pStyle w:val="119"/>
              <w:numPr>
                <w:ilvl w:val="0"/>
                <w:numId w:val="9"/>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生态因子检测：现有生态因子监测系统集成综合管理办公平台。支持针对系统的单点登录。</w:t>
            </w:r>
          </w:p>
          <w:p>
            <w:pPr>
              <w:pStyle w:val="119"/>
              <w:numPr>
                <w:ilvl w:val="0"/>
                <w:numId w:val="9"/>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科研展示：保护区当前科研成果的管理。</w:t>
            </w:r>
          </w:p>
          <w:p>
            <w:pPr>
              <w:pStyle w:val="119"/>
              <w:numPr>
                <w:ilvl w:val="0"/>
                <w:numId w:val="9"/>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成果管理：保护区发表科研论文的信息增加、文件上传，日常信息管理。</w:t>
            </w:r>
          </w:p>
          <w:p>
            <w:pPr>
              <w:pStyle w:val="119"/>
              <w:numPr>
                <w:ilvl w:val="0"/>
                <w:numId w:val="9"/>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成果检索：针对不同的搜索关键字，实现信息查询和结果的论文浏览。</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bCs w:val="0"/>
                <w:color w:val="auto"/>
                <w:szCs w:val="18"/>
                <w:highlight w:val="none"/>
              </w:rPr>
              <w:t>（三）</w:t>
            </w:r>
            <w:r>
              <w:rPr>
                <w:rFonts w:hint="eastAsia" w:ascii="新宋体" w:hAnsi="新宋体" w:eastAsia="新宋体" w:cs="新宋体"/>
                <w:b w:val="0"/>
                <w:bCs/>
                <w:color w:val="auto"/>
                <w:szCs w:val="18"/>
                <w:highlight w:val="none"/>
              </w:rPr>
              <w:t>资源管护</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巡护管理（含终端智能巡护与无人机巡护，无人机智能管理接入授权）：基于无人机和地面人员巡护的立体巡检，现有无人机以及后续采购无人机与巡护管理系统实现互联互通。</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无人机实时直播：无人机野外巡护的视频查看。</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飞行任务管理：对无人机任务进行制定和下发，对任务进行监控。</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任务信息：对任务相关照片和视频进行存储和查看。</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信息查询：信息搜索查询、监理影像数据查询。</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案件管理：保护区相关案件处置的信息管理。</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案件管理：登记案件信息，并对案件的信息维护，提供信息查询和统计。</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案件档案：对案件执行过程中的档案进行维护和管理。</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卡口监控（卡口，视频，红外，电子界桩）：保护区对应的卡口监测设备的管理。</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信息管理：对卡口相关卡口、红外、视频监控、电子界桩的设备管理和维护，利用视频监控系统，通过车牌、车型、人脸、AI分析，对进出保护区的车辆、人员实时监控、预警。自组网无线传感，实现越界进入保护区的人群进行短信、语音（大喇叭）告警，联动视频，进行证据固定；生成相应APP，兼容其它主流手机软件程序等。。</w:t>
            </w:r>
          </w:p>
          <w:p>
            <w:pPr>
              <w:pStyle w:val="119"/>
              <w:numPr>
                <w:ilvl w:val="0"/>
                <w:numId w:val="1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地图专题：以电子地图地图形式展示对应的保护区卡口监测设备设施信息。</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bCs w:val="0"/>
                <w:color w:val="auto"/>
                <w:szCs w:val="18"/>
                <w:highlight w:val="none"/>
              </w:rPr>
              <w:t>（四）</w:t>
            </w:r>
            <w:r>
              <w:rPr>
                <w:rFonts w:hint="eastAsia" w:ascii="新宋体" w:hAnsi="新宋体" w:eastAsia="新宋体" w:cs="新宋体"/>
                <w:b w:val="0"/>
                <w:bCs/>
                <w:color w:val="auto"/>
                <w:szCs w:val="18"/>
                <w:highlight w:val="none"/>
              </w:rPr>
              <w:t>森林防火：保护区森林防火工作的信息管理。</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1.火情分析：基于火点位置信息进行火情的研判，包含火情所在的行政区划、责任区域、责任人、来源、火点位置。</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2.蔓延分析：可以依据当前的地形地貌、高程、河流等，根据天气、风力、温度、湿度等模拟火势蔓延。</w:t>
            </w:r>
          </w:p>
          <w:p>
            <w:pPr>
              <w:pStyle w:val="119"/>
              <w:numPr>
                <w:ilvl w:val="255"/>
                <w:numId w:val="0"/>
              </w:numPr>
              <w:spacing w:line="360" w:lineRule="auto"/>
              <w:rPr>
                <w:rFonts w:hint="eastAsia" w:ascii="新宋体" w:hAnsi="新宋体" w:eastAsia="新宋体" w:cs="新宋体"/>
                <w:b w:val="0"/>
                <w:bCs/>
                <w:color w:val="auto"/>
                <w:szCs w:val="18"/>
                <w:highlight w:val="none"/>
                <w:lang w:eastAsia="zh-CN"/>
              </w:rPr>
            </w:pPr>
            <w:r>
              <w:rPr>
                <w:rFonts w:hint="eastAsia" w:ascii="新宋体" w:hAnsi="新宋体" w:eastAsia="新宋体" w:cs="新宋体"/>
                <w:b w:val="0"/>
                <w:bCs/>
                <w:color w:val="auto"/>
                <w:szCs w:val="18"/>
                <w:highlight w:val="none"/>
              </w:rPr>
              <w:t>3.态势标绘：火情标绘、救援态势辅助箭头、火情控制（减灾）基本标绘</w:t>
            </w:r>
            <w:r>
              <w:rPr>
                <w:rFonts w:hint="eastAsia" w:ascii="新宋体" w:hAnsi="新宋体" w:eastAsia="新宋体" w:cs="新宋体"/>
                <w:b w:val="0"/>
                <w:bCs/>
                <w:color w:val="auto"/>
                <w:szCs w:val="18"/>
                <w:highlight w:val="none"/>
                <w:lang w:eastAsia="zh-CN"/>
              </w:rPr>
              <w:t>。</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4.灾后评估：使用标绘对火情处置后的林地小班进行查询，可以和资产进行关联，进行灾后的评估。</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5.统计分析：根据生态因子数据等对保护区发生的自然灾害进行信息管理。</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1）灾害登记：对保护区发生的地质，冰冻，疫源疫病进行信息登记。包括发生地点、时间、类型、灾害发生过程、灾害影响。</w:t>
            </w:r>
          </w:p>
          <w:p>
            <w:pPr>
              <w:pStyle w:val="119"/>
              <w:numPr>
                <w:ilvl w:val="0"/>
                <w:numId w:val="0"/>
              </w:numPr>
              <w:spacing w:line="360" w:lineRule="auto"/>
              <w:ind w:leftChars="0"/>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2）灾害分析：针对灾害登记信息进行灾害分析，提供针对灾害发生的信息统计。</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bCs w:val="0"/>
                <w:color w:val="auto"/>
                <w:szCs w:val="18"/>
                <w:highlight w:val="none"/>
              </w:rPr>
              <w:t>（五）</w:t>
            </w:r>
            <w:r>
              <w:rPr>
                <w:rFonts w:hint="eastAsia" w:ascii="新宋体" w:hAnsi="新宋体" w:eastAsia="新宋体" w:cs="新宋体"/>
                <w:b w:val="0"/>
                <w:bCs/>
                <w:color w:val="auto"/>
                <w:szCs w:val="18"/>
                <w:highlight w:val="none"/>
              </w:rPr>
              <w:t>科普宣教</w:t>
            </w:r>
          </w:p>
          <w:p>
            <w:pPr>
              <w:pStyle w:val="119"/>
              <w:numPr>
                <w:ilvl w:val="0"/>
                <w:numId w:val="11"/>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科普宣教:将保护区内所有宣传活动资料进行电子化管理和可视化展示，记录保护区宣教活动力度及进展，更有效的实现对公众保护生态理念的科普，增强全民生态保护意识。</w:t>
            </w:r>
          </w:p>
          <w:p>
            <w:pPr>
              <w:pStyle w:val="119"/>
              <w:numPr>
                <w:ilvl w:val="0"/>
                <w:numId w:val="11"/>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活动登记：对保护区日常科普宣教活动进行登记，包括时间、地点、活动主题、内容、对象。</w:t>
            </w:r>
          </w:p>
          <w:p>
            <w:pPr>
              <w:pStyle w:val="119"/>
              <w:numPr>
                <w:ilvl w:val="0"/>
                <w:numId w:val="11"/>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信息查询：对科普宣教活动信息进行查询和统计。</w:t>
            </w:r>
          </w:p>
          <w:p>
            <w:pPr>
              <w:pStyle w:val="119"/>
              <w:numPr>
                <w:ilvl w:val="0"/>
                <w:numId w:val="11"/>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访客管理:对保护区日常发生进行登记、信息查询和统计。</w:t>
            </w:r>
          </w:p>
          <w:p>
            <w:pPr>
              <w:pStyle w:val="119"/>
              <w:numPr>
                <w:ilvl w:val="0"/>
                <w:numId w:val="11"/>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访客登记：保护区日常访客登记，包括人员、时间、事由、访问对接人。</w:t>
            </w:r>
          </w:p>
          <w:p>
            <w:pPr>
              <w:pStyle w:val="119"/>
              <w:numPr>
                <w:ilvl w:val="0"/>
                <w:numId w:val="11"/>
              </w:numPr>
              <w:spacing w:line="360" w:lineRule="auto"/>
              <w:rPr>
                <w:rFonts w:ascii="新宋体" w:hAnsi="新宋体" w:eastAsia="新宋体" w:cs="新宋体"/>
                <w:b w:val="0"/>
                <w:bCs/>
                <w:color w:val="auto"/>
                <w:szCs w:val="24"/>
                <w:highlight w:val="none"/>
              </w:rPr>
            </w:pPr>
            <w:r>
              <w:rPr>
                <w:rFonts w:hint="eastAsia" w:ascii="新宋体" w:hAnsi="新宋体" w:eastAsia="新宋体" w:cs="新宋体"/>
                <w:b w:val="0"/>
                <w:bCs/>
                <w:color w:val="auto"/>
                <w:szCs w:val="18"/>
                <w:highlight w:val="none"/>
              </w:rPr>
              <w:t>信息查询：对访客信息进行查询和统计。</w:t>
            </w:r>
          </w:p>
          <w:p>
            <w:pPr>
              <w:pStyle w:val="119"/>
              <w:numPr>
                <w:ilvl w:val="0"/>
                <w:numId w:val="0"/>
              </w:numPr>
              <w:spacing w:line="360" w:lineRule="auto"/>
              <w:ind w:leftChars="0"/>
              <w:rPr>
                <w:rFonts w:ascii="新宋体" w:hAnsi="新宋体" w:eastAsia="新宋体" w:cs="新宋体"/>
                <w:b w:val="0"/>
                <w:bCs/>
                <w:color w:val="auto"/>
                <w:szCs w:val="24"/>
                <w:highlight w:val="none"/>
              </w:rPr>
            </w:pPr>
            <w:r>
              <w:rPr>
                <w:rFonts w:hint="eastAsia" w:ascii="新宋体" w:hAnsi="新宋体" w:eastAsia="新宋体" w:cs="新宋体"/>
                <w:b/>
                <w:bCs w:val="0"/>
                <w:color w:val="auto"/>
                <w:szCs w:val="18"/>
                <w:highlight w:val="none"/>
              </w:rPr>
              <w:t>（</w:t>
            </w:r>
            <w:r>
              <w:rPr>
                <w:rFonts w:hint="eastAsia" w:ascii="新宋体" w:hAnsi="新宋体" w:eastAsia="新宋体" w:cs="新宋体"/>
                <w:b/>
                <w:bCs w:val="0"/>
                <w:color w:val="auto"/>
                <w:szCs w:val="18"/>
                <w:highlight w:val="none"/>
                <w:lang w:eastAsia="zh-CN"/>
              </w:rPr>
              <w:t>六</w:t>
            </w:r>
            <w:r>
              <w:rPr>
                <w:rFonts w:hint="eastAsia" w:ascii="新宋体" w:hAnsi="新宋体" w:eastAsia="新宋体" w:cs="新宋体"/>
                <w:b/>
                <w:bCs w:val="0"/>
                <w:color w:val="auto"/>
                <w:szCs w:val="18"/>
                <w:highlight w:val="none"/>
              </w:rPr>
              <w:t>）</w:t>
            </w:r>
            <w:r>
              <w:rPr>
                <w:rFonts w:hint="eastAsia" w:ascii="新宋体" w:hAnsi="新宋体" w:eastAsia="新宋体" w:cs="新宋体"/>
                <w:b w:val="0"/>
                <w:bCs/>
                <w:color w:val="auto"/>
                <w:szCs w:val="18"/>
                <w:highlight w:val="none"/>
              </w:rPr>
              <w:t>兰</w:t>
            </w:r>
            <w:r>
              <w:rPr>
                <w:rFonts w:hint="eastAsia" w:ascii="新宋体" w:hAnsi="新宋体" w:eastAsia="新宋体" w:cs="新宋体"/>
                <w:b w:val="0"/>
                <w:bCs/>
                <w:color w:val="auto"/>
                <w:szCs w:val="24"/>
                <w:highlight w:val="none"/>
              </w:rPr>
              <w:t>花直播平台</w:t>
            </w:r>
          </w:p>
          <w:p>
            <w:pPr>
              <w:pStyle w:val="119"/>
              <w:spacing w:line="360" w:lineRule="auto"/>
              <w:rPr>
                <w:rFonts w:hint="eastAsia" w:ascii="新宋体" w:hAnsi="新宋体" w:eastAsia="新宋体" w:cs="新宋体"/>
                <w:b w:val="0"/>
                <w:bCs/>
                <w:color w:val="auto"/>
                <w:szCs w:val="24"/>
                <w:highlight w:val="none"/>
                <w:lang w:eastAsia="zh-CN"/>
              </w:rPr>
            </w:pPr>
            <w:r>
              <w:rPr>
                <w:rFonts w:hint="eastAsia" w:ascii="新宋体" w:hAnsi="新宋体" w:eastAsia="新宋体" w:cs="新宋体"/>
                <w:b w:val="0"/>
                <w:bCs/>
                <w:color w:val="auto"/>
                <w:szCs w:val="24"/>
                <w:highlight w:val="none"/>
              </w:rPr>
              <w:t xml:space="preserve">    满足抖音直播粉丝数限制，满足直播限流推流要求，进行官方认证审核开通直播权限，添加直播摄像头、高清视频信号采集器及直播终端等采编软硬件设备，融合现有高清摄像头进行多画面自动转换轮播直播。1服务工作站</w:t>
            </w:r>
            <w:r>
              <w:rPr>
                <w:rFonts w:hint="eastAsia" w:ascii="新宋体" w:hAnsi="新宋体" w:eastAsia="新宋体" w:cs="新宋体"/>
                <w:b w:val="0"/>
                <w:bCs/>
                <w:color w:val="auto"/>
                <w:szCs w:val="24"/>
                <w:highlight w:val="none"/>
                <w:lang w:eastAsia="zh-CN"/>
              </w:rPr>
              <w:t>、</w:t>
            </w:r>
            <w:r>
              <w:rPr>
                <w:rFonts w:hint="eastAsia" w:ascii="新宋体" w:hAnsi="新宋体" w:eastAsia="新宋体" w:cs="新宋体"/>
                <w:b w:val="0"/>
                <w:bCs/>
                <w:color w:val="auto"/>
                <w:szCs w:val="24"/>
                <w:highlight w:val="none"/>
              </w:rPr>
              <w:t>2前端设备、3编码解码、4数据传输、5手机云台</w:t>
            </w:r>
            <w:r>
              <w:rPr>
                <w:rFonts w:hint="eastAsia" w:ascii="新宋体" w:hAnsi="新宋体" w:eastAsia="新宋体" w:cs="新宋体"/>
                <w:b w:val="0"/>
                <w:bCs/>
                <w:color w:val="auto"/>
                <w:szCs w:val="24"/>
                <w:highlight w:val="none"/>
                <w:lang w:eastAsia="zh-CN"/>
              </w:rPr>
              <w:t>、</w:t>
            </w:r>
            <w:r>
              <w:rPr>
                <w:rFonts w:hint="eastAsia" w:ascii="新宋体" w:hAnsi="新宋体" w:eastAsia="新宋体" w:cs="新宋体"/>
                <w:b w:val="0"/>
                <w:bCs/>
                <w:color w:val="auto"/>
                <w:szCs w:val="24"/>
                <w:highlight w:val="none"/>
              </w:rPr>
              <w:t>6其它配件</w:t>
            </w:r>
            <w:r>
              <w:rPr>
                <w:rFonts w:hint="eastAsia" w:ascii="新宋体" w:hAnsi="新宋体" w:eastAsia="新宋体" w:cs="新宋体"/>
                <w:b w:val="0"/>
                <w:bCs/>
                <w:color w:val="auto"/>
                <w:szCs w:val="24"/>
                <w:highlight w:val="none"/>
                <w:lang w:eastAsia="zh-CN"/>
              </w:rPr>
              <w:t>。</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bCs w:val="0"/>
                <w:color w:val="auto"/>
                <w:szCs w:val="18"/>
                <w:highlight w:val="none"/>
              </w:rPr>
              <w:t>（</w:t>
            </w:r>
            <w:r>
              <w:rPr>
                <w:rFonts w:hint="eastAsia" w:ascii="新宋体" w:hAnsi="新宋体" w:eastAsia="新宋体" w:cs="新宋体"/>
                <w:b/>
                <w:bCs w:val="0"/>
                <w:color w:val="auto"/>
                <w:szCs w:val="18"/>
                <w:highlight w:val="none"/>
                <w:lang w:eastAsia="zh-CN"/>
              </w:rPr>
              <w:t>七</w:t>
            </w:r>
            <w:r>
              <w:rPr>
                <w:rFonts w:hint="eastAsia" w:ascii="新宋体" w:hAnsi="新宋体" w:eastAsia="新宋体" w:cs="新宋体"/>
                <w:b/>
                <w:bCs w:val="0"/>
                <w:color w:val="auto"/>
                <w:szCs w:val="18"/>
                <w:highlight w:val="none"/>
              </w:rPr>
              <w:t>）</w:t>
            </w:r>
            <w:r>
              <w:rPr>
                <w:rFonts w:hint="eastAsia" w:ascii="新宋体" w:hAnsi="新宋体" w:eastAsia="新宋体" w:cs="新宋体"/>
                <w:b w:val="0"/>
                <w:bCs/>
                <w:color w:val="auto"/>
                <w:szCs w:val="18"/>
                <w:highlight w:val="none"/>
              </w:rPr>
              <w:t>现有应用系统接入</w:t>
            </w:r>
          </w:p>
          <w:p>
            <w:pPr>
              <w:spacing w:line="360" w:lineRule="auto"/>
              <w:ind w:firstLine="48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实现业务系统集成及后继扩展功能，可自由卸载和加挂新的业务系统；实现现有系统集成并预留与上级系统的集成接口。</w:t>
            </w:r>
          </w:p>
          <w:p>
            <w:pPr>
              <w:pStyle w:val="119"/>
              <w:numPr>
                <w:ilvl w:val="0"/>
                <w:numId w:val="12"/>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OA系统接入：现有OA系统集成综合管理办公平台。支持针对系统的单点登录。实现业务系统集成及后继扩展功能，可自由卸载和加挂新的业务系统；实现现有系统集成并预留与上级系统的集成接口。</w:t>
            </w:r>
          </w:p>
          <w:p>
            <w:pPr>
              <w:pStyle w:val="119"/>
              <w:numPr>
                <w:ilvl w:val="0"/>
                <w:numId w:val="12"/>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规范化管理系统：现有规范化管理系统集成综合管理办公平台。支持针对系统的单点登录。该系统主要用于日常管理等。整合到综合管理平台内对应模块，对原架构内容整合优化，设计相应子模块符合现代化、科学化和精细化管理要求，实现业务系统集成及后继扩展功能，可自由卸载和加挂新的业务系统；实现现有系统集成并预留与上级系统的集成接口。生成相应APP，兼容其它主流手机软件程序等。</w:t>
            </w:r>
          </w:p>
          <w:p>
            <w:pPr>
              <w:pStyle w:val="119"/>
              <w:numPr>
                <w:ilvl w:val="0"/>
                <w:numId w:val="12"/>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红外相机管理系统：现有红外相机管理系统集成综合管理办公平台。支持针对系统的单点登录。整合到综合管理平台内对应模块，对原架构内容整合优化，实现数据批量上传、批量处理及自动识别功能。实现业务系统集成及后继扩展功能，可自由卸载和加挂新的业务系统；实现现有系统集成并预留与上级系统的集成接口。生成相应APP，兼容其它主流手机软件程序等。</w:t>
            </w:r>
          </w:p>
          <w:p>
            <w:pPr>
              <w:pStyle w:val="119"/>
              <w:numPr>
                <w:ilvl w:val="0"/>
                <w:numId w:val="12"/>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智能巡护系统：现有智能巡护系统综合管理办公平台。支持针对系统的单点登录。可导入和查看保护区航拍地图，实现业务系统集成及后继扩展功能，可自由卸载和加挂新的业务系统；实现现有系统集成并预留与上级系统的集成接口。</w:t>
            </w:r>
          </w:p>
          <w:p>
            <w:pPr>
              <w:pStyle w:val="119"/>
              <w:numPr>
                <w:ilvl w:val="0"/>
                <w:numId w:val="12"/>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电子植株档案管理系统：现有电子植株档案管理系统集成综合管理办公平台。支持针对系统的单点登录。</w:t>
            </w:r>
          </w:p>
          <w:p>
            <w:pPr>
              <w:pStyle w:val="119"/>
              <w:numPr>
                <w:ilvl w:val="0"/>
                <w:numId w:val="12"/>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三维可视化系统接入：现有三维可视化系统集成综合管理办公平台。支持针对系统的单点登录。</w:t>
            </w:r>
          </w:p>
          <w:p>
            <w:pPr>
              <w:pStyle w:val="119"/>
              <w:numPr>
                <w:ilvl w:val="0"/>
                <w:numId w:val="12"/>
              </w:numPr>
              <w:spacing w:line="360" w:lineRule="auto"/>
              <w:rPr>
                <w:rFonts w:hint="eastAsia"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应用支撑平台升级：基于GIS管理的主控中心平台，支持基于地图、多系统集中管控，实时信息采集和展示。能够提供精准区域故障报警功能及系统资源分布情况信息。</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lang w:val="en-US" w:eastAsia="zh-CN"/>
              </w:rPr>
              <w:t>1</w:t>
            </w:r>
            <w:r>
              <w:rPr>
                <w:rFonts w:ascii="新宋体" w:hAnsi="新宋体" w:eastAsia="新宋体" w:cs="新宋体"/>
                <w:b w:val="0"/>
                <w:bCs/>
                <w:color w:val="auto"/>
                <w:szCs w:val="18"/>
                <w:highlight w:val="none"/>
              </w:rPr>
              <w:t>）备份设备</w:t>
            </w:r>
            <w:r>
              <w:rPr>
                <w:rFonts w:hint="eastAsia" w:ascii="新宋体" w:hAnsi="新宋体" w:eastAsia="新宋体" w:cs="新宋体"/>
                <w:b w:val="0"/>
                <w:bCs/>
                <w:color w:val="auto"/>
                <w:szCs w:val="18"/>
                <w:highlight w:val="none"/>
              </w:rPr>
              <w:t>（格式）：</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1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①</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要求基于GIS管理的主控中心平台，支持基于地图、多系统集中管控，实时信息采集和展示。能够提供精准区域故障报警功能及系统资源分布情况信息。</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2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②</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能实现对应用服务器的一体化备份，实现对服务器上隐藏分区、操作系统分区、数据分区等所有分区数据的一体化实时备份；基于磁盘卷变化增量复制，复制系统卷分区大小、属性、权限、加密等要必须完全一致；采用块级复制技术，支持数据的增量备份，系统能实现将包括系统、应用以及数据在内的整机实时备份成虚拟化磁盘格式，可实现数据的秒级同步；支持对备份数据的快照功能，支持保留不同时间版本的备份数据；支持对备份数据的安全删除策略设置，支持对备份数据集阀值设置；支持备份限速。</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3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③</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支持随时随地对备份数据的一致性及完整性进行全面验证，确保在业务系统环境或数据发生损坏时，可以准确、快速、有效的进行数据恢复，保障业务系统正常运行。</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4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④</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需基于B/S架构，通过浏览器即可进行管理；提供应急客户端自身CPU、内存、网络、存储空间等资源使用情况监控；支持HTTPS加密，管理账户密码支持复杂性及USBKey验证。</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5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⑤</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能够监测服务器CPU/内存/网络/IO等性能，对数据库/中间件等其他应用能够监控运行状况；能够模拟用户访问方式对各种应用服务提供运行安全监控，支持用户自定义数据库、应用监控脚本的运行。并提供基于事件的统计报表、生成图表，提供邮件、短信等通知手段。对备份系统各种状况进行统计和报警，并提供各种统计报表。</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6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⑥</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能够对混合IT架构下的所有X86业务系统任意多台设备故障提供应急接管能力（随机保障的能力范围指标不少于100台），接管所需时间不超过3分钟（不接受采用预先配置虚拟机双机方式实现应急接管），并且支持跨多VLAN同时接管。能从任意时间点同时启动应急系统，配置接管不可以更改原设备配置，机房任意设备的软硬件故障都能够随时整体接管。应急系统必须支持系统、应用、数据的实时同步。</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7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⑦</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支持对应急接管虚机进行硬件配置调整，可以调整CPU、硬盘控制器、显卡、网卡等设备配置；支持将物理USB重定向给应急接管虚机使用，以满足带加密卡或口令卡的业务应急接管需求</w:t>
            </w:r>
            <w:r>
              <w:rPr>
                <w:rFonts w:hint="eastAsia" w:ascii="新宋体" w:hAnsi="新宋体" w:eastAsia="新宋体" w:cs="新宋体"/>
                <w:b w:val="0"/>
                <w:bCs/>
                <w:color w:val="auto"/>
                <w:szCs w:val="18"/>
                <w:highlight w:val="none"/>
                <w:lang w:eastAsia="zh-CN"/>
              </w:rPr>
              <w:t>。</w:t>
            </w:r>
            <w:r>
              <w:rPr>
                <w:rFonts w:hint="eastAsia" w:ascii="新宋体" w:hAnsi="新宋体" w:eastAsia="新宋体" w:cs="新宋体"/>
                <w:b w:val="0"/>
                <w:bCs/>
                <w:color w:val="auto"/>
                <w:szCs w:val="18"/>
                <w:highlight w:val="none"/>
              </w:rPr>
              <w:t xml:space="preserve"> </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8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⑧</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应急接管虚机支持配置EFI或BIOS启动方式。</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9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⑨</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应急灾备系统需要为应急接管的主机系统提供主动防御措施，保证在应急系统接管业务期间的安全性能。具有未知病毒特征分发管理模块，能够自动提取未知病毒特征码，具备漏洞溢出防护能力，能够拦截因系统漏洞引起的溢出攻击行为，能够通过提取程序特征的方式添加敏感程序白名单。</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fldChar w:fldCharType="begin"/>
            </w:r>
            <w:r>
              <w:rPr>
                <w:rFonts w:hint="eastAsia" w:ascii="新宋体" w:hAnsi="新宋体" w:eastAsia="新宋体" w:cs="新宋体"/>
                <w:b w:val="0"/>
                <w:bCs/>
                <w:color w:val="auto"/>
                <w:szCs w:val="18"/>
                <w:highlight w:val="none"/>
              </w:rPr>
              <w:instrText xml:space="preserve"> = 10 \* GB3 \* MERGEFORMAT </w:instrText>
            </w:r>
            <w:r>
              <w:rPr>
                <w:rFonts w:hint="eastAsia" w:ascii="新宋体" w:hAnsi="新宋体" w:eastAsia="新宋体" w:cs="新宋体"/>
                <w:b w:val="0"/>
                <w:bCs/>
                <w:color w:val="auto"/>
                <w:szCs w:val="18"/>
                <w:highlight w:val="none"/>
              </w:rPr>
              <w:fldChar w:fldCharType="separate"/>
            </w:r>
            <w:r>
              <w:rPr>
                <w:color w:val="auto"/>
                <w:highlight w:val="none"/>
              </w:rPr>
              <w:t>⑩</w:t>
            </w:r>
            <w:r>
              <w:rPr>
                <w:rFonts w:hint="eastAsia" w:ascii="新宋体" w:hAnsi="新宋体" w:eastAsia="新宋体" w:cs="新宋体"/>
                <w:b w:val="0"/>
                <w:bCs/>
                <w:color w:val="auto"/>
                <w:szCs w:val="18"/>
                <w:highlight w:val="none"/>
              </w:rPr>
              <w:fldChar w:fldCharType="end"/>
            </w:r>
            <w:r>
              <w:rPr>
                <w:rFonts w:hint="eastAsia" w:ascii="新宋体" w:hAnsi="新宋体" w:eastAsia="新宋体" w:cs="新宋体"/>
                <w:b w:val="0"/>
                <w:bCs/>
                <w:color w:val="auto"/>
                <w:szCs w:val="18"/>
                <w:highlight w:val="none"/>
              </w:rPr>
              <w:t>提供对备份业务系统的整机恢复功能，可直接实现操作系统、应用环境以及生产数据的一体化整体恢复；产品支持对不同品牌不同型号不同配置服务器/PC的本地/远程恢复功能，可直接将故障生产系统整机本地/远程恢复到不同品牌不同型号不同配置的服务器/PC上，恢复数据包括操作系统、应用环境以及生产数据等所有数据，恢复完成之后，开机即可用；支持对备份业务系统的分区恢复功能，可直接进行系统分区或者数据分区的单个分区的数据恢复。</w:t>
            </w:r>
          </w:p>
          <w:p>
            <w:pPr>
              <w:pStyle w:val="119"/>
              <w:numPr>
                <w:ilvl w:val="255"/>
                <w:numId w:val="0"/>
              </w:numPr>
              <w:spacing w:line="360" w:lineRule="auto"/>
              <w:rPr>
                <w:rFonts w:ascii="新宋体" w:hAnsi="新宋体" w:eastAsia="新宋体" w:cs="新宋体"/>
                <w:b w:val="0"/>
                <w:bCs/>
                <w:color w:val="auto"/>
                <w:szCs w:val="18"/>
                <w:highlight w:val="none"/>
              </w:rPr>
            </w:pPr>
            <w:r>
              <w:rPr>
                <w:rFonts w:ascii="Calibri" w:hAnsi="Calibri" w:eastAsia="新宋体" w:cs="Calibri"/>
                <w:b w:val="0"/>
                <w:bCs/>
                <w:color w:val="auto"/>
                <w:szCs w:val="18"/>
                <w:highlight w:val="none"/>
              </w:rPr>
              <w:t>⑪</w:t>
            </w:r>
            <w:r>
              <w:rPr>
                <w:rFonts w:hint="eastAsia" w:ascii="新宋体" w:hAnsi="新宋体" w:eastAsia="新宋体" w:cs="新宋体"/>
                <w:b w:val="0"/>
                <w:bCs/>
                <w:color w:val="auto"/>
                <w:szCs w:val="18"/>
                <w:highlight w:val="none"/>
              </w:rPr>
              <w:t>支持离线快照功能，不允许在生产环境做快照，不能影响源端业务；快照功能须平台内置，不依赖于第三方实现；支持主机备份数据的快照轴结构，便于主机状态的有效管理；支持快照轴上的每个独立快照，可随时做应急接管和演练操作等；快照数量没有限制，并且支持非线性快照及快照自动合并技术。支持Oracle、DB2裸分区复制，支持WINDOWS动态盘和Linux LVM复制迁移。</w:t>
            </w:r>
          </w:p>
          <w:p>
            <w:pPr>
              <w:pStyle w:val="119"/>
              <w:numPr>
                <w:ilvl w:val="255"/>
                <w:numId w:val="0"/>
              </w:numPr>
              <w:spacing w:line="360" w:lineRule="auto"/>
              <w:rPr>
                <w:rFonts w:hint="eastAsia" w:ascii="新宋体" w:hAnsi="新宋体" w:eastAsia="新宋体" w:cs="新宋体"/>
                <w:b w:val="0"/>
                <w:bCs/>
                <w:color w:val="auto"/>
                <w:szCs w:val="18"/>
                <w:highlight w:val="none"/>
              </w:rPr>
            </w:pPr>
            <w:r>
              <w:rPr>
                <w:rFonts w:ascii="Calibri" w:hAnsi="Calibri" w:eastAsia="新宋体" w:cs="Calibri"/>
                <w:b w:val="0"/>
                <w:bCs/>
                <w:color w:val="auto"/>
                <w:szCs w:val="18"/>
                <w:highlight w:val="none"/>
              </w:rPr>
              <w:t>⑫</w:t>
            </w:r>
            <w:r>
              <w:rPr>
                <w:rFonts w:hint="eastAsia" w:ascii="新宋体" w:hAnsi="新宋体" w:eastAsia="新宋体" w:cs="新宋体"/>
                <w:b w:val="0"/>
                <w:bCs/>
                <w:color w:val="auto"/>
                <w:szCs w:val="18"/>
                <w:highlight w:val="none"/>
              </w:rPr>
              <w:t>须包含应用仿真演练功能模块</w:t>
            </w:r>
            <w:r>
              <w:rPr>
                <w:rFonts w:hint="eastAsia" w:ascii="新宋体" w:hAnsi="新宋体" w:eastAsia="新宋体" w:cs="新宋体"/>
                <w:b w:val="0"/>
                <w:bCs/>
                <w:color w:val="auto"/>
                <w:szCs w:val="18"/>
                <w:highlight w:val="none"/>
                <w:lang w:eastAsia="zh-CN"/>
              </w:rPr>
              <w:t>，</w:t>
            </w:r>
            <w:r>
              <w:rPr>
                <w:rFonts w:hint="eastAsia" w:ascii="新宋体" w:hAnsi="新宋体" w:eastAsia="新宋体" w:cs="新宋体"/>
                <w:b w:val="0"/>
                <w:bCs/>
                <w:color w:val="auto"/>
                <w:szCs w:val="18"/>
                <w:highlight w:val="none"/>
              </w:rPr>
              <w:t>能够模拟各种业务应用系统除硬件外完全一致的仿真环境。仿真系统必须与原应用保持一致（系统环境及配置，程序软件，分区各种属性，加密环境等完全一致），适用于容灾演练、打补丁、升级测试和实操培训等场景。支持对仿真测试虚机进行硬件配置调整，可以调整CPU、硬盘控制器、显卡、网卡等设备配置；支持将物理USB重定向给仿真测试虚机使用，以满足带加密卡或口令卡的业务系统仿真测试需求；仿真测试虚机支持配置EFI或BIOS启动方式；支持创建虚拟子网，将仿真测试虚机接入到虚拟子网中，实现不同仿真测试虚机间的业务通信，满足有业务依赖关系的主机整体仿真测试。</w:t>
            </w:r>
          </w:p>
          <w:p>
            <w:pPr>
              <w:pStyle w:val="119"/>
              <w:numPr>
                <w:ilvl w:val="255"/>
                <w:numId w:val="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bCs w:val="0"/>
                <w:color w:val="auto"/>
                <w:szCs w:val="18"/>
                <w:highlight w:val="none"/>
                <w:lang w:val="en-US" w:eastAsia="zh-CN"/>
              </w:rPr>
              <w:t>⑬</w:t>
            </w:r>
            <w:r>
              <w:rPr>
                <w:rFonts w:hint="eastAsia" w:ascii="新宋体" w:hAnsi="新宋体" w:eastAsia="新宋体" w:cs="新宋体"/>
                <w:b w:val="0"/>
                <w:bCs/>
                <w:color w:val="auto"/>
                <w:szCs w:val="18"/>
                <w:highlight w:val="none"/>
                <w:lang w:val="en-US" w:eastAsia="zh-CN"/>
              </w:rPr>
              <w:t>支持单台主机的任意时间副本同时启动，实现单台主机的自动恢复演练；支持多主机的任意时间副本同时启动，实现多主机的自动恢复演练；启动演练的时间不超过3分钟；支持单台主机的系统安全事件过程追踪，实现单台主机的自动数据验证；支持多主机的系统安全事件过程追踪，实现多主机的自动数据验证；支持一键删除仿真测试环境，自动回收CPU、内存、硬盘、网络等硬件资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00" w:type="pct"/>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二、通信传输网络服务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9"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2</w:t>
            </w:r>
          </w:p>
        </w:tc>
        <w:tc>
          <w:tcPr>
            <w:tcW w:w="1315"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通信传输网络服务</w:t>
            </w:r>
          </w:p>
        </w:tc>
        <w:tc>
          <w:tcPr>
            <w:tcW w:w="651"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1项</w:t>
            </w: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48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广西雅长兰科植物国家级自然保护区面积较大、地势复杂、沟壑纵横，由于历史及自然环境的原因，电信运营商的信号覆盖较差，保护区无法开展相关的信息化应用。为建立和完善保护区一体化自然资源综合监管体系工作，打造专用的通信网络必不可少。本项目根据广西雅长兰科植物国家级自然保护区一体化自然资源综合监管系统的总体规划，同时遵循保护自然资源的要求，结合监测设备性能进行通信传输网络的合理部署</w:t>
            </w:r>
            <w:r>
              <w:rPr>
                <w:rFonts w:hint="eastAsia" w:ascii="新宋体" w:hAnsi="新宋体" w:eastAsia="新宋体" w:cs="新宋体"/>
                <w:bCs/>
                <w:color w:val="auto"/>
                <w:sz w:val="24"/>
                <w:highlight w:val="none"/>
                <w:lang w:eastAsia="zh-CN"/>
              </w:rPr>
              <w:t>。</w:t>
            </w:r>
            <w:r>
              <w:rPr>
                <w:rFonts w:hint="eastAsia" w:ascii="新宋体" w:hAnsi="新宋体" w:eastAsia="新宋体" w:cs="新宋体"/>
                <w:bCs/>
                <w:color w:val="auto"/>
                <w:sz w:val="24"/>
                <w:highlight w:val="none"/>
              </w:rPr>
              <w:t>实施服务内容包括互联网专线1条，带宽≥200M，数据专线3条，带宽≥20M，通信传输网络基础建设互联网专线传输办公楼数据；线路传输：依据实际情况直埋光缆、架空光缆，供电系统配备局端供电主设备和远端逆变模块，电缆可视情况直埋或架空，使用PVC线管套接防护，为保障通讯，需要建设不少于4个通信综合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00" w:type="pct"/>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三、监控和传感器服务（详细配置不低于设计文件要求）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3</w:t>
            </w:r>
          </w:p>
        </w:tc>
        <w:tc>
          <w:tcPr>
            <w:tcW w:w="70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系统监控服务</w:t>
            </w:r>
          </w:p>
        </w:tc>
        <w:tc>
          <w:tcPr>
            <w:tcW w:w="606" w:type="pct"/>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配置无人机、森林防火视频监控、交通卡口视频监控、电子界桩、巡护终端等提供系统监控服务</w:t>
            </w:r>
          </w:p>
        </w:tc>
        <w:tc>
          <w:tcPr>
            <w:tcW w:w="65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1项</w:t>
            </w: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pStyle w:val="620"/>
              <w:framePr w:wrap="auto" w:vAnchor="margin" w:hAnchor="text" w:yAlign="inline"/>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一、配置无人机巡护，具体内容要求：</w:t>
            </w:r>
          </w:p>
          <w:p>
            <w:pPr>
              <w:pStyle w:val="119"/>
              <w:numPr>
                <w:ilvl w:val="0"/>
                <w:numId w:val="13"/>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配置红外监测巡护无人机2套</w:t>
            </w:r>
          </w:p>
          <w:p>
            <w:pPr>
              <w:pStyle w:val="119"/>
              <w:numPr>
                <w:ilvl w:val="0"/>
                <w:numId w:val="14"/>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含无人机，两组电池，含保险，负载相机不低于2000万像素，不低于23倍混合光学变焦可见光相机，不低于1200万像素广角相机。</w:t>
            </w:r>
          </w:p>
          <w:p>
            <w:pPr>
              <w:pStyle w:val="119"/>
              <w:numPr>
                <w:ilvl w:val="0"/>
                <w:numId w:val="14"/>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不低于1200米激光测距仪，640×512热成像相机，四合一传感器</w:t>
            </w:r>
            <w:r>
              <w:rPr>
                <w:rFonts w:hint="eastAsia" w:ascii="新宋体" w:hAnsi="新宋体" w:eastAsia="新宋体" w:cs="新宋体"/>
                <w:b w:val="0"/>
                <w:bCs/>
                <w:color w:val="auto"/>
                <w:szCs w:val="18"/>
                <w:highlight w:val="none"/>
                <w:lang w:eastAsia="zh-CN"/>
              </w:rPr>
              <w:t>。</w:t>
            </w:r>
          </w:p>
          <w:p>
            <w:pPr>
              <w:pStyle w:val="119"/>
              <w:numPr>
                <w:ilvl w:val="0"/>
                <w:numId w:val="14"/>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不低于200X高倍变焦、600米内识别车牌号</w:t>
            </w:r>
            <w:r>
              <w:rPr>
                <w:rFonts w:hint="eastAsia" w:ascii="新宋体" w:hAnsi="新宋体" w:eastAsia="新宋体" w:cs="新宋体"/>
                <w:b w:val="0"/>
                <w:bCs/>
                <w:color w:val="auto"/>
                <w:szCs w:val="18"/>
                <w:highlight w:val="none"/>
                <w:lang w:eastAsia="zh-CN"/>
              </w:rPr>
              <w:t>。</w:t>
            </w:r>
          </w:p>
          <w:p>
            <w:pPr>
              <w:pStyle w:val="119"/>
              <w:numPr>
                <w:ilvl w:val="0"/>
                <w:numId w:val="14"/>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空载飞行时间不低于55分钟，具备六向双目视觉+红外TOF的无人机，桥底、室内等复杂环境下的安全稳定飞行</w:t>
            </w:r>
            <w:r>
              <w:rPr>
                <w:rFonts w:hint="eastAsia" w:ascii="新宋体" w:hAnsi="新宋体" w:eastAsia="新宋体" w:cs="新宋体"/>
                <w:b w:val="0"/>
                <w:bCs/>
                <w:color w:val="auto"/>
                <w:szCs w:val="18"/>
                <w:highlight w:val="none"/>
                <w:lang w:eastAsia="zh-CN"/>
              </w:rPr>
              <w:t>。</w:t>
            </w:r>
          </w:p>
          <w:p>
            <w:pPr>
              <w:pStyle w:val="119"/>
              <w:numPr>
                <w:ilvl w:val="0"/>
                <w:numId w:val="14"/>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符合IP45防护等级</w:t>
            </w:r>
            <w:r>
              <w:rPr>
                <w:rFonts w:hint="eastAsia" w:ascii="新宋体" w:hAnsi="新宋体" w:eastAsia="新宋体" w:cs="新宋体"/>
                <w:b w:val="0"/>
                <w:bCs/>
                <w:color w:val="auto"/>
                <w:szCs w:val="18"/>
                <w:highlight w:val="none"/>
                <w:lang w:eastAsia="zh-CN"/>
              </w:rPr>
              <w:t>。</w:t>
            </w:r>
          </w:p>
          <w:p>
            <w:pPr>
              <w:pStyle w:val="119"/>
              <w:numPr>
                <w:ilvl w:val="0"/>
                <w:numId w:val="14"/>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并实时显示目标方位，在地图界面可查看目标位置和坐标。</w:t>
            </w:r>
          </w:p>
          <w:p>
            <w:pPr>
              <w:pStyle w:val="119"/>
              <w:numPr>
                <w:ilvl w:val="0"/>
                <w:numId w:val="14"/>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自动识别人、车、船，自动调整云台角度和变焦倍数，持续跟踪选取的目标，目标将始终处于画面中心位置，目标位置实时显示在地图中。</w:t>
            </w:r>
          </w:p>
          <w:p>
            <w:pPr>
              <w:pStyle w:val="119"/>
              <w:numPr>
                <w:ilvl w:val="0"/>
                <w:numId w:val="14"/>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位置分享：智能跟踪，可将目标对象的位置信息分享至其他遥控器，或通过大疆司空等在线平台共享给团队其他成员实现高效协作。</w:t>
            </w:r>
          </w:p>
          <w:p>
            <w:pPr>
              <w:pStyle w:val="119"/>
              <w:numPr>
                <w:ilvl w:val="0"/>
                <w:numId w:val="14"/>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在线任务录制，只需要手动飞行一次将所有关注的目标都进行拍照，即可生成一条航线。精准复拍，在每个航点的照片上框选出兴趣物体重复执行航线时，云台自动搜寻目标物体复拍。飞行辅助界面将飞行参数、导航、障碍物等多维度信息整合至FPV和相机画面，提供航空级态势感知能力，降低复杂环境下操控难度。</w:t>
            </w:r>
          </w:p>
          <w:p>
            <w:pPr>
              <w:pStyle w:val="119"/>
              <w:numPr>
                <w:ilvl w:val="0"/>
                <w:numId w:val="13"/>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配置巡护无人机2台</w:t>
            </w:r>
          </w:p>
          <w:p>
            <w:pPr>
              <w:pStyle w:val="119"/>
              <w:numPr>
                <w:ilvl w:val="0"/>
                <w:numId w:val="15"/>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含无人机，两组电池，无人机和负载的行业无忧保险。</w:t>
            </w:r>
          </w:p>
          <w:p>
            <w:pPr>
              <w:pStyle w:val="119"/>
              <w:numPr>
                <w:ilvl w:val="0"/>
                <w:numId w:val="15"/>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最长飞行时间不低于：（无风环境）飞行31分钟。</w:t>
            </w:r>
          </w:p>
          <w:p>
            <w:pPr>
              <w:pStyle w:val="119"/>
              <w:numPr>
                <w:ilvl w:val="0"/>
                <w:numId w:val="15"/>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最长悬停时间不低于：（无风环境）悬停30分钟。</w:t>
            </w:r>
          </w:p>
          <w:p>
            <w:pPr>
              <w:pStyle w:val="119"/>
              <w:numPr>
                <w:ilvl w:val="0"/>
                <w:numId w:val="15"/>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最大续航里程不低于：（无风环境）18.5km。</w:t>
            </w:r>
          </w:p>
          <w:p>
            <w:pPr>
              <w:pStyle w:val="119"/>
              <w:numPr>
                <w:ilvl w:val="0"/>
                <w:numId w:val="15"/>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各档位最大水平飞行速度不低于：19m/s（运动挡）、15m/s（普通挡）、5m/s（平稳挡）。</w:t>
            </w:r>
          </w:p>
          <w:p>
            <w:pPr>
              <w:pStyle w:val="119"/>
              <w:numPr>
                <w:ilvl w:val="0"/>
                <w:numId w:val="15"/>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最大抗风等级不低于：5级风10.7m/s。</w:t>
            </w:r>
          </w:p>
          <w:p>
            <w:pPr>
              <w:pStyle w:val="119"/>
              <w:numPr>
                <w:ilvl w:val="0"/>
                <w:numId w:val="13"/>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语音无人机2台</w:t>
            </w:r>
          </w:p>
          <w:p>
            <w:pPr>
              <w:pStyle w:val="119"/>
              <w:numPr>
                <w:ilvl w:val="0"/>
                <w:numId w:val="16"/>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含无人机，两组电池，含保险。</w:t>
            </w:r>
          </w:p>
          <w:p>
            <w:pPr>
              <w:pStyle w:val="119"/>
              <w:numPr>
                <w:ilvl w:val="0"/>
                <w:numId w:val="16"/>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含探照灯、夜航灯、喊话器、RTK模块。</w:t>
            </w:r>
          </w:p>
          <w:p>
            <w:pPr>
              <w:pStyle w:val="119"/>
              <w:numPr>
                <w:ilvl w:val="0"/>
                <w:numId w:val="16"/>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各档位最大水平飞行速度不低于：72km/h（S模式，海平面附近无风环境)、50km/h（P模式，海平面附近无风环境）。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7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06"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5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二、配置森林防火视频监控设备</w:t>
            </w:r>
          </w:p>
          <w:p>
            <w:pPr>
              <w:pStyle w:val="119"/>
              <w:numPr>
                <w:ilvl w:val="0"/>
                <w:numId w:val="1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双光谱重载云台摄像机3套，含安装支架。</w:t>
            </w:r>
          </w:p>
          <w:p>
            <w:pPr>
              <w:pStyle w:val="119"/>
              <w:numPr>
                <w:ilvl w:val="0"/>
                <w:numId w:val="18"/>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100m人员最远报警距离（以1.8米*0.5米为准）。</w:t>
            </w:r>
          </w:p>
          <w:p>
            <w:pPr>
              <w:pStyle w:val="119"/>
              <w:numPr>
                <w:ilvl w:val="0"/>
                <w:numId w:val="18"/>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1000m车辆最远报警距离（以4米*1.4米为准）。</w:t>
            </w:r>
          </w:p>
          <w:p>
            <w:pPr>
              <w:pStyle w:val="119"/>
              <w:numPr>
                <w:ilvl w:val="0"/>
                <w:numId w:val="18"/>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3000m火点最远探测距离（以2米*2米为准）。</w:t>
            </w:r>
          </w:p>
          <w:p>
            <w:pPr>
              <w:pStyle w:val="119"/>
              <w:numPr>
                <w:ilvl w:val="0"/>
                <w:numId w:val="18"/>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6000m烟雾最远探测距离（以5米*5米为准）。</w:t>
            </w:r>
          </w:p>
          <w:p>
            <w:pPr>
              <w:pStyle w:val="119"/>
              <w:numPr>
                <w:ilvl w:val="0"/>
                <w:numId w:val="18"/>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防护等级：IP66。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7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06"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5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三、配置交通卡口视频监控设备：</w:t>
            </w:r>
          </w:p>
          <w:p>
            <w:pPr>
              <w:pStyle w:val="119"/>
              <w:numPr>
                <w:ilvl w:val="0"/>
                <w:numId w:val="19"/>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多目标多摄网络摄像机32台</w:t>
            </w:r>
          </w:p>
          <w:p>
            <w:pPr>
              <w:pStyle w:val="119"/>
              <w:numPr>
                <w:ilvl w:val="0"/>
                <w:numId w:val="2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全结构化微卡口/智慧监控单元，包含摄像机、高清镜头、室外防护罩、LED下挂灯、风扇、电源适配器、安装万向节等。</w:t>
            </w:r>
          </w:p>
          <w:p>
            <w:pPr>
              <w:pStyle w:val="119"/>
              <w:numPr>
                <w:ilvl w:val="0"/>
                <w:numId w:val="2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IP65防护等级。</w:t>
            </w:r>
          </w:p>
          <w:p>
            <w:pPr>
              <w:pStyle w:val="119"/>
              <w:numPr>
                <w:ilvl w:val="0"/>
                <w:numId w:val="20"/>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全结构化视频分析模式智能识别，车辆（车牌识别、车身颜色识别、车型识别、车辆主子品牌识别）智能识别，非机动车（车型识别、特征识别）智能识别，行人（人体识别、人脸识别、特征识别）智能识别等。</w:t>
            </w:r>
          </w:p>
          <w:p>
            <w:pPr>
              <w:pStyle w:val="119"/>
              <w:numPr>
                <w:ilvl w:val="0"/>
                <w:numId w:val="19"/>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LED常亮灯32个</w:t>
            </w:r>
          </w:p>
          <w:p>
            <w:pPr>
              <w:pStyle w:val="119"/>
              <w:numPr>
                <w:ilvl w:val="0"/>
                <w:numId w:val="21"/>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LED灯，三车道补光，可通过RS485实现可调亮度。</w:t>
            </w:r>
          </w:p>
          <w:p>
            <w:pPr>
              <w:pStyle w:val="119"/>
              <w:numPr>
                <w:ilvl w:val="0"/>
                <w:numId w:val="21"/>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最佳补光距离：16米-25米。</w:t>
            </w:r>
          </w:p>
          <w:p>
            <w:pPr>
              <w:pStyle w:val="119"/>
              <w:numPr>
                <w:ilvl w:val="0"/>
                <w:numId w:val="21"/>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IP66光敏控制防护等级。</w:t>
            </w:r>
          </w:p>
          <w:p>
            <w:pPr>
              <w:pStyle w:val="119"/>
              <w:numPr>
                <w:ilvl w:val="0"/>
                <w:numId w:val="19"/>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信号、电源二合一避雷器32个。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7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06"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5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四、配置电子界桩设备：</w:t>
            </w:r>
          </w:p>
          <w:p>
            <w:pPr>
              <w:pStyle w:val="119"/>
              <w:numPr>
                <w:ilvl w:val="0"/>
                <w:numId w:val="22"/>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界桩防护一体机5个</w:t>
            </w:r>
          </w:p>
          <w:p>
            <w:pPr>
              <w:pStyle w:val="493"/>
              <w:numPr>
                <w:ilvl w:val="0"/>
                <w:numId w:val="23"/>
              </w:numPr>
              <w:spacing w:line="360" w:lineRule="auto"/>
              <w:ind w:firstLineChars="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支持通过雷达检测周界事件，支持雷达区域入侵、雷达越界侦测检测，可获取探测物体的距离、方向、角度等信息，支持目标定位，轨迹跟踪，具备快速标定功能，联动球机进行跟踪，跟踪过程中抓拍目标的人脸、人体或车辆图片，并进行关联输出。</w:t>
            </w:r>
          </w:p>
          <w:p>
            <w:pPr>
              <w:pStyle w:val="493"/>
              <w:numPr>
                <w:ilvl w:val="0"/>
                <w:numId w:val="23"/>
              </w:numPr>
              <w:spacing w:line="360" w:lineRule="auto"/>
              <w:ind w:firstLineChars="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具备二次复核功能，雷达检测到目标后，联动球机进行复核，通过融合算法进行判断，确认是入侵目标后，输出事件报警。</w:t>
            </w:r>
          </w:p>
          <w:p>
            <w:pPr>
              <w:pStyle w:val="493"/>
              <w:numPr>
                <w:ilvl w:val="0"/>
                <w:numId w:val="23"/>
              </w:numPr>
              <w:spacing w:line="360" w:lineRule="auto"/>
              <w:ind w:firstLineChars="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红外照射距离:200m。</w:t>
            </w:r>
          </w:p>
          <w:p>
            <w:pPr>
              <w:pStyle w:val="493"/>
              <w:numPr>
                <w:ilvl w:val="0"/>
                <w:numId w:val="23"/>
              </w:numPr>
              <w:spacing w:line="360" w:lineRule="auto"/>
              <w:ind w:firstLineChars="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报警灯:100m。</w:t>
            </w:r>
          </w:p>
          <w:p>
            <w:pPr>
              <w:pStyle w:val="493"/>
              <w:numPr>
                <w:ilvl w:val="0"/>
                <w:numId w:val="23"/>
              </w:numPr>
              <w:spacing w:line="360" w:lineRule="auto"/>
              <w:ind w:firstLineChars="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防护:IP67。</w:t>
            </w:r>
          </w:p>
          <w:p>
            <w:pPr>
              <w:pStyle w:val="493"/>
              <w:numPr>
                <w:ilvl w:val="0"/>
                <w:numId w:val="23"/>
              </w:numPr>
              <w:spacing w:line="360" w:lineRule="auto"/>
              <w:ind w:firstLineChars="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探测距离:人：不低于100米；车：不低于120米。</w:t>
            </w:r>
          </w:p>
          <w:p>
            <w:pPr>
              <w:pStyle w:val="493"/>
              <w:numPr>
                <w:ilvl w:val="0"/>
                <w:numId w:val="23"/>
              </w:numPr>
              <w:spacing w:line="360" w:lineRule="auto"/>
              <w:ind w:firstLineChars="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最大探测目标数:32个。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7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06"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5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五、森林生态环境监测系统设备</w:t>
            </w:r>
          </w:p>
          <w:p>
            <w:pPr>
              <w:pStyle w:val="119"/>
              <w:numPr>
                <w:ilvl w:val="0"/>
                <w:numId w:val="24"/>
              </w:numPr>
              <w:spacing w:line="360" w:lineRule="auto"/>
              <w:rPr>
                <w:rFonts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自动气象站2台：对种植园管理、环境监测、灌溉管理、病虫害防治等数据进行采集，通过移动通讯2G/3G网络，气象站可以实现无线数据传输，从而实现在办公室随时监控及获取野外气象站数据；支持超高清夜摄、超高速摄影等电影级摄影功能。</w:t>
            </w:r>
          </w:p>
          <w:p>
            <w:pPr>
              <w:pStyle w:val="119"/>
              <w:numPr>
                <w:ilvl w:val="0"/>
                <w:numId w:val="24"/>
              </w:numPr>
              <w:spacing w:line="360" w:lineRule="auto"/>
              <w:rPr>
                <w:rFonts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微型气象站2台：环境温度、湿度、风速、风向、气压、土壤温度、土壤湿度等数据采集，并对数据分析、记录、超限报警和数据通讯等功能。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8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7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06"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5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六、配置巡护终端设备130台</w:t>
            </w:r>
          </w:p>
          <w:p>
            <w:pPr>
              <w:pStyle w:val="119"/>
              <w:numPr>
                <w:ilvl w:val="0"/>
                <w:numId w:val="25"/>
              </w:numPr>
              <w:spacing w:line="360" w:lineRule="auto"/>
              <w:rPr>
                <w:rFonts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配备四摄；支持超高清夜摄、超高速摄影等电影级摄影功能。</w:t>
            </w:r>
          </w:p>
          <w:p>
            <w:pPr>
              <w:pStyle w:val="119"/>
              <w:numPr>
                <w:ilvl w:val="0"/>
                <w:numId w:val="25"/>
              </w:numPr>
              <w:spacing w:line="360" w:lineRule="auto"/>
              <w:rPr>
                <w:rFonts w:ascii="新宋体" w:hAnsi="新宋体" w:eastAsia="新宋体" w:cs="新宋体"/>
                <w:b w:val="0"/>
                <w:bCs/>
                <w:color w:val="auto"/>
                <w:szCs w:val="24"/>
                <w:highlight w:val="none"/>
              </w:rPr>
            </w:pPr>
            <w:r>
              <w:rPr>
                <w:rFonts w:hint="eastAsia" w:ascii="新宋体" w:hAnsi="新宋体" w:eastAsia="新宋体" w:cs="新宋体"/>
                <w:b w:val="0"/>
                <w:bCs/>
                <w:color w:val="auto"/>
                <w:szCs w:val="24"/>
                <w:highlight w:val="none"/>
              </w:rPr>
              <w:t>支持双卡双待，运行内存≥8GB，机身内存≥256GB，配备40-66W超级快充，27W无线超级快充，配备移动充电装置＞10000mAh。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四、数据中心服务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8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4</w:t>
            </w:r>
          </w:p>
        </w:tc>
        <w:tc>
          <w:tcPr>
            <w:tcW w:w="70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办公楼通信服务</w:t>
            </w:r>
          </w:p>
        </w:tc>
        <w:tc>
          <w:tcPr>
            <w:tcW w:w="606" w:type="pct"/>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提供中心办公楼网络连接、会议室语音、各管理站连接服务</w:t>
            </w:r>
          </w:p>
        </w:tc>
        <w:tc>
          <w:tcPr>
            <w:tcW w:w="65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1项</w:t>
            </w:r>
          </w:p>
        </w:tc>
        <w:tc>
          <w:tcPr>
            <w:tcW w:w="2743" w:type="pct"/>
            <w:tcBorders>
              <w:top w:val="single" w:color="auto" w:sz="4" w:space="0"/>
              <w:left w:val="single" w:color="auto" w:sz="4" w:space="0"/>
              <w:bottom w:val="single" w:color="auto" w:sz="4" w:space="0"/>
              <w:right w:val="single" w:color="auto" w:sz="4" w:space="0"/>
              <w:tl2br w:val="nil"/>
              <w:tr2bl w:val="nil"/>
            </w:tcBorders>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一、中心办公楼综合网络优化</w:t>
            </w:r>
          </w:p>
          <w:p>
            <w:pPr>
              <w:pStyle w:val="119"/>
              <w:numPr>
                <w:ilvl w:val="0"/>
                <w:numId w:val="26"/>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对管理中心办公楼互联网重新布线，优化传输方式，减少传输节点。</w:t>
            </w:r>
          </w:p>
          <w:p>
            <w:pPr>
              <w:pStyle w:val="119"/>
              <w:numPr>
                <w:ilvl w:val="0"/>
                <w:numId w:val="26"/>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对管理中心办公楼办公设备供电线路布线优化。</w:t>
            </w:r>
          </w:p>
          <w:p>
            <w:pPr>
              <w:pStyle w:val="119"/>
              <w:numPr>
                <w:ilvl w:val="0"/>
                <w:numId w:val="26"/>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调整设备位置，使布线、操作、使用更合理规范，优化音、视频线、电源线路。优化视频会议线路设备，优化监控线路。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7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06"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5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二、会议室语音功能（不低于设计文件要求）</w:t>
            </w:r>
          </w:p>
          <w:p>
            <w:pPr>
              <w:pStyle w:val="119"/>
              <w:numPr>
                <w:ilvl w:val="0"/>
                <w:numId w:val="2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具备16个2.5英寸全频扬声器单元的线阵列音柱，含机箱。</w:t>
            </w:r>
          </w:p>
          <w:p>
            <w:pPr>
              <w:pStyle w:val="119"/>
              <w:numPr>
                <w:ilvl w:val="0"/>
                <w:numId w:val="2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具有GB30话筒前置放大器和可为外部信号提供插入点的调音台。</w:t>
            </w:r>
          </w:p>
          <w:p>
            <w:pPr>
              <w:pStyle w:val="119"/>
              <w:numPr>
                <w:ilvl w:val="0"/>
                <w:numId w:val="2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8通道平衡输入、输出音频通道，自动混音；每个通道独立的自适应反馈抑制器的音频处理器。</w:t>
            </w:r>
          </w:p>
          <w:p>
            <w:pPr>
              <w:pStyle w:val="119"/>
              <w:numPr>
                <w:ilvl w:val="0"/>
                <w:numId w:val="2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支持48kHz音频采样频率，频率响应均可达30Hz~20kHz。</w:t>
            </w:r>
          </w:p>
          <w:p>
            <w:pPr>
              <w:pStyle w:val="119"/>
              <w:numPr>
                <w:ilvl w:val="0"/>
                <w:numId w:val="2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采用MCA-STREAM数字音频处理及传输技术。</w:t>
            </w:r>
          </w:p>
          <w:p>
            <w:pPr>
              <w:pStyle w:val="119"/>
              <w:numPr>
                <w:ilvl w:val="0"/>
                <w:numId w:val="27"/>
              </w:numPr>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独立调节增益和均衡（5段），可针对不同的发言者声音特点调节不同的音量和频响。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7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06" w:type="pct"/>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65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三、4个管理站的有线及无线网络覆盖和优化，包含监控、电话语音等设施。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9"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5</w:t>
            </w:r>
          </w:p>
        </w:tc>
        <w:tc>
          <w:tcPr>
            <w:tcW w:w="709"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电子沙盘升级服务</w:t>
            </w:r>
          </w:p>
        </w:tc>
        <w:tc>
          <w:tcPr>
            <w:tcW w:w="606"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电子沙盘升级</w:t>
            </w:r>
          </w:p>
        </w:tc>
        <w:tc>
          <w:tcPr>
            <w:tcW w:w="651"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1项</w:t>
            </w: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480"/>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充分利用原有硬件设备以及映像数据，根据雅长保护区地形地势（</w:t>
            </w:r>
            <w:r>
              <w:rPr>
                <w:rFonts w:hint="eastAsia" w:ascii="新宋体" w:hAnsi="新宋体" w:eastAsia="新宋体" w:cs="新宋体"/>
                <w:bCs/>
                <w:color w:val="auto"/>
                <w:sz w:val="24"/>
                <w:highlight w:val="none"/>
                <w:lang w:val="en-US" w:eastAsia="zh-CN"/>
              </w:rPr>
              <w:t>45秒</w:t>
            </w:r>
            <w:r>
              <w:rPr>
                <w:rFonts w:hint="eastAsia" w:ascii="新宋体" w:hAnsi="新宋体" w:eastAsia="新宋体" w:cs="新宋体"/>
                <w:bCs/>
                <w:color w:val="auto"/>
                <w:sz w:val="24"/>
                <w:highlight w:val="none"/>
              </w:rPr>
              <w:t>）、雅长保护区主要兰科植物分布（</w:t>
            </w:r>
            <w:r>
              <w:rPr>
                <w:rFonts w:hint="eastAsia" w:ascii="新宋体" w:hAnsi="新宋体" w:eastAsia="新宋体" w:cs="新宋体"/>
                <w:bCs/>
                <w:color w:val="auto"/>
                <w:sz w:val="24"/>
                <w:highlight w:val="none"/>
                <w:lang w:val="en-US" w:eastAsia="zh-CN"/>
              </w:rPr>
              <w:t>45秒</w:t>
            </w:r>
            <w:r>
              <w:rPr>
                <w:rFonts w:hint="eastAsia" w:ascii="新宋体" w:hAnsi="新宋体" w:eastAsia="新宋体" w:cs="新宋体"/>
                <w:bCs/>
                <w:color w:val="auto"/>
                <w:sz w:val="24"/>
                <w:highlight w:val="none"/>
              </w:rPr>
              <w:t>）、雅长保护区特色自然景观分布（</w:t>
            </w:r>
            <w:r>
              <w:rPr>
                <w:rFonts w:hint="eastAsia" w:ascii="新宋体" w:hAnsi="新宋体" w:eastAsia="新宋体" w:cs="新宋体"/>
                <w:bCs/>
                <w:color w:val="auto"/>
                <w:sz w:val="24"/>
                <w:highlight w:val="none"/>
                <w:lang w:val="en-US" w:eastAsia="zh-CN"/>
              </w:rPr>
              <w:t>45秒</w:t>
            </w:r>
            <w:r>
              <w:rPr>
                <w:rFonts w:hint="eastAsia" w:ascii="新宋体" w:hAnsi="新宋体" w:eastAsia="新宋体" w:cs="新宋体"/>
                <w:bCs/>
                <w:color w:val="auto"/>
                <w:sz w:val="24"/>
                <w:highlight w:val="none"/>
              </w:rPr>
              <w:t>）、雅长保护区基本概况（</w:t>
            </w:r>
            <w:r>
              <w:rPr>
                <w:rFonts w:hint="eastAsia" w:ascii="新宋体" w:hAnsi="新宋体" w:eastAsia="新宋体" w:cs="新宋体"/>
                <w:bCs/>
                <w:color w:val="auto"/>
                <w:sz w:val="24"/>
                <w:highlight w:val="none"/>
                <w:lang w:val="en-US" w:eastAsia="zh-CN"/>
              </w:rPr>
              <w:t>50秒</w:t>
            </w:r>
            <w:r>
              <w:rPr>
                <w:rFonts w:hint="eastAsia" w:ascii="新宋体" w:hAnsi="新宋体" w:eastAsia="新宋体" w:cs="新宋体"/>
                <w:bCs/>
                <w:color w:val="auto"/>
                <w:sz w:val="24"/>
                <w:highlight w:val="none"/>
              </w:rPr>
              <w:t>）、雅长保护区管理站基本概况（30秒）、雅长保护区辖区及巡护路线（30秒）脚本需求及解说词等，拍摄、制作电子沙盘展示脚本，并融合成L幕播放效果。脚本内容根据需求进行整体或者分屏展现，结合“多视角透视+折面融合技术”，实现墻幕与地幕“双屏合一”的全三维立体展示。内容展示可实现无缝放大缩小，充分展示规划脚本的各个板块和角度。在内容变化时，不需对载体进行拆除，只需更新软件即可。预留端口，可随时根据需求进行内容的增补删减，提高展项延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00" w:type="pct"/>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新宋体" w:hAnsi="新宋体" w:eastAsia="新宋体" w:cs="新宋体"/>
                <w:bCs/>
                <w:color w:val="auto"/>
                <w:sz w:val="24"/>
                <w:highlight w:val="none"/>
              </w:rPr>
            </w:pPr>
            <w:r>
              <w:rPr>
                <w:rFonts w:hint="eastAsia" w:ascii="新宋体" w:hAnsi="新宋体" w:eastAsia="新宋体" w:cs="新宋体"/>
                <w:b/>
                <w:bCs/>
                <w:color w:val="auto"/>
                <w:kern w:val="0"/>
                <w:sz w:val="24"/>
                <w:highlight w:val="none"/>
                <w:lang w:bidi="ar"/>
              </w:rPr>
              <w:t>五、其他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9" w:type="pct"/>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napToGrid w:val="0"/>
              <w:spacing w:line="360" w:lineRule="auto"/>
              <w:jc w:val="left"/>
              <w:textAlignment w:val="center"/>
              <w:rPr>
                <w:rFonts w:ascii="新宋体" w:hAnsi="新宋体" w:eastAsia="新宋体" w:cs="新宋体"/>
                <w:bCs/>
                <w:color w:val="auto"/>
                <w:sz w:val="24"/>
                <w:szCs w:val="18"/>
                <w:highlight w:val="none"/>
              </w:rPr>
            </w:pPr>
            <w:r>
              <w:rPr>
                <w:rFonts w:hint="eastAsia" w:ascii="新宋体" w:hAnsi="新宋体" w:eastAsia="新宋体" w:cs="新宋体"/>
                <w:bCs/>
                <w:color w:val="auto"/>
                <w:kern w:val="0"/>
                <w:sz w:val="24"/>
                <w:highlight w:val="none"/>
                <w:lang w:bidi="ar"/>
              </w:rPr>
              <w:t>6</w:t>
            </w:r>
          </w:p>
        </w:tc>
        <w:tc>
          <w:tcPr>
            <w:tcW w:w="1315"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jc w:val="center"/>
              <w:rPr>
                <w:rFonts w:ascii="新宋体" w:hAnsi="新宋体" w:eastAsia="新宋体" w:cs="新宋体"/>
                <w:b w:val="0"/>
                <w:bCs/>
                <w:color w:val="auto"/>
                <w:szCs w:val="18"/>
                <w:highlight w:val="none"/>
              </w:rPr>
            </w:pPr>
            <w:r>
              <w:rPr>
                <w:rFonts w:hint="eastAsia" w:ascii="新宋体" w:hAnsi="新宋体" w:eastAsia="新宋体" w:cs="新宋体"/>
                <w:color w:val="auto"/>
                <w:kern w:val="0"/>
                <w:szCs w:val="24"/>
                <w:highlight w:val="none"/>
                <w:lang w:bidi="ar"/>
              </w:rPr>
              <w:t>暂列费</w:t>
            </w:r>
          </w:p>
        </w:tc>
        <w:tc>
          <w:tcPr>
            <w:tcW w:w="651" w:type="pct"/>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napToGrid w:val="0"/>
              <w:spacing w:line="360" w:lineRule="auto"/>
              <w:jc w:val="center"/>
              <w:textAlignment w:val="center"/>
              <w:rPr>
                <w:rFonts w:ascii="新宋体" w:hAnsi="新宋体" w:eastAsia="新宋体" w:cs="新宋体"/>
                <w:bCs/>
                <w:color w:val="auto"/>
                <w:sz w:val="24"/>
                <w:szCs w:val="18"/>
                <w:highlight w:val="none"/>
              </w:rPr>
            </w:pPr>
            <w:r>
              <w:rPr>
                <w:rFonts w:hint="eastAsia" w:ascii="新宋体" w:hAnsi="新宋体" w:eastAsia="新宋体" w:cs="新宋体"/>
                <w:color w:val="auto"/>
                <w:kern w:val="0"/>
                <w:sz w:val="24"/>
                <w:highlight w:val="none"/>
                <w:lang w:bidi="ar"/>
              </w:rPr>
              <w:t>1项</w:t>
            </w:r>
          </w:p>
        </w:tc>
        <w:tc>
          <w:tcPr>
            <w:tcW w:w="2743" w:type="pct"/>
            <w:tcBorders>
              <w:top w:val="single" w:color="auto" w:sz="4" w:space="0"/>
              <w:left w:val="single" w:color="auto" w:sz="4" w:space="0"/>
              <w:bottom w:val="single" w:color="auto" w:sz="4" w:space="0"/>
              <w:right w:val="single" w:color="auto" w:sz="4" w:space="0"/>
              <w:tl2br w:val="nil"/>
              <w:tr2bl w:val="nil"/>
            </w:tcBorders>
            <w:vAlign w:val="center"/>
          </w:tcPr>
          <w:p>
            <w:pPr>
              <w:widowControl/>
              <w:topLinePunct/>
              <w:snapToGrid w:val="0"/>
              <w:spacing w:line="360" w:lineRule="auto"/>
              <w:jc w:val="left"/>
              <w:textAlignment w:val="center"/>
              <w:rPr>
                <w:rFonts w:ascii="新宋体" w:hAnsi="新宋体" w:eastAsia="新宋体" w:cs="新宋体"/>
                <w:bCs/>
                <w:color w:val="auto"/>
                <w:sz w:val="24"/>
                <w:highlight w:val="none"/>
              </w:rPr>
            </w:pPr>
            <w:r>
              <w:rPr>
                <w:rFonts w:hint="eastAsia" w:ascii="新宋体" w:hAnsi="新宋体" w:eastAsia="新宋体" w:cs="新宋体"/>
                <w:color w:val="auto"/>
                <w:kern w:val="0"/>
                <w:sz w:val="24"/>
                <w:highlight w:val="none"/>
                <w:lang w:bidi="ar"/>
              </w:rPr>
              <w:t>★1、本项目暂列费为￥48.50万元（固定报价），投标人不得改动。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000" w:type="pct"/>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w:t>
            </w:r>
          </w:p>
        </w:tc>
        <w:tc>
          <w:tcPr>
            <w:tcW w:w="975" w:type="pct"/>
            <w:gridSpan w:val="2"/>
            <w:tcBorders>
              <w:top w:val="single" w:color="auto" w:sz="4" w:space="0"/>
              <w:left w:val="nil"/>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合同签订时间</w:t>
            </w:r>
          </w:p>
        </w:tc>
        <w:tc>
          <w:tcPr>
            <w:tcW w:w="357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自中标通知书发出之日起25日内，中标供应商必须与采购人签署政府采购合同。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2</w:t>
            </w:r>
          </w:p>
        </w:tc>
        <w:tc>
          <w:tcPr>
            <w:tcW w:w="975" w:type="pct"/>
            <w:gridSpan w:val="2"/>
            <w:tcBorders>
              <w:top w:val="single" w:color="auto" w:sz="4" w:space="0"/>
              <w:left w:val="nil"/>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服务期限</w:t>
            </w:r>
          </w:p>
        </w:tc>
        <w:tc>
          <w:tcPr>
            <w:tcW w:w="357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合同有效期自项目通过交付使用验收之日起1年止。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★3</w:t>
            </w:r>
          </w:p>
        </w:tc>
        <w:tc>
          <w:tcPr>
            <w:tcW w:w="975" w:type="pct"/>
            <w:gridSpan w:val="2"/>
            <w:tcBorders>
              <w:top w:val="single" w:color="auto" w:sz="4" w:space="0"/>
              <w:left w:val="nil"/>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交付使用时间</w:t>
            </w:r>
          </w:p>
        </w:tc>
        <w:tc>
          <w:tcPr>
            <w:tcW w:w="357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采购合同签订后240日内完成交付使用。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4</w:t>
            </w:r>
          </w:p>
        </w:tc>
        <w:tc>
          <w:tcPr>
            <w:tcW w:w="975" w:type="pct"/>
            <w:gridSpan w:val="2"/>
            <w:tcBorders>
              <w:top w:val="single" w:color="auto" w:sz="4" w:space="0"/>
              <w:left w:val="nil"/>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交付地点</w:t>
            </w:r>
          </w:p>
        </w:tc>
        <w:tc>
          <w:tcPr>
            <w:tcW w:w="357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广西雅长兰科植物国家级自然保护区采购人指定地点。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★5</w:t>
            </w:r>
          </w:p>
        </w:tc>
        <w:tc>
          <w:tcPr>
            <w:tcW w:w="975" w:type="pct"/>
            <w:gridSpan w:val="2"/>
            <w:tcBorders>
              <w:top w:val="single" w:color="auto" w:sz="4" w:space="0"/>
              <w:left w:val="nil"/>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售后服务要求</w:t>
            </w:r>
          </w:p>
        </w:tc>
        <w:tc>
          <w:tcPr>
            <w:tcW w:w="357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1.设备运维服务：运维期限从设备安装调试完毕并经验收合格交付使用之日起一年，运维费用包含在项目总费用。常态化系统维护方案包括：</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（1）平台运维维护：每月对系统平台进行运行检查，排除系统运行产生的冗余数据等问题，确保系统正常运行。</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（2）网络运维服务：每季度对通信基站设备进行巡检，排除光缆和电缆破损、设备掉落等影响网络传输的情况发生。</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（3）终端运维维护：维护人员每季度对应用终端进行至少一次全面的现场巡查、保养和维护，根据巡查结果对设备进行校准，保证设备正常使用。</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2.供应商具备稳定的团队人员并具备专业素养，提供7×24小时本地化技术服务支持。投标时提供服务联系人姓名、电话、详细地址等信息。</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3.故障响应及处理时限：</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若设备发生损坏，中标供应商应在1小时内电话服务应答，8小时内赶往现场，24小时内解决问题，如果24小时内无法修复的，中标供应商必须提供必要的零配件或备件进行替换，以免影响整套系统的正常运行；</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（2）中标供应商能提供7×24小时通过远程、上门服务、电话、E-mail等方式为用户提供完善的售后技术咨询服务；</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4.在服务期内设备非因人为及不可抗拒因素的原因而引起损坏或质量问题，中标供应商应免费予以技术服务、维修或设备更换，并承担相应费用和零部件的费用。</w:t>
            </w:r>
          </w:p>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5.对采购单位人员针对常见问题进行系统的指导、培训服务。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★6</w:t>
            </w:r>
          </w:p>
        </w:tc>
        <w:tc>
          <w:tcPr>
            <w:tcW w:w="975" w:type="pct"/>
            <w:gridSpan w:val="2"/>
            <w:tcBorders>
              <w:top w:val="single" w:color="auto" w:sz="4" w:space="0"/>
              <w:left w:val="nil"/>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投标报价</w:t>
            </w:r>
          </w:p>
        </w:tc>
        <w:tc>
          <w:tcPr>
            <w:tcW w:w="357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1.投标报价中应包含项服务标准附件、备品备件、专用工具、设备安装、施工辅材、包装、运输、装卸、保险、货到就位的各种费用以及安装、调试、税金、售后服务、技术培训服务成本。</w:t>
            </w:r>
          </w:p>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2.投标人负责工人人身、设备安全责任，验收前，设备丢失自行负责。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7</w:t>
            </w:r>
          </w:p>
        </w:tc>
        <w:tc>
          <w:tcPr>
            <w:tcW w:w="975" w:type="pct"/>
            <w:gridSpan w:val="2"/>
            <w:tcBorders>
              <w:top w:val="single" w:color="auto" w:sz="4" w:space="0"/>
              <w:left w:val="nil"/>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付款条件</w:t>
            </w:r>
          </w:p>
        </w:tc>
        <w:tc>
          <w:tcPr>
            <w:tcW w:w="357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本项目根据采购需求完成情况分项支付款项，中标供应商需先向采购人申请后开具每次付款金额的等额发票给采购人。</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（1）中标供应商在完成应用软件开发方案编制及供货清单（</w:t>
            </w:r>
            <w:r>
              <w:rPr>
                <w:rFonts w:hint="eastAsia" w:ascii="新宋体" w:hAnsi="新宋体" w:eastAsia="新宋体" w:cs="新宋体"/>
                <w:b w:val="0"/>
                <w:bCs/>
                <w:color w:val="auto"/>
                <w:szCs w:val="18"/>
                <w:highlight w:val="none"/>
                <w:lang w:eastAsia="zh-CN"/>
              </w:rPr>
              <w:t>但</w:t>
            </w:r>
            <w:r>
              <w:rPr>
                <w:rFonts w:hint="eastAsia" w:ascii="新宋体" w:hAnsi="新宋体" w:eastAsia="新宋体" w:cs="新宋体"/>
                <w:b w:val="0"/>
                <w:bCs/>
                <w:color w:val="auto"/>
                <w:szCs w:val="18"/>
                <w:highlight w:val="none"/>
              </w:rPr>
              <w:t>具体详细配置不</w:t>
            </w:r>
            <w:r>
              <w:rPr>
                <w:rFonts w:hint="eastAsia" w:ascii="新宋体" w:hAnsi="新宋体" w:eastAsia="新宋体" w:cs="新宋体"/>
                <w:b w:val="0"/>
                <w:bCs/>
                <w:color w:val="auto"/>
                <w:szCs w:val="18"/>
                <w:highlight w:val="none"/>
                <w:lang w:eastAsia="zh-CN"/>
              </w:rPr>
              <w:t>得</w:t>
            </w:r>
            <w:r>
              <w:rPr>
                <w:rFonts w:hint="eastAsia" w:ascii="新宋体" w:hAnsi="新宋体" w:eastAsia="新宋体" w:cs="新宋体"/>
                <w:b w:val="0"/>
                <w:bCs/>
                <w:color w:val="auto"/>
                <w:szCs w:val="18"/>
                <w:highlight w:val="none"/>
              </w:rPr>
              <w:t>低于</w:t>
            </w:r>
            <w:r>
              <w:rPr>
                <w:rFonts w:hint="eastAsia" w:ascii="新宋体" w:hAnsi="新宋体" w:eastAsia="新宋体" w:cs="新宋体"/>
                <w:b w:val="0"/>
                <w:bCs/>
                <w:color w:val="auto"/>
                <w:szCs w:val="18"/>
                <w:highlight w:val="none"/>
                <w:lang w:eastAsia="zh-CN"/>
              </w:rPr>
              <w:t>经采购人最终确定的</w:t>
            </w:r>
            <w:r>
              <w:rPr>
                <w:rFonts w:hint="eastAsia" w:ascii="新宋体" w:hAnsi="新宋体" w:eastAsia="新宋体" w:cs="新宋体"/>
                <w:b w:val="0"/>
                <w:bCs/>
                <w:color w:val="auto"/>
                <w:szCs w:val="18"/>
                <w:highlight w:val="none"/>
              </w:rPr>
              <w:t>设计文件要求）并通过评审验收后的</w:t>
            </w:r>
            <w:r>
              <w:rPr>
                <w:rFonts w:ascii="新宋体" w:hAnsi="新宋体" w:eastAsia="新宋体" w:cs="新宋体"/>
                <w:b w:val="0"/>
                <w:bCs/>
                <w:color w:val="auto"/>
                <w:szCs w:val="18"/>
                <w:highlight w:val="none"/>
              </w:rPr>
              <w:t>15个工作日内，采购人向中标供应商支付合同金额的20%</w:t>
            </w:r>
            <w:r>
              <w:rPr>
                <w:rFonts w:hint="eastAsia" w:ascii="新宋体" w:hAnsi="新宋体" w:eastAsia="新宋体" w:cs="新宋体"/>
                <w:b w:val="0"/>
                <w:bCs/>
                <w:color w:val="auto"/>
                <w:szCs w:val="18"/>
                <w:highlight w:val="none"/>
              </w:rPr>
              <w:t>，中标人缴纳5%项目质保金；</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（2）数据中心设备、监测终端设备到货验收后的15个工作日内，采购人向中标供应商支付至合同金额的60%；</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（3）所有服务需求</w:t>
            </w:r>
            <w:r>
              <w:rPr>
                <w:rFonts w:ascii="新宋体" w:hAnsi="新宋体" w:eastAsia="新宋体" w:cs="新宋体"/>
                <w:b w:val="0"/>
                <w:bCs/>
                <w:color w:val="auto"/>
                <w:szCs w:val="18"/>
                <w:highlight w:val="none"/>
              </w:rPr>
              <w:t>(数据中心建设、软件平台研发、监测设备安装、通信网络覆盖等)现实互联互通并投入使用，且通过采购人验收后的15个工作日内，采购人向中标供应商支付至合同金额的100%；</w:t>
            </w:r>
          </w:p>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（4）服务期到期后30个工作日内向中标人退还项目质保金（无息）。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8</w:t>
            </w:r>
          </w:p>
        </w:tc>
        <w:tc>
          <w:tcPr>
            <w:tcW w:w="975" w:type="pct"/>
            <w:gridSpan w:val="2"/>
            <w:tcBorders>
              <w:top w:val="single" w:color="auto" w:sz="4" w:space="0"/>
              <w:left w:val="nil"/>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lang w:bidi="ar"/>
              </w:rPr>
            </w:pPr>
            <w:r>
              <w:rPr>
                <w:rFonts w:hint="eastAsia" w:ascii="新宋体" w:hAnsi="新宋体" w:eastAsia="新宋体" w:cs="新宋体"/>
                <w:b w:val="0"/>
                <w:bCs/>
                <w:color w:val="auto"/>
                <w:szCs w:val="18"/>
                <w:highlight w:val="none"/>
              </w:rPr>
              <w:t>其他要求</w:t>
            </w:r>
          </w:p>
        </w:tc>
        <w:tc>
          <w:tcPr>
            <w:tcW w:w="357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1.投标人在投标文件中提供详细的项目服务实施方案和售后服务方案。</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2.投标时投标人提供承诺书，承诺在合同签订后15日内（日历日），采购人有权要求中标供应商提供详细合理的施工图纸，施工组织计划，如无法提供，采购人将依法报告相关部门，由此引发的费用及其他经济损失全部由中标供应商承担，采购人将根据国家相关法律法规追究中标供应商虚假应标的相关责任。</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3.投标人须在投标文件中提供工程进度承诺函（附工程进度表），承诺在采购合同签订后240日历天内供货并安装调试完毕，否则采购人有权追究其违约责任并解除合同，由此造成的损失由中标供应商自行承担，未在投标文件中提供承诺函的，其投标无效。</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4.服务期结束前</w:t>
            </w:r>
            <w:r>
              <w:rPr>
                <w:rFonts w:ascii="新宋体" w:hAnsi="新宋体" w:eastAsia="新宋体" w:cs="新宋体"/>
                <w:b w:val="0"/>
                <w:bCs/>
                <w:color w:val="auto"/>
                <w:szCs w:val="18"/>
                <w:highlight w:val="none"/>
              </w:rPr>
              <w:t>3</w:t>
            </w:r>
            <w:r>
              <w:rPr>
                <w:rFonts w:hint="eastAsia" w:ascii="新宋体" w:hAnsi="新宋体" w:eastAsia="新宋体" w:cs="新宋体"/>
                <w:b w:val="0"/>
                <w:bCs/>
                <w:color w:val="auto"/>
                <w:szCs w:val="18"/>
                <w:highlight w:val="none"/>
              </w:rPr>
              <w:t>个月，双方签订备忘录明确数据中心硬件设备、平台系统软件、监控设备终端及平台系统源代码交接及后续运维等事宜。</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5.中标供应商要严格遵守保护区的相关管理条例，在不破坏保护区植被的前提下开展项目实施，严禁杜绝烟火，防止森林火灾等灾害发生，如因中标供应商不遵守相关要求而引发事故的，由此造成的后果由中标供应商自行承担，必要时将追究中标供应商的相关法律责任。</w:t>
            </w:r>
          </w:p>
          <w:p>
            <w:pPr>
              <w:pStyle w:val="119"/>
              <w:spacing w:line="360" w:lineRule="auto"/>
              <w:rPr>
                <w:rFonts w:ascii="新宋体" w:hAnsi="新宋体" w:eastAsia="新宋体" w:cs="新宋体"/>
                <w:b w:val="0"/>
                <w:bCs/>
                <w:color w:val="auto"/>
                <w:szCs w:val="18"/>
                <w:highlight w:val="none"/>
              </w:rPr>
            </w:pPr>
            <w:r>
              <w:rPr>
                <w:rFonts w:hint="eastAsia" w:ascii="新宋体" w:hAnsi="新宋体" w:eastAsia="新宋体" w:cs="新宋体"/>
                <w:b w:val="0"/>
                <w:bCs/>
                <w:color w:val="auto"/>
                <w:szCs w:val="18"/>
                <w:highlight w:val="none"/>
              </w:rPr>
              <w:t>6.投标人认为需要充分了解项目现场情况及深度了解本项目核心要求以及其他可能影响投标的，可自行前往现场勘查。投标人自行承担现场勘查所发生的自身费用并承担现场勘查的责任和风险（疫情期间请到场勘察人员做好疫情防控工作）。</w:t>
            </w:r>
          </w:p>
          <w:p>
            <w:pPr>
              <w:pStyle w:val="2"/>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★7.投标人投标时须在投标文件中提供承诺书</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lang w:eastAsia="zh-CN"/>
              </w:rPr>
              <w:t>承诺</w:t>
            </w:r>
            <w:r>
              <w:rPr>
                <w:rFonts w:hint="eastAsia" w:ascii="新宋体" w:hAnsi="新宋体" w:eastAsia="新宋体" w:cs="新宋体"/>
                <w:color w:val="auto"/>
                <w:sz w:val="24"/>
                <w:szCs w:val="24"/>
                <w:highlight w:val="none"/>
                <w:lang w:val="en-US" w:eastAsia="zh-CN"/>
              </w:rPr>
              <w:t>本次投标的</w:t>
            </w:r>
            <w:r>
              <w:rPr>
                <w:rFonts w:hint="eastAsia" w:ascii="新宋体" w:hAnsi="新宋体" w:eastAsia="新宋体" w:cs="新宋体"/>
                <w:color w:val="auto"/>
                <w:sz w:val="24"/>
                <w:szCs w:val="24"/>
                <w:highlight w:val="none"/>
              </w:rPr>
              <w:t>投标报价表包含但不限于清单表（见附件1）内容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lang w:eastAsia="zh-CN"/>
              </w:rPr>
              <w:t>承诺若中标</w:t>
            </w:r>
            <w:r>
              <w:rPr>
                <w:rFonts w:hint="eastAsia" w:ascii="新宋体" w:hAnsi="新宋体" w:eastAsia="新宋体" w:cs="新宋体"/>
                <w:color w:val="auto"/>
                <w:sz w:val="24"/>
                <w:szCs w:val="24"/>
                <w:highlight w:val="none"/>
              </w:rPr>
              <w:t>具体详细配置不低于</w:t>
            </w:r>
            <w:r>
              <w:rPr>
                <w:rFonts w:hint="eastAsia" w:ascii="新宋体" w:hAnsi="新宋体" w:eastAsia="新宋体" w:cs="新宋体"/>
                <w:color w:val="auto"/>
                <w:sz w:val="24"/>
                <w:szCs w:val="24"/>
                <w:highlight w:val="none"/>
                <w:lang w:eastAsia="zh-CN"/>
              </w:rPr>
              <w:t>经采购人最终确定的</w:t>
            </w:r>
            <w:r>
              <w:rPr>
                <w:rFonts w:hint="eastAsia" w:ascii="新宋体" w:hAnsi="新宋体" w:eastAsia="新宋体" w:cs="新宋体"/>
                <w:color w:val="auto"/>
                <w:sz w:val="24"/>
                <w:szCs w:val="24"/>
                <w:highlight w:val="none"/>
              </w:rPr>
              <w:t>设计文件要求</w:t>
            </w:r>
            <w:r>
              <w:rPr>
                <w:rFonts w:hint="eastAsia" w:ascii="新宋体" w:hAnsi="新宋体" w:eastAsia="新宋体" w:cs="新宋体"/>
                <w:color w:val="auto"/>
                <w:sz w:val="24"/>
                <w:szCs w:val="24"/>
                <w:highlight w:val="none"/>
                <w:lang w:eastAsia="zh-CN"/>
              </w:rPr>
              <w:t>。</w:t>
            </w:r>
          </w:p>
        </w:tc>
      </w:tr>
    </w:tbl>
    <w:p>
      <w:pPr>
        <w:pStyle w:val="2"/>
        <w:spacing w:line="360" w:lineRule="auto"/>
        <w:rPr>
          <w:color w:val="auto"/>
          <w:highlight w:val="none"/>
        </w:rPr>
      </w:pPr>
    </w:p>
    <w:p>
      <w:pPr>
        <w:snapToGrid w:val="0"/>
        <w:spacing w:line="360" w:lineRule="auto"/>
        <w:rPr>
          <w:color w:val="auto"/>
          <w:highlight w:val="none"/>
        </w:rPr>
        <w:sectPr>
          <w:pgSz w:w="11906" w:h="16838"/>
          <w:pgMar w:top="1440" w:right="1274" w:bottom="1440" w:left="1276" w:header="794" w:footer="850" w:gutter="0"/>
          <w:cols w:space="720" w:num="1"/>
          <w:titlePg/>
          <w:docGrid w:linePitch="312" w:charSpace="0"/>
        </w:sectPr>
      </w:pPr>
    </w:p>
    <w:p>
      <w:pPr>
        <w:pStyle w:val="49"/>
        <w:snapToGrid w:val="0"/>
        <w:spacing w:line="360" w:lineRule="auto"/>
        <w:rPr>
          <w:rFonts w:ascii="宋体" w:hAnsi="宋体" w:cs="宋体"/>
          <w:color w:val="auto"/>
          <w:highlight w:val="none"/>
        </w:rPr>
      </w:pPr>
      <w:bookmarkStart w:id="28" w:name="_Toc14640"/>
      <w:r>
        <w:rPr>
          <w:rFonts w:hint="eastAsia" w:ascii="宋体" w:hAnsi="宋体" w:cs="宋体"/>
          <w:color w:val="auto"/>
          <w:highlight w:val="none"/>
        </w:rPr>
        <w:t>第三章投标人须知</w:t>
      </w:r>
      <w:bookmarkEnd w:id="6"/>
      <w:bookmarkEnd w:id="7"/>
      <w:bookmarkEnd w:id="8"/>
      <w:bookmarkEnd w:id="9"/>
      <w:bookmarkEnd w:id="10"/>
      <w:bookmarkEnd w:id="28"/>
    </w:p>
    <w:p>
      <w:pPr>
        <w:snapToGrid w:val="0"/>
        <w:spacing w:line="360" w:lineRule="auto"/>
        <w:ind w:left="238"/>
        <w:jc w:val="center"/>
        <w:rPr>
          <w:rFonts w:ascii="宋体" w:hAnsi="宋体" w:cs="宋体"/>
          <w:b/>
          <w:color w:val="auto"/>
          <w:szCs w:val="28"/>
          <w:highlight w:val="none"/>
        </w:rPr>
      </w:pPr>
      <w:bookmarkStart w:id="29" w:name="_Toc254970526"/>
      <w:bookmarkStart w:id="30" w:name="_Toc254970667"/>
    </w:p>
    <w:p>
      <w:pPr>
        <w:snapToGrid w:val="0"/>
        <w:spacing w:line="360" w:lineRule="auto"/>
        <w:ind w:left="238"/>
        <w:jc w:val="center"/>
        <w:rPr>
          <w:rFonts w:ascii="宋体" w:hAnsi="宋体" w:cs="宋体"/>
          <w:b/>
          <w:color w:val="auto"/>
          <w:sz w:val="24"/>
          <w:highlight w:val="none"/>
        </w:rPr>
      </w:pPr>
      <w:bookmarkStart w:id="31" w:name="_Toc400465695"/>
      <w:bookmarkStart w:id="32" w:name="_Toc445223662"/>
      <w:bookmarkStart w:id="33" w:name="_Toc483327792"/>
      <w:bookmarkStart w:id="34" w:name="_Toc293863035"/>
      <w:bookmarkStart w:id="35" w:name="_Toc482865303"/>
      <w:bookmarkStart w:id="36" w:name="_Toc448421123"/>
      <w:bookmarkStart w:id="37" w:name="_Toc482865133"/>
      <w:bookmarkStart w:id="38" w:name="_Toc482864532"/>
      <w:bookmarkStart w:id="39" w:name="_Toc293863302"/>
      <w:bookmarkStart w:id="40" w:name="_Toc57024400"/>
      <w:bookmarkStart w:id="41" w:name="_Toc308018659"/>
      <w:r>
        <w:rPr>
          <w:rFonts w:hint="eastAsia" w:ascii="宋体" w:hAnsi="宋体" w:cs="宋体"/>
          <w:b/>
          <w:color w:val="auto"/>
          <w:sz w:val="24"/>
          <w:highlight w:val="none"/>
        </w:rPr>
        <w:t>前附表</w:t>
      </w:r>
      <w:bookmarkEnd w:id="29"/>
      <w:bookmarkEnd w:id="30"/>
      <w:bookmarkEnd w:id="31"/>
      <w:bookmarkEnd w:id="32"/>
      <w:bookmarkEnd w:id="33"/>
      <w:bookmarkEnd w:id="34"/>
      <w:bookmarkEnd w:id="35"/>
      <w:bookmarkEnd w:id="36"/>
      <w:bookmarkEnd w:id="37"/>
      <w:bookmarkEnd w:id="38"/>
      <w:bookmarkEnd w:id="39"/>
      <w:bookmarkEnd w:id="40"/>
      <w:bookmarkEnd w:id="41"/>
    </w:p>
    <w:tbl>
      <w:tblPr>
        <w:tblStyle w:val="53"/>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8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广西雅长兰科植物国家级自然保护区智慧管理平台建设（监测与宣教二期）项目</w:t>
            </w:r>
            <w:r>
              <w:rPr>
                <w:rFonts w:hint="eastAsia" w:ascii="宋体" w:hAnsi="宋体" w:cs="宋体"/>
                <w:color w:val="auto"/>
                <w:sz w:val="24"/>
                <w:highlight w:val="none"/>
              </w:rPr>
              <w:t>）</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GXZC2021-G3-003416-GXYZ</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1、本项目投标应以人民币报价；</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保证金应按《公开招标公告》第六条规定交纳。投标人必须在投标文件中附上银行回执单复印件。项目评审时，评标委员会根据广西邕政采购代理有限公司出具的《项目投标保证金到帐信息表》查验投标保证金缴纳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813" w:type="dxa"/>
            <w:tcBorders>
              <w:top w:val="single" w:color="auto" w:sz="4" w:space="0"/>
              <w:left w:val="single" w:color="auto" w:sz="4" w:space="0"/>
              <w:bottom w:val="single" w:color="auto" w:sz="4" w:space="0"/>
              <w:right w:val="single" w:color="auto" w:sz="4" w:space="0"/>
            </w:tcBorders>
            <w:noWrap/>
            <w:vAlign w:val="center"/>
          </w:tcPr>
          <w:p>
            <w:pPr>
              <w:pStyle w:val="47"/>
              <w:snapToGrid w:val="0"/>
              <w:spacing w:beforeAutospacing="0" w:afterAutospacing="0" w:line="360" w:lineRule="auto"/>
              <w:rPr>
                <w:rFonts w:asciiTheme="majorEastAsia" w:hAnsiTheme="majorEastAsia" w:eastAsiaTheme="majorEastAsia"/>
                <w:color w:val="auto"/>
                <w:highlight w:val="none"/>
              </w:rPr>
            </w:pPr>
            <w:r>
              <w:rPr>
                <w:rFonts w:hint="eastAsia" w:ascii="宋体" w:hAnsi="宋体" w:cs="宋体"/>
                <w:color w:val="auto"/>
                <w:highlight w:val="none"/>
              </w:rPr>
              <w:t>1、</w:t>
            </w:r>
            <w:r>
              <w:rPr>
                <w:rFonts w:hint="eastAsia" w:asciiTheme="majorEastAsia" w:hAnsiTheme="majorEastAsia" w:eastAsiaTheme="majorEastAsia"/>
                <w:color w:val="auto"/>
                <w:highlight w:val="none"/>
              </w:rPr>
              <w:t>投标保证金人民币：</w:t>
            </w:r>
            <w:r>
              <w:rPr>
                <w:rFonts w:hint="eastAsia" w:asciiTheme="majorEastAsia" w:hAnsiTheme="majorEastAsia" w:eastAsiaTheme="majorEastAsia"/>
                <w:color w:val="auto"/>
                <w:highlight w:val="none"/>
                <w:lang w:eastAsia="zh-CN"/>
              </w:rPr>
              <w:t>伍</w:t>
            </w:r>
            <w:r>
              <w:rPr>
                <w:rFonts w:hint="eastAsia" w:asciiTheme="majorEastAsia" w:hAnsiTheme="majorEastAsia" w:eastAsiaTheme="majorEastAsia"/>
                <w:color w:val="auto"/>
                <w:highlight w:val="none"/>
              </w:rPr>
              <w:t>万元整（¥</w:t>
            </w:r>
            <w:r>
              <w:rPr>
                <w:rFonts w:hint="eastAsia" w:asciiTheme="majorEastAsia" w:hAnsiTheme="majorEastAsia" w:eastAsiaTheme="majorEastAsia"/>
                <w:color w:val="auto"/>
                <w:highlight w:val="none"/>
                <w:lang w:val="en-US" w:eastAsia="zh-CN"/>
              </w:rPr>
              <w:t>5</w:t>
            </w:r>
            <w:r>
              <w:rPr>
                <w:rFonts w:hint="eastAsia" w:asciiTheme="majorEastAsia" w:hAnsiTheme="majorEastAsia" w:eastAsiaTheme="majorEastAsia"/>
                <w:color w:val="auto"/>
                <w:highlight w:val="none"/>
              </w:rPr>
              <w:t>0000.00元） （须足额缴纳，否则投标无效）</w:t>
            </w:r>
          </w:p>
          <w:p>
            <w:pPr>
              <w:pStyle w:val="47"/>
              <w:snapToGrid w:val="0"/>
              <w:spacing w:beforeAutospacing="0" w:afterAutospacing="0" w:line="360" w:lineRule="auto"/>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投标人应于投标截止时间前将投标保证金从基本帐户以转账或电汇存入形式交至以下账户：</w:t>
            </w:r>
          </w:p>
          <w:p>
            <w:pPr>
              <w:pStyle w:val="47"/>
              <w:snapToGrid w:val="0"/>
              <w:spacing w:beforeAutospacing="0" w:afterAutospacing="0" w:line="360" w:lineRule="auto"/>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开户名称：广西邕政采购代理有限公司</w:t>
            </w:r>
          </w:p>
          <w:p>
            <w:pPr>
              <w:pStyle w:val="47"/>
              <w:snapToGrid w:val="0"/>
              <w:spacing w:beforeAutospacing="0" w:afterAutospacing="0" w:line="360" w:lineRule="auto"/>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开户银行：交通银行南宁东葛西支行</w:t>
            </w:r>
          </w:p>
          <w:p>
            <w:pPr>
              <w:pStyle w:val="47"/>
              <w:snapToGrid w:val="0"/>
              <w:spacing w:beforeAutospacing="0" w:afterAutospacing="0" w:line="360" w:lineRule="auto"/>
              <w:ind w:firstLine="480" w:firstLineChars="200"/>
              <w:rPr>
                <w:rFonts w:ascii="宋体" w:hAnsi="宋体"/>
                <w:color w:val="auto"/>
                <w:highlight w:val="none"/>
              </w:rPr>
            </w:pPr>
            <w:r>
              <w:rPr>
                <w:rFonts w:hint="eastAsia" w:asciiTheme="majorEastAsia" w:hAnsiTheme="majorEastAsia" w:eastAsiaTheme="majorEastAsia"/>
                <w:color w:val="auto"/>
                <w:highlight w:val="none"/>
              </w:rPr>
              <w:t>账号：451060702018160082066</w:t>
            </w:r>
          </w:p>
          <w:p>
            <w:pPr>
              <w:widowControl/>
              <w:shd w:val="clear" w:color="auto" w:fill="FFFFFF"/>
              <w:snapToGrid w:val="0"/>
              <w:spacing w:line="360" w:lineRule="auto"/>
              <w:rPr>
                <w:rFonts w:ascii="宋体" w:hAnsi="宋体"/>
                <w:color w:val="auto"/>
                <w:sz w:val="24"/>
                <w:highlight w:val="none"/>
              </w:rPr>
            </w:pPr>
            <w:r>
              <w:rPr>
                <w:rFonts w:hint="eastAsia" w:ascii="宋体" w:hAnsi="宋体"/>
                <w:color w:val="auto"/>
                <w:sz w:val="24"/>
                <w:highlight w:val="none"/>
              </w:rPr>
              <w:t>注：①本项目不接受现金形式或从个人账户转出的投标保证金。</w:t>
            </w:r>
          </w:p>
          <w:p>
            <w:pPr>
              <w:widowControl/>
              <w:shd w:val="clear" w:color="auto" w:fill="FFFFFF"/>
              <w:snapToGrid w:val="0"/>
              <w:spacing w:line="360" w:lineRule="auto"/>
              <w:rPr>
                <w:rFonts w:ascii="宋体" w:hAnsi="宋体"/>
                <w:color w:val="auto"/>
                <w:sz w:val="24"/>
                <w:highlight w:val="none"/>
              </w:rPr>
            </w:pPr>
            <w:r>
              <w:rPr>
                <w:rFonts w:hint="eastAsia" w:ascii="宋体" w:hAnsi="宋体"/>
                <w:color w:val="auto"/>
                <w:sz w:val="24"/>
                <w:highlight w:val="none"/>
              </w:rPr>
              <w:t>②办理投标保证金手续时，请务必在保证金缴纳凭据上注明或写明项目名称及项目编号，以免耽误投标。</w:t>
            </w:r>
          </w:p>
          <w:p>
            <w:pPr>
              <w:widowControl/>
              <w:shd w:val="clear" w:color="auto" w:fill="FFFFFF"/>
              <w:snapToGrid w:val="0"/>
              <w:spacing w:line="360" w:lineRule="auto"/>
              <w:rPr>
                <w:rFonts w:ascii="宋体" w:hAnsi="宋体"/>
                <w:color w:val="auto"/>
                <w:sz w:val="24"/>
                <w:highlight w:val="none"/>
              </w:rPr>
            </w:pPr>
            <w:r>
              <w:rPr>
                <w:rFonts w:hint="eastAsia" w:ascii="宋体" w:hAnsi="宋体"/>
                <w:color w:val="auto"/>
                <w:sz w:val="24"/>
                <w:highlight w:val="none"/>
              </w:rPr>
              <w:t>③未中标供应商的投标保证金在中标通知书发出后五个工作日内退还，不计利息。</w:t>
            </w:r>
          </w:p>
          <w:p>
            <w:pPr>
              <w:snapToGrid w:val="0"/>
              <w:spacing w:line="360" w:lineRule="auto"/>
              <w:rPr>
                <w:rFonts w:ascii="宋体" w:hAnsi="宋体"/>
                <w:color w:val="auto"/>
                <w:sz w:val="24"/>
                <w:highlight w:val="none"/>
              </w:rPr>
            </w:pPr>
            <w:r>
              <w:rPr>
                <w:rFonts w:hint="eastAsia" w:ascii="宋体" w:hAnsi="宋体" w:cs="宋体"/>
                <w:color w:val="auto"/>
                <w:sz w:val="24"/>
                <w:highlight w:val="none"/>
              </w:rPr>
              <w:t>④</w:t>
            </w:r>
            <w:r>
              <w:rPr>
                <w:rFonts w:hint="eastAsia" w:ascii="宋体" w:hAnsi="宋体"/>
                <w:color w:val="auto"/>
                <w:sz w:val="24"/>
                <w:highlight w:val="none"/>
              </w:rPr>
              <w:t>中标供应商的投标保证金自政府采购合同签订之日起五个工作日内（合同签订后送达采购代理机构)后退还，不计利息。</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2、财务部联系电话：0771-2858929。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现场踏勘：详见采购需求。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现场演示：需要。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答疑、澄清：投标人如认为招标文件表述不清晰、</w:t>
            </w:r>
            <w:r>
              <w:rPr>
                <w:rFonts w:hint="eastAsia" w:ascii="宋体" w:hAnsi="宋体"/>
                <w:bCs/>
                <w:color w:val="auto"/>
                <w:sz w:val="24"/>
                <w:highlight w:val="none"/>
              </w:rPr>
              <w:t>有误或有不合理要求的</w:t>
            </w:r>
            <w:r>
              <w:rPr>
                <w:rFonts w:hint="eastAsia" w:ascii="宋体" w:hAnsi="宋体"/>
                <w:color w:val="auto"/>
                <w:sz w:val="24"/>
                <w:highlight w:val="none"/>
              </w:rPr>
              <w:t>，应当在购买招标文件之日起</w:t>
            </w:r>
            <w:r>
              <w:rPr>
                <w:rFonts w:ascii="宋体" w:hAnsi="宋体"/>
                <w:color w:val="auto"/>
                <w:sz w:val="24"/>
                <w:highlight w:val="none"/>
              </w:rPr>
              <w:t>7</w:t>
            </w:r>
            <w:r>
              <w:rPr>
                <w:rFonts w:hint="eastAsia" w:ascii="宋体" w:hAnsi="宋体"/>
                <w:color w:val="auto"/>
                <w:sz w:val="24"/>
                <w:highlight w:val="none"/>
              </w:rPr>
              <w:t>个工作日内，以书面的形式要求招标采购单位作出书面解释、澄清；</w:t>
            </w:r>
          </w:p>
          <w:p>
            <w:pPr>
              <w:snapToGrid w:val="0"/>
              <w:spacing w:line="360" w:lineRule="auto"/>
              <w:rPr>
                <w:rFonts w:ascii="宋体" w:hAnsi="宋体"/>
                <w:color w:val="auto"/>
                <w:sz w:val="24"/>
                <w:highlight w:val="none"/>
              </w:rPr>
            </w:pPr>
            <w:r>
              <w:rPr>
                <w:rFonts w:hint="eastAsia" w:ascii="宋体" w:hAnsi="宋体"/>
                <w:color w:val="auto"/>
                <w:sz w:val="24"/>
                <w:highlight w:val="none"/>
              </w:rPr>
              <w:t>质疑：投标人如认为招标文件存在歧视性、排他性或者其他违法内容的，按投标人须知“一、总则（九）质疑和投诉”中的要求向采购代理机构提出质疑。</w:t>
            </w:r>
          </w:p>
          <w:p>
            <w:pPr>
              <w:snapToGrid w:val="0"/>
              <w:spacing w:line="360" w:lineRule="auto"/>
              <w:rPr>
                <w:rFonts w:ascii="宋体" w:hAnsi="宋体" w:cs="宋体"/>
                <w:color w:val="auto"/>
                <w:sz w:val="24"/>
                <w:highlight w:val="none"/>
              </w:rPr>
            </w:pPr>
            <w:r>
              <w:rPr>
                <w:rFonts w:hint="eastAsia" w:ascii="宋体" w:hAnsi="宋体"/>
                <w:color w:val="auto"/>
                <w:sz w:val="24"/>
                <w:highlight w:val="none"/>
              </w:rPr>
              <w:t>答疑、澄清内容是招标文件的组成部份，采购代理机构</w:t>
            </w:r>
            <w:r>
              <w:rPr>
                <w:rFonts w:hint="eastAsia" w:ascii="宋体" w:hAnsi="宋体" w:cs="Courier New"/>
                <w:color w:val="auto"/>
                <w:sz w:val="24"/>
                <w:highlight w:val="none"/>
              </w:rPr>
              <w:t>在财政部门指定的政府采购信息发布媒体上发布变更公告</w:t>
            </w:r>
            <w:r>
              <w:rPr>
                <w:rFonts w:hint="eastAsia" w:ascii="宋体" w:hAnsi="宋体"/>
                <w:color w:val="auto"/>
                <w:sz w:val="24"/>
                <w:highlight w:val="none"/>
              </w:rPr>
              <w:t>；</w:t>
            </w:r>
            <w:r>
              <w:rPr>
                <w:rFonts w:hint="eastAsia" w:ascii="宋体" w:hAnsi="宋体" w:cs="Courier New"/>
                <w:color w:val="auto"/>
                <w:sz w:val="24"/>
                <w:highlight w:val="none"/>
              </w:rPr>
              <w:t>招标采购单位可以视采购具体情况，延长投标截止时间和开标时间，但至少应当在招标文件要求提交投标文件的截止时间三日前，将变更时间在财政部门指定的政府采购信息发布媒体上发布变更公告（中国政府采购网、广西壮族自治区政府采购网、广西公共资源交易中心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8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★投标文件组成和装订要求：</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1）装订要求：资格部分单独装订成册，封面注明投标文件（资格部分）（“正本”或“副本”），数量：</w:t>
            </w:r>
            <w:r>
              <w:rPr>
                <w:rFonts w:hint="eastAsia" w:ascii="宋体" w:hAnsi="宋体" w:cs="宋体"/>
                <w:color w:val="auto"/>
                <w:sz w:val="24"/>
                <w:highlight w:val="none"/>
                <w:u w:val="single"/>
              </w:rPr>
              <w:t>正本 1 份，副本 4 份</w:t>
            </w:r>
            <w:r>
              <w:rPr>
                <w:rFonts w:hint="eastAsia" w:ascii="宋体" w:hAnsi="宋体" w:cs="宋体"/>
                <w:color w:val="auto"/>
                <w:sz w:val="24"/>
                <w:highlight w:val="none"/>
              </w:rPr>
              <w:t>；商务及技术部分、报价部分合并装订成册，封面注明投标文件（商务及技术部分、报价部分）（“正本”或“副本”），数量：</w:t>
            </w:r>
            <w:r>
              <w:rPr>
                <w:rFonts w:hint="eastAsia" w:ascii="宋体" w:hAnsi="宋体" w:cs="宋体"/>
                <w:color w:val="auto"/>
                <w:sz w:val="24"/>
                <w:highlight w:val="none"/>
                <w:u w:val="single"/>
              </w:rPr>
              <w:t>正本 1 份；副本 4 份</w:t>
            </w:r>
            <w:r>
              <w:rPr>
                <w:rFonts w:hint="eastAsia" w:ascii="宋体" w:hAnsi="宋体" w:cs="宋体"/>
                <w:color w:val="auto"/>
                <w:sz w:val="24"/>
                <w:highlight w:val="none"/>
              </w:rPr>
              <w:t>。</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2）投标文件组成：投标文件（资格部分）正本</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份和投标文件（商务及技术部分、报价部分）正本</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份，以上资料必须密封封装在投标文件袋或纸箱中；开标一览表、投标函、投标保证金缴纳证明各</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份，必须一并密封封装在一个小信封中，并单独提交。</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3）投标文件及小信封的外包装封面上均应注明投标人名称、投标人地址、投标项目名称、项目编号、“开标时启封”字样，并加盖投标人公章。活页装订的投标文件将被拒绝。</w:t>
            </w:r>
          </w:p>
          <w:p>
            <w:pPr>
              <w:autoSpaceDE w:val="0"/>
              <w:autoSpaceDN w:val="0"/>
              <w:snapToGrid w:val="0"/>
              <w:spacing w:line="360" w:lineRule="auto"/>
              <w:ind w:firstLine="480" w:firstLineChars="200"/>
              <w:textAlignment w:val="bottom"/>
              <w:rPr>
                <w:rFonts w:ascii="宋体" w:hAnsi="宋体" w:cs="宋体"/>
                <w:b/>
                <w:color w:val="auto"/>
                <w:sz w:val="24"/>
                <w:highlight w:val="none"/>
              </w:rPr>
            </w:pPr>
            <w:r>
              <w:rPr>
                <w:rFonts w:hint="eastAsia" w:ascii="宋体" w:hAnsi="宋体" w:cs="宋体"/>
                <w:color w:val="auto"/>
                <w:sz w:val="24"/>
                <w:highlight w:val="none"/>
              </w:rPr>
              <w:t>同时提供投标文件(盖章后扫描的PDF版)光盘1份</w:t>
            </w:r>
            <w:r>
              <w:rPr>
                <w:rFonts w:hint="eastAsia" w:ascii="宋体" w:hAnsi="宋体" w:cs="宋体"/>
                <w:b/>
                <w:color w:val="auto"/>
                <w:sz w:val="24"/>
                <w:highlight w:val="none"/>
              </w:rPr>
              <w:t>(光盘用小信封封装，封面请注明项目名称、项目编号及投标人名称)。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投标文件递交截止时间：2021年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分整</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投标文件递交地点：广西壮族自治区公共资源交易中心（广西南宁市青秀区怡宾路6号自治区政务服务中心4楼）（具体开标室根据电子</w:t>
            </w:r>
            <w:bookmarkStart w:id="349" w:name="_GoBack"/>
            <w:bookmarkEnd w:id="349"/>
            <w:r>
              <w:rPr>
                <w:rFonts w:hint="eastAsia" w:ascii="宋体" w:hAnsi="宋体" w:cs="宋体"/>
                <w:color w:val="auto"/>
                <w:sz w:val="24"/>
                <w:highlight w:val="none"/>
              </w:rPr>
              <w:t>屏幕显示的安排）。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开标时间：2021年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分整</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开标地点：广西壮族自治区公共资源交易中心（广西南宁市青秀区怡宾路6号自治区政务服务中心4楼）（具体开标室根据电子屏幕显示的安排）。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8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评分标准：综合评分法</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评标委员会组成：本项目评标委员会由政府采购评审专家共</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8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olor w:val="auto"/>
                <w:sz w:val="24"/>
                <w:highlight w:val="none"/>
              </w:rPr>
              <w:t>公告发布媒体：（http://www.ccgp.gov.cn）中国政府采购网、（http://www.ccgp-guangxi.gov.cn）广西壮族自治区政府采购网、（http://gxggzy.gxzf.gov.cn/gxzbw）广西公共资源交易中心网站。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投标人提供保证金本单位开户银行及账号后，未中标供应商的投标保证金在中标通知书发出后5个工作日内退还，中标供应商的投标保证金在合同签订后5个工作日内退还。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88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履约保证金金额：</w:t>
            </w:r>
            <w:r>
              <w:rPr>
                <w:rFonts w:hint="eastAsia" w:ascii="宋体" w:hAnsi="宋体" w:cs="宋体"/>
                <w:bCs/>
                <w:color w:val="auto"/>
                <w:sz w:val="24"/>
                <w:highlight w:val="none"/>
              </w:rPr>
              <w:t>无</w:t>
            </w:r>
            <w:r>
              <w:rPr>
                <w:rFonts w:hint="eastAsia" w:ascii="宋体" w:hAnsi="宋体" w:cs="宋体"/>
                <w:color w:val="auto"/>
                <w:sz w:val="24"/>
                <w:highlight w:val="none"/>
              </w:rPr>
              <w:t>。</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履约保证金递交方式：以电汇、转账、汇票等非现金形式提交。中标供应商在收到中标通知书后，须在10个工作日内向采购人足额提交履约保证金。否则，不予办理签订合同。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88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签订合同时间：自中标通知书发出之日起25日内，中标供应商必须与采购人签署政府采购合同。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88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各投标人应在投标函中注明评标结果告知书的接收方式（电子邮箱）。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88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bCs/>
                <w:color w:val="auto"/>
                <w:sz w:val="24"/>
                <w:highlight w:val="none"/>
              </w:rPr>
              <w:t>本项目代理服务费服务类型：</w:t>
            </w:r>
            <w:r>
              <w:rPr>
                <w:rFonts w:hint="eastAsia" w:ascii="宋体" w:hAnsi="宋体" w:cs="宋体"/>
                <w:color w:val="auto"/>
                <w:sz w:val="24"/>
                <w:highlight w:val="none"/>
              </w:rPr>
              <w:t>服务招标</w:t>
            </w:r>
          </w:p>
          <w:p>
            <w:pPr>
              <w:pStyle w:val="30"/>
              <w:snapToGrid w:val="0"/>
              <w:spacing w:line="360" w:lineRule="auto"/>
              <w:rPr>
                <w:rFonts w:ascii="宋体" w:hAnsi="宋体" w:eastAsia="宋体" w:cs="宋体"/>
                <w:bCs/>
                <w:color w:val="auto"/>
                <w:kern w:val="2"/>
                <w:sz w:val="24"/>
                <w:szCs w:val="24"/>
                <w:highlight w:val="none"/>
              </w:rPr>
            </w:pPr>
            <w:bookmarkStart w:id="42" w:name="_Toc482864533"/>
            <w:bookmarkStart w:id="43" w:name="_Toc482865134"/>
            <w:bookmarkStart w:id="44" w:name="_Toc482865304"/>
            <w:bookmarkStart w:id="45" w:name="_Toc448421124"/>
            <w:bookmarkStart w:id="46" w:name="_Toc483327793"/>
            <w:bookmarkStart w:id="47" w:name="_Toc57024401"/>
            <w:r>
              <w:rPr>
                <w:rFonts w:hint="eastAsia" w:ascii="宋体" w:hAnsi="宋体" w:eastAsia="宋体" w:cs="宋体"/>
                <w:bCs/>
                <w:color w:val="auto"/>
                <w:kern w:val="2"/>
                <w:sz w:val="24"/>
                <w:szCs w:val="24"/>
                <w:highlight w:val="none"/>
              </w:rPr>
              <w:t>代理服务费收费标准：</w:t>
            </w:r>
            <w:bookmarkEnd w:id="42"/>
            <w:bookmarkEnd w:id="43"/>
            <w:bookmarkEnd w:id="44"/>
            <w:bookmarkEnd w:id="45"/>
            <w:bookmarkEnd w:id="46"/>
            <w:r>
              <w:rPr>
                <w:rFonts w:hint="eastAsia" w:ascii="宋体" w:hAnsi="宋体" w:eastAsia="宋体" w:cs="宋体"/>
                <w:bCs/>
                <w:color w:val="auto"/>
                <w:kern w:val="2"/>
                <w:sz w:val="24"/>
                <w:szCs w:val="24"/>
                <w:highlight w:val="none"/>
              </w:rPr>
              <w:t>按国家发展计划委员会文件-计价格【2012】1980号文的规定标准执行</w:t>
            </w:r>
            <w:bookmarkEnd w:id="47"/>
            <w:r>
              <w:rPr>
                <w:rFonts w:hint="eastAsia" w:ascii="宋体" w:hAnsi="宋体" w:eastAsia="宋体" w:cs="宋体"/>
                <w:bCs/>
                <w:color w:val="auto"/>
                <w:kern w:val="2"/>
                <w:sz w:val="24"/>
                <w:szCs w:val="24"/>
                <w:highlight w:val="none"/>
              </w:rPr>
              <w:t>，</w:t>
            </w:r>
            <w:r>
              <w:rPr>
                <w:rFonts w:hint="eastAsia" w:ascii="宋体" w:hAnsi="宋体"/>
                <w:color w:val="auto"/>
                <w:sz w:val="24"/>
                <w:highlight w:val="none"/>
              </w:rPr>
              <w:t>由</w:t>
            </w:r>
            <w:r>
              <w:rPr>
                <w:rFonts w:hint="eastAsia" w:ascii="宋体" w:hAnsi="宋体" w:eastAsia="宋体"/>
                <w:color w:val="auto"/>
                <w:sz w:val="24"/>
                <w:highlight w:val="none"/>
              </w:rPr>
              <w:t>中标供应商</w:t>
            </w:r>
            <w:r>
              <w:rPr>
                <w:rFonts w:hint="eastAsia" w:ascii="宋体" w:hAnsi="宋体"/>
                <w:color w:val="auto"/>
                <w:sz w:val="24"/>
                <w:highlight w:val="none"/>
              </w:rPr>
              <w:t>在领</w:t>
            </w:r>
            <w:r>
              <w:rPr>
                <w:rFonts w:hint="eastAsia" w:ascii="宋体" w:hAnsi="宋体" w:eastAsia="宋体"/>
                <w:color w:val="auto"/>
                <w:sz w:val="24"/>
                <w:highlight w:val="none"/>
              </w:rPr>
              <w:t>取</w:t>
            </w:r>
            <w:r>
              <w:rPr>
                <w:rFonts w:hint="eastAsia" w:ascii="宋体" w:hAnsi="宋体"/>
                <w:color w:val="auto"/>
                <w:sz w:val="24"/>
                <w:highlight w:val="none"/>
              </w:rPr>
              <w:t>中标通知书时一次性支付代理服务费及开评标费用。</w:t>
            </w:r>
          </w:p>
          <w:tbl>
            <w:tblPr>
              <w:tblStyle w:val="53"/>
              <w:tblW w:w="67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1299"/>
              <w:gridCol w:w="129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862" w:type="dxa"/>
                  <w:tcBorders>
                    <w:top w:val="single" w:color="auto" w:sz="4" w:space="0"/>
                    <w:left w:val="single" w:color="auto" w:sz="4" w:space="0"/>
                    <w:bottom w:val="single" w:color="auto" w:sz="4" w:space="0"/>
                    <w:right w:val="single" w:color="auto" w:sz="4" w:space="0"/>
                  </w:tcBorders>
                  <w:noWrap/>
                </w:tcPr>
                <w:p>
                  <w:pPr>
                    <w:pStyle w:val="30"/>
                    <w:snapToGrid w:val="0"/>
                    <w:spacing w:line="360" w:lineRule="auto"/>
                    <w:ind w:firstLine="1680" w:firstLineChars="7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50800</wp:posOffset>
                            </wp:positionV>
                            <wp:extent cx="1666875" cy="891540"/>
                            <wp:effectExtent l="2540" t="4445" r="6985" b="18415"/>
                            <wp:wrapNone/>
                            <wp:docPr id="1" name="Line 3"/>
                            <wp:cNvGraphicFramePr/>
                            <a:graphic xmlns:a="http://schemas.openxmlformats.org/drawingml/2006/main">
                              <a:graphicData uri="http://schemas.microsoft.com/office/word/2010/wordprocessingShape">
                                <wps:wsp>
                                  <wps:cNvCnPr/>
                                  <wps:spPr>
                                    <a:xfrm>
                                      <a:off x="0" y="0"/>
                                      <a:ext cx="1666875" cy="891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6.75pt;margin-top:4pt;height:70.2pt;width:131.25pt;z-index:251659264;mso-width-relative:page;mso-height-relative:page;" filled="f" stroked="t" coordsize="21600,21600" o:gfxdata="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3MMoNUAAAAIAQAADwAAAAAA&#10;AAABACAAAAAiAAAAZHJzL2Rvd25yZXYueG1sUEsBAhQAFAAAAAgAh07iQEnWlirdAQAA4A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color w:val="auto"/>
                      <w:kern w:val="2"/>
                      <w:sz w:val="24"/>
                      <w:szCs w:val="24"/>
                      <w:highlight w:val="none"/>
                    </w:rPr>
                    <w:t>服务类型</w:t>
                  </w:r>
                </w:p>
                <w:p>
                  <w:pPr>
                    <w:pStyle w:val="30"/>
                    <w:snapToGrid w:val="0"/>
                    <w:spacing w:line="360" w:lineRule="auto"/>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212090</wp:posOffset>
                            </wp:positionV>
                            <wp:extent cx="1800225" cy="495300"/>
                            <wp:effectExtent l="1270" t="4445" r="8255" b="14605"/>
                            <wp:wrapNone/>
                            <wp:docPr id="2" name="Line 2"/>
                            <wp:cNvGraphicFramePr/>
                            <a:graphic xmlns:a="http://schemas.openxmlformats.org/drawingml/2006/main">
                              <a:graphicData uri="http://schemas.microsoft.com/office/word/2010/wordprocessingShape">
                                <wps:wsp>
                                  <wps:cNvCnPr/>
                                  <wps:spPr>
                                    <a:xfrm>
                                      <a:off x="0" y="0"/>
                                      <a:ext cx="1800225"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9pt;margin-top:16.7pt;height:39pt;width:141.75pt;z-index:251660288;mso-width-relative:page;mso-height-relative:page;" filled="f" stroked="t" coordsize="21600,21600" o:gfxdata="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9i6I2AAAAAkBAAAPAAAA&#10;AAAAAAEAIAAAACIAAABkcnMvZG93bnJldi54bWxQSwECFAAUAAAACACHTuJAg3ZSQNwBAADgAwAA&#10;DgAAAAAAAAABACAAAAAn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color w:val="auto"/>
                      <w:kern w:val="2"/>
                      <w:sz w:val="24"/>
                      <w:szCs w:val="24"/>
                      <w:highlight w:val="none"/>
                    </w:rPr>
                    <w:t>费率</w:t>
                  </w:r>
                </w:p>
                <w:p>
                  <w:pPr>
                    <w:pStyle w:val="30"/>
                    <w:snapToGrid w:val="0"/>
                    <w:spacing w:line="360" w:lineRule="auto"/>
                    <w:rPr>
                      <w:rFonts w:ascii="宋体" w:hAnsi="宋体" w:eastAsia="宋体" w:cs="宋体"/>
                      <w:color w:val="auto"/>
                      <w:kern w:val="2"/>
                      <w:sz w:val="24"/>
                      <w:szCs w:val="24"/>
                      <w:highlight w:val="none"/>
                    </w:rPr>
                  </w:pPr>
                </w:p>
                <w:p>
                  <w:pPr>
                    <w:pStyle w:val="30"/>
                    <w:snapToGrid w:val="0"/>
                    <w:spacing w:line="360" w:lineRule="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中标金额（万元）</w:t>
                  </w:r>
                </w:p>
              </w:tc>
              <w:tc>
                <w:tcPr>
                  <w:tcW w:w="1299" w:type="dxa"/>
                  <w:tcBorders>
                    <w:top w:val="single" w:color="auto" w:sz="4" w:space="0"/>
                    <w:left w:val="single" w:color="auto" w:sz="4" w:space="0"/>
                    <w:bottom w:val="single" w:color="auto" w:sz="4" w:space="0"/>
                    <w:right w:val="single" w:color="auto" w:sz="4" w:space="0"/>
                  </w:tcBorders>
                  <w:noWrap/>
                  <w:vAlign w:val="center"/>
                </w:tcPr>
                <w:p>
                  <w:pPr>
                    <w:pStyle w:val="30"/>
                    <w:snapToGrid w:val="0"/>
                    <w:spacing w:line="360"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货物招标</w:t>
                  </w:r>
                </w:p>
              </w:tc>
              <w:tc>
                <w:tcPr>
                  <w:tcW w:w="1299" w:type="dxa"/>
                  <w:tcBorders>
                    <w:top w:val="single" w:color="auto" w:sz="4" w:space="0"/>
                    <w:left w:val="single" w:color="auto" w:sz="4" w:space="0"/>
                    <w:bottom w:val="single" w:color="auto" w:sz="4" w:space="0"/>
                    <w:right w:val="single" w:color="auto" w:sz="4" w:space="0"/>
                  </w:tcBorders>
                  <w:noWrap/>
                  <w:vAlign w:val="center"/>
                </w:tcPr>
                <w:p>
                  <w:pPr>
                    <w:pStyle w:val="30"/>
                    <w:snapToGrid w:val="0"/>
                    <w:spacing w:line="360"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服务招标</w:t>
                  </w:r>
                </w:p>
              </w:tc>
              <w:tc>
                <w:tcPr>
                  <w:tcW w:w="1300" w:type="dxa"/>
                  <w:tcBorders>
                    <w:top w:val="single" w:color="auto" w:sz="4" w:space="0"/>
                    <w:left w:val="single" w:color="auto" w:sz="4" w:space="0"/>
                    <w:bottom w:val="single" w:color="auto" w:sz="4" w:space="0"/>
                    <w:right w:val="single" w:color="auto" w:sz="4" w:space="0"/>
                  </w:tcBorders>
                  <w:noWrap/>
                  <w:vAlign w:val="center"/>
                </w:tcPr>
                <w:p>
                  <w:pPr>
                    <w:pStyle w:val="30"/>
                    <w:snapToGrid w:val="0"/>
                    <w:spacing w:line="360"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tcPr>
                <w:p>
                  <w:pPr>
                    <w:pStyle w:val="30"/>
                    <w:snapToGrid w:val="0"/>
                    <w:spacing w:line="360" w:lineRule="auto"/>
                    <w:ind w:firstLine="720" w:firstLineChars="3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100以下</w:t>
                  </w:r>
                </w:p>
              </w:tc>
              <w:tc>
                <w:tcPr>
                  <w:tcW w:w="129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1.50%</w:t>
                  </w:r>
                </w:p>
              </w:tc>
              <w:tc>
                <w:tcPr>
                  <w:tcW w:w="129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1.50%</w:t>
                  </w:r>
                </w:p>
              </w:tc>
              <w:tc>
                <w:tcPr>
                  <w:tcW w:w="13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tcPr>
                <w:p>
                  <w:pPr>
                    <w:pStyle w:val="30"/>
                    <w:snapToGrid w:val="0"/>
                    <w:spacing w:line="360" w:lineRule="auto"/>
                    <w:ind w:firstLine="720" w:firstLineChars="3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100-500</w:t>
                  </w:r>
                </w:p>
              </w:tc>
              <w:tc>
                <w:tcPr>
                  <w:tcW w:w="129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29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0.8%</w:t>
                  </w:r>
                </w:p>
              </w:tc>
              <w:tc>
                <w:tcPr>
                  <w:tcW w:w="13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tcPr>
                <w:p>
                  <w:pPr>
                    <w:pStyle w:val="30"/>
                    <w:snapToGrid w:val="0"/>
                    <w:spacing w:line="360" w:lineRule="auto"/>
                    <w:ind w:firstLine="600" w:firstLineChars="2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500-1000</w:t>
                  </w:r>
                </w:p>
              </w:tc>
              <w:tc>
                <w:tcPr>
                  <w:tcW w:w="129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0.8%</w:t>
                  </w:r>
                </w:p>
              </w:tc>
              <w:tc>
                <w:tcPr>
                  <w:tcW w:w="129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0.45%</w:t>
                  </w:r>
                </w:p>
              </w:tc>
              <w:tc>
                <w:tcPr>
                  <w:tcW w:w="13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tcPr>
                <w:p>
                  <w:pPr>
                    <w:pStyle w:val="30"/>
                    <w:snapToGrid w:val="0"/>
                    <w:spacing w:line="360" w:lineRule="auto"/>
                    <w:ind w:firstLine="600" w:firstLineChars="2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1299" w:type="dxa"/>
                  <w:tcBorders>
                    <w:top w:val="single" w:color="auto" w:sz="4" w:space="0"/>
                    <w:left w:val="single" w:color="auto" w:sz="4" w:space="0"/>
                    <w:bottom w:val="single" w:color="auto" w:sz="4" w:space="0"/>
                    <w:right w:val="single" w:color="auto" w:sz="4" w:space="0"/>
                  </w:tcBorders>
                  <w:noWrap/>
                </w:tcPr>
                <w:p>
                  <w:pPr>
                    <w:pStyle w:val="30"/>
                    <w:snapToGrid w:val="0"/>
                    <w:spacing w:line="360"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1299" w:type="dxa"/>
                  <w:tcBorders>
                    <w:top w:val="single" w:color="auto" w:sz="4" w:space="0"/>
                    <w:left w:val="single" w:color="auto" w:sz="4" w:space="0"/>
                    <w:bottom w:val="single" w:color="auto" w:sz="4" w:space="0"/>
                    <w:right w:val="single" w:color="auto" w:sz="4" w:space="0"/>
                  </w:tcBorders>
                  <w:noWrap/>
                </w:tcPr>
                <w:p>
                  <w:pPr>
                    <w:pStyle w:val="30"/>
                    <w:snapToGrid w:val="0"/>
                    <w:spacing w:line="360"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1300" w:type="dxa"/>
                  <w:tcBorders>
                    <w:top w:val="single" w:color="auto" w:sz="4" w:space="0"/>
                    <w:left w:val="single" w:color="auto" w:sz="4" w:space="0"/>
                    <w:bottom w:val="single" w:color="auto" w:sz="4" w:space="0"/>
                    <w:right w:val="single" w:color="auto" w:sz="4" w:space="0"/>
                  </w:tcBorders>
                  <w:noWrap/>
                </w:tcPr>
                <w:p>
                  <w:pPr>
                    <w:pStyle w:val="30"/>
                    <w:snapToGrid w:val="0"/>
                    <w:spacing w:line="360"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r>
          </w:tbl>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注：招标代理服务费按差额定率累进法计算。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88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投标文件有效期：自投标截止之日起60天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解释：本招标文件的解释权属于广西邕政采购代理有限公司。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21</w:t>
            </w:r>
          </w:p>
        </w:tc>
        <w:tc>
          <w:tcPr>
            <w:tcW w:w="8813"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rPr>
                <w:rFonts w:ascii="宋体" w:hAnsi="宋体"/>
                <w:color w:val="auto"/>
                <w:sz w:val="24"/>
                <w:highlight w:val="none"/>
              </w:rPr>
            </w:pPr>
            <w:r>
              <w:rPr>
                <w:rFonts w:hint="eastAsia" w:ascii="宋体" w:hAnsi="宋体"/>
                <w:color w:val="auto"/>
                <w:sz w:val="24"/>
                <w:highlight w:val="none"/>
              </w:rPr>
              <w:t>对资格审查的质疑，由采购人负责受理和答复。</w:t>
            </w:r>
          </w:p>
          <w:p>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color w:val="auto"/>
                <w:sz w:val="24"/>
                <w:highlight w:val="none"/>
              </w:rPr>
              <w:t>广西乐业县同乐镇</w:t>
            </w:r>
            <w:r>
              <w:rPr>
                <w:rFonts w:hint="eastAsia" w:ascii="宋体" w:hAnsi="宋体"/>
                <w:color w:val="auto"/>
                <w:sz w:val="24"/>
                <w:highlight w:val="none"/>
              </w:rPr>
              <w:t>，联系人：</w:t>
            </w:r>
            <w:r>
              <w:rPr>
                <w:rFonts w:hint="eastAsia" w:ascii="宋体" w:hAnsi="宋体" w:cs="宋体"/>
                <w:color w:val="auto"/>
                <w:sz w:val="24"/>
                <w:highlight w:val="none"/>
              </w:rPr>
              <w:t xml:space="preserve">黄显菊 </w:t>
            </w:r>
            <w:r>
              <w:rPr>
                <w:rFonts w:hint="eastAsia" w:ascii="宋体" w:hAnsi="宋体"/>
                <w:color w:val="auto"/>
                <w:sz w:val="24"/>
                <w:highlight w:val="none"/>
              </w:rPr>
              <w:t xml:space="preserve">   联系电话：</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19977676330</w:t>
            </w:r>
          </w:p>
          <w:p>
            <w:pPr>
              <w:numPr>
                <w:ilvl w:val="0"/>
                <w:numId w:val="28"/>
              </w:numPr>
              <w:snapToGrid w:val="0"/>
              <w:spacing w:line="360" w:lineRule="auto"/>
              <w:rPr>
                <w:rFonts w:ascii="宋体" w:hAnsi="宋体"/>
                <w:color w:val="auto"/>
                <w:sz w:val="24"/>
                <w:highlight w:val="none"/>
              </w:rPr>
            </w:pPr>
            <w:r>
              <w:rPr>
                <w:rFonts w:hint="eastAsia" w:ascii="宋体" w:hAnsi="宋体"/>
                <w:color w:val="auto"/>
                <w:sz w:val="24"/>
                <w:highlight w:val="none"/>
              </w:rPr>
              <w:t>对资格审查以外的质疑，由采购代理机构受理和答复。</w:t>
            </w:r>
          </w:p>
          <w:p>
            <w:pPr>
              <w:snapToGrid w:val="0"/>
              <w:spacing w:line="360" w:lineRule="auto"/>
              <w:rPr>
                <w:rFonts w:ascii="宋体" w:hAnsi="宋体" w:cs="宋体"/>
                <w:color w:val="auto"/>
                <w:sz w:val="24"/>
                <w:highlight w:val="none"/>
              </w:rPr>
            </w:pPr>
            <w:r>
              <w:rPr>
                <w:rFonts w:hint="eastAsia" w:ascii="宋体" w:hAnsi="宋体"/>
                <w:color w:val="auto"/>
                <w:sz w:val="24"/>
                <w:highlight w:val="none"/>
              </w:rPr>
              <w:t>地址：南宁市思贤路45号创投中心16A层，联系人:黄工、罗工 ， 联系电话：0771-2442850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22</w:t>
            </w:r>
          </w:p>
        </w:tc>
        <w:tc>
          <w:tcPr>
            <w:tcW w:w="881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rPr>
              <w:t>本项目非专门面向中小企业采购。</w:t>
            </w:r>
          </w:p>
        </w:tc>
      </w:tr>
    </w:tbl>
    <w:p>
      <w:pPr>
        <w:pStyle w:val="30"/>
        <w:snapToGrid w:val="0"/>
        <w:spacing w:line="360" w:lineRule="auto"/>
        <w:ind w:firstLine="517" w:firstLineChars="245"/>
        <w:rPr>
          <w:rFonts w:ascii="宋体" w:hAnsi="宋体" w:eastAsia="宋体" w:cs="宋体"/>
          <w:b/>
          <w:color w:val="auto"/>
          <w:sz w:val="21"/>
          <w:highlight w:val="none"/>
        </w:rPr>
        <w:sectPr>
          <w:pgSz w:w="11906" w:h="16838"/>
          <w:pgMar w:top="1440" w:right="1080" w:bottom="1440" w:left="1080" w:header="794" w:footer="850" w:gutter="0"/>
          <w:cols w:space="720" w:num="1"/>
          <w:titlePg/>
          <w:docGrid w:linePitch="312" w:charSpace="0"/>
        </w:sectPr>
      </w:pPr>
    </w:p>
    <w:p>
      <w:pPr>
        <w:pStyle w:val="30"/>
        <w:snapToGrid w:val="0"/>
        <w:spacing w:line="360" w:lineRule="auto"/>
        <w:ind w:firstLine="590" w:firstLineChars="245"/>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pPr>
        <w:snapToGrid w:val="0"/>
        <w:spacing w:line="360" w:lineRule="auto"/>
        <w:ind w:firstLine="470" w:firstLineChars="195"/>
        <w:jc w:val="left"/>
        <w:rPr>
          <w:rFonts w:ascii="宋体" w:hAnsi="宋体" w:cs="宋体"/>
          <w:b/>
          <w:color w:val="auto"/>
          <w:sz w:val="24"/>
          <w:highlight w:val="none"/>
        </w:rPr>
      </w:pPr>
      <w:bookmarkStart w:id="48" w:name="_Toc400465696"/>
      <w:bookmarkStart w:id="49" w:name="_Toc57024402"/>
      <w:bookmarkStart w:id="50" w:name="_Toc482865135"/>
      <w:bookmarkStart w:id="51" w:name="_Toc482864534"/>
      <w:bookmarkStart w:id="52" w:name="_Toc254970668"/>
      <w:bookmarkStart w:id="53" w:name="_Toc448421125"/>
      <w:bookmarkStart w:id="54" w:name="_Toc482865305"/>
      <w:bookmarkStart w:id="55" w:name="_Toc483327794"/>
      <w:bookmarkStart w:id="56" w:name="_Toc254970527"/>
      <w:bookmarkStart w:id="57" w:name="_Toc293863036"/>
      <w:bookmarkStart w:id="58" w:name="_Toc293863303"/>
      <w:bookmarkStart w:id="59" w:name="_Toc308018660"/>
      <w:bookmarkStart w:id="60" w:name="_Toc445223663"/>
      <w:r>
        <w:rPr>
          <w:rFonts w:hint="eastAsia" w:ascii="宋体" w:hAnsi="宋体" w:cs="宋体"/>
          <w:b/>
          <w:color w:val="auto"/>
          <w:sz w:val="24"/>
          <w:highlight w:val="none"/>
        </w:rPr>
        <w:t>（一）适用范围</w:t>
      </w:r>
      <w:bookmarkEnd w:id="48"/>
      <w:bookmarkEnd w:id="49"/>
      <w:bookmarkEnd w:id="50"/>
      <w:bookmarkEnd w:id="51"/>
      <w:bookmarkEnd w:id="52"/>
      <w:bookmarkEnd w:id="53"/>
      <w:bookmarkEnd w:id="54"/>
      <w:bookmarkEnd w:id="55"/>
      <w:bookmarkEnd w:id="56"/>
      <w:bookmarkEnd w:id="57"/>
      <w:bookmarkEnd w:id="58"/>
      <w:bookmarkEnd w:id="59"/>
      <w:bookmarkEnd w:id="60"/>
    </w:p>
    <w:p>
      <w:pPr>
        <w:snapToGrid w:val="0"/>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snapToGrid w:val="0"/>
        <w:spacing w:line="360" w:lineRule="auto"/>
        <w:ind w:firstLine="470" w:firstLineChars="195"/>
        <w:jc w:val="left"/>
        <w:rPr>
          <w:rFonts w:ascii="宋体" w:hAnsi="宋体" w:cs="宋体"/>
          <w:color w:val="auto"/>
          <w:sz w:val="24"/>
          <w:highlight w:val="none"/>
        </w:rPr>
      </w:pPr>
      <w:bookmarkStart w:id="61" w:name="_Toc254970528"/>
      <w:bookmarkStart w:id="62" w:name="_Toc293863037"/>
      <w:bookmarkStart w:id="63" w:name="_Toc308018661"/>
      <w:bookmarkStart w:id="64" w:name="_Toc482864535"/>
      <w:bookmarkStart w:id="65" w:name="_Toc483327795"/>
      <w:bookmarkStart w:id="66" w:name="_Toc482865136"/>
      <w:bookmarkStart w:id="67" w:name="_Toc400465697"/>
      <w:bookmarkStart w:id="68" w:name="_Toc482865306"/>
      <w:bookmarkStart w:id="69" w:name="_Toc448421126"/>
      <w:bookmarkStart w:id="70" w:name="_Toc445223664"/>
      <w:bookmarkStart w:id="71" w:name="_Toc254970669"/>
      <w:bookmarkStart w:id="72" w:name="_Toc57024403"/>
      <w:bookmarkStart w:id="73" w:name="_Toc293863304"/>
      <w:r>
        <w:rPr>
          <w:rFonts w:hint="eastAsia" w:ascii="宋体" w:hAnsi="宋体" w:cs="宋体"/>
          <w:b/>
          <w:color w:val="auto"/>
          <w:sz w:val="24"/>
          <w:highlight w:val="none"/>
        </w:rPr>
        <w:t>（二）定义</w:t>
      </w:r>
      <w:bookmarkEnd w:id="61"/>
      <w:bookmarkEnd w:id="62"/>
      <w:bookmarkEnd w:id="63"/>
      <w:bookmarkEnd w:id="64"/>
      <w:bookmarkEnd w:id="65"/>
      <w:bookmarkEnd w:id="66"/>
      <w:bookmarkEnd w:id="67"/>
      <w:bookmarkEnd w:id="68"/>
      <w:bookmarkEnd w:id="69"/>
      <w:bookmarkEnd w:id="70"/>
      <w:bookmarkEnd w:id="71"/>
      <w:bookmarkEnd w:id="72"/>
      <w:bookmarkEnd w:id="73"/>
    </w:p>
    <w:p>
      <w:pPr>
        <w:snapToGrid w:val="0"/>
        <w:spacing w:line="360" w:lineRule="auto"/>
        <w:ind w:firstLine="480" w:firstLineChars="200"/>
        <w:jc w:val="left"/>
        <w:rPr>
          <w:rFonts w:ascii="宋体" w:hAnsi="宋体"/>
          <w:color w:val="auto"/>
          <w:sz w:val="24"/>
          <w:highlight w:val="none"/>
        </w:rPr>
      </w:pPr>
      <w:bookmarkStart w:id="74" w:name="_Toc293863040"/>
      <w:bookmarkStart w:id="75" w:name="_Toc293863307"/>
      <w:bookmarkStart w:id="76" w:name="_Toc308018664"/>
      <w:bookmarkStart w:id="77" w:name="_Toc482864538"/>
      <w:bookmarkStart w:id="78" w:name="_Toc400465700"/>
      <w:bookmarkStart w:id="79" w:name="_Toc254970531"/>
      <w:bookmarkStart w:id="80" w:name="_Toc482865309"/>
      <w:bookmarkStart w:id="81" w:name="_Toc483327798"/>
      <w:bookmarkStart w:id="82" w:name="_Toc482865139"/>
      <w:bookmarkStart w:id="83" w:name="_Toc448421129"/>
      <w:bookmarkStart w:id="84" w:name="_Toc254970672"/>
      <w:bookmarkStart w:id="85" w:name="_Toc445223667"/>
      <w:bookmarkStart w:id="86" w:name="_Toc57024406"/>
      <w:r>
        <w:rPr>
          <w:rFonts w:ascii="宋体" w:hAnsi="宋体"/>
          <w:color w:val="auto"/>
          <w:sz w:val="24"/>
          <w:highlight w:val="none"/>
        </w:rPr>
        <w:t>1.</w:t>
      </w:r>
      <w:r>
        <w:rPr>
          <w:rFonts w:hint="eastAsia" w:ascii="宋体" w:hAnsi="宋体"/>
          <w:color w:val="auto"/>
          <w:sz w:val="24"/>
          <w:highlight w:val="none"/>
        </w:rPr>
        <w:t>招标采购单位系指组织本次招标的采购人及广西邕政采购代理有限公司（以下简称“采购代理机构）。</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“投标人”系指响应招标、参加投标竞争的法人、其他组织或者自然人。</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“项目”系指投标人按招标文件规定向采购人提供的产品和服务。</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“书面形式”包括信函、传真、电报等。</w:t>
      </w:r>
    </w:p>
    <w:p>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bCs/>
          <w:color w:val="auto"/>
          <w:sz w:val="24"/>
          <w:highlight w:val="none"/>
        </w:rPr>
        <w:t>▲</w:t>
      </w:r>
      <w:r>
        <w:rPr>
          <w:rFonts w:hint="eastAsia" w:ascii="宋体" w:hAnsi="宋体"/>
          <w:color w:val="auto"/>
          <w:sz w:val="24"/>
          <w:highlight w:val="none"/>
        </w:rPr>
        <w:t>”系指实质性要求条款。</w:t>
      </w:r>
    </w:p>
    <w:p>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（五）投标费用</w:t>
      </w:r>
      <w:bookmarkEnd w:id="74"/>
      <w:bookmarkEnd w:id="75"/>
      <w:bookmarkEnd w:id="76"/>
      <w:bookmarkEnd w:id="77"/>
      <w:bookmarkEnd w:id="78"/>
      <w:bookmarkEnd w:id="79"/>
      <w:bookmarkEnd w:id="80"/>
      <w:bookmarkEnd w:id="81"/>
      <w:bookmarkEnd w:id="82"/>
      <w:bookmarkEnd w:id="83"/>
      <w:bookmarkEnd w:id="84"/>
      <w:bookmarkEnd w:id="85"/>
      <w:bookmarkEnd w:id="86"/>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投标人均应自行承担所有与投标有关的全部费用（招标文件有相关规定的除外）。</w:t>
      </w:r>
    </w:p>
    <w:p>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（六）联合体投标</w:t>
      </w:r>
    </w:p>
    <w:p>
      <w:pPr>
        <w:snapToGrid w:val="0"/>
        <w:spacing w:line="360" w:lineRule="auto"/>
        <w:ind w:firstLine="513" w:firstLineChars="225"/>
        <w:rPr>
          <w:rFonts w:ascii="宋体" w:hAnsi="宋体"/>
          <w:color w:val="auto"/>
          <w:spacing w:val="-6"/>
          <w:sz w:val="24"/>
          <w:highlight w:val="none"/>
        </w:rPr>
      </w:pPr>
      <w:r>
        <w:rPr>
          <w:rFonts w:hint="eastAsia" w:ascii="宋体" w:hAnsi="宋体"/>
          <w:color w:val="auto"/>
          <w:spacing w:val="-6"/>
          <w:sz w:val="24"/>
          <w:highlight w:val="none"/>
        </w:rPr>
        <w:t>本项目是否接受联合体投标详见第一章招标公告第二条 申请人的资格要求。</w:t>
      </w:r>
    </w:p>
    <w:p>
      <w:pPr>
        <w:snapToGrid w:val="0"/>
        <w:spacing w:line="360" w:lineRule="auto"/>
        <w:ind w:firstLine="513" w:firstLineChars="225"/>
        <w:rPr>
          <w:rFonts w:ascii="宋体" w:hAnsi="宋体"/>
          <w:color w:val="auto"/>
          <w:spacing w:val="-6"/>
          <w:sz w:val="24"/>
          <w:highlight w:val="none"/>
        </w:rPr>
      </w:pPr>
      <w:r>
        <w:rPr>
          <w:rFonts w:hint="eastAsia" w:ascii="宋体" w:hAnsi="宋体"/>
          <w:color w:val="auto"/>
          <w:spacing w:val="-6"/>
          <w:sz w:val="24"/>
          <w:highlight w:val="none"/>
        </w:rPr>
        <w:t>联合体投标要求：</w:t>
      </w:r>
    </w:p>
    <w:p>
      <w:pPr>
        <w:snapToGrid w:val="0"/>
        <w:spacing w:line="360" w:lineRule="auto"/>
        <w:ind w:firstLine="540" w:firstLineChars="225"/>
        <w:rPr>
          <w:rFonts w:ascii="宋体" w:hAnsi="宋体"/>
          <w:color w:val="auto"/>
          <w:spacing w:val="-6"/>
          <w:sz w:val="24"/>
          <w:highlight w:val="none"/>
        </w:rPr>
      </w:pPr>
      <w:r>
        <w:rPr>
          <w:rFonts w:hint="eastAsia" w:ascii="宋体" w:hAnsi="宋体"/>
          <w:color w:val="auto"/>
          <w:sz w:val="24"/>
          <w:highlight w:val="none"/>
        </w:rPr>
        <w:t>⑴两</w:t>
      </w:r>
      <w:r>
        <w:rPr>
          <w:rFonts w:hint="eastAsia" w:ascii="宋体" w:hAnsi="宋体"/>
          <w:color w:val="auto"/>
          <w:spacing w:val="-6"/>
          <w:sz w:val="24"/>
          <w:highlight w:val="none"/>
        </w:rPr>
        <w:t>个以上供应商可以组成一个投标联合体，以一个投标人的身份投标。</w:t>
      </w:r>
    </w:p>
    <w:p>
      <w:pPr>
        <w:snapToGrid w:val="0"/>
        <w:spacing w:line="360" w:lineRule="auto"/>
        <w:ind w:firstLine="540" w:firstLineChars="225"/>
        <w:rPr>
          <w:rFonts w:ascii="宋体" w:hAnsi="宋体"/>
          <w:color w:val="auto"/>
          <w:sz w:val="24"/>
          <w:highlight w:val="none"/>
        </w:rPr>
      </w:pPr>
      <w:r>
        <w:rPr>
          <w:rFonts w:hint="eastAsia" w:ascii="宋体" w:hAnsi="宋体"/>
          <w:color w:val="auto"/>
          <w:sz w:val="24"/>
          <w:highlight w:val="none"/>
        </w:rPr>
        <w:t>⑵以联合体形式参加投标的，联合体各方均应当符合“政府采购法第二十二条第一款规定”的条件。本项目有特殊要求规定投标人特定条件的，联合体各方中至少应当有一方符合招标文件规定的特定条件。</w:t>
      </w:r>
    </w:p>
    <w:p>
      <w:pPr>
        <w:snapToGrid w:val="0"/>
        <w:spacing w:line="360" w:lineRule="auto"/>
        <w:ind w:firstLine="540" w:firstLineChars="225"/>
        <w:rPr>
          <w:rFonts w:ascii="宋体" w:hAnsi="宋体"/>
          <w:color w:val="auto"/>
          <w:sz w:val="24"/>
          <w:highlight w:val="none"/>
        </w:rPr>
      </w:pPr>
      <w:r>
        <w:rPr>
          <w:rFonts w:hint="eastAsia" w:ascii="宋体" w:hAnsi="宋体"/>
          <w:color w:val="auto"/>
          <w:sz w:val="24"/>
          <w:highlight w:val="none"/>
        </w:rPr>
        <w:t>⑶联合体各方之间应当签订共同投标协议，明确约定联合体各方承担的工作和相应的责任，并将共同投标协议连同投标文件一并提交采购代理机构。联合体各方签订共同投标协议后，不得再以自己名义单独在同一项目（分标）中投标，也不得组成新的联合体参加同一项目（分标）投标。</w:t>
      </w:r>
    </w:p>
    <w:p>
      <w:pPr>
        <w:snapToGrid w:val="0"/>
        <w:spacing w:line="360" w:lineRule="auto"/>
        <w:ind w:firstLine="540" w:firstLineChars="225"/>
        <w:rPr>
          <w:rFonts w:ascii="宋体" w:hAnsi="宋体"/>
          <w:color w:val="auto"/>
          <w:sz w:val="24"/>
          <w:highlight w:val="none"/>
        </w:rPr>
      </w:pPr>
      <w:r>
        <w:rPr>
          <w:rFonts w:hint="eastAsia" w:ascii="宋体" w:hAnsi="宋体"/>
          <w:color w:val="auto"/>
          <w:sz w:val="24"/>
          <w:highlight w:val="none"/>
        </w:rPr>
        <w:t>⑷投标联合体的业绩和信誉按联合体主体方（或牵头方）计算。</w:t>
      </w:r>
    </w:p>
    <w:p>
      <w:pPr>
        <w:snapToGrid w:val="0"/>
        <w:spacing w:line="360" w:lineRule="auto"/>
        <w:ind w:firstLine="540" w:firstLineChars="225"/>
        <w:rPr>
          <w:rFonts w:ascii="宋体" w:hAnsi="宋体"/>
          <w:color w:val="auto"/>
          <w:sz w:val="24"/>
          <w:highlight w:val="none"/>
        </w:rPr>
      </w:pPr>
      <w:r>
        <w:rPr>
          <w:rFonts w:hint="eastAsia" w:ascii="宋体" w:hAnsi="宋体"/>
          <w:color w:val="auto"/>
          <w:sz w:val="24"/>
          <w:highlight w:val="none"/>
        </w:rPr>
        <w:t>⑸联合体中有同类资质的投标人按照联合体分工承担相同工作的</w:t>
      </w:r>
      <w:r>
        <w:rPr>
          <w:rFonts w:ascii="宋体" w:hAnsi="宋体"/>
          <w:color w:val="auto"/>
          <w:sz w:val="24"/>
          <w:highlight w:val="none"/>
        </w:rPr>
        <w:t>,</w:t>
      </w:r>
      <w:r>
        <w:rPr>
          <w:rFonts w:hint="eastAsia" w:ascii="宋体" w:hAnsi="宋体"/>
          <w:color w:val="auto"/>
          <w:sz w:val="24"/>
          <w:highlight w:val="none"/>
        </w:rPr>
        <w:t>按资质等级较低的一方确定资质等级。</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联合体各方中至少有一方符合本文件规定的特定条件，并且须提供《联合投标协议书》，格式见附件。</w:t>
      </w:r>
    </w:p>
    <w:p>
      <w:pPr>
        <w:snapToGrid w:val="0"/>
        <w:spacing w:line="360" w:lineRule="auto"/>
        <w:ind w:firstLine="472" w:firstLineChars="196"/>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2.本项目是否分包（按项目实际情况设定）。</w:t>
      </w:r>
    </w:p>
    <w:p>
      <w:pPr>
        <w:snapToGrid w:val="0"/>
        <w:spacing w:line="360" w:lineRule="auto"/>
        <w:ind w:firstLine="472" w:firstLineChars="196"/>
        <w:jc w:val="left"/>
        <w:rPr>
          <w:rFonts w:ascii="宋体" w:hAnsi="宋体" w:cs="宋体"/>
          <w:b/>
          <w:color w:val="auto"/>
          <w:sz w:val="24"/>
          <w:highlight w:val="none"/>
        </w:rPr>
      </w:pPr>
      <w:bookmarkStart w:id="87" w:name="_Toc254970673"/>
      <w:bookmarkStart w:id="88" w:name="_Toc308018665"/>
      <w:bookmarkStart w:id="89" w:name="_Toc482865310"/>
      <w:bookmarkStart w:id="90" w:name="_Toc293863308"/>
      <w:bookmarkStart w:id="91" w:name="_Toc483327799"/>
      <w:bookmarkStart w:id="92" w:name="_Toc482864539"/>
      <w:bookmarkStart w:id="93" w:name="_Toc448421130"/>
      <w:bookmarkStart w:id="94" w:name="_Toc254970532"/>
      <w:bookmarkStart w:id="95" w:name="_Toc445223668"/>
      <w:bookmarkStart w:id="96" w:name="_Toc57024407"/>
      <w:bookmarkStart w:id="97" w:name="_Toc400465701"/>
      <w:bookmarkStart w:id="98" w:name="_Toc482865140"/>
      <w:bookmarkStart w:id="99" w:name="_Toc293863041"/>
      <w:r>
        <w:rPr>
          <w:rFonts w:hint="eastAsia" w:ascii="宋体" w:hAnsi="宋体" w:cs="宋体"/>
          <w:b/>
          <w:color w:val="auto"/>
          <w:sz w:val="24"/>
          <w:highlight w:val="none"/>
        </w:rPr>
        <w:t>（八）特别说明</w:t>
      </w:r>
      <w:bookmarkEnd w:id="87"/>
      <w:bookmarkEnd w:id="88"/>
      <w:bookmarkEnd w:id="89"/>
      <w:bookmarkEnd w:id="90"/>
      <w:bookmarkEnd w:id="91"/>
      <w:bookmarkEnd w:id="92"/>
      <w:bookmarkEnd w:id="93"/>
      <w:bookmarkEnd w:id="94"/>
      <w:bookmarkEnd w:id="95"/>
      <w:bookmarkEnd w:id="96"/>
      <w:bookmarkEnd w:id="97"/>
      <w:bookmarkEnd w:id="98"/>
      <w:bookmarkEnd w:id="99"/>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单位负责人为同一人或者存在直接控股、管理关系的不同供应商，不得参加同一合同项下的政府采购活动。</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投标人投标所使用的资格、信誉、荣誉、业绩与企业认证必须为本法人所拥有。</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招标文件规定的方式确定一个投标人获得中标供应商推荐资格，招标文件未规定的采取随机抽取方式确定，其他同品牌投标人不作为中标候选人。</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pStyle w:val="30"/>
        <w:snapToGrid w:val="0"/>
        <w:spacing w:line="360" w:lineRule="auto"/>
        <w:ind w:left="2" w:leftChars="1"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投标人应仔细阅读招标文件的所有内容，按照招标文件的要求提交投标文件，并对所提供的全部资料的真实性承担法律责任。</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 投标人在投标活动中提供任何虚假材料，其投标无效，并报监管部门查处；中标后发现的，中标供应商须依照《中华人民共和国合同法》之规定赔偿采购人，且民事赔偿并不免除违法投标人的行政与刑事责任。</w:t>
      </w:r>
    </w:p>
    <w:p>
      <w:pPr>
        <w:widowControl/>
        <w:snapToGrid w:val="0"/>
        <w:spacing w:line="360" w:lineRule="auto"/>
        <w:ind w:firstLine="480" w:firstLineChars="200"/>
        <w:jc w:val="left"/>
        <w:rPr>
          <w:rFonts w:ascii="宋体" w:hAnsi="宋体" w:cs="宋体"/>
          <w:color w:val="auto"/>
          <w:sz w:val="24"/>
          <w:highlight w:val="none"/>
        </w:rPr>
      </w:pPr>
      <w:bookmarkStart w:id="100" w:name="_Toc482865141"/>
      <w:bookmarkStart w:id="101" w:name="_Toc445223669"/>
      <w:bookmarkStart w:id="102" w:name="_Toc308018666"/>
      <w:bookmarkStart w:id="103" w:name="_Toc254970533"/>
      <w:bookmarkStart w:id="104" w:name="_Toc482864540"/>
      <w:bookmarkStart w:id="105" w:name="_Toc254970674"/>
      <w:bookmarkStart w:id="106" w:name="_Toc293863309"/>
      <w:bookmarkStart w:id="107" w:name="_Toc400465702"/>
      <w:bookmarkStart w:id="108" w:name="_Toc483327800"/>
      <w:bookmarkStart w:id="109" w:name="_Toc448421131"/>
      <w:bookmarkStart w:id="110" w:name="_Toc482865311"/>
      <w:bookmarkStart w:id="111" w:name="_Toc293863042"/>
      <w:r>
        <w:rPr>
          <w:rFonts w:hint="eastAsia" w:ascii="宋体" w:hAnsi="宋体" w:cs="宋体"/>
          <w:color w:val="auto"/>
          <w:sz w:val="24"/>
          <w:highlight w:val="none"/>
        </w:rPr>
        <w:t>★6、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★7、本文件中描述投标人的“签字”是指投标人的法定代表人</w:t>
      </w:r>
      <w:r>
        <w:rPr>
          <w:rFonts w:hint="eastAsia" w:hAnsi="宋体"/>
          <w:color w:val="auto"/>
          <w:sz w:val="24"/>
          <w:highlight w:val="none"/>
        </w:rPr>
        <w:t>（或负责人）</w:t>
      </w:r>
      <w:r>
        <w:rPr>
          <w:rFonts w:hint="eastAsia" w:ascii="宋体" w:hAnsi="宋体" w:cs="宋体"/>
          <w:color w:val="auto"/>
          <w:sz w:val="24"/>
          <w:highlight w:val="none"/>
        </w:rPr>
        <w:t>或被授权人亲自在文件规定签署处亲笔写上个人的名字的行为，私章、签字章、印鉴、影印等其它形式均不能代替亲笔签字。</w:t>
      </w:r>
    </w:p>
    <w:bookmarkEnd w:id="100"/>
    <w:bookmarkEnd w:id="101"/>
    <w:bookmarkEnd w:id="102"/>
    <w:bookmarkEnd w:id="103"/>
    <w:bookmarkEnd w:id="104"/>
    <w:bookmarkEnd w:id="105"/>
    <w:bookmarkEnd w:id="106"/>
    <w:bookmarkEnd w:id="107"/>
    <w:bookmarkEnd w:id="108"/>
    <w:bookmarkEnd w:id="109"/>
    <w:bookmarkEnd w:id="110"/>
    <w:bookmarkEnd w:id="111"/>
    <w:p>
      <w:pPr>
        <w:pStyle w:val="30"/>
        <w:snapToGrid w:val="0"/>
        <w:spacing w:line="360" w:lineRule="auto"/>
        <w:ind w:firstLine="471" w:firstLineChars="196"/>
        <w:rPr>
          <w:rFonts w:hAnsi="宋体"/>
          <w:b/>
          <w:bCs/>
          <w:color w:val="auto"/>
          <w:sz w:val="24"/>
          <w:szCs w:val="24"/>
          <w:highlight w:val="none"/>
        </w:rPr>
      </w:pPr>
      <w:bookmarkStart w:id="112" w:name="_Toc4594"/>
      <w:bookmarkStart w:id="113" w:name="_Toc24617"/>
      <w:bookmarkStart w:id="114" w:name="_Toc22452"/>
      <w:bookmarkStart w:id="115" w:name="_Toc308018667"/>
      <w:bookmarkStart w:id="116" w:name="_Toc482864541"/>
      <w:bookmarkStart w:id="117" w:name="_Toc254970534"/>
      <w:bookmarkStart w:id="118" w:name="_Toc482865142"/>
      <w:bookmarkStart w:id="119" w:name="_Toc400465703"/>
      <w:bookmarkStart w:id="120" w:name="_Toc293863310"/>
      <w:bookmarkStart w:id="121" w:name="_Toc254970675"/>
      <w:bookmarkStart w:id="122" w:name="_Toc482865312"/>
      <w:bookmarkStart w:id="123" w:name="_Toc483327801"/>
      <w:bookmarkStart w:id="124" w:name="_Toc445223670"/>
      <w:bookmarkStart w:id="125" w:name="_Toc293863043"/>
      <w:bookmarkStart w:id="126" w:name="_Toc448421132"/>
    </w:p>
    <w:p>
      <w:pPr>
        <w:pStyle w:val="30"/>
        <w:snapToGrid w:val="0"/>
        <w:spacing w:line="360" w:lineRule="auto"/>
        <w:ind w:firstLine="471" w:firstLineChars="196"/>
        <w:rPr>
          <w:rFonts w:hAnsi="宋体"/>
          <w:b/>
          <w:bCs/>
          <w:color w:val="auto"/>
          <w:sz w:val="24"/>
          <w:szCs w:val="24"/>
          <w:highlight w:val="none"/>
        </w:rPr>
      </w:pPr>
      <w:r>
        <w:rPr>
          <w:rFonts w:hint="eastAsia" w:hAnsi="宋体"/>
          <w:b/>
          <w:bCs/>
          <w:color w:val="auto"/>
          <w:sz w:val="24"/>
          <w:szCs w:val="24"/>
          <w:highlight w:val="none"/>
        </w:rPr>
        <w:t>（九）</w:t>
      </w:r>
      <w:r>
        <w:rPr>
          <w:rFonts w:hint="eastAsia" w:hAnsi="宋体"/>
          <w:b/>
          <w:color w:val="auto"/>
          <w:sz w:val="24"/>
          <w:szCs w:val="24"/>
          <w:highlight w:val="none"/>
        </w:rPr>
        <w:t>质疑和投诉</w:t>
      </w:r>
      <w:bookmarkEnd w:id="112"/>
      <w:bookmarkEnd w:id="113"/>
      <w:bookmarkEnd w:id="114"/>
    </w:p>
    <w:p>
      <w:pPr>
        <w:pStyle w:val="30"/>
        <w:snapToGrid w:val="0"/>
        <w:spacing w:line="360" w:lineRule="auto"/>
        <w:ind w:left="239" w:leftChars="114" w:firstLine="240" w:firstLineChars="100"/>
        <w:jc w:val="left"/>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1</w:t>
      </w:r>
      <w:r>
        <w:rPr>
          <w:rFonts w:cs="宋体" w:asciiTheme="majorEastAsia" w:hAnsiTheme="majorEastAsia" w:eastAsiaTheme="majorEastAsia"/>
          <w:bCs/>
          <w:color w:val="auto"/>
          <w:sz w:val="24"/>
          <w:highlight w:val="none"/>
        </w:rPr>
        <w:t>.质疑</w:t>
      </w:r>
    </w:p>
    <w:p>
      <w:pPr>
        <w:snapToGrid w:val="0"/>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.1  磋商供应商认为招标文件、采购过程或中标结果使自己的合法权益受到损害的，应当在知道或者应知其权益受到损害之日起七个工作日内，以书面形式向采购人、采购代理机构提出质疑。</w:t>
      </w:r>
    </w:p>
    <w:p>
      <w:pPr>
        <w:snapToGrid w:val="0"/>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.2提出质疑的磋商供应商应当是参与所质疑项目采购活动的供应商，质疑函应按</w:t>
      </w:r>
      <w:r>
        <w:rPr>
          <w:color w:val="auto"/>
          <w:highlight w:val="none"/>
        </w:rPr>
        <w:fldChar w:fldCharType="begin"/>
      </w:r>
      <w:r>
        <w:rPr>
          <w:color w:val="auto"/>
          <w:highlight w:val="none"/>
        </w:rPr>
        <w:instrText xml:space="preserve"> HYPERLINK "https://www.baidu.com/link?url=FnEKpEfecgHI29OKpvrr0ThhhsjQDNw-iC11hZexO2s8DSLZMvZjUN1CP-ntt8geS3G5mNVZ0i2D2OwgmglOo6vjFDXXMR3ZdYuFwaHcBwa&amp;wd=&amp;eqid=f309d5cf0000e588000000065a976ec3" \t "_blank" </w:instrText>
      </w:r>
      <w:r>
        <w:rPr>
          <w:color w:val="auto"/>
          <w:highlight w:val="none"/>
        </w:rPr>
        <w:fldChar w:fldCharType="separate"/>
      </w:r>
      <w:r>
        <w:rPr>
          <w:rFonts w:asciiTheme="majorEastAsia" w:hAnsiTheme="majorEastAsia" w:eastAsiaTheme="majorEastAsia"/>
          <w:bCs/>
          <w:color w:val="auto"/>
          <w:sz w:val="24"/>
          <w:highlight w:val="none"/>
        </w:rPr>
        <w:t>财政部发布《政府采购供应商质疑函范本》</w:t>
      </w:r>
      <w:r>
        <w:rPr>
          <w:rFonts w:asciiTheme="majorEastAsia" w:hAnsiTheme="majorEastAsia" w:eastAsiaTheme="majorEastAsia"/>
          <w:bCs/>
          <w:color w:val="auto"/>
          <w:sz w:val="24"/>
          <w:highlight w:val="none"/>
        </w:rPr>
        <w:fldChar w:fldCharType="end"/>
      </w:r>
      <w:r>
        <w:rPr>
          <w:rFonts w:asciiTheme="majorEastAsia" w:hAnsiTheme="majorEastAsia" w:eastAsiaTheme="majorEastAsia"/>
          <w:bCs/>
          <w:color w:val="auto"/>
          <w:sz w:val="24"/>
          <w:highlight w:val="none"/>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napToGrid w:val="0"/>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.3供应商质疑实行实名制，其质疑应当有具体的质疑事项及事实根据，质疑应当坚持依法依规、诚实信用原则，不得进行虚假、恶意质疑。</w:t>
      </w:r>
    </w:p>
    <w:p>
      <w:pPr>
        <w:snapToGrid w:val="0"/>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.4供应商提交质疑应当提交质疑函和必要的证明材料，质疑函应当包括下列内容：</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（1）供应商的姓名或者名称、地址、邮编、联系人及联系电话；</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（2）质疑项目的名称、编号；</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（3）具体、明确的质疑事项和质疑事项相关的请求；</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（4）事实依据；</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（5）必要的法律依据；</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（6）提起质疑的日期；</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质疑书应当署名。供应商为自然人的，应当由本人签字；质疑供应商为法人或者其他组织的，应当由法定代表人</w:t>
      </w:r>
      <w:r>
        <w:rPr>
          <w:rFonts w:hint="eastAsia" w:hAnsi="宋体"/>
          <w:color w:val="auto"/>
          <w:sz w:val="24"/>
          <w:highlight w:val="none"/>
        </w:rPr>
        <w:t>（或负责人）</w:t>
      </w:r>
      <w:r>
        <w:rPr>
          <w:rFonts w:asciiTheme="majorEastAsia" w:hAnsiTheme="majorEastAsia" w:eastAsiaTheme="majorEastAsia"/>
          <w:bCs/>
          <w:color w:val="auto"/>
          <w:sz w:val="24"/>
          <w:highlight w:val="none"/>
        </w:rPr>
        <w:t>、主要负责人签字或其授权代表签字或盖章并加盖公章。</w:t>
      </w:r>
    </w:p>
    <w:p>
      <w:pPr>
        <w:snapToGrid w:val="0"/>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napToGrid w:val="0"/>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.6  质疑供应商提起质疑应当符合下列条件：</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（1）质疑供应商是参与所质疑政府采购活动的供应商，以联合体形式参加政府采购活动的，其质疑应当由组成联合体的所有供应商共同提出；</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（2）质疑函内容符合本章第</w:t>
      </w: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.4项的规定；</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（3）在质疑有效期限内提起质疑；</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（4）属于所质疑的采购人或采购人委托的采购代理机构组织的采购活动；</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 xml:space="preserve">（5）同一质疑事项未经采购人或采购人委托的采购代理机构质疑处理； </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（6）供应商对同一采购程序环节的质疑应当在质疑有效期内一次性提出；</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（7）供应商提交质疑应当提交必要的证明材料，证明材料应以合法手段取得；</w:t>
      </w:r>
    </w:p>
    <w:p>
      <w:pPr>
        <w:snapToGrid w:val="0"/>
        <w:spacing w:line="360" w:lineRule="auto"/>
        <w:ind w:firstLine="480" w:firstLineChars="20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（8）财政部门规定的其他条件。</w:t>
      </w:r>
    </w:p>
    <w:p>
      <w:pPr>
        <w:snapToGrid w:val="0"/>
        <w:spacing w:line="360" w:lineRule="auto"/>
        <w:ind w:firstLine="480" w:firstLineChars="20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w:t>
      </w:r>
      <w:r>
        <w:rPr>
          <w:rFonts w:asciiTheme="majorEastAsia" w:hAnsiTheme="majorEastAsia" w:eastAsiaTheme="majorEastAsia"/>
          <w:bCs/>
          <w:color w:val="auto"/>
          <w:sz w:val="24"/>
          <w:highlight w:val="none"/>
        </w:rPr>
        <w:t>.7  采购人或采购人委托的采购代理机构自受理质疑之日起七个工作日内，对质疑事项作出答复，并以书面形式通知质疑供应商及其他有关供应商。</w:t>
      </w:r>
    </w:p>
    <w:p>
      <w:pPr>
        <w:pStyle w:val="30"/>
        <w:snapToGrid w:val="0"/>
        <w:spacing w:line="360" w:lineRule="auto"/>
        <w:jc w:val="left"/>
        <w:rPr>
          <w:rFonts w:hAnsi="宋体"/>
          <w:bCs/>
          <w:color w:val="auto"/>
          <w:sz w:val="24"/>
          <w:szCs w:val="24"/>
          <w:highlight w:val="none"/>
        </w:rPr>
      </w:pPr>
    </w:p>
    <w:p>
      <w:pPr>
        <w:pStyle w:val="30"/>
        <w:snapToGrid w:val="0"/>
        <w:spacing w:line="360" w:lineRule="auto"/>
        <w:ind w:left="242" w:hanging="242" w:hangingChars="101"/>
        <w:jc w:val="left"/>
        <w:rPr>
          <w:rFonts w:hAnsi="宋体"/>
          <w:bCs/>
          <w:color w:val="auto"/>
          <w:sz w:val="24"/>
          <w:szCs w:val="24"/>
          <w:highlight w:val="none"/>
        </w:rPr>
      </w:pPr>
      <w:r>
        <w:rPr>
          <w:rFonts w:hAnsi="宋体"/>
          <w:bCs/>
          <w:color w:val="auto"/>
          <w:sz w:val="24"/>
          <w:szCs w:val="24"/>
          <w:highlight w:val="none"/>
        </w:rPr>
        <w:t xml:space="preserve">2.  </w:t>
      </w:r>
      <w:r>
        <w:rPr>
          <w:rFonts w:hint="eastAsia" w:hAnsi="宋体"/>
          <w:bCs/>
          <w:color w:val="auto"/>
          <w:sz w:val="24"/>
          <w:szCs w:val="24"/>
          <w:highlight w:val="none"/>
        </w:rPr>
        <w:t>投诉</w:t>
      </w:r>
    </w:p>
    <w:p>
      <w:pPr>
        <w:pStyle w:val="30"/>
        <w:snapToGrid w:val="0"/>
        <w:spacing w:line="360" w:lineRule="auto"/>
        <w:ind w:left="2" w:firstLine="408" w:firstLineChars="170"/>
        <w:jc w:val="left"/>
        <w:rPr>
          <w:rFonts w:hAnsi="宋体"/>
          <w:bCs/>
          <w:color w:val="auto"/>
          <w:sz w:val="24"/>
          <w:szCs w:val="24"/>
          <w:highlight w:val="none"/>
        </w:rPr>
      </w:pPr>
      <w:r>
        <w:rPr>
          <w:rFonts w:hint="eastAsia" w:hAnsi="宋体"/>
          <w:bCs/>
          <w:color w:val="auto"/>
          <w:sz w:val="24"/>
          <w:szCs w:val="24"/>
          <w:highlight w:val="none"/>
        </w:rPr>
        <w:t>2</w:t>
      </w:r>
      <w:r>
        <w:rPr>
          <w:rFonts w:hAnsi="宋体"/>
          <w:bCs/>
          <w:color w:val="auto"/>
          <w:sz w:val="24"/>
          <w:szCs w:val="24"/>
          <w:highlight w:val="none"/>
        </w:rPr>
        <w:t xml:space="preserve">.1  </w:t>
      </w:r>
      <w:r>
        <w:rPr>
          <w:rFonts w:hint="eastAsia" w:hAnsi="宋体"/>
          <w:bCs/>
          <w:color w:val="auto"/>
          <w:sz w:val="24"/>
          <w:szCs w:val="24"/>
          <w:highlight w:val="none"/>
        </w:rPr>
        <w:t>供应商认为采购文件、采购过程、中标和成交结果使自己的合法权益受到损害的，应当首先依法向采购人或采购人委托的</w:t>
      </w:r>
      <w:r>
        <w:rPr>
          <w:rFonts w:hint="eastAsia" w:hAnsi="宋体"/>
          <w:color w:val="auto"/>
          <w:sz w:val="24"/>
          <w:szCs w:val="24"/>
          <w:highlight w:val="none"/>
        </w:rPr>
        <w:t>采购代理机构</w:t>
      </w:r>
      <w:r>
        <w:rPr>
          <w:rFonts w:hint="eastAsia" w:hAnsi="宋体"/>
          <w:bCs/>
          <w:color w:val="auto"/>
          <w:sz w:val="24"/>
          <w:szCs w:val="24"/>
          <w:highlight w:val="none"/>
        </w:rPr>
        <w:t>提出质疑。对采购人、</w:t>
      </w:r>
      <w:r>
        <w:rPr>
          <w:rFonts w:hint="eastAsia" w:hAnsi="宋体"/>
          <w:color w:val="auto"/>
          <w:sz w:val="24"/>
          <w:szCs w:val="24"/>
          <w:highlight w:val="none"/>
        </w:rPr>
        <w:t>采购代理机构</w:t>
      </w:r>
      <w:r>
        <w:rPr>
          <w:rFonts w:hint="eastAsia" w:hAnsi="宋体"/>
          <w:bCs/>
          <w:color w:val="auto"/>
          <w:sz w:val="24"/>
          <w:szCs w:val="24"/>
          <w:highlight w:val="none"/>
        </w:rPr>
        <w:t>的答复不满意，或者采购人、</w:t>
      </w:r>
      <w:r>
        <w:rPr>
          <w:rFonts w:hint="eastAsia" w:hAnsi="宋体"/>
          <w:color w:val="auto"/>
          <w:sz w:val="24"/>
          <w:szCs w:val="24"/>
          <w:highlight w:val="none"/>
        </w:rPr>
        <w:t>采购代理机构</w:t>
      </w:r>
      <w:r>
        <w:rPr>
          <w:rFonts w:hint="eastAsia" w:hAnsi="宋体"/>
          <w:bCs/>
          <w:color w:val="auto"/>
          <w:sz w:val="24"/>
          <w:szCs w:val="24"/>
          <w:highlight w:val="none"/>
        </w:rPr>
        <w:t>未在规定期限内做出答复的，供应商可以在答复期满后十五个工作日内向广西区财政厅政府采购监督管理部门提起投诉。</w:t>
      </w:r>
    </w:p>
    <w:p>
      <w:pPr>
        <w:pStyle w:val="30"/>
        <w:snapToGrid w:val="0"/>
        <w:spacing w:line="360" w:lineRule="auto"/>
        <w:ind w:left="2" w:firstLine="408" w:firstLineChars="170"/>
        <w:jc w:val="left"/>
        <w:rPr>
          <w:rFonts w:hAnsi="宋体"/>
          <w:color w:val="auto"/>
          <w:sz w:val="24"/>
          <w:szCs w:val="24"/>
          <w:highlight w:val="none"/>
        </w:rPr>
      </w:pPr>
      <w:r>
        <w:rPr>
          <w:rFonts w:hAnsi="宋体"/>
          <w:color w:val="auto"/>
          <w:sz w:val="24"/>
          <w:szCs w:val="24"/>
          <w:highlight w:val="none"/>
        </w:rPr>
        <w:t xml:space="preserve">2.2  </w:t>
      </w:r>
      <w:r>
        <w:rPr>
          <w:rFonts w:hint="eastAsia" w:hAnsi="宋体"/>
          <w:color w:val="auto"/>
          <w:sz w:val="24"/>
          <w:szCs w:val="24"/>
          <w:highlight w:val="none"/>
        </w:rPr>
        <w:t>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30"/>
        <w:snapToGrid w:val="0"/>
        <w:spacing w:line="360" w:lineRule="auto"/>
        <w:ind w:left="2" w:firstLine="818" w:firstLineChars="341"/>
        <w:jc w:val="left"/>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）投诉人和被投诉人的名称、地址、电话等；</w:t>
      </w:r>
      <w:r>
        <w:rPr>
          <w:rFonts w:hAnsi="宋体"/>
          <w:color w:val="auto"/>
          <w:sz w:val="24"/>
          <w:szCs w:val="24"/>
          <w:highlight w:val="none"/>
        </w:rPr>
        <w:t xml:space="preserve"> </w:t>
      </w:r>
    </w:p>
    <w:p>
      <w:pPr>
        <w:pStyle w:val="30"/>
        <w:snapToGrid w:val="0"/>
        <w:spacing w:line="360" w:lineRule="auto"/>
        <w:ind w:left="2" w:firstLine="818" w:firstLineChars="341"/>
        <w:jc w:val="left"/>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）具体的投诉事项及事实依据；</w:t>
      </w:r>
    </w:p>
    <w:p>
      <w:pPr>
        <w:pStyle w:val="30"/>
        <w:snapToGrid w:val="0"/>
        <w:spacing w:line="360" w:lineRule="auto"/>
        <w:ind w:left="2" w:firstLine="818" w:firstLineChars="341"/>
        <w:jc w:val="left"/>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）质疑和质疑答复情况及相关证明材料；</w:t>
      </w:r>
      <w:r>
        <w:rPr>
          <w:rFonts w:hAnsi="宋体"/>
          <w:color w:val="auto"/>
          <w:sz w:val="24"/>
          <w:szCs w:val="24"/>
          <w:highlight w:val="none"/>
        </w:rPr>
        <w:t xml:space="preserve"> </w:t>
      </w:r>
    </w:p>
    <w:p>
      <w:pPr>
        <w:pStyle w:val="30"/>
        <w:snapToGrid w:val="0"/>
        <w:spacing w:line="360" w:lineRule="auto"/>
        <w:ind w:left="2" w:firstLine="818" w:firstLineChars="341"/>
        <w:jc w:val="left"/>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）提起投诉的日期。</w:t>
      </w:r>
    </w:p>
    <w:p>
      <w:pPr>
        <w:pStyle w:val="30"/>
        <w:snapToGrid w:val="0"/>
        <w:spacing w:line="360" w:lineRule="auto"/>
        <w:ind w:left="2" w:firstLine="818" w:firstLineChars="341"/>
        <w:jc w:val="left"/>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）附件材料：营业执照副本内页复印件（要求证件有效并清晰反映企业法人经营范围（复印件，原件备查））。</w:t>
      </w:r>
    </w:p>
    <w:p>
      <w:pPr>
        <w:pStyle w:val="30"/>
        <w:snapToGrid w:val="0"/>
        <w:spacing w:line="360" w:lineRule="auto"/>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投诉书应当署名。投诉人为自然人的，应当由本人签字；投诉人为法人或者其他组织的，应当由法定代表人（或负责人）或者主要负责人签字盖章并加盖公章。</w:t>
      </w:r>
    </w:p>
    <w:p>
      <w:pPr>
        <w:pStyle w:val="30"/>
        <w:snapToGrid w:val="0"/>
        <w:spacing w:line="360" w:lineRule="auto"/>
        <w:ind w:firstLine="650" w:firstLineChars="271"/>
        <w:rPr>
          <w:rFonts w:hAnsi="宋体"/>
          <w:color w:val="auto"/>
          <w:sz w:val="24"/>
          <w:szCs w:val="24"/>
          <w:highlight w:val="none"/>
        </w:rPr>
      </w:pPr>
      <w:r>
        <w:rPr>
          <w:rFonts w:hAnsi="宋体"/>
          <w:color w:val="auto"/>
          <w:sz w:val="24"/>
          <w:szCs w:val="24"/>
          <w:highlight w:val="none"/>
        </w:rPr>
        <w:t xml:space="preserve">2.3  </w:t>
      </w:r>
      <w:r>
        <w:rPr>
          <w:rFonts w:hint="eastAsia" w:hAnsi="宋体"/>
          <w:color w:val="auto"/>
          <w:sz w:val="24"/>
          <w:szCs w:val="24"/>
          <w:highlight w:val="none"/>
        </w:rPr>
        <w:t>投诉人可以委托代理人办理投诉事务。</w:t>
      </w:r>
      <w:r>
        <w:rPr>
          <w:rFonts w:hint="eastAsia" w:hAnsi="宋体"/>
          <w:bCs/>
          <w:color w:val="auto"/>
          <w:sz w:val="24"/>
          <w:szCs w:val="24"/>
          <w:highlight w:val="none"/>
        </w:rPr>
        <w:t>委托代理人应为投诉供应商的正式员工并熟悉相关业务情况。</w:t>
      </w:r>
      <w:r>
        <w:rPr>
          <w:rFonts w:hint="eastAsia" w:hAnsi="宋体"/>
          <w:color w:val="auto"/>
          <w:sz w:val="24"/>
          <w:szCs w:val="24"/>
          <w:highlight w:val="none"/>
        </w:rPr>
        <w:t>代理人办理投诉事务时，除提交投诉书外，还应当提交投诉人的授权委托书，授权委托书应当载明委托代理的具体权限和事项。</w:t>
      </w:r>
    </w:p>
    <w:p>
      <w:pPr>
        <w:pStyle w:val="30"/>
        <w:snapToGrid w:val="0"/>
        <w:spacing w:line="360" w:lineRule="auto"/>
        <w:ind w:firstLine="650" w:firstLineChars="271"/>
        <w:rPr>
          <w:rFonts w:hAnsi="宋体"/>
          <w:color w:val="auto"/>
          <w:sz w:val="24"/>
          <w:szCs w:val="24"/>
          <w:highlight w:val="none"/>
        </w:rPr>
      </w:pPr>
      <w:r>
        <w:rPr>
          <w:rFonts w:hAnsi="宋体"/>
          <w:color w:val="auto"/>
          <w:sz w:val="24"/>
          <w:szCs w:val="24"/>
          <w:highlight w:val="none"/>
        </w:rPr>
        <w:t xml:space="preserve">2.4  </w:t>
      </w:r>
      <w:r>
        <w:rPr>
          <w:rFonts w:hint="eastAsia" w:hAnsi="宋体"/>
          <w:color w:val="auto"/>
          <w:sz w:val="24"/>
          <w:szCs w:val="24"/>
          <w:highlight w:val="none"/>
        </w:rPr>
        <w:t>投诉人提起投诉应当符合下列条件：</w:t>
      </w:r>
    </w:p>
    <w:p>
      <w:pPr>
        <w:snapToGrid w:val="0"/>
        <w:spacing w:line="360" w:lineRule="auto"/>
        <w:ind w:firstLine="72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）投诉人是参与所投诉政府采购活动的供应商；</w:t>
      </w:r>
    </w:p>
    <w:p>
      <w:pPr>
        <w:snapToGrid w:val="0"/>
        <w:spacing w:line="360" w:lineRule="auto"/>
        <w:ind w:firstLine="72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）提起投诉前已依法进行质疑；</w:t>
      </w:r>
    </w:p>
    <w:p>
      <w:pPr>
        <w:snapToGrid w:val="0"/>
        <w:spacing w:line="360" w:lineRule="auto"/>
        <w:ind w:firstLine="72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）投诉书内容符合本章第</w:t>
      </w:r>
      <w:r>
        <w:rPr>
          <w:rFonts w:ascii="宋体" w:hAnsi="宋体"/>
          <w:color w:val="auto"/>
          <w:sz w:val="24"/>
          <w:highlight w:val="none"/>
        </w:rPr>
        <w:t>2.2</w:t>
      </w:r>
      <w:r>
        <w:rPr>
          <w:rFonts w:hint="eastAsia" w:ascii="宋体" w:hAnsi="宋体"/>
          <w:color w:val="auto"/>
          <w:sz w:val="24"/>
          <w:highlight w:val="none"/>
        </w:rPr>
        <w:t>项的规定；</w:t>
      </w:r>
    </w:p>
    <w:p>
      <w:pPr>
        <w:snapToGrid w:val="0"/>
        <w:spacing w:line="360" w:lineRule="auto"/>
        <w:ind w:firstLine="72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）在投诉有效期限内提起投诉；</w:t>
      </w:r>
    </w:p>
    <w:p>
      <w:pPr>
        <w:snapToGrid w:val="0"/>
        <w:spacing w:line="360" w:lineRule="auto"/>
        <w:ind w:firstLine="72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）属于广西壮族自治区财政厅政府采购监督管理部门管辖；</w:t>
      </w:r>
    </w:p>
    <w:p>
      <w:pPr>
        <w:snapToGrid w:val="0"/>
        <w:spacing w:line="360" w:lineRule="auto"/>
        <w:ind w:firstLine="72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）同一投诉事项未经广西壮族自治区财政厅政府采购监督</w:t>
      </w:r>
      <w:r>
        <w:rPr>
          <w:rFonts w:hint="eastAsia" w:ascii="宋体" w:hAnsi="宋体"/>
          <w:bCs/>
          <w:color w:val="auto"/>
          <w:sz w:val="24"/>
          <w:highlight w:val="none"/>
        </w:rPr>
        <w:t>部门</w:t>
      </w:r>
      <w:r>
        <w:rPr>
          <w:rFonts w:hint="eastAsia" w:ascii="宋体" w:hAnsi="宋体"/>
          <w:color w:val="auto"/>
          <w:sz w:val="24"/>
          <w:highlight w:val="none"/>
        </w:rPr>
        <w:t>投诉处理；</w:t>
      </w:r>
    </w:p>
    <w:p>
      <w:pPr>
        <w:snapToGrid w:val="0"/>
        <w:spacing w:line="360" w:lineRule="auto"/>
        <w:ind w:firstLine="72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）国务院财政部门规定的其他条件。</w:t>
      </w:r>
    </w:p>
    <w:p>
      <w:pPr>
        <w:snapToGrid w:val="0"/>
        <w:spacing w:line="360" w:lineRule="auto"/>
        <w:ind w:firstLine="650" w:firstLineChars="271"/>
        <w:rPr>
          <w:rFonts w:ascii="宋体" w:hAnsi="宋体"/>
          <w:color w:val="auto"/>
          <w:sz w:val="24"/>
          <w:highlight w:val="none"/>
        </w:rPr>
      </w:pPr>
      <w:r>
        <w:rPr>
          <w:rFonts w:ascii="宋体" w:hAnsi="宋体"/>
          <w:color w:val="auto"/>
          <w:sz w:val="24"/>
          <w:highlight w:val="none"/>
        </w:rPr>
        <w:t xml:space="preserve">2.5  </w:t>
      </w:r>
      <w:r>
        <w:rPr>
          <w:rFonts w:hint="eastAsia" w:ascii="宋体" w:hAnsi="宋体"/>
          <w:color w:val="auto"/>
          <w:sz w:val="24"/>
          <w:highlight w:val="none"/>
        </w:rPr>
        <w:t>广西壮族自治区财政厅政府采购监督管理部门自受理投诉之日起三十个工作日内，对投诉事项作出处理决定，并以书面形式通知投诉人、被投诉人及其他与投诉处理结果有利害关系的政府采购当事人。</w:t>
      </w:r>
    </w:p>
    <w:p>
      <w:pPr>
        <w:snapToGrid w:val="0"/>
        <w:spacing w:line="360" w:lineRule="auto"/>
        <w:ind w:firstLine="720" w:firstLineChars="300"/>
        <w:rPr>
          <w:rFonts w:ascii="宋体" w:hAnsi="宋体"/>
          <w:bCs/>
          <w:color w:val="auto"/>
          <w:sz w:val="24"/>
          <w:highlight w:val="none"/>
        </w:rPr>
      </w:pPr>
      <w:r>
        <w:rPr>
          <w:rFonts w:ascii="宋体" w:hAnsi="宋体"/>
          <w:color w:val="auto"/>
          <w:sz w:val="24"/>
          <w:highlight w:val="none"/>
        </w:rPr>
        <w:t xml:space="preserve">2.6  </w:t>
      </w:r>
      <w:r>
        <w:rPr>
          <w:rFonts w:hint="eastAsia" w:ascii="宋体" w:hAnsi="宋体"/>
          <w:color w:val="auto"/>
          <w:sz w:val="24"/>
          <w:highlight w:val="none"/>
        </w:rPr>
        <w:t>广西壮族自治区财政厅政府采购监督部门在处理投诉事项期间，可以视具体情况暂停采购活动。</w:t>
      </w:r>
    </w:p>
    <w:p>
      <w:pPr>
        <w:pStyle w:val="30"/>
        <w:adjustRightInd w:val="0"/>
        <w:snapToGrid w:val="0"/>
        <w:spacing w:line="360" w:lineRule="auto"/>
        <w:ind w:firstLine="960" w:firstLineChars="400"/>
        <w:rPr>
          <w:rFonts w:ascii="宋体" w:hAnsi="宋体" w:eastAsia="宋体" w:cs="宋体"/>
          <w:bCs/>
          <w:color w:val="auto"/>
          <w:sz w:val="24"/>
          <w:szCs w:val="24"/>
          <w:highlight w:val="none"/>
        </w:rPr>
      </w:pPr>
      <w:r>
        <w:rPr>
          <w:rFonts w:hint="eastAsia" w:hAnsi="宋体"/>
          <w:bCs/>
          <w:color w:val="auto"/>
          <w:sz w:val="24"/>
          <w:szCs w:val="24"/>
          <w:highlight w:val="none"/>
        </w:rPr>
        <w:t>①质疑联系部门及电话为：</w:t>
      </w:r>
      <w:r>
        <w:rPr>
          <w:rFonts w:hint="eastAsia" w:hAnsi="宋体" w:cs="宋体"/>
          <w:color w:val="auto"/>
          <w:sz w:val="24"/>
          <w:szCs w:val="24"/>
          <w:highlight w:val="none"/>
        </w:rPr>
        <w:t>广西邕政采购代</w:t>
      </w:r>
      <w:r>
        <w:rPr>
          <w:rFonts w:hint="eastAsia" w:ascii="宋体" w:hAnsi="宋体" w:eastAsia="宋体" w:cs="宋体"/>
          <w:color w:val="auto"/>
          <w:sz w:val="24"/>
          <w:szCs w:val="24"/>
          <w:highlight w:val="none"/>
        </w:rPr>
        <w:t>理有限公司        0771-2442850</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②投诉联系部门及电话为：广西壮族自治区政府采购监督管理处  </w:t>
      </w:r>
      <w:r>
        <w:rPr>
          <w:rFonts w:hint="eastAsia" w:ascii="宋体" w:hAnsi="宋体" w:cs="宋体"/>
          <w:color w:val="auto"/>
          <w:sz w:val="24"/>
          <w:highlight w:val="none"/>
        </w:rPr>
        <w:t>0771-5331539</w:t>
      </w:r>
    </w:p>
    <w:p>
      <w:pPr>
        <w:pStyle w:val="30"/>
        <w:snapToGrid w:val="0"/>
        <w:spacing w:line="360" w:lineRule="auto"/>
        <w:ind w:firstLine="480" w:firstLineChars="200"/>
        <w:rPr>
          <w:rFonts w:ascii="宋体" w:hAnsi="宋体" w:eastAsia="宋体" w:cs="宋体"/>
          <w:bCs/>
          <w:color w:val="auto"/>
          <w:sz w:val="24"/>
          <w:szCs w:val="24"/>
          <w:highlight w:val="none"/>
        </w:rPr>
      </w:pPr>
    </w:p>
    <w:p>
      <w:pPr>
        <w:pStyle w:val="30"/>
        <w:snapToGrid w:val="0"/>
        <w:spacing w:line="360" w:lineRule="auto"/>
        <w:ind w:firstLine="472" w:firstLineChars="196"/>
        <w:rPr>
          <w:rFonts w:ascii="宋体" w:hAnsi="宋体" w:eastAsia="宋体" w:cs="宋体"/>
          <w:b/>
          <w:color w:val="auto"/>
          <w:sz w:val="24"/>
          <w:szCs w:val="24"/>
          <w:highlight w:val="none"/>
        </w:rPr>
      </w:pPr>
      <w:bookmarkStart w:id="127" w:name="_Toc57024409"/>
      <w:r>
        <w:rPr>
          <w:rFonts w:hint="eastAsia" w:ascii="宋体" w:hAnsi="宋体" w:eastAsia="宋体" w:cs="宋体"/>
          <w:b/>
          <w:color w:val="auto"/>
          <w:sz w:val="24"/>
          <w:szCs w:val="24"/>
          <w:highlight w:val="none"/>
        </w:rPr>
        <w:t>二、招标文件</w:t>
      </w:r>
      <w:bookmarkEnd w:id="115"/>
      <w:bookmarkEnd w:id="116"/>
      <w:bookmarkEnd w:id="117"/>
      <w:bookmarkEnd w:id="118"/>
      <w:bookmarkEnd w:id="119"/>
      <w:bookmarkEnd w:id="120"/>
      <w:bookmarkEnd w:id="121"/>
      <w:bookmarkEnd w:id="122"/>
      <w:bookmarkEnd w:id="123"/>
      <w:bookmarkEnd w:id="124"/>
      <w:bookmarkEnd w:id="125"/>
      <w:bookmarkEnd w:id="126"/>
      <w:bookmarkEnd w:id="127"/>
    </w:p>
    <w:p>
      <w:pPr>
        <w:snapToGrid w:val="0"/>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（一）招标文件的构成</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公开招标公告；</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采购需求一览表；</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投标人须知；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 评标原则及评分标准；</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 合同主要条款格式；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 投标文件格式。</w:t>
      </w:r>
    </w:p>
    <w:p>
      <w:pPr>
        <w:snapToGrid w:val="0"/>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（二）投标人的风险</w:t>
      </w:r>
    </w:p>
    <w:p>
      <w:pPr>
        <w:pStyle w:val="15"/>
        <w:widowControl w:val="0"/>
        <w:tabs>
          <w:tab w:val="clear" w:pos="454"/>
        </w:tabs>
        <w:snapToGrid w:val="0"/>
        <w:spacing w:afterLines="0" w:line="360" w:lineRule="auto"/>
        <w:ind w:left="0" w:firstLine="470" w:firstLineChars="196"/>
        <w:rPr>
          <w:rFonts w:ascii="宋体" w:hAnsi="宋体" w:cs="宋体"/>
          <w:bCs/>
          <w:color w:val="auto"/>
          <w:szCs w:val="24"/>
          <w:highlight w:val="none"/>
        </w:rPr>
      </w:pPr>
      <w:r>
        <w:rPr>
          <w:rFonts w:hint="eastAsia" w:ascii="宋体" w:hAnsi="宋体" w:cs="宋体"/>
          <w:bCs/>
          <w:color w:val="auto"/>
          <w:szCs w:val="24"/>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pStyle w:val="15"/>
        <w:widowControl w:val="0"/>
        <w:tabs>
          <w:tab w:val="clear" w:pos="454"/>
        </w:tabs>
        <w:snapToGrid w:val="0"/>
        <w:spacing w:afterLines="0" w:line="360" w:lineRule="auto"/>
        <w:ind w:left="0" w:firstLine="470" w:firstLineChars="196"/>
        <w:rPr>
          <w:rFonts w:ascii="宋体" w:hAnsi="宋体" w:cs="宋体"/>
          <w:bCs/>
          <w:color w:val="auto"/>
          <w:szCs w:val="24"/>
          <w:highlight w:val="none"/>
        </w:rPr>
      </w:pPr>
      <w:r>
        <w:rPr>
          <w:rFonts w:hint="eastAsia" w:ascii="宋体" w:hAnsi="宋体" w:cs="宋体"/>
          <w:bCs/>
          <w:color w:val="auto"/>
          <w:szCs w:val="24"/>
          <w:highlight w:val="none"/>
        </w:rPr>
        <w:t>2、对招标文件提出的实质性要求和条件作出明确响应是指投标人必须对招标文件中涉及招标项目的价格、采购服务的服务要求及其它要求、合同主要条款等内容作出明确响应。</w:t>
      </w:r>
    </w:p>
    <w:p>
      <w:pPr>
        <w:pStyle w:val="15"/>
        <w:widowControl w:val="0"/>
        <w:tabs>
          <w:tab w:val="clear" w:pos="454"/>
        </w:tabs>
        <w:snapToGrid w:val="0"/>
        <w:spacing w:afterLines="0" w:line="360" w:lineRule="auto"/>
        <w:ind w:left="0" w:firstLine="472" w:firstLineChars="196"/>
        <w:rPr>
          <w:rFonts w:ascii="宋体" w:hAnsi="宋体" w:cs="宋体"/>
          <w:b/>
          <w:color w:val="auto"/>
          <w:szCs w:val="24"/>
          <w:highlight w:val="none"/>
        </w:rPr>
      </w:pPr>
      <w:r>
        <w:rPr>
          <w:rFonts w:hint="eastAsia" w:ascii="宋体" w:hAnsi="宋体" w:cs="宋体"/>
          <w:b/>
          <w:color w:val="auto"/>
          <w:szCs w:val="24"/>
          <w:highlight w:val="none"/>
        </w:rPr>
        <w:t>（三）招标文件的澄清和修改</w:t>
      </w:r>
    </w:p>
    <w:p>
      <w:pPr>
        <w:pStyle w:val="3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1.</w:t>
      </w:r>
      <w:r>
        <w:rPr>
          <w:rFonts w:hAnsi="宋体"/>
          <w:bCs/>
          <w:color w:val="auto"/>
          <w:sz w:val="24"/>
          <w:szCs w:val="24"/>
          <w:highlight w:val="none"/>
        </w:rPr>
        <w:t xml:space="preserve"> </w:t>
      </w:r>
      <w:r>
        <w:rPr>
          <w:rFonts w:hint="eastAsia" w:hAnsi="宋体"/>
          <w:bCs/>
          <w:color w:val="auto"/>
          <w:sz w:val="24"/>
          <w:szCs w:val="24"/>
          <w:highlight w:val="none"/>
        </w:rPr>
        <w:t>投标人应认真阅读本招标文件，发现其中有误或有不合理要求的，投标人</w:t>
      </w:r>
      <w:r>
        <w:rPr>
          <w:rFonts w:hint="eastAsia" w:hAnsi="宋体"/>
          <w:color w:val="auto"/>
          <w:sz w:val="24"/>
          <w:szCs w:val="24"/>
          <w:highlight w:val="none"/>
        </w:rPr>
        <w:t>应当</w:t>
      </w:r>
      <w:r>
        <w:rPr>
          <w:rFonts w:hint="eastAsia" w:hAnsi="宋体"/>
          <w:bCs/>
          <w:color w:val="auto"/>
          <w:sz w:val="24"/>
          <w:szCs w:val="24"/>
          <w:highlight w:val="none"/>
        </w:rPr>
        <w:t>在</w:t>
      </w:r>
      <w:r>
        <w:rPr>
          <w:rFonts w:hint="eastAsia" w:hAnsi="宋体"/>
          <w:bCs/>
          <w:color w:val="auto"/>
          <w:sz w:val="24"/>
          <w:szCs w:val="24"/>
          <w:highlight w:val="none"/>
          <w:u w:val="single"/>
        </w:rPr>
        <w:t>“投标人须知及前附表序号</w:t>
      </w:r>
      <w:r>
        <w:rPr>
          <w:rFonts w:hint="eastAsia" w:hAnsi="宋体" w:eastAsia="宋体"/>
          <w:bCs/>
          <w:color w:val="auto"/>
          <w:sz w:val="24"/>
          <w:szCs w:val="24"/>
          <w:highlight w:val="none"/>
          <w:u w:val="single"/>
        </w:rPr>
        <w:t>7</w:t>
      </w:r>
      <w:r>
        <w:rPr>
          <w:rFonts w:hint="eastAsia" w:hAnsi="宋体"/>
          <w:bCs/>
          <w:color w:val="auto"/>
          <w:sz w:val="24"/>
          <w:szCs w:val="24"/>
          <w:highlight w:val="none"/>
          <w:u w:val="single"/>
        </w:rPr>
        <w:t>”规定的时间</w:t>
      </w:r>
      <w:r>
        <w:rPr>
          <w:rFonts w:hint="eastAsia" w:hAnsi="宋体"/>
          <w:bCs/>
          <w:color w:val="auto"/>
          <w:sz w:val="24"/>
          <w:szCs w:val="24"/>
          <w:highlight w:val="none"/>
        </w:rPr>
        <w:t>前以书面形式要求招标采购单位</w:t>
      </w:r>
      <w:r>
        <w:rPr>
          <w:rFonts w:hint="eastAsia" w:hAnsi="宋体"/>
          <w:color w:val="auto"/>
          <w:sz w:val="24"/>
          <w:szCs w:val="24"/>
          <w:highlight w:val="none"/>
        </w:rPr>
        <w:t>答疑、澄清</w:t>
      </w:r>
      <w:r>
        <w:rPr>
          <w:rFonts w:hint="eastAsia" w:hAnsi="宋体"/>
          <w:bCs/>
          <w:color w:val="auto"/>
          <w:sz w:val="24"/>
          <w:szCs w:val="24"/>
          <w:highlight w:val="none"/>
        </w:rPr>
        <w:t>。采购代理机构对已发出的招标文件进行必要澄清或者修改</w:t>
      </w:r>
      <w:r>
        <w:rPr>
          <w:rFonts w:hint="eastAsia" w:hAnsi="宋体"/>
          <w:b/>
          <w:bCs/>
          <w:color w:val="auto"/>
          <w:sz w:val="24"/>
          <w:szCs w:val="24"/>
          <w:highlight w:val="none"/>
        </w:rPr>
        <w:t>可能影响投标文件编制的</w:t>
      </w:r>
      <w:r>
        <w:rPr>
          <w:rFonts w:hint="eastAsia" w:hAnsi="宋体"/>
          <w:bCs/>
          <w:color w:val="auto"/>
          <w:sz w:val="24"/>
          <w:szCs w:val="24"/>
          <w:highlight w:val="none"/>
        </w:rPr>
        <w:t>，应当在招标文件要求提交投标文件截止时间十五日前，在财政部门指定的政府采购信息发布媒体网站上发布更正公告。该澄清或者修改的内容为招标文件的组成部分</w:t>
      </w:r>
      <w:r>
        <w:rPr>
          <w:rFonts w:hint="eastAsia" w:hAnsi="宋体"/>
          <w:color w:val="auto"/>
          <w:sz w:val="24"/>
          <w:szCs w:val="24"/>
          <w:highlight w:val="none"/>
        </w:rPr>
        <w:t>。</w:t>
      </w:r>
    </w:p>
    <w:p>
      <w:pPr>
        <w:pStyle w:val="3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采购代理机构答复投标人要求澄清的问题，并将不包含问题来源的答复通知所有购买招标文件的投标人。</w:t>
      </w:r>
    </w:p>
    <w:p>
      <w:pPr>
        <w:pStyle w:val="3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招标文件的答疑、澄清、修改、补充的内容为招标文件的组成部分。当招标文件与招标文件的答疑、澄清、修改、补充通知就同一内容的表述不一致时，以最后发出的通知为准。</w:t>
      </w:r>
    </w:p>
    <w:p>
      <w:pPr>
        <w:pStyle w:val="3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招标文件的答疑、澄清、修改、补充都应该通过采购代理机构以法定形式发布，采购人非通过本机构，不得擅自答疑、澄清、修改、补充招标文件。</w:t>
      </w:r>
    </w:p>
    <w:p>
      <w:pPr>
        <w:pStyle w:val="30"/>
        <w:snapToGrid w:val="0"/>
        <w:spacing w:line="360" w:lineRule="auto"/>
        <w:ind w:firstLine="470" w:firstLineChars="196"/>
        <w:rPr>
          <w:rFonts w:ascii="宋体" w:hAnsi="宋体" w:eastAsia="宋体" w:cs="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、采购人可以视采购具体情况，延长招标文件或者资格预审文件提供期限，并在财政部门指定的政府采购信息发布媒体（中国政府采购网、广西壮族自治区政府采购网、广西公共资源交易中心）上发布公告。</w:t>
      </w:r>
    </w:p>
    <w:p>
      <w:pPr>
        <w:pStyle w:val="30"/>
        <w:snapToGrid w:val="0"/>
        <w:spacing w:line="360" w:lineRule="auto"/>
        <w:ind w:firstLine="472" w:firstLineChars="196"/>
        <w:rPr>
          <w:rFonts w:ascii="宋体" w:hAnsi="宋体" w:eastAsia="宋体" w:cs="宋体"/>
          <w:b/>
          <w:color w:val="auto"/>
          <w:sz w:val="24"/>
          <w:szCs w:val="24"/>
          <w:highlight w:val="none"/>
        </w:rPr>
      </w:pPr>
      <w:bookmarkStart w:id="128" w:name="_Toc483327802"/>
      <w:bookmarkStart w:id="129" w:name="_Toc448421133"/>
      <w:bookmarkStart w:id="130" w:name="_Toc400465704"/>
      <w:bookmarkStart w:id="131" w:name="_Toc445223671"/>
      <w:bookmarkStart w:id="132" w:name="_Toc482865313"/>
      <w:bookmarkStart w:id="133" w:name="_Toc57024410"/>
      <w:bookmarkStart w:id="134" w:name="_Toc308018668"/>
      <w:bookmarkStart w:id="135" w:name="_Toc254970676"/>
      <w:bookmarkStart w:id="136" w:name="_Toc293863044"/>
      <w:bookmarkStart w:id="137" w:name="_Toc254970535"/>
      <w:bookmarkStart w:id="138" w:name="_Toc293863311"/>
      <w:bookmarkStart w:id="139" w:name="_Toc482865143"/>
      <w:bookmarkStart w:id="140" w:name="_Toc482864542"/>
      <w:r>
        <w:rPr>
          <w:rFonts w:hint="eastAsia" w:ascii="宋体" w:hAnsi="宋体" w:eastAsia="宋体" w:cs="宋体"/>
          <w:b/>
          <w:color w:val="auto"/>
          <w:sz w:val="24"/>
          <w:szCs w:val="24"/>
          <w:highlight w:val="none"/>
        </w:rPr>
        <w:t>三、投标文件的编制</w:t>
      </w:r>
      <w:bookmarkEnd w:id="128"/>
      <w:bookmarkEnd w:id="129"/>
      <w:bookmarkEnd w:id="130"/>
      <w:bookmarkEnd w:id="131"/>
      <w:bookmarkEnd w:id="132"/>
      <w:bookmarkEnd w:id="133"/>
      <w:bookmarkEnd w:id="134"/>
      <w:bookmarkEnd w:id="135"/>
      <w:bookmarkEnd w:id="136"/>
      <w:bookmarkEnd w:id="137"/>
      <w:bookmarkEnd w:id="138"/>
      <w:bookmarkEnd w:id="139"/>
      <w:bookmarkEnd w:id="140"/>
    </w:p>
    <w:p>
      <w:pPr>
        <w:snapToGrid w:val="0"/>
        <w:spacing w:line="360" w:lineRule="auto"/>
        <w:ind w:firstLine="472" w:firstLineChars="196"/>
        <w:jc w:val="left"/>
        <w:rPr>
          <w:rFonts w:ascii="宋体" w:hAnsi="宋体" w:cs="宋体"/>
          <w:b/>
          <w:color w:val="auto"/>
          <w:sz w:val="24"/>
          <w:highlight w:val="none"/>
        </w:rPr>
      </w:pPr>
      <w:bookmarkStart w:id="141" w:name="_Toc308018669"/>
      <w:bookmarkStart w:id="142" w:name="_Toc482865314"/>
      <w:bookmarkStart w:id="143" w:name="_Toc254970677"/>
      <w:bookmarkStart w:id="144" w:name="_Toc57024411"/>
      <w:bookmarkStart w:id="145" w:name="_Toc293863045"/>
      <w:bookmarkStart w:id="146" w:name="_Toc400465705"/>
      <w:bookmarkStart w:id="147" w:name="_Toc483327803"/>
      <w:bookmarkStart w:id="148" w:name="_Toc482864543"/>
      <w:bookmarkStart w:id="149" w:name="_Toc445223672"/>
      <w:bookmarkStart w:id="150" w:name="_Toc254970536"/>
      <w:bookmarkStart w:id="151" w:name="_Toc293863312"/>
      <w:bookmarkStart w:id="152" w:name="_Toc482865144"/>
      <w:bookmarkStart w:id="153" w:name="_Toc448421134"/>
      <w:r>
        <w:rPr>
          <w:rFonts w:hint="eastAsia" w:ascii="宋体" w:hAnsi="宋体" w:cs="宋体"/>
          <w:b/>
          <w:color w:val="auto"/>
          <w:sz w:val="24"/>
          <w:highlight w:val="none"/>
        </w:rPr>
        <w:t>（一）投标文件的组成</w:t>
      </w:r>
      <w:bookmarkEnd w:id="141"/>
      <w:bookmarkEnd w:id="142"/>
      <w:bookmarkEnd w:id="143"/>
      <w:bookmarkEnd w:id="144"/>
      <w:bookmarkEnd w:id="145"/>
      <w:bookmarkEnd w:id="146"/>
      <w:bookmarkEnd w:id="147"/>
      <w:bookmarkEnd w:id="148"/>
      <w:bookmarkEnd w:id="149"/>
      <w:bookmarkEnd w:id="150"/>
      <w:bookmarkEnd w:id="151"/>
      <w:bookmarkEnd w:id="152"/>
      <w:bookmarkEnd w:id="153"/>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投标文件由资格部分、商务及技术部分、投标报价部分三部份组成。</w:t>
      </w:r>
    </w:p>
    <w:p>
      <w:pPr>
        <w:snapToGrid w:val="0"/>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1.资格部分：</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（1）有效的三证合一的营业执照副本复印件</w:t>
      </w:r>
      <w:r>
        <w:rPr>
          <w:rFonts w:hint="eastAsia" w:hAnsi="宋体"/>
          <w:b/>
          <w:color w:val="auto"/>
          <w:sz w:val="24"/>
          <w:highlight w:val="none"/>
        </w:rPr>
        <w:t>（必须提供，原件备查）</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（2）法定代表人</w:t>
      </w:r>
      <w:r>
        <w:rPr>
          <w:rFonts w:hint="eastAsia" w:hAnsi="宋体"/>
          <w:color w:val="auto"/>
          <w:sz w:val="24"/>
          <w:highlight w:val="none"/>
        </w:rPr>
        <w:t>（或负责人）</w:t>
      </w:r>
      <w:r>
        <w:rPr>
          <w:rFonts w:hint="eastAsia" w:ascii="宋体" w:hAnsi="宋体" w:cs="宋体"/>
          <w:color w:val="auto"/>
          <w:sz w:val="24"/>
          <w:highlight w:val="none"/>
        </w:rPr>
        <w:t>完整有效的身份证复印件（第二代身份证必须提供正反面复印件，同时要加盖单位公章）</w:t>
      </w:r>
      <w:r>
        <w:rPr>
          <w:rFonts w:hint="eastAsia" w:hAnsi="宋体"/>
          <w:b/>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（3）法定代表人</w:t>
      </w:r>
      <w:r>
        <w:rPr>
          <w:rFonts w:hint="eastAsia" w:hAnsi="宋体"/>
          <w:color w:val="auto"/>
          <w:sz w:val="24"/>
          <w:highlight w:val="none"/>
        </w:rPr>
        <w:t>（或负责人）</w:t>
      </w:r>
      <w:r>
        <w:rPr>
          <w:rFonts w:hint="eastAsia" w:ascii="宋体" w:hAnsi="宋体" w:cs="宋体"/>
          <w:color w:val="auto"/>
          <w:sz w:val="24"/>
          <w:highlight w:val="none"/>
        </w:rPr>
        <w:t>授权委托书(格式见第六章) 和委托代理人完整有效的身份证复印件</w:t>
      </w:r>
      <w:r>
        <w:rPr>
          <w:rFonts w:hint="eastAsia" w:ascii="宋体" w:hAnsi="宋体" w:cs="宋体"/>
          <w:b/>
          <w:bCs/>
          <w:color w:val="auto"/>
          <w:sz w:val="24"/>
          <w:highlight w:val="none"/>
        </w:rPr>
        <w:t>（</w:t>
      </w:r>
      <w:r>
        <w:rPr>
          <w:rFonts w:hint="eastAsia" w:ascii="宋体" w:hAnsi="宋体" w:cs="宋体"/>
          <w:color w:val="auto"/>
          <w:sz w:val="24"/>
          <w:highlight w:val="none"/>
        </w:rPr>
        <w:t>第二代身份证必须提供正反面复印件，同时要加盖单位公章）</w:t>
      </w:r>
      <w:r>
        <w:rPr>
          <w:rFonts w:hint="eastAsia" w:ascii="宋体" w:hAnsi="宋体" w:cs="宋体"/>
          <w:b/>
          <w:bCs/>
          <w:color w:val="auto"/>
          <w:sz w:val="24"/>
          <w:highlight w:val="none"/>
        </w:rPr>
        <w:t>（委托代理时必须提供）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4）截标时间前半年内，任意三个月投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成立不足3个月的供应商按实际情况提供）</w:t>
      </w:r>
      <w:r>
        <w:rPr>
          <w:rFonts w:hint="eastAsia" w:hAnsi="宋体"/>
          <w:b/>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5）截标时间前半年内，任意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成立不足3个月的供应商按实际情况提供）</w:t>
      </w:r>
      <w:r>
        <w:rPr>
          <w:rFonts w:hint="eastAsia" w:hAnsi="宋体"/>
          <w:b/>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（6）参加政府采购活动前3年内在经营活动中没有重大违法记录的书面声明</w:t>
      </w:r>
      <w:r>
        <w:rPr>
          <w:rFonts w:hint="eastAsia" w:ascii="宋体" w:hAnsi="宋体" w:cs="宋体"/>
          <w:b/>
          <w:bCs/>
          <w:color w:val="auto"/>
          <w:sz w:val="24"/>
          <w:highlight w:val="none"/>
        </w:rPr>
        <w:t>（格式自拟，必须提供）</w:t>
      </w:r>
      <w:r>
        <w:rPr>
          <w:rFonts w:hint="eastAsia" w:ascii="宋体" w:hAnsi="宋体" w:cs="宋体"/>
          <w:color w:val="auto"/>
          <w:sz w:val="24"/>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 w:val="24"/>
          <w:highlight w:val="none"/>
        </w:rPr>
        <w:t>（7）信用声明函（格式见第六章）</w:t>
      </w:r>
      <w:r>
        <w:rPr>
          <w:rFonts w:hint="eastAsia" w:ascii="宋体" w:hAnsi="宋体" w:cs="宋体"/>
          <w:b/>
          <w:bCs/>
          <w:color w:val="auto"/>
          <w:sz w:val="24"/>
          <w:highlight w:val="none"/>
        </w:rPr>
        <w:t>（必须提供）；</w:t>
      </w:r>
      <w:r>
        <w:rPr>
          <w:rFonts w:hint="eastAsia" w:asciiTheme="majorEastAsia" w:hAnsiTheme="majorEastAsia" w:eastAsiaTheme="majorEastAsia"/>
          <w:b/>
          <w:color w:val="auto"/>
          <w:sz w:val="24"/>
          <w:highlight w:val="none"/>
        </w:rPr>
        <w:t>（注：采购人或采购代理机构在对投标人资格审查时进行信用查询，查询结果与投标文件不一致时，以采购人或采购代理机构查询结果为准。）</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（8）投标人近期财务状况报告（2020年度经第三方审计的财务报告；或投标人基本开户银行出具的资信证明复印件；或截标时间前半年内能反映财务状况的报表）；成立不足3个月的供应商按实际情况提供</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（9）联合体协议书；</w:t>
      </w:r>
      <w:r>
        <w:rPr>
          <w:rFonts w:hint="eastAsia" w:ascii="宋体" w:hAnsi="宋体" w:cs="宋体"/>
          <w:b/>
          <w:bCs/>
          <w:color w:val="auto"/>
          <w:sz w:val="24"/>
          <w:highlight w:val="none"/>
        </w:rPr>
        <w:t>（允许联合体投标时必须提供）（格式见第六章）</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（10）联合投标授权委托书；</w:t>
      </w:r>
      <w:r>
        <w:rPr>
          <w:rFonts w:hint="eastAsia" w:ascii="宋体" w:hAnsi="宋体" w:cs="宋体"/>
          <w:b/>
          <w:bCs/>
          <w:color w:val="auto"/>
          <w:sz w:val="24"/>
          <w:highlight w:val="none"/>
        </w:rPr>
        <w:t>（允许联合体投标时必须提供）（格式见第六章）</w:t>
      </w:r>
    </w:p>
    <w:p>
      <w:pPr>
        <w:snapToGrid w:val="0"/>
        <w:spacing w:line="360" w:lineRule="auto"/>
        <w:ind w:right="-143" w:rightChars="-68" w:firstLine="480" w:firstLineChars="200"/>
        <w:rPr>
          <w:rFonts w:ascii="宋体" w:hAnsi="宋体" w:cs="宋体"/>
          <w:color w:val="auto"/>
          <w:sz w:val="24"/>
          <w:highlight w:val="none"/>
        </w:rPr>
      </w:pPr>
      <w:r>
        <w:rPr>
          <w:rFonts w:hint="eastAsia" w:ascii="宋体" w:hAnsi="宋体" w:cs="宋体"/>
          <w:color w:val="auto"/>
          <w:sz w:val="24"/>
          <w:highlight w:val="none"/>
        </w:rPr>
        <w:t>（11）特殊资质要求：无。</w:t>
      </w:r>
    </w:p>
    <w:p>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注：</w:t>
      </w:r>
      <w:r>
        <w:rPr>
          <w:rFonts w:hint="eastAsia" w:ascii="宋体" w:hAnsi="宋体" w:cs="宋体"/>
          <w:color w:val="auto"/>
          <w:sz w:val="24"/>
          <w:highlight w:val="none"/>
        </w:rPr>
        <w:t>上述（1）-（10）项提交的材料必须加盖投标人单位公章。</w:t>
      </w:r>
    </w:p>
    <w:p>
      <w:pPr>
        <w:snapToGrid w:val="0"/>
        <w:spacing w:line="360" w:lineRule="auto"/>
        <w:ind w:firstLine="472" w:firstLineChars="196"/>
        <w:jc w:val="left"/>
        <w:rPr>
          <w:rFonts w:ascii="宋体" w:hAnsi="宋体" w:cs="宋体"/>
          <w:b/>
          <w:bCs/>
          <w:color w:val="auto"/>
          <w:sz w:val="24"/>
          <w:highlight w:val="none"/>
        </w:rPr>
      </w:pPr>
      <w:r>
        <w:rPr>
          <w:rFonts w:hint="eastAsia" w:ascii="宋体" w:hAnsi="宋体" w:cs="宋体"/>
          <w:b/>
          <w:bCs/>
          <w:color w:val="auto"/>
          <w:sz w:val="24"/>
          <w:highlight w:val="none"/>
        </w:rPr>
        <w:t>2.商务及技术部分</w:t>
      </w:r>
    </w:p>
    <w:p>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商务部分</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（1）投标保证金银行回执单复印件</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（2）投标声明书(格式见第六章)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（3）投标人情况介绍；</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（4）属于投标人的资质及信誉等方面的证书或材料；</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（5）属于产品制造商的资质及信誉等方面的证书或材料；</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（6）商务响应表(格式见第六章)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（7）投标人需要说明的其他文件和说明；</w:t>
      </w:r>
    </w:p>
    <w:p>
      <w:pPr>
        <w:snapToGrid w:val="0"/>
        <w:spacing w:line="360" w:lineRule="auto"/>
        <w:ind w:firstLine="710" w:firstLineChars="296"/>
        <w:jc w:val="left"/>
        <w:rPr>
          <w:rFonts w:ascii="宋体" w:hAnsi="宋体" w:cs="宋体"/>
          <w:color w:val="auto"/>
          <w:sz w:val="24"/>
          <w:highlight w:val="none"/>
        </w:rPr>
      </w:pPr>
      <w:r>
        <w:rPr>
          <w:rFonts w:hint="eastAsia" w:ascii="宋体" w:hAnsi="宋体" w:cs="宋体"/>
          <w:color w:val="auto"/>
          <w:sz w:val="24"/>
          <w:highlight w:val="none"/>
        </w:rPr>
        <w:t>（8）投标人的类似成功案例的业绩证明文件(格式见第六章)；</w:t>
      </w:r>
    </w:p>
    <w:p>
      <w:pPr>
        <w:snapToGrid w:val="0"/>
        <w:spacing w:line="360" w:lineRule="auto"/>
        <w:ind w:firstLine="710" w:firstLineChars="296"/>
        <w:jc w:val="left"/>
        <w:rPr>
          <w:rFonts w:ascii="宋体" w:hAnsi="宋体" w:cs="宋体"/>
          <w:color w:val="auto"/>
          <w:sz w:val="24"/>
          <w:highlight w:val="none"/>
        </w:rPr>
      </w:pPr>
      <w:r>
        <w:rPr>
          <w:rFonts w:hint="eastAsia" w:ascii="宋体" w:hAnsi="宋体" w:cs="宋体"/>
          <w:color w:val="auto"/>
          <w:sz w:val="24"/>
          <w:highlight w:val="none"/>
        </w:rPr>
        <w:t>（9）投标人符合中小企业划型标准的，按《政府采购促进中小企业发展管理办法》（财库〔2020〕46号）要求，提供中小企业声明函。监狱企业参加政府采购活动时，应当提供由省级以上监狱管理局、戒毒管理局（含新疆生产建设兵团）出具的属于监狱企业的证明文件。</w:t>
      </w:r>
      <w:r>
        <w:rPr>
          <w:rFonts w:hint="eastAsia" w:ascii="宋体" w:hAnsi="宋体" w:cs="宋体"/>
          <w:bCs/>
          <w:color w:val="auto"/>
          <w:sz w:val="24"/>
          <w:highlight w:val="none"/>
        </w:rPr>
        <w:t>（证明文件在有效期内或注明为2020年度的为有效；未注明有效期或2020年度的，开具时间在一年内的为有效，其余由评标委员会认定）</w:t>
      </w:r>
      <w:r>
        <w:rPr>
          <w:rFonts w:hint="eastAsia" w:ascii="宋体" w:hAnsi="宋体" w:cs="宋体"/>
          <w:color w:val="auto"/>
          <w:sz w:val="24"/>
          <w:highlight w:val="none"/>
        </w:rPr>
        <w:t>(格式见第六章)；</w:t>
      </w:r>
    </w:p>
    <w:p>
      <w:pPr>
        <w:snapToGrid w:val="0"/>
        <w:spacing w:line="360" w:lineRule="auto"/>
        <w:ind w:firstLine="710" w:firstLineChars="296"/>
        <w:jc w:val="left"/>
        <w:rPr>
          <w:rFonts w:ascii="宋体" w:hAnsi="宋体" w:cs="宋体"/>
          <w:color w:val="auto"/>
          <w:sz w:val="24"/>
          <w:highlight w:val="none"/>
        </w:rPr>
      </w:pPr>
      <w:r>
        <w:rPr>
          <w:rFonts w:hint="eastAsia" w:ascii="宋体" w:hAnsi="宋体" w:cs="宋体"/>
          <w:color w:val="auto"/>
          <w:sz w:val="24"/>
          <w:highlight w:val="none"/>
        </w:rPr>
        <w:t>（10）投标产品提供单位按《关于促进残疾人就业政府采购政策的通知》(财库〔2019〕141号)认定为残疾人福利性单位的，在政府采购活动中，残疾人福利性单位视同小型、微型企业。符合条件的残疾人福利性单位在参加政府采购活动时，应当提供本通知规定的《残疾人福利性单位声明函》，并对声明的真实性负责(格式见第六章)。</w:t>
      </w:r>
    </w:p>
    <w:p>
      <w:pPr>
        <w:snapToGrid w:val="0"/>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技术部分</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（1）技术响应表(格式见第六章)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（2）技术服务承诺，包括但不限于以下文件资料：</w:t>
      </w:r>
    </w:p>
    <w:p>
      <w:pPr>
        <w:snapToGrid w:val="0"/>
        <w:spacing w:line="360" w:lineRule="auto"/>
        <w:ind w:firstLine="1132" w:firstLineChars="472"/>
        <w:jc w:val="left"/>
        <w:rPr>
          <w:rFonts w:ascii="宋体" w:hAnsi="宋体" w:cs="宋体"/>
          <w:color w:val="auto"/>
          <w:sz w:val="24"/>
          <w:highlight w:val="none"/>
        </w:rPr>
      </w:pPr>
      <w:r>
        <w:rPr>
          <w:rFonts w:hint="eastAsia" w:ascii="宋体" w:hAnsi="宋体" w:cs="宋体"/>
          <w:color w:val="auto"/>
          <w:sz w:val="24"/>
          <w:highlight w:val="none"/>
        </w:rPr>
        <w:t>1）项目实施人员一览表(格式见第六章)；</w:t>
      </w:r>
    </w:p>
    <w:p>
      <w:pPr>
        <w:snapToGrid w:val="0"/>
        <w:spacing w:line="360" w:lineRule="auto"/>
        <w:ind w:firstLine="1132" w:firstLineChars="472"/>
        <w:jc w:val="left"/>
        <w:rPr>
          <w:rFonts w:ascii="宋体" w:hAnsi="宋体" w:cs="宋体"/>
          <w:color w:val="auto"/>
          <w:sz w:val="24"/>
          <w:highlight w:val="none"/>
        </w:rPr>
      </w:pPr>
      <w:r>
        <w:rPr>
          <w:rFonts w:hint="eastAsia" w:ascii="宋体" w:hAnsi="宋体" w:cs="宋体"/>
          <w:color w:val="auto"/>
          <w:sz w:val="24"/>
          <w:highlight w:val="none"/>
        </w:rPr>
        <w:t>2）服务的内容和措施；</w:t>
      </w:r>
    </w:p>
    <w:p>
      <w:pPr>
        <w:snapToGrid w:val="0"/>
        <w:spacing w:line="360" w:lineRule="auto"/>
        <w:ind w:firstLine="768" w:firstLineChars="320"/>
        <w:jc w:val="left"/>
        <w:rPr>
          <w:rFonts w:ascii="宋体" w:hAnsi="宋体" w:cs="宋体"/>
          <w:color w:val="auto"/>
          <w:sz w:val="24"/>
          <w:highlight w:val="none"/>
        </w:rPr>
      </w:pPr>
      <w:r>
        <w:rPr>
          <w:rFonts w:hint="eastAsia" w:ascii="宋体" w:hAnsi="宋体" w:cs="宋体"/>
          <w:color w:val="auto"/>
          <w:sz w:val="24"/>
          <w:highlight w:val="none"/>
        </w:rPr>
        <w:t>（3）本地化服务能力证明（距采购人最近的服务网点情况表）(格式见第六章)。</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（4）对本项目总体要求的理解；</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（5）招标采购需求中要求提供的材料（如技术方案、实施方案等）；</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（6）技术服务、技术培训的内容和措施；</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（7）投标人对本项目的合理化建议和改进措施；</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（8）投标人需要说明的其他文件和说明。</w:t>
      </w:r>
    </w:p>
    <w:p>
      <w:pPr>
        <w:snapToGrid w:val="0"/>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3.报价部分：</w:t>
      </w:r>
    </w:p>
    <w:p>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（1）投标函（格式见第六章）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（2）投标报价表（格式见第六章）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tabs>
          <w:tab w:val="left" w:pos="3870"/>
          <w:tab w:val="left" w:pos="4085"/>
        </w:tabs>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（3）投标人针对报价需要说明的其他文件和说明（格式自拟）；</w:t>
      </w:r>
    </w:p>
    <w:p>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（4）开标一览表（与投标函、投标保证金银行回执单复印件一起单独用小信封密封，格式见第六章）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tabs>
          <w:tab w:val="left" w:pos="3870"/>
          <w:tab w:val="left" w:pos="4085"/>
        </w:tabs>
        <w:snapToGrid w:val="0"/>
        <w:spacing w:line="360" w:lineRule="auto"/>
        <w:ind w:firstLine="480" w:firstLineChars="200"/>
        <w:jc w:val="left"/>
        <w:rPr>
          <w:rFonts w:ascii="宋体" w:hAnsi="宋体" w:cs="宋体"/>
          <w:color w:val="auto"/>
          <w:sz w:val="24"/>
          <w:highlight w:val="none"/>
        </w:rPr>
      </w:pPr>
    </w:p>
    <w:p>
      <w:pPr>
        <w:pStyle w:val="45"/>
        <w:snapToGrid w:val="0"/>
        <w:spacing w:line="360" w:lineRule="auto"/>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4.特别备注：</w:t>
      </w:r>
    </w:p>
    <w:p>
      <w:pPr>
        <w:pStyle w:val="45"/>
        <w:snapToGri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公开招标文件第六章有格式要求的，必须按要求在规定处由法定代表人（或负责人）或授权代表签名并加盖投标人公章。</w:t>
      </w:r>
    </w:p>
    <w:p>
      <w:pPr>
        <w:snapToGrid w:val="0"/>
        <w:spacing w:line="360" w:lineRule="auto"/>
        <w:ind w:firstLine="472" w:firstLineChars="196"/>
        <w:jc w:val="left"/>
        <w:rPr>
          <w:rFonts w:ascii="宋体" w:hAnsi="宋体" w:cs="宋体"/>
          <w:b/>
          <w:color w:val="auto"/>
          <w:sz w:val="24"/>
          <w:highlight w:val="none"/>
        </w:rPr>
      </w:pPr>
      <w:bookmarkStart w:id="154" w:name="_Toc293863313"/>
      <w:bookmarkStart w:id="155" w:name="_Toc483327804"/>
      <w:bookmarkStart w:id="156" w:name="_Toc254970678"/>
      <w:bookmarkStart w:id="157" w:name="_Toc254970537"/>
      <w:bookmarkStart w:id="158" w:name="_Toc445223673"/>
      <w:bookmarkStart w:id="159" w:name="_Toc482865315"/>
      <w:bookmarkStart w:id="160" w:name="_Toc57024412"/>
      <w:bookmarkStart w:id="161" w:name="_Toc482864544"/>
      <w:bookmarkStart w:id="162" w:name="_Toc482865145"/>
      <w:bookmarkStart w:id="163" w:name="_Toc400465706"/>
      <w:bookmarkStart w:id="164" w:name="_Toc293863046"/>
      <w:bookmarkStart w:id="165" w:name="_Toc308018670"/>
      <w:bookmarkStart w:id="166" w:name="_Toc448421135"/>
      <w:r>
        <w:rPr>
          <w:rFonts w:hint="eastAsia" w:ascii="宋体" w:hAnsi="宋体" w:cs="宋体"/>
          <w:b/>
          <w:color w:val="auto"/>
          <w:sz w:val="24"/>
          <w:highlight w:val="none"/>
        </w:rPr>
        <w:t>（二）投标文件的语言及计量</w:t>
      </w:r>
      <w:bookmarkEnd w:id="154"/>
      <w:bookmarkEnd w:id="155"/>
      <w:bookmarkEnd w:id="156"/>
      <w:bookmarkEnd w:id="157"/>
      <w:bookmarkEnd w:id="158"/>
      <w:bookmarkEnd w:id="159"/>
      <w:bookmarkEnd w:id="160"/>
      <w:bookmarkEnd w:id="161"/>
      <w:bookmarkEnd w:id="162"/>
      <w:bookmarkEnd w:id="163"/>
      <w:bookmarkEnd w:id="164"/>
      <w:bookmarkEnd w:id="165"/>
      <w:bookmarkEnd w:id="166"/>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投标计量单位，招标文件已有明确规定的，使用招标文件规定的计量单位；招标文件没有规定的，应采用中华人民共和国法定计量单位（货币单位：人民币），否则视同未响应。</w:t>
      </w:r>
    </w:p>
    <w:p>
      <w:pPr>
        <w:snapToGrid w:val="0"/>
        <w:spacing w:line="360" w:lineRule="auto"/>
        <w:ind w:firstLine="472" w:firstLineChars="196"/>
        <w:jc w:val="left"/>
        <w:rPr>
          <w:rFonts w:ascii="宋体" w:hAnsi="宋体" w:cs="宋体"/>
          <w:b/>
          <w:color w:val="auto"/>
          <w:sz w:val="24"/>
          <w:highlight w:val="none"/>
        </w:rPr>
      </w:pPr>
      <w:bookmarkStart w:id="167" w:name="_Toc308018671"/>
      <w:bookmarkStart w:id="168" w:name="_Toc482865146"/>
      <w:bookmarkStart w:id="169" w:name="_Toc254970679"/>
      <w:bookmarkStart w:id="170" w:name="_Toc254970538"/>
      <w:bookmarkStart w:id="171" w:name="_Toc482865316"/>
      <w:bookmarkStart w:id="172" w:name="_Toc445223674"/>
      <w:bookmarkStart w:id="173" w:name="_Toc57024413"/>
      <w:bookmarkStart w:id="174" w:name="_Toc448421136"/>
      <w:bookmarkStart w:id="175" w:name="_Toc400465707"/>
      <w:bookmarkStart w:id="176" w:name="_Toc482864545"/>
      <w:bookmarkStart w:id="177" w:name="_Toc483327805"/>
      <w:bookmarkStart w:id="178" w:name="_Toc293863047"/>
      <w:bookmarkStart w:id="179" w:name="_Toc293863314"/>
      <w:r>
        <w:rPr>
          <w:rFonts w:hint="eastAsia" w:ascii="宋体" w:hAnsi="宋体" w:cs="宋体"/>
          <w:b/>
          <w:color w:val="auto"/>
          <w:sz w:val="24"/>
          <w:highlight w:val="none"/>
        </w:rPr>
        <w:t>（三）投标报价</w:t>
      </w:r>
      <w:bookmarkEnd w:id="167"/>
      <w:bookmarkEnd w:id="168"/>
      <w:bookmarkEnd w:id="169"/>
      <w:bookmarkEnd w:id="170"/>
      <w:bookmarkEnd w:id="171"/>
      <w:bookmarkEnd w:id="172"/>
      <w:bookmarkEnd w:id="173"/>
      <w:bookmarkEnd w:id="174"/>
      <w:bookmarkEnd w:id="175"/>
      <w:bookmarkEnd w:id="176"/>
      <w:bookmarkEnd w:id="177"/>
      <w:bookmarkEnd w:id="178"/>
      <w:bookmarkEnd w:id="179"/>
    </w:p>
    <w:p>
      <w:pPr>
        <w:tabs>
          <w:tab w:val="left" w:pos="525"/>
        </w:tabs>
        <w:snapToGrid w:val="0"/>
        <w:spacing w:line="360" w:lineRule="auto"/>
        <w:ind w:firstLine="420"/>
        <w:rPr>
          <w:rFonts w:ascii="宋体" w:hAnsi="宋体"/>
          <w:color w:val="auto"/>
          <w:sz w:val="24"/>
          <w:highlight w:val="none"/>
        </w:rPr>
      </w:pPr>
      <w:r>
        <w:rPr>
          <w:rFonts w:hint="eastAsia" w:ascii="宋体" w:hAnsi="宋体"/>
          <w:color w:val="auto"/>
          <w:sz w:val="24"/>
          <w:highlight w:val="none"/>
        </w:rPr>
        <w:t>1.投标报价应按招标文件中相关附表格式填写。投标人可就《采购需求一览表》中所有服务内容作完整唯一报价。</w:t>
      </w:r>
    </w:p>
    <w:p>
      <w:pPr>
        <w:tabs>
          <w:tab w:val="left" w:pos="525"/>
        </w:tabs>
        <w:snapToGrid w:val="0"/>
        <w:spacing w:line="360" w:lineRule="auto"/>
        <w:ind w:firstLine="420"/>
        <w:rPr>
          <w:rFonts w:ascii="宋体" w:hAnsi="宋体"/>
          <w:color w:val="auto"/>
          <w:sz w:val="24"/>
          <w:highlight w:val="none"/>
        </w:rPr>
      </w:pPr>
      <w:r>
        <w:rPr>
          <w:rFonts w:hint="eastAsia" w:ascii="宋体" w:hAnsi="宋体"/>
          <w:color w:val="auto"/>
          <w:sz w:val="24"/>
          <w:highlight w:val="none"/>
        </w:rPr>
        <w:t>2.投标报价是履行合同的最终价格。</w:t>
      </w:r>
    </w:p>
    <w:p>
      <w:pPr>
        <w:tabs>
          <w:tab w:val="left" w:pos="525"/>
        </w:tabs>
        <w:snapToGrid w:val="0"/>
        <w:spacing w:line="360" w:lineRule="auto"/>
        <w:ind w:firstLine="420"/>
        <w:rPr>
          <w:rFonts w:ascii="宋体" w:hAnsi="宋体"/>
          <w:color w:val="auto"/>
          <w:sz w:val="24"/>
          <w:highlight w:val="none"/>
        </w:rPr>
      </w:pPr>
      <w:r>
        <w:rPr>
          <w:rFonts w:hint="eastAsia" w:ascii="宋体" w:hAnsi="宋体"/>
          <w:color w:val="auto"/>
          <w:sz w:val="24"/>
          <w:highlight w:val="none"/>
        </w:rPr>
        <w:t>3.投标文件只允许有一个报价，有选择的或有条件的报价将不予接受。</w:t>
      </w:r>
    </w:p>
    <w:p>
      <w:pPr>
        <w:tabs>
          <w:tab w:val="left" w:pos="525"/>
        </w:tabs>
        <w:snapToGrid w:val="0"/>
        <w:spacing w:line="360" w:lineRule="auto"/>
        <w:ind w:firstLine="420"/>
        <w:rPr>
          <w:rFonts w:ascii="宋体" w:hAnsi="宋体" w:cs="宋体"/>
          <w:color w:val="auto"/>
          <w:sz w:val="24"/>
          <w:highlight w:val="none"/>
        </w:rPr>
      </w:pPr>
      <w:r>
        <w:rPr>
          <w:rFonts w:hint="eastAsia" w:ascii="宋体" w:hAnsi="宋体"/>
          <w:b/>
          <w:color w:val="auto"/>
          <w:sz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书面材料：包含但不限于人员、组织、福利、工资、社保、交通差旅、工作联系、技术咨询、文字资料印刷等方面的详细投标价格分项组成说明，并附相关真实有效的书面支持资料，以说明其过低的投标报价不影响质量、服务或者履约。在评标委员会限定的时限内不能提交证明材料或其提交的资料不能证明其报价合理性的，评标委员会将其作为无效投标处理。）</w:t>
      </w:r>
    </w:p>
    <w:p>
      <w:pPr>
        <w:pStyle w:val="15"/>
        <w:widowControl w:val="0"/>
        <w:tabs>
          <w:tab w:val="clear" w:pos="454"/>
        </w:tabs>
        <w:snapToGrid w:val="0"/>
        <w:spacing w:afterLines="0" w:line="360" w:lineRule="auto"/>
        <w:ind w:left="0" w:firstLine="472" w:firstLineChars="196"/>
        <w:rPr>
          <w:rFonts w:ascii="宋体" w:hAnsi="宋体" w:cs="宋体"/>
          <w:b/>
          <w:color w:val="auto"/>
          <w:szCs w:val="24"/>
          <w:highlight w:val="none"/>
        </w:rPr>
      </w:pPr>
      <w:r>
        <w:rPr>
          <w:rFonts w:hint="eastAsia" w:ascii="宋体" w:hAnsi="宋体" w:cs="宋体"/>
          <w:b/>
          <w:color w:val="auto"/>
          <w:szCs w:val="24"/>
          <w:highlight w:val="none"/>
        </w:rPr>
        <w:t>（四）投标文件的有效期</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自投标截止日起60天投标文件应保持有效。有效期不足的投标文件将被拒绝。</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在特殊情况下，采购代理机构可与投标人协商延长投标书的有效期，这种要求和答复均以书面形式进行。</w:t>
      </w:r>
    </w:p>
    <w:p>
      <w:pPr>
        <w:snapToGrid w:val="0"/>
        <w:spacing w:line="360" w:lineRule="auto"/>
        <w:ind w:firstLine="480" w:firstLineChars="200"/>
        <w:jc w:val="left"/>
        <w:rPr>
          <w:rFonts w:ascii="宋体" w:hAnsi="宋体" w:cs="宋体"/>
          <w:b/>
          <w:color w:val="auto"/>
          <w:sz w:val="24"/>
          <w:highlight w:val="none"/>
        </w:rPr>
      </w:pPr>
      <w:bookmarkStart w:id="180" w:name="_Toc482864546"/>
      <w:bookmarkStart w:id="181" w:name="_Toc254970680"/>
      <w:bookmarkStart w:id="182" w:name="_Toc482865147"/>
      <w:bookmarkStart w:id="183" w:name="_Toc293863048"/>
      <w:bookmarkStart w:id="184" w:name="_Toc448421137"/>
      <w:bookmarkStart w:id="185" w:name="_Toc483327806"/>
      <w:bookmarkStart w:id="186" w:name="_Toc293863315"/>
      <w:bookmarkStart w:id="187" w:name="_Toc445223675"/>
      <w:bookmarkStart w:id="188" w:name="_Toc308018672"/>
      <w:bookmarkStart w:id="189" w:name="_Toc482865317"/>
      <w:bookmarkStart w:id="190" w:name="_Toc400465708"/>
      <w:bookmarkStart w:id="191" w:name="_Toc254970539"/>
      <w:r>
        <w:rPr>
          <w:rFonts w:hint="eastAsia" w:ascii="宋体" w:hAnsi="宋体" w:cs="宋体"/>
          <w:color w:val="auto"/>
          <w:sz w:val="24"/>
          <w:highlight w:val="none"/>
        </w:rPr>
        <w:t>3. 投标人可拒绝接受延期要求而不会导致投标保证金被没收。同意延长有效期的投标人需要相应延长投标保证金的有效期，但不能修改投标文件。</w:t>
      </w:r>
      <w:bookmarkEnd w:id="180"/>
      <w:bookmarkEnd w:id="181"/>
      <w:bookmarkEnd w:id="182"/>
      <w:bookmarkEnd w:id="183"/>
      <w:bookmarkEnd w:id="184"/>
      <w:bookmarkEnd w:id="185"/>
      <w:bookmarkEnd w:id="186"/>
      <w:bookmarkEnd w:id="187"/>
      <w:bookmarkEnd w:id="188"/>
      <w:bookmarkEnd w:id="189"/>
      <w:bookmarkEnd w:id="190"/>
      <w:bookmarkEnd w:id="191"/>
    </w:p>
    <w:p>
      <w:pPr>
        <w:snapToGrid w:val="0"/>
        <w:spacing w:line="360" w:lineRule="auto"/>
        <w:ind w:firstLine="480" w:firstLineChars="200"/>
        <w:jc w:val="left"/>
        <w:rPr>
          <w:rFonts w:ascii="宋体" w:hAnsi="宋体" w:cs="宋体"/>
          <w:b/>
          <w:color w:val="auto"/>
          <w:sz w:val="24"/>
          <w:highlight w:val="none"/>
        </w:rPr>
      </w:pPr>
      <w:bookmarkStart w:id="192" w:name="_Toc448421138"/>
      <w:bookmarkStart w:id="193" w:name="_Toc57024414"/>
      <w:bookmarkStart w:id="194" w:name="_Toc482865148"/>
      <w:bookmarkStart w:id="195" w:name="_Toc254970540"/>
      <w:bookmarkStart w:id="196" w:name="_Toc308018673"/>
      <w:bookmarkStart w:id="197" w:name="_Toc293863316"/>
      <w:bookmarkStart w:id="198" w:name="_Toc482864547"/>
      <w:bookmarkStart w:id="199" w:name="_Toc254970681"/>
      <w:bookmarkStart w:id="200" w:name="_Toc445223676"/>
      <w:bookmarkStart w:id="201" w:name="_Toc293863049"/>
      <w:bookmarkStart w:id="202" w:name="_Toc400465709"/>
      <w:bookmarkStart w:id="203" w:name="_Toc482865318"/>
      <w:bookmarkStart w:id="204" w:name="_Toc483327807"/>
      <w:r>
        <w:rPr>
          <w:rFonts w:hint="eastAsia" w:ascii="宋体" w:hAnsi="宋体" w:cs="宋体"/>
          <w:color w:val="auto"/>
          <w:sz w:val="24"/>
          <w:highlight w:val="none"/>
        </w:rPr>
        <w:t>4. 中标供应商的投标文件自开标之日起至合同履行完毕止均应保持有效。</w:t>
      </w:r>
      <w:bookmarkEnd w:id="192"/>
      <w:bookmarkEnd w:id="193"/>
      <w:bookmarkEnd w:id="194"/>
      <w:bookmarkEnd w:id="195"/>
      <w:bookmarkEnd w:id="196"/>
      <w:bookmarkEnd w:id="197"/>
      <w:bookmarkEnd w:id="198"/>
      <w:bookmarkEnd w:id="199"/>
      <w:bookmarkEnd w:id="200"/>
      <w:bookmarkEnd w:id="201"/>
      <w:bookmarkEnd w:id="202"/>
      <w:bookmarkEnd w:id="203"/>
      <w:bookmarkEnd w:id="204"/>
    </w:p>
    <w:p>
      <w:pPr>
        <w:snapToGrid w:val="0"/>
        <w:spacing w:line="360" w:lineRule="auto"/>
        <w:ind w:firstLine="472" w:firstLineChars="196"/>
        <w:jc w:val="left"/>
        <w:rPr>
          <w:rFonts w:ascii="宋体" w:hAnsi="宋体" w:cs="宋体"/>
          <w:b/>
          <w:color w:val="auto"/>
          <w:sz w:val="24"/>
          <w:highlight w:val="none"/>
        </w:rPr>
      </w:pPr>
      <w:bookmarkStart w:id="205" w:name="_Toc445223677"/>
      <w:bookmarkStart w:id="206" w:name="_Toc254970541"/>
      <w:bookmarkStart w:id="207" w:name="_Toc482865319"/>
      <w:bookmarkStart w:id="208" w:name="_Toc400465710"/>
      <w:bookmarkStart w:id="209" w:name="_Toc308018674"/>
      <w:bookmarkStart w:id="210" w:name="_Toc293863317"/>
      <w:bookmarkStart w:id="211" w:name="_Toc293863050"/>
      <w:bookmarkStart w:id="212" w:name="_Toc482865149"/>
      <w:bookmarkStart w:id="213" w:name="_Toc57024415"/>
      <w:bookmarkStart w:id="214" w:name="_Toc254970682"/>
      <w:bookmarkStart w:id="215" w:name="_Toc448421139"/>
      <w:bookmarkStart w:id="216" w:name="_Toc483327808"/>
      <w:bookmarkStart w:id="217" w:name="_Toc482864548"/>
      <w:r>
        <w:rPr>
          <w:rFonts w:hint="eastAsia" w:ascii="宋体" w:hAnsi="宋体" w:cs="宋体"/>
          <w:b/>
          <w:color w:val="auto"/>
          <w:sz w:val="24"/>
          <w:highlight w:val="none"/>
        </w:rPr>
        <w:t>（五）投标保证金</w:t>
      </w:r>
      <w:bookmarkEnd w:id="205"/>
      <w:bookmarkEnd w:id="206"/>
      <w:bookmarkEnd w:id="207"/>
      <w:bookmarkEnd w:id="208"/>
      <w:bookmarkEnd w:id="209"/>
      <w:bookmarkEnd w:id="210"/>
      <w:bookmarkEnd w:id="211"/>
      <w:bookmarkEnd w:id="212"/>
      <w:bookmarkEnd w:id="213"/>
      <w:bookmarkEnd w:id="214"/>
      <w:bookmarkEnd w:id="215"/>
      <w:bookmarkEnd w:id="216"/>
      <w:bookmarkEnd w:id="217"/>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投标人须按规定提交投标保证金，项目评审时，评标委员会根据广西邕政采购代理有限公司出具的《项目投标保证金到帐信息表》查验投标保证金缴纳情况。我公司</w:t>
      </w:r>
      <w:r>
        <w:rPr>
          <w:rFonts w:hint="eastAsia" w:ascii="宋体" w:hAnsi="宋体" w:cs="宋体"/>
          <w:b/>
          <w:color w:val="auto"/>
          <w:sz w:val="24"/>
          <w:highlight w:val="none"/>
        </w:rPr>
        <w:t>财务部开具</w:t>
      </w:r>
      <w:r>
        <w:rPr>
          <w:rFonts w:hint="eastAsia" w:ascii="宋体" w:hAnsi="宋体" w:cs="宋体"/>
          <w:color w:val="auto"/>
          <w:sz w:val="24"/>
          <w:highlight w:val="none"/>
        </w:rPr>
        <w:t>《项目投标保证金到帐信息表》</w:t>
      </w:r>
      <w:r>
        <w:rPr>
          <w:rFonts w:hint="eastAsia" w:ascii="宋体" w:hAnsi="宋体" w:cs="宋体"/>
          <w:b/>
          <w:color w:val="auto"/>
          <w:sz w:val="24"/>
          <w:highlight w:val="none"/>
        </w:rPr>
        <w:t>以保证金到帐为准，因此投标人在交纳投标保证金时应充分考虑保证金到达广西邕政采购代理有限公司账户上的时间。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投标保证金交纳形式：电汇、转账、汇票等非现金形式。</w:t>
      </w:r>
    </w:p>
    <w:p>
      <w:pPr>
        <w:numPr>
          <w:ilvl w:val="0"/>
          <w:numId w:val="29"/>
        </w:num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中标供应商应在中标通知书发出之日起二十五日内与采购人签订合同。</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 未中标供应商的投标保证金在中标通知书发出后5个工作日内退还。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 投标保证金不计息。</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 投标保证金退还方式：电汇或转账至投标人账户。</w:t>
      </w:r>
    </w:p>
    <w:p>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6. 投标人有下列情形之一的，投标保证金将不予退还：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（1）投标人在投标有效期内撤回投标文件的；</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（2）投标人在投标过程中弄虚作假，提供虚假材料的；</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（3）中标供应商无正当理由不与采购人签订合同的；</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（4）将中标项目转让给他人或者在投标文件中未说明且未经采购人同意，将中标项目分包给他人的；</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（5）拒绝履行合同义务的；</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（6）其他严重扰乱招投标程序的。</w:t>
      </w:r>
    </w:p>
    <w:p>
      <w:pPr>
        <w:snapToGrid w:val="0"/>
        <w:spacing w:line="360" w:lineRule="auto"/>
        <w:ind w:firstLine="472" w:firstLineChars="196"/>
        <w:jc w:val="left"/>
        <w:rPr>
          <w:rFonts w:ascii="宋体" w:hAnsi="宋体" w:cs="宋体"/>
          <w:b/>
          <w:color w:val="auto"/>
          <w:sz w:val="24"/>
          <w:highlight w:val="none"/>
        </w:rPr>
      </w:pPr>
      <w:bookmarkStart w:id="218" w:name="_Toc57024416"/>
      <w:bookmarkStart w:id="219" w:name="_Toc293863318"/>
      <w:bookmarkStart w:id="220" w:name="_Toc400465711"/>
      <w:bookmarkStart w:id="221" w:name="_Toc482864549"/>
      <w:bookmarkStart w:id="222" w:name="_Toc448421140"/>
      <w:bookmarkStart w:id="223" w:name="_Toc293863051"/>
      <w:bookmarkStart w:id="224" w:name="_Toc445223678"/>
      <w:bookmarkStart w:id="225" w:name="_Toc308018675"/>
      <w:bookmarkStart w:id="226" w:name="_Toc482865320"/>
      <w:bookmarkStart w:id="227" w:name="_Toc482865150"/>
      <w:bookmarkStart w:id="228" w:name="_Toc483327809"/>
      <w:bookmarkStart w:id="229" w:name="_Toc254970542"/>
      <w:bookmarkStart w:id="230" w:name="_Toc254970683"/>
      <w:r>
        <w:rPr>
          <w:rFonts w:hint="eastAsia" w:ascii="宋体" w:hAnsi="宋体" w:cs="宋体"/>
          <w:b/>
          <w:color w:val="auto"/>
          <w:sz w:val="24"/>
          <w:highlight w:val="none"/>
        </w:rPr>
        <w:t>（六）投标文件的签署和份数</w:t>
      </w:r>
      <w:bookmarkEnd w:id="218"/>
      <w:bookmarkEnd w:id="219"/>
      <w:bookmarkEnd w:id="220"/>
      <w:bookmarkEnd w:id="221"/>
      <w:bookmarkEnd w:id="222"/>
      <w:bookmarkEnd w:id="223"/>
      <w:bookmarkEnd w:id="224"/>
      <w:bookmarkEnd w:id="225"/>
      <w:bookmarkEnd w:id="226"/>
      <w:bookmarkEnd w:id="227"/>
      <w:bookmarkEnd w:id="228"/>
      <w:bookmarkEnd w:id="229"/>
      <w:bookmarkEnd w:id="230"/>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 投标文件组成和份数要求详见投标人须知前附表第8条要求。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投标文件的正本需打印或用不褪色的墨水填写，投标文件正本除本《投标人须知》中规定的可提供复印件外均须提供原件。副本为正本的复印件。同时提供投标文件(盖章后扫描的PDF版)光盘1份</w:t>
      </w:r>
      <w:r>
        <w:rPr>
          <w:rFonts w:hint="eastAsia" w:ascii="宋体" w:hAnsi="宋体" w:cs="宋体"/>
          <w:b/>
          <w:color w:val="auto"/>
          <w:sz w:val="24"/>
          <w:highlight w:val="none"/>
        </w:rPr>
        <w:t>(光盘用小信封封装，封面请注明项目名称、项目编号及投标人名称)。</w:t>
      </w:r>
    </w:p>
    <w:p>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 xml:space="preserve">★4. </w:t>
      </w:r>
      <w:r>
        <w:rPr>
          <w:rFonts w:hint="eastAsia" w:ascii="宋体" w:hAnsi="宋体" w:cs="宋体"/>
          <w:color w:val="auto"/>
          <w:spacing w:val="-2"/>
          <w:sz w:val="24"/>
          <w:highlight w:val="none"/>
        </w:rPr>
        <w:t>投标文件须由投标人在规定位置盖章并由法定代表人</w:t>
      </w:r>
      <w:r>
        <w:rPr>
          <w:rFonts w:hint="eastAsia" w:hAnsi="宋体"/>
          <w:color w:val="auto"/>
          <w:sz w:val="24"/>
          <w:highlight w:val="none"/>
        </w:rPr>
        <w:t>（或负责人）</w:t>
      </w:r>
      <w:r>
        <w:rPr>
          <w:rFonts w:hint="eastAsia" w:ascii="宋体" w:hAnsi="宋体" w:cs="宋体"/>
          <w:color w:val="auto"/>
          <w:spacing w:val="-2"/>
          <w:sz w:val="24"/>
          <w:highlight w:val="none"/>
        </w:rPr>
        <w:t>或法定代表人</w:t>
      </w:r>
      <w:r>
        <w:rPr>
          <w:rFonts w:hint="eastAsia" w:hAnsi="宋体"/>
          <w:color w:val="auto"/>
          <w:sz w:val="24"/>
          <w:highlight w:val="none"/>
        </w:rPr>
        <w:t>（或负责人）</w:t>
      </w:r>
      <w:r>
        <w:rPr>
          <w:rFonts w:hint="eastAsia" w:ascii="宋体" w:hAnsi="宋体" w:cs="宋体"/>
          <w:color w:val="auto"/>
          <w:spacing w:val="-2"/>
          <w:sz w:val="24"/>
          <w:highlight w:val="none"/>
        </w:rPr>
        <w:t>的授权委托人签署，投标人应写全称。</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 投标文件不得涂改，若有修改错漏处，须加盖单位公章或者法定代表人</w:t>
      </w:r>
      <w:r>
        <w:rPr>
          <w:rFonts w:hint="eastAsia" w:hAnsi="宋体"/>
          <w:color w:val="auto"/>
          <w:sz w:val="24"/>
          <w:highlight w:val="none"/>
        </w:rPr>
        <w:t>（或负责人）</w:t>
      </w:r>
      <w:r>
        <w:rPr>
          <w:rFonts w:hint="eastAsia" w:ascii="宋体" w:hAnsi="宋体" w:cs="宋体"/>
          <w:color w:val="auto"/>
          <w:sz w:val="24"/>
          <w:highlight w:val="none"/>
        </w:rPr>
        <w:t>或授权委托人签字或盖章。投标文件因字迹潦草或表达不清所引起的后果由投标人负责。</w:t>
      </w:r>
    </w:p>
    <w:p>
      <w:pPr>
        <w:snapToGrid w:val="0"/>
        <w:spacing w:line="360" w:lineRule="auto"/>
        <w:ind w:firstLine="354" w:firstLineChars="147"/>
        <w:jc w:val="left"/>
        <w:rPr>
          <w:rFonts w:ascii="宋体" w:hAnsi="宋体" w:cs="宋体"/>
          <w:b/>
          <w:color w:val="auto"/>
          <w:sz w:val="24"/>
          <w:highlight w:val="none"/>
        </w:rPr>
      </w:pPr>
      <w:r>
        <w:rPr>
          <w:rFonts w:hint="eastAsia" w:ascii="宋体" w:hAnsi="宋体" w:cs="宋体"/>
          <w:b/>
          <w:color w:val="auto"/>
          <w:sz w:val="24"/>
          <w:highlight w:val="none"/>
        </w:rPr>
        <w:t>（七）投标文件的包装、递交、修改和撤回</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 投标文件封装要求详见投标人须知前附表第8条要求。</w:t>
      </w:r>
    </w:p>
    <w:p>
      <w:pPr>
        <w:snapToGrid w:val="0"/>
        <w:spacing w:line="360" w:lineRule="auto"/>
        <w:ind w:right="-336" w:rightChars="-160" w:firstLine="420"/>
        <w:jc w:val="left"/>
        <w:rPr>
          <w:rFonts w:ascii="宋体" w:hAnsi="宋体" w:cs="宋体"/>
          <w:color w:val="auto"/>
          <w:sz w:val="24"/>
          <w:highlight w:val="none"/>
        </w:rPr>
      </w:pPr>
      <w:r>
        <w:rPr>
          <w:rFonts w:hint="eastAsia" w:ascii="宋体" w:hAnsi="宋体" w:cs="宋体"/>
          <w:color w:val="auto"/>
          <w:sz w:val="24"/>
          <w:highlight w:val="none"/>
        </w:rPr>
        <w:t>2.未按规定密封或标记的投标文件将被拒绝，由此造成投标文件被误投或提前拆封的风险由投标人承担。逾期送达的投标文件将被拒绝。</w:t>
      </w:r>
    </w:p>
    <w:p>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pPr>
        <w:snapToGrid w:val="0"/>
        <w:spacing w:line="360" w:lineRule="auto"/>
        <w:ind w:firstLine="472" w:firstLineChars="196"/>
        <w:rPr>
          <w:rFonts w:ascii="宋体" w:hAnsi="宋体" w:cs="宋体"/>
          <w:b/>
          <w:color w:val="auto"/>
          <w:sz w:val="24"/>
          <w:highlight w:val="none"/>
        </w:rPr>
      </w:pPr>
      <w:bookmarkStart w:id="231" w:name="_Toc254970684"/>
      <w:bookmarkStart w:id="232" w:name="_Toc293863052"/>
      <w:bookmarkStart w:id="233" w:name="_Toc254970543"/>
      <w:bookmarkStart w:id="234" w:name="_Toc483327810"/>
      <w:bookmarkStart w:id="235" w:name="_Toc57024417"/>
      <w:bookmarkStart w:id="236" w:name="_Toc308018676"/>
      <w:bookmarkStart w:id="237" w:name="_Toc482865151"/>
      <w:bookmarkStart w:id="238" w:name="_Toc448421141"/>
      <w:bookmarkStart w:id="239" w:name="_Toc482865321"/>
      <w:bookmarkStart w:id="240" w:name="_Toc482864550"/>
      <w:bookmarkStart w:id="241" w:name="_Toc445223679"/>
      <w:bookmarkStart w:id="242" w:name="_Toc400465712"/>
      <w:bookmarkStart w:id="243" w:name="_Toc293863319"/>
      <w:r>
        <w:rPr>
          <w:rFonts w:hint="eastAsia" w:ascii="宋体" w:hAnsi="宋体" w:cs="宋体"/>
          <w:b/>
          <w:color w:val="auto"/>
          <w:sz w:val="24"/>
          <w:highlight w:val="none"/>
        </w:rPr>
        <w:t>（八）投标无效的情形</w:t>
      </w:r>
      <w:bookmarkEnd w:id="231"/>
      <w:bookmarkEnd w:id="232"/>
      <w:bookmarkEnd w:id="233"/>
      <w:bookmarkEnd w:id="234"/>
      <w:bookmarkEnd w:id="235"/>
      <w:bookmarkEnd w:id="236"/>
      <w:bookmarkEnd w:id="237"/>
      <w:bookmarkEnd w:id="238"/>
      <w:bookmarkEnd w:id="239"/>
      <w:bookmarkEnd w:id="240"/>
      <w:bookmarkEnd w:id="241"/>
      <w:bookmarkEnd w:id="242"/>
      <w:bookmarkEnd w:id="243"/>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1.在资格审查时，如发现下列情形之一的，投标文件将被视为无效：</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（1）不具备招标文件中规定的资格要求的；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（2）招标文件要求必须提供的资格部分文件不齐全或者内容虚假的；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（3）法律、法规和招标文件规定的其他无效情形。</w:t>
      </w:r>
    </w:p>
    <w:p>
      <w:pPr>
        <w:pStyle w:val="22"/>
        <w:snapToGrid w:val="0"/>
        <w:spacing w:line="360" w:lineRule="auto"/>
        <w:ind w:firstLine="472" w:firstLineChars="19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2.在商务性及技术评审时，如发现下列情形之一的，投标文件将被视为无效：</w:t>
      </w:r>
    </w:p>
    <w:p>
      <w:pPr>
        <w:pStyle w:val="22"/>
        <w:snapToGrid w:val="0"/>
        <w:spacing w:line="360" w:lineRule="auto"/>
        <w:ind w:firstLine="470" w:firstLineChars="196"/>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（1）未按照招标文件的规定提交投标保证金的；</w:t>
      </w:r>
    </w:p>
    <w:p>
      <w:pPr>
        <w:pStyle w:val="22"/>
        <w:snapToGrid w:val="0"/>
        <w:spacing w:line="360" w:lineRule="auto"/>
        <w:ind w:firstLine="470" w:firstLineChars="196"/>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（2）未按照招标文件的规定提交投标声明书的；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（3）投标文件未按招标文件要求签署、盖章的；</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4）</w:t>
      </w:r>
      <w:r>
        <w:rPr>
          <w:rFonts w:hint="eastAsia" w:ascii="宋体" w:hAnsi="宋体" w:eastAsia="宋体" w:cs="宋体"/>
          <w:color w:val="auto"/>
          <w:sz w:val="24"/>
          <w:szCs w:val="24"/>
          <w:highlight w:val="none"/>
        </w:rPr>
        <w:t>招标文件要求必须提供的商务及技术部分的文件不齐全或者内容虚假的；</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（5）投标文件的实质性内容未使用中文表述或者使用计量单位不符合招标文件要求的（经评标委员会认定并允许其当场更正的笔误除外）</w:t>
      </w:r>
    </w:p>
    <w:p>
      <w:pPr>
        <w:pStyle w:val="22"/>
        <w:snapToGrid w:val="0"/>
        <w:spacing w:line="360" w:lineRule="auto"/>
        <w:ind w:firstLine="470" w:firstLineChars="196"/>
        <w:rPr>
          <w:rFonts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snapToGrid w:val="0"/>
          <w:color w:val="auto"/>
          <w:sz w:val="24"/>
          <w:szCs w:val="24"/>
          <w:highlight w:val="none"/>
        </w:rPr>
        <w:t>投标有效期、交付使用时间、服务期限、售后服务等商务条款不能满足招标文件要求的；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（7）投标文件有采购人不能接受的附加条件的；</w:t>
      </w:r>
    </w:p>
    <w:p>
      <w:pPr>
        <w:pStyle w:val="22"/>
        <w:snapToGrid w:val="0"/>
        <w:spacing w:line="360" w:lineRule="auto"/>
        <w:ind w:right="-143" w:rightChars="-68" w:firstLine="470" w:firstLineChars="196"/>
        <w:rPr>
          <w:rFonts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pacing w:val="-6"/>
          <w:sz w:val="24"/>
          <w:szCs w:val="24"/>
          <w:highlight w:val="none"/>
        </w:rPr>
        <w:t>未提供或未如实提供投标服务的技术参数，或者投标文件标明的响应或偏离与事实不符或虚假投标的</w:t>
      </w:r>
      <w:r>
        <w:rPr>
          <w:rFonts w:hint="eastAsia" w:ascii="宋体" w:hAnsi="宋体" w:eastAsia="宋体" w:cs="宋体"/>
          <w:color w:val="auto"/>
          <w:spacing w:val="-2"/>
          <w:sz w:val="24"/>
          <w:szCs w:val="24"/>
          <w:highlight w:val="none"/>
        </w:rPr>
        <w:t>；</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pacing w:val="-6"/>
          <w:sz w:val="24"/>
          <w:szCs w:val="24"/>
          <w:highlight w:val="none"/>
        </w:rPr>
        <w:t>经评委评定，允许偏离的技术、性能指标或者辅助功能项目发生负偏离的项数达</w:t>
      </w:r>
      <w:r>
        <w:rPr>
          <w:rFonts w:hint="eastAsia" w:ascii="宋体" w:hAnsi="宋体" w:eastAsia="宋体" w:cs="宋体"/>
          <w:color w:val="auto"/>
          <w:spacing w:val="-6"/>
          <w:sz w:val="24"/>
          <w:szCs w:val="24"/>
          <w:highlight w:val="none"/>
          <w:u w:val="single"/>
        </w:rPr>
        <w:t>2</w:t>
      </w:r>
      <w:r>
        <w:rPr>
          <w:rFonts w:hint="eastAsia" w:ascii="宋体" w:hAnsi="宋体" w:eastAsia="宋体" w:cs="宋体"/>
          <w:color w:val="auto"/>
          <w:spacing w:val="-6"/>
          <w:sz w:val="24"/>
          <w:szCs w:val="24"/>
          <w:highlight w:val="none"/>
        </w:rPr>
        <w:t>项（含）以上的；</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（10）投标技术方案不明确，存在一个或一个以上备选（替代）投标方案的。</w:t>
      </w:r>
    </w:p>
    <w:p>
      <w:pPr>
        <w:pStyle w:val="22"/>
        <w:snapToGrid w:val="0"/>
        <w:spacing w:line="360" w:lineRule="auto"/>
        <w:ind w:firstLine="472" w:firstLineChars="19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3.在报价评审时，如发现下列情形之一的，投标文件将被视为无效：</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rPr>
        <w:t>未按照招标文件的规定提交投标函的；</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（2）未采用人民币报价或者未按照招标文件标明的币种报价的；</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（3）报价超出最高限价，或者超出采购预算金额，采购人不能支付的；</w:t>
      </w:r>
    </w:p>
    <w:p>
      <w:pPr>
        <w:pStyle w:val="22"/>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（4）投标报价不是唯一报价，具有选择性。</w:t>
      </w:r>
    </w:p>
    <w:p>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b/>
          <w:bCs/>
          <w:color w:val="auto"/>
          <w:kern w:val="0"/>
          <w:sz w:val="24"/>
          <w:highlight w:val="none"/>
        </w:rPr>
        <w:t>有下列情形之一的视为投标人相互串通投标，投标文件将被视为无效</w:t>
      </w:r>
      <w:r>
        <w:rPr>
          <w:rFonts w:hint="eastAsia" w:ascii="宋体" w:hAnsi="宋体" w:cs="宋体"/>
          <w:b/>
          <w:bCs/>
          <w:color w:val="auto"/>
          <w:sz w:val="24"/>
          <w:highlight w:val="none"/>
        </w:rPr>
        <w:t>：</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（3）不同的投标人的投标文件载明的项目管理员为同一个人；</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（4）不同投标人的投标文件异常一致或投标报价呈规律性差异；</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（6）不同投标人的投标保证金从同一单位或者个人账户转出。</w:t>
      </w:r>
    </w:p>
    <w:p>
      <w:pPr>
        <w:snapToGrid w:val="0"/>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5</w:t>
      </w:r>
      <w:r>
        <w:rPr>
          <w:rFonts w:hint="eastAsia" w:ascii="宋体" w:hAnsi="宋体" w:cs="宋体"/>
          <w:b/>
          <w:color w:val="auto"/>
          <w:sz w:val="24"/>
          <w:highlight w:val="none"/>
        </w:rPr>
        <w:t>.</w:t>
      </w:r>
      <w:r>
        <w:rPr>
          <w:rFonts w:hint="eastAsia" w:ascii="宋体" w:hAnsi="宋体" w:cs="宋体"/>
          <w:b/>
          <w:bCs/>
          <w:color w:val="auto"/>
          <w:kern w:val="0"/>
          <w:sz w:val="24"/>
          <w:highlight w:val="none"/>
        </w:rPr>
        <w:t>关联供应商不得参加同一合同项下政府采购活动，否则投标文件将被视为无效</w:t>
      </w:r>
    </w:p>
    <w:p>
      <w:pPr>
        <w:pStyle w:val="22"/>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单位负责人为同一人或者存在直接控股、管理关系的不同的供应商，不得参加同一合同项下的政府采购活动。</w:t>
      </w:r>
    </w:p>
    <w:p>
      <w:pPr>
        <w:pStyle w:val="22"/>
        <w:snapToGrid w:val="0"/>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6.被拒绝的投标文件为无效。</w:t>
      </w:r>
    </w:p>
    <w:p>
      <w:pPr>
        <w:pStyle w:val="22"/>
        <w:snapToGrid w:val="0"/>
        <w:spacing w:line="360" w:lineRule="auto"/>
        <w:ind w:firstLine="0" w:firstLineChars="0"/>
        <w:rPr>
          <w:rFonts w:ascii="宋体" w:hAnsi="宋体" w:eastAsia="宋体" w:cs="宋体"/>
          <w:b/>
          <w:snapToGrid w:val="0"/>
          <w:color w:val="auto"/>
          <w:sz w:val="24"/>
          <w:szCs w:val="24"/>
          <w:highlight w:val="none"/>
        </w:rPr>
      </w:pPr>
      <w:bookmarkStart w:id="244" w:name="_Toc448421142"/>
      <w:bookmarkStart w:id="245" w:name="_Toc483327811"/>
      <w:bookmarkStart w:id="246" w:name="_Toc308018677"/>
      <w:bookmarkStart w:id="247" w:name="_Toc254970544"/>
      <w:bookmarkStart w:id="248" w:name="_Toc293863053"/>
      <w:bookmarkStart w:id="249" w:name="_Toc254970685"/>
      <w:bookmarkStart w:id="250" w:name="_Toc445223680"/>
      <w:bookmarkStart w:id="251" w:name="_Toc482865152"/>
      <w:bookmarkStart w:id="252" w:name="_Toc57024418"/>
      <w:bookmarkStart w:id="253" w:name="_Toc482865322"/>
      <w:bookmarkStart w:id="254" w:name="_Toc293863320"/>
      <w:bookmarkStart w:id="255" w:name="_Toc400465713"/>
      <w:bookmarkStart w:id="256" w:name="_Toc482864551"/>
      <w:r>
        <w:rPr>
          <w:rFonts w:hint="eastAsia" w:ascii="宋体" w:hAnsi="宋体" w:eastAsia="宋体" w:cs="宋体"/>
          <w:b/>
          <w:color w:val="auto"/>
          <w:sz w:val="24"/>
          <w:szCs w:val="24"/>
          <w:highlight w:val="none"/>
        </w:rPr>
        <w:t>四、开标</w:t>
      </w:r>
      <w:bookmarkEnd w:id="244"/>
      <w:bookmarkEnd w:id="245"/>
      <w:bookmarkEnd w:id="246"/>
      <w:bookmarkEnd w:id="247"/>
      <w:bookmarkEnd w:id="248"/>
      <w:bookmarkEnd w:id="249"/>
      <w:bookmarkEnd w:id="250"/>
      <w:bookmarkEnd w:id="251"/>
      <w:bookmarkEnd w:id="252"/>
      <w:bookmarkEnd w:id="253"/>
      <w:bookmarkEnd w:id="254"/>
      <w:bookmarkEnd w:id="255"/>
      <w:bookmarkEnd w:id="256"/>
    </w:p>
    <w:p>
      <w:pPr>
        <w:pStyle w:val="30"/>
        <w:snapToGrid w:val="0"/>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pPr>
        <w:pStyle w:val="3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采购代理机构将在规定的时间和地点进行开标，投标人的法定代表人</w:t>
      </w:r>
      <w:r>
        <w:rPr>
          <w:rFonts w:hint="eastAsia" w:hAnsi="宋体"/>
          <w:color w:val="auto"/>
          <w:sz w:val="24"/>
          <w:szCs w:val="24"/>
          <w:highlight w:val="none"/>
        </w:rPr>
        <w:t>（或负责人）</w:t>
      </w:r>
      <w:r>
        <w:rPr>
          <w:rFonts w:hint="eastAsia" w:ascii="宋体" w:hAnsi="宋体" w:eastAsia="宋体" w:cs="宋体"/>
          <w:bCs/>
          <w:color w:val="auto"/>
          <w:sz w:val="24"/>
          <w:szCs w:val="24"/>
          <w:highlight w:val="none"/>
        </w:rPr>
        <w:t>或其授权代表应参加开标会并签到。投标人的法定代表人</w:t>
      </w:r>
      <w:r>
        <w:rPr>
          <w:rFonts w:hint="eastAsia" w:hAnsi="宋体"/>
          <w:color w:val="auto"/>
          <w:sz w:val="24"/>
          <w:szCs w:val="24"/>
          <w:highlight w:val="none"/>
        </w:rPr>
        <w:t>（或负责人）</w:t>
      </w:r>
      <w:r>
        <w:rPr>
          <w:rFonts w:hint="eastAsia" w:ascii="宋体" w:hAnsi="宋体" w:eastAsia="宋体" w:cs="宋体"/>
          <w:bCs/>
          <w:color w:val="auto"/>
          <w:sz w:val="24"/>
          <w:szCs w:val="24"/>
          <w:highlight w:val="none"/>
        </w:rPr>
        <w:t>或其授权代表未按时签到的，视同放弃开标监督权利、认可开标结果。</w:t>
      </w:r>
    </w:p>
    <w:p>
      <w:pPr>
        <w:pStyle w:val="30"/>
        <w:snapToGrid w:val="0"/>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（二）开标程序</w:t>
      </w:r>
    </w:p>
    <w:p>
      <w:pPr>
        <w:pStyle w:val="30"/>
        <w:tabs>
          <w:tab w:val="left" w:pos="420"/>
        </w:tabs>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应当由投标人或者其推选的代表检查投标文件的密封情况，并签字确认后，由招标代理机构工作人员当众拆封开标一览表，宣读投标人名称、投标报价、书面修改和撤回投标的通知、招标文件允许提供的备选方案等，未宣读的投标报价和招标文件允许提供的备选投标方案等实质内容，评标时不予承认；</w:t>
      </w:r>
    </w:p>
    <w:p>
      <w:pPr>
        <w:widowControl/>
        <w:snapToGrid w:val="0"/>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w:t>
      </w:r>
    </w:p>
    <w:p>
      <w:pPr>
        <w:pStyle w:val="3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3.开标会议结束。</w:t>
      </w:r>
    </w:p>
    <w:p>
      <w:pPr>
        <w:pStyle w:val="30"/>
        <w:snapToGrid w:val="0"/>
        <w:spacing w:line="360" w:lineRule="auto"/>
        <w:rPr>
          <w:rFonts w:ascii="宋体" w:hAnsi="宋体" w:eastAsia="宋体" w:cs="宋体"/>
          <w:b/>
          <w:color w:val="auto"/>
          <w:sz w:val="24"/>
          <w:szCs w:val="24"/>
          <w:highlight w:val="none"/>
        </w:rPr>
      </w:pPr>
      <w:bookmarkStart w:id="257" w:name="_Toc400465714"/>
      <w:bookmarkStart w:id="258" w:name="_Toc448421143"/>
      <w:bookmarkStart w:id="259" w:name="_Toc483327812"/>
      <w:bookmarkStart w:id="260" w:name="_Toc254970545"/>
      <w:bookmarkStart w:id="261" w:name="_Toc293863321"/>
      <w:bookmarkStart w:id="262" w:name="_Toc482865323"/>
      <w:bookmarkStart w:id="263" w:name="_Toc308018678"/>
      <w:bookmarkStart w:id="264" w:name="_Toc57024419"/>
      <w:bookmarkStart w:id="265" w:name="_Toc482864552"/>
      <w:bookmarkStart w:id="266" w:name="_Toc482865153"/>
      <w:bookmarkStart w:id="267" w:name="_Toc254970686"/>
      <w:bookmarkStart w:id="268" w:name="_Toc445223681"/>
      <w:bookmarkStart w:id="269" w:name="_Toc293863054"/>
      <w:r>
        <w:rPr>
          <w:rFonts w:hint="eastAsia" w:ascii="宋体" w:hAnsi="宋体" w:eastAsia="宋体" w:cs="宋体"/>
          <w:b/>
          <w:color w:val="auto"/>
          <w:sz w:val="24"/>
          <w:szCs w:val="24"/>
          <w:highlight w:val="none"/>
        </w:rPr>
        <w:t>五、评标</w:t>
      </w:r>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30"/>
        <w:snapToGrid w:val="0"/>
        <w:spacing w:line="360" w:lineRule="auto"/>
        <w:ind w:left="720" w:leftChars="228" w:hanging="241" w:hangingChars="1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（一）组建评标委员会</w:t>
      </w:r>
    </w:p>
    <w:p>
      <w:pPr>
        <w:pStyle w:val="22"/>
        <w:snapToGrid w:val="0"/>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1、本招标采购项目的评标委员会由采购人代表和有关技术、经济等方面的专家组成，成员人数应当为五人以上单数。其中，技术、经济等方面的专家不得少于成员总数的三分之二。</w:t>
      </w:r>
    </w:p>
    <w:p>
      <w:pPr>
        <w:pStyle w:val="22"/>
        <w:snapToGrid w:val="0"/>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2、本项目评标委员会的组成详见投标人须知前附表第11条。</w:t>
      </w:r>
    </w:p>
    <w:p>
      <w:pPr>
        <w:pStyle w:val="30"/>
        <w:snapToGrid w:val="0"/>
        <w:spacing w:line="360" w:lineRule="auto"/>
        <w:ind w:left="720" w:leftChars="228" w:hanging="241" w:hangingChars="1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（二）评标的方式</w:t>
      </w:r>
    </w:p>
    <w:p>
      <w:pPr>
        <w:pStyle w:val="30"/>
        <w:snapToGrid w:val="0"/>
        <w:spacing w:line="360" w:lineRule="auto"/>
        <w:ind w:left="719" w:leftChars="228" w:hanging="240" w:hanging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本项目采用不公开方式评标，评标的依据为招标文件和投标文件。</w:t>
      </w:r>
    </w:p>
    <w:p>
      <w:pPr>
        <w:pStyle w:val="30"/>
        <w:snapToGrid w:val="0"/>
        <w:spacing w:line="360" w:lineRule="auto"/>
        <w:ind w:left="720" w:leftChars="228" w:hanging="241" w:hangingChars="1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评标程序</w:t>
      </w:r>
    </w:p>
    <w:p>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1. 资格审查</w:t>
      </w:r>
    </w:p>
    <w:p>
      <w:pPr>
        <w:snapToGrid w:val="0"/>
        <w:spacing w:line="360" w:lineRule="auto"/>
        <w:ind w:right="-336" w:rightChars="-160" w:firstLine="480" w:firstLineChars="200"/>
        <w:rPr>
          <w:rFonts w:ascii="宋体" w:hAnsi="宋体" w:cs="宋体"/>
          <w:b/>
          <w:color w:val="auto"/>
          <w:spacing w:val="-2"/>
          <w:sz w:val="24"/>
          <w:highlight w:val="none"/>
        </w:rPr>
      </w:pPr>
      <w:r>
        <w:rPr>
          <w:rFonts w:hint="eastAsia" w:ascii="宋体" w:hAnsi="宋体" w:cs="宋体"/>
          <w:color w:val="auto"/>
          <w:sz w:val="24"/>
          <w:highlight w:val="none"/>
        </w:rPr>
        <w:t>采购人或采购代理机构依法对投标人的资格进行审查</w:t>
      </w:r>
      <w:r>
        <w:rPr>
          <w:rFonts w:hint="eastAsia" w:ascii="宋体" w:hAnsi="宋体" w:cs="宋体"/>
          <w:color w:val="auto"/>
          <w:spacing w:val="-2"/>
          <w:sz w:val="24"/>
          <w:highlight w:val="none"/>
        </w:rPr>
        <w:t>。</w:t>
      </w:r>
    </w:p>
    <w:p>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pStyle w:val="30"/>
        <w:tabs>
          <w:tab w:val="left" w:pos="420"/>
        </w:tabs>
        <w:snapToGrid w:val="0"/>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（1）评标委员会应当对符合资格要求的投标人的投标文件进行商务和技术审查，以确定其是否满足招标文件的实质性要求。</w:t>
      </w:r>
      <w:r>
        <w:rPr>
          <w:rFonts w:hint="eastAsia" w:ascii="宋体" w:hAnsi="宋体" w:eastAsia="宋体" w:cs="宋体"/>
          <w:b/>
          <w:bCs/>
          <w:color w:val="auto"/>
          <w:sz w:val="24"/>
          <w:szCs w:val="24"/>
          <w:highlight w:val="none"/>
        </w:rPr>
        <w:t>开标一览表内容与投标报价明细表内容不一致的，以开标一览表为准。唱标时未宣读的投标价格、价格折扣和招标文件允许提供的备选投标方案等实质内容，评标时不予承认。</w:t>
      </w:r>
    </w:p>
    <w:p>
      <w:pPr>
        <w:pStyle w:val="30"/>
        <w:tabs>
          <w:tab w:val="left" w:pos="420"/>
        </w:tabs>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（2）评标委员会应当按照招标文件第四章规定的评标原则和评标标准，对商务和技术审查合格的投标文件进行评审，综合比较与评价。</w:t>
      </w:r>
    </w:p>
    <w:p>
      <w:pPr>
        <w:pStyle w:val="30"/>
        <w:tabs>
          <w:tab w:val="left" w:pos="420"/>
        </w:tabs>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w:t>
      </w:r>
      <w:r>
        <w:rPr>
          <w:rFonts w:hint="eastAsia" w:hAnsi="宋体"/>
          <w:color w:val="auto"/>
          <w:sz w:val="24"/>
          <w:szCs w:val="24"/>
          <w:highlight w:val="none"/>
        </w:rPr>
        <w:t>（或负责人）</w:t>
      </w:r>
      <w:r>
        <w:rPr>
          <w:rFonts w:hint="eastAsia" w:ascii="宋体" w:hAnsi="宋体" w:eastAsia="宋体" w:cs="宋体"/>
          <w:color w:val="auto"/>
          <w:sz w:val="24"/>
          <w:szCs w:val="24"/>
          <w:highlight w:val="none"/>
        </w:rPr>
        <w:t>或其授权的代表签字。投标人的澄清、说明或者补正不得超出投标文件的范围或者改变投标文件的实质性内容。</w:t>
      </w:r>
    </w:p>
    <w:p>
      <w:pPr>
        <w:pStyle w:val="30"/>
        <w:tabs>
          <w:tab w:val="left" w:pos="420"/>
        </w:tabs>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投标人代表未到场或者拒绝澄清或者澄清的内容改变了投标文件的实质性内容的，评标委员会有权视该投标文件为无效。</w:t>
      </w:r>
    </w:p>
    <w:p>
      <w:pPr>
        <w:pStyle w:val="30"/>
        <w:tabs>
          <w:tab w:val="left" w:pos="420"/>
        </w:tabs>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（4）评标委员会完成评标后，评委对各部分得分汇总，计算出本项目进入详评的所有投标人的最终得分。评标委员会按中标候选人</w:t>
      </w:r>
      <w:r>
        <w:rPr>
          <w:rFonts w:hint="eastAsia" w:ascii="宋体" w:hAnsi="宋体" w:eastAsia="宋体" w:cs="宋体"/>
          <w:bCs/>
          <w:color w:val="auto"/>
          <w:sz w:val="24"/>
          <w:szCs w:val="24"/>
          <w:highlight w:val="none"/>
        </w:rPr>
        <w:t>推荐原则</w:t>
      </w:r>
      <w:r>
        <w:rPr>
          <w:rFonts w:hint="eastAsia" w:ascii="宋体" w:hAnsi="宋体" w:eastAsia="宋体" w:cs="宋体"/>
          <w:color w:val="auto"/>
          <w:sz w:val="24"/>
          <w:szCs w:val="24"/>
          <w:highlight w:val="none"/>
        </w:rPr>
        <w:t>推荐中标候选人同时起草评标报告。</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（四）</w:t>
      </w:r>
      <w:r>
        <w:rPr>
          <w:rFonts w:hint="eastAsia" w:ascii="宋体" w:hAnsi="宋体" w:cs="宋体"/>
          <w:b/>
          <w:color w:val="auto"/>
          <w:sz w:val="24"/>
          <w:highlight w:val="none"/>
        </w:rPr>
        <w:t>澄清问题的形式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pPr>
        <w:pStyle w:val="30"/>
        <w:snapToGrid w:val="0"/>
        <w:spacing w:line="360" w:lineRule="auto"/>
        <w:ind w:left="720" w:leftChars="228" w:hanging="241" w:hangingChars="100"/>
        <w:rPr>
          <w:rFonts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color w:val="auto"/>
          <w:sz w:val="24"/>
          <w:szCs w:val="24"/>
          <w:highlight w:val="none"/>
        </w:rPr>
        <w:t>错误修正</w:t>
      </w:r>
    </w:p>
    <w:p>
      <w:pPr>
        <w:pStyle w:val="30"/>
        <w:snapToGrid w:val="0"/>
        <w:spacing w:line="360" w:lineRule="auto"/>
        <w:ind w:left="719" w:leftChars="228" w:hanging="240" w:hanging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投标文件如果出现计算或表达上的错误，修正错误的原则如下：</w:t>
      </w:r>
    </w:p>
    <w:p>
      <w:pPr>
        <w:pStyle w:val="30"/>
        <w:numPr>
          <w:ilvl w:val="0"/>
          <w:numId w:val="30"/>
        </w:numPr>
        <w:snapToGrid w:val="0"/>
        <w:spacing w:line="360" w:lineRule="auto"/>
        <w:ind w:left="719" w:leftChars="228" w:hanging="240" w:hangingChars="100"/>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投标文件中开标一览表（报价表）内容与投标文件中相应内容不一致的，以开标一览表（报价表）为准；</w:t>
      </w:r>
    </w:p>
    <w:p>
      <w:pPr>
        <w:pStyle w:val="30"/>
        <w:numPr>
          <w:ilvl w:val="0"/>
          <w:numId w:val="30"/>
        </w:numPr>
        <w:snapToGrid w:val="0"/>
        <w:spacing w:line="360" w:lineRule="auto"/>
        <w:ind w:left="719" w:leftChars="228" w:hanging="240" w:hangingChars="1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大写金额和小写金额不一致的，以大写金额为准；</w:t>
      </w:r>
    </w:p>
    <w:p>
      <w:pPr>
        <w:pStyle w:val="30"/>
        <w:numPr>
          <w:ilvl w:val="0"/>
          <w:numId w:val="30"/>
        </w:numPr>
        <w:snapToGrid w:val="0"/>
        <w:spacing w:line="360" w:lineRule="auto"/>
        <w:ind w:left="719" w:leftChars="228" w:hanging="240" w:hangingChars="1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单价金额小数点或者百分比有明显错位的，以开标一览表的总价为准，并修改单价；</w:t>
      </w:r>
    </w:p>
    <w:p>
      <w:pPr>
        <w:pStyle w:val="30"/>
        <w:numPr>
          <w:ilvl w:val="0"/>
          <w:numId w:val="30"/>
        </w:numPr>
        <w:snapToGrid w:val="0"/>
        <w:spacing w:line="360" w:lineRule="auto"/>
        <w:ind w:left="719" w:leftChars="228" w:hanging="240" w:hangingChars="1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总价金额与按单价汇总金额不一致的，以单价金额计算结果为准；</w:t>
      </w:r>
    </w:p>
    <w:p>
      <w:pPr>
        <w:pStyle w:val="30"/>
        <w:snapToGrid w:val="0"/>
        <w:spacing w:line="360" w:lineRule="auto"/>
        <w:ind w:left="269" w:leftChars="128"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对不同文字文本投标文件的解释发生异议的，以中文文本为准。</w:t>
      </w:r>
    </w:p>
    <w:p>
      <w:pPr>
        <w:pStyle w:val="30"/>
        <w:snapToGrid w:val="0"/>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同时出现两种以上不一致的，按照前款规定的顺序修正。修正后的报价经投标人确认后产生约束力，投标人不确认的，其投标无效。</w:t>
      </w:r>
    </w:p>
    <w:p>
      <w:pPr>
        <w:pStyle w:val="30"/>
        <w:tabs>
          <w:tab w:val="left" w:pos="630"/>
        </w:tabs>
        <w:snapToGrid w:val="0"/>
        <w:spacing w:line="360" w:lineRule="auto"/>
        <w:ind w:firstLine="471" w:firstLineChars="196"/>
        <w:rPr>
          <w:color w:val="auto"/>
          <w:highlight w:val="none"/>
        </w:rPr>
      </w:pPr>
      <w:r>
        <w:rPr>
          <w:rFonts w:hint="eastAsia" w:hAnsi="宋体"/>
          <w:b/>
          <w:color w:val="auto"/>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30"/>
        <w:snapToGrid w:val="0"/>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（六）评标过程的监控</w:t>
      </w:r>
    </w:p>
    <w:p>
      <w:pPr>
        <w:pStyle w:val="3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本项目评标过程实行全程录音、录像监控，投标人在评标过程中所进行的试图影响评标结果的不公正活动，可能导致其投标被拒绝。</w:t>
      </w:r>
    </w:p>
    <w:p>
      <w:pPr>
        <w:pStyle w:val="30"/>
        <w:snapToGrid w:val="0"/>
        <w:spacing w:line="360" w:lineRule="auto"/>
        <w:rPr>
          <w:rFonts w:ascii="宋体" w:hAnsi="宋体" w:eastAsia="宋体" w:cs="宋体"/>
          <w:b/>
          <w:color w:val="auto"/>
          <w:sz w:val="24"/>
          <w:szCs w:val="24"/>
          <w:highlight w:val="none"/>
        </w:rPr>
      </w:pPr>
      <w:bookmarkStart w:id="270" w:name="_Toc254970546"/>
      <w:bookmarkStart w:id="271" w:name="_Toc254970687"/>
      <w:bookmarkStart w:id="272" w:name="_Toc482865324"/>
      <w:bookmarkStart w:id="273" w:name="_Toc445223682"/>
      <w:bookmarkStart w:id="274" w:name="_Toc57024420"/>
      <w:bookmarkStart w:id="275" w:name="_Toc293863055"/>
      <w:bookmarkStart w:id="276" w:name="_Toc483327813"/>
      <w:bookmarkStart w:id="277" w:name="_Toc482865154"/>
      <w:bookmarkStart w:id="278" w:name="_Toc293863322"/>
      <w:bookmarkStart w:id="279" w:name="_Toc448421144"/>
      <w:bookmarkStart w:id="280" w:name="_Toc482864553"/>
      <w:bookmarkStart w:id="281" w:name="_Toc308018679"/>
      <w:bookmarkStart w:id="282" w:name="_Toc400465715"/>
      <w:r>
        <w:rPr>
          <w:rFonts w:hint="eastAsia" w:ascii="宋体" w:hAnsi="宋体" w:eastAsia="宋体" w:cs="宋体"/>
          <w:b/>
          <w:color w:val="auto"/>
          <w:sz w:val="24"/>
          <w:szCs w:val="24"/>
          <w:highlight w:val="none"/>
        </w:rPr>
        <w:t>六、</w:t>
      </w:r>
      <w:bookmarkEnd w:id="270"/>
      <w:bookmarkEnd w:id="271"/>
      <w:r>
        <w:rPr>
          <w:rFonts w:hint="eastAsia" w:ascii="宋体" w:hAnsi="宋体" w:eastAsia="宋体" w:cs="宋体"/>
          <w:b/>
          <w:color w:val="auto"/>
          <w:sz w:val="24"/>
          <w:szCs w:val="24"/>
          <w:highlight w:val="none"/>
        </w:rPr>
        <w:t>评标结果</w:t>
      </w:r>
      <w:bookmarkEnd w:id="272"/>
      <w:bookmarkEnd w:id="273"/>
      <w:bookmarkEnd w:id="274"/>
      <w:bookmarkEnd w:id="275"/>
      <w:bookmarkEnd w:id="276"/>
      <w:bookmarkEnd w:id="277"/>
      <w:bookmarkEnd w:id="278"/>
      <w:bookmarkEnd w:id="279"/>
      <w:bookmarkEnd w:id="280"/>
      <w:bookmarkEnd w:id="281"/>
      <w:bookmarkEnd w:id="282"/>
    </w:p>
    <w:p>
      <w:pPr>
        <w:pStyle w:val="30"/>
        <w:snapToGrid w:val="0"/>
        <w:spacing w:line="360" w:lineRule="auto"/>
        <w:ind w:firstLine="470" w:firstLineChars="196"/>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（一）</w:t>
      </w:r>
      <w:r>
        <w:rPr>
          <w:rFonts w:hint="eastAsia" w:ascii="宋体" w:hAnsi="宋体" w:eastAsia="宋体" w:cs="宋体"/>
          <w:color w:val="auto"/>
          <w:sz w:val="24"/>
          <w:szCs w:val="24"/>
          <w:highlight w:val="none"/>
        </w:rPr>
        <w:t>采购代理机构在评标结束后2个工作日内将评标报告送采购人，采购人在收到评标报告之日起5个工作日内在评标报告推荐的中标候选人名单中按顺序确定中标供应商。采购人也可以事先授权评标委员会直接确定中标供应商。中标候选人并列的，由采购人或者采购人委托评标委员会按照招标文件规定的方式确定中标供应商；招标文件未规定的，采取随机抽取的方式确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中标供应商确定之日起2个工作日内，采购代理机构在本项目招标公告媒体公告中标结果，招标文件随中标结果同时公告。其余各投标人的评审得分与排序或资格审查未通过的原因通过投标人在投标文件中注明的接收方式单独告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在中标通知书发出前，采购人或采购代理机构应当对中标供应商信用进行查询，如中标供应商被列入失信被执行人、重大税收违法案件当事人名单、政府采购严重违法失信行为记录名单，则将被取消中标资格。</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在公告中标结果的同时，采购代理机构向中标供应商发出中标通知书；对未通过资格审查的投标人，应当告知其未通过的原因；采用综合评分法评审的，还应当告知未中标供应商本人的评审得分与排序。未中标供应商亦可主动联系采购代理机构索取相关内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（五）投标人认为中标结果使自己的权益受到损害的，应当在中标结果公告期限</w:t>
      </w:r>
      <w:r>
        <w:rPr>
          <w:rFonts w:hint="eastAsia" w:ascii="宋体" w:hAnsi="宋体" w:cs="宋体"/>
          <w:bCs/>
          <w:color w:val="auto"/>
          <w:sz w:val="24"/>
          <w:highlight w:val="none"/>
        </w:rPr>
        <w:t>（中标结果公告期限为1个工作日）</w:t>
      </w:r>
      <w:r>
        <w:rPr>
          <w:rFonts w:hint="eastAsia" w:ascii="宋体" w:hAnsi="宋体" w:cs="宋体"/>
          <w:color w:val="auto"/>
          <w:sz w:val="24"/>
          <w:highlight w:val="none"/>
        </w:rPr>
        <w:t>届满之日起7个工作日内，以书面形式向采购代理机构提出质疑，并及时索要书面回执。</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（六）采购代理机构应当按照有关规定就采购人委托授权范围内的事项在收到投标人的书面质疑后7个工作日内做出答复，但答复的内容不得涉及商业秘密。</w:t>
      </w:r>
    </w:p>
    <w:p>
      <w:pPr>
        <w:pStyle w:val="30"/>
        <w:snapToGrid w:val="0"/>
        <w:spacing w:line="360" w:lineRule="auto"/>
        <w:rPr>
          <w:rFonts w:ascii="宋体" w:hAnsi="宋体" w:eastAsia="宋体" w:cs="宋体"/>
          <w:b/>
          <w:color w:val="auto"/>
          <w:sz w:val="24"/>
          <w:szCs w:val="24"/>
          <w:highlight w:val="none"/>
        </w:rPr>
      </w:pPr>
      <w:bookmarkStart w:id="283" w:name="_Toc57024421"/>
      <w:r>
        <w:rPr>
          <w:rFonts w:hint="eastAsia" w:ascii="宋体" w:hAnsi="宋体" w:eastAsia="宋体" w:cs="宋体"/>
          <w:b/>
          <w:color w:val="auto"/>
          <w:sz w:val="24"/>
          <w:szCs w:val="24"/>
          <w:highlight w:val="none"/>
        </w:rPr>
        <w:t>七、投标样品的退回</w:t>
      </w:r>
      <w:bookmarkEnd w:id="28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中标供应商的投标样品由采购人保管，作为验收的依据，验收后由采购人退回。未中标供应商的投标样品由投标人在中标结果公布后两个工作日内领回，否则按无主物品处理。</w:t>
      </w:r>
    </w:p>
    <w:p>
      <w:pPr>
        <w:snapToGrid w:val="0"/>
        <w:spacing w:line="360" w:lineRule="auto"/>
        <w:rPr>
          <w:rFonts w:ascii="宋体" w:hAnsi="宋体" w:cs="宋体"/>
          <w:color w:val="auto"/>
          <w:sz w:val="24"/>
          <w:highlight w:val="none"/>
        </w:rPr>
      </w:pPr>
      <w:bookmarkStart w:id="284" w:name="_Toc254970688"/>
      <w:bookmarkStart w:id="285" w:name="_Toc254970547"/>
      <w:bookmarkStart w:id="286" w:name="_Toc445223683"/>
      <w:bookmarkStart w:id="287" w:name="_Toc308018680"/>
      <w:bookmarkStart w:id="288" w:name="_Toc448421145"/>
      <w:bookmarkStart w:id="289" w:name="_Toc483327814"/>
      <w:bookmarkStart w:id="290" w:name="_Toc482865325"/>
      <w:bookmarkStart w:id="291" w:name="_Toc400465716"/>
      <w:bookmarkStart w:id="292" w:name="_Toc293863056"/>
      <w:bookmarkStart w:id="293" w:name="_Toc482865155"/>
      <w:bookmarkStart w:id="294" w:name="_Toc482864554"/>
      <w:bookmarkStart w:id="295" w:name="_Toc293863323"/>
      <w:r>
        <w:rPr>
          <w:rFonts w:hint="eastAsia" w:ascii="宋体" w:hAnsi="宋体" w:cs="宋体"/>
          <w:b/>
          <w:bCs/>
          <w:color w:val="auto"/>
          <w:sz w:val="24"/>
          <w:highlight w:val="none"/>
        </w:rPr>
        <w:t>八、合同</w:t>
      </w:r>
      <w:bookmarkEnd w:id="284"/>
      <w:bookmarkEnd w:id="285"/>
      <w:r>
        <w:rPr>
          <w:rFonts w:hint="eastAsia" w:ascii="宋体" w:hAnsi="宋体" w:cs="宋体"/>
          <w:b/>
          <w:bCs/>
          <w:color w:val="auto"/>
          <w:sz w:val="24"/>
          <w:highlight w:val="none"/>
        </w:rPr>
        <w:t>签订</w:t>
      </w:r>
      <w:bookmarkEnd w:id="286"/>
      <w:bookmarkEnd w:id="287"/>
      <w:bookmarkEnd w:id="288"/>
      <w:bookmarkEnd w:id="289"/>
      <w:bookmarkEnd w:id="290"/>
      <w:bookmarkEnd w:id="291"/>
      <w:bookmarkEnd w:id="292"/>
      <w:bookmarkEnd w:id="293"/>
      <w:bookmarkEnd w:id="294"/>
      <w:bookmarkEnd w:id="295"/>
    </w:p>
    <w:p>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（一）合同授予标准</w:t>
      </w:r>
    </w:p>
    <w:p>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合同将授予被确定实质上响应招标文件要求，具备履行合同能力，综合评分排名第一的投标人。</w:t>
      </w:r>
    </w:p>
    <w:p>
      <w:pPr>
        <w:snapToGrid w:val="0"/>
        <w:spacing w:line="360" w:lineRule="auto"/>
        <w:ind w:right="-231" w:rightChars="-110" w:firstLine="472" w:firstLineChars="196"/>
        <w:rPr>
          <w:rFonts w:ascii="宋体" w:hAnsi="宋体" w:cs="宋体"/>
          <w:bCs/>
          <w:color w:val="auto"/>
          <w:sz w:val="24"/>
          <w:highlight w:val="none"/>
        </w:rPr>
      </w:pPr>
      <w:r>
        <w:rPr>
          <w:rFonts w:hint="eastAsia" w:ascii="宋体" w:hAnsi="宋体" w:cs="宋体"/>
          <w:b/>
          <w:bCs/>
          <w:color w:val="auto"/>
          <w:sz w:val="24"/>
          <w:highlight w:val="none"/>
        </w:rPr>
        <w:t>（二）履约保证金：无</w:t>
      </w:r>
    </w:p>
    <w:p>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（三）签订合同</w:t>
      </w:r>
    </w:p>
    <w:p>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（1）投标人接到中标通知书后，应按中标通知书规定的时间、地点与采购人签订合同。（投标人中标后可以由项目所在地分公司在总公司授权下签订合同，相应的法律责任由总公司承担。）</w:t>
      </w:r>
    </w:p>
    <w:p>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（2）如中标供应商不按中标通知书的规定签订合同，则按中标供应商违约处理，采购代理机构将中标供应商投标的全部投标保证金上缴同级财政国库。</w:t>
      </w:r>
    </w:p>
    <w:p>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（3）中标供应商因不可抗力或者自身原因不能履行采购合同的，采购人可以与中标供应商之后排名第一的中标候选人签订采购合同，以此类推。</w:t>
      </w:r>
    </w:p>
    <w:p>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（5）政府采购合同公告</w:t>
      </w:r>
    </w:p>
    <w:p>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30"/>
        <w:snapToGrid w:val="0"/>
        <w:spacing w:line="360" w:lineRule="auto"/>
        <w:rPr>
          <w:rFonts w:ascii="宋体" w:hAnsi="宋体" w:eastAsia="宋体" w:cs="宋体"/>
          <w:b/>
          <w:bCs/>
          <w:color w:val="auto"/>
          <w:sz w:val="24"/>
          <w:szCs w:val="24"/>
          <w:highlight w:val="none"/>
        </w:rPr>
      </w:pPr>
      <w:bookmarkStart w:id="296" w:name="_Toc482865326"/>
      <w:bookmarkStart w:id="297" w:name="_Toc308018681"/>
      <w:bookmarkStart w:id="298" w:name="_Toc448421146"/>
      <w:bookmarkStart w:id="299" w:name="_Toc482864555"/>
      <w:bookmarkStart w:id="300" w:name="_Toc293863324"/>
      <w:bookmarkStart w:id="301" w:name="_Toc482865156"/>
      <w:bookmarkStart w:id="302" w:name="_Toc293863057"/>
      <w:bookmarkStart w:id="303" w:name="_Toc400465717"/>
      <w:bookmarkStart w:id="304" w:name="_Toc445223684"/>
      <w:bookmarkStart w:id="305" w:name="_Toc483327815"/>
      <w:bookmarkStart w:id="306" w:name="_Toc57024422"/>
      <w:r>
        <w:rPr>
          <w:rFonts w:hint="eastAsia" w:ascii="宋体" w:hAnsi="宋体" w:eastAsia="宋体" w:cs="宋体"/>
          <w:b/>
          <w:bCs/>
          <w:color w:val="auto"/>
          <w:sz w:val="24"/>
          <w:szCs w:val="24"/>
          <w:highlight w:val="none"/>
        </w:rPr>
        <w:t>九、其它事项</w:t>
      </w:r>
      <w:bookmarkEnd w:id="296"/>
      <w:bookmarkEnd w:id="297"/>
      <w:bookmarkEnd w:id="298"/>
      <w:bookmarkEnd w:id="299"/>
      <w:bookmarkEnd w:id="300"/>
      <w:bookmarkEnd w:id="301"/>
      <w:bookmarkEnd w:id="302"/>
      <w:bookmarkEnd w:id="303"/>
      <w:bookmarkEnd w:id="304"/>
      <w:bookmarkEnd w:id="305"/>
      <w:bookmarkEnd w:id="306"/>
    </w:p>
    <w:p>
      <w:pPr>
        <w:pStyle w:val="30"/>
        <w:snapToGrid w:val="0"/>
        <w:spacing w:line="360" w:lineRule="auto"/>
        <w:ind w:firstLine="480" w:firstLineChars="200"/>
        <w:rPr>
          <w:rFonts w:ascii="宋体" w:hAnsi="宋体" w:eastAsia="宋体" w:cs="宋体"/>
          <w:bCs/>
          <w:color w:val="auto"/>
          <w:sz w:val="24"/>
          <w:szCs w:val="24"/>
          <w:highlight w:val="none"/>
        </w:rPr>
      </w:pPr>
      <w:bookmarkStart w:id="307" w:name="_Toc293863325"/>
      <w:bookmarkStart w:id="308" w:name="_Toc483327816"/>
      <w:bookmarkStart w:id="309" w:name="_Toc400465718"/>
      <w:bookmarkStart w:id="310" w:name="_Toc448421147"/>
      <w:bookmarkStart w:id="311" w:name="_Toc308018682"/>
      <w:bookmarkStart w:id="312" w:name="_Toc482864556"/>
      <w:bookmarkStart w:id="313" w:name="_Toc293863058"/>
      <w:bookmarkStart w:id="314" w:name="_Toc482865327"/>
      <w:bookmarkStart w:id="315" w:name="_Toc57024423"/>
      <w:bookmarkStart w:id="316" w:name="_Toc482865157"/>
      <w:r>
        <w:rPr>
          <w:rFonts w:hint="eastAsia" w:ascii="宋体" w:hAnsi="宋体" w:eastAsia="宋体" w:cs="宋体"/>
          <w:bCs/>
          <w:color w:val="auto"/>
          <w:sz w:val="24"/>
          <w:szCs w:val="24"/>
          <w:highlight w:val="none"/>
        </w:rPr>
        <w:t>1、签订合同前，中标供应商应向采购代理机构一次付清中标服务费。中标服务费收取按投标人须知前附表第17条规定执行。</w:t>
      </w:r>
      <w:bookmarkEnd w:id="307"/>
      <w:bookmarkEnd w:id="308"/>
      <w:bookmarkEnd w:id="309"/>
      <w:bookmarkEnd w:id="310"/>
      <w:bookmarkEnd w:id="311"/>
      <w:bookmarkEnd w:id="312"/>
      <w:bookmarkEnd w:id="313"/>
      <w:bookmarkEnd w:id="314"/>
      <w:bookmarkEnd w:id="315"/>
      <w:bookmarkEnd w:id="316"/>
    </w:p>
    <w:p>
      <w:pPr>
        <w:pStyle w:val="30"/>
        <w:snapToGrid w:val="0"/>
        <w:spacing w:line="360" w:lineRule="auto"/>
        <w:ind w:firstLine="480" w:firstLineChars="200"/>
        <w:rPr>
          <w:rFonts w:ascii="宋体" w:hAnsi="宋体" w:eastAsia="宋体" w:cs="宋体"/>
          <w:bCs/>
          <w:color w:val="auto"/>
          <w:sz w:val="24"/>
          <w:szCs w:val="24"/>
          <w:highlight w:val="none"/>
        </w:rPr>
        <w:sectPr>
          <w:pgSz w:w="11906" w:h="16838"/>
          <w:pgMar w:top="1440" w:right="1080" w:bottom="1440" w:left="1080" w:header="794" w:footer="850" w:gutter="0"/>
          <w:cols w:space="720" w:num="1"/>
          <w:titlePg/>
          <w:docGrid w:linePitch="312" w:charSpace="0"/>
        </w:sectPr>
      </w:pPr>
      <w:r>
        <w:rPr>
          <w:rFonts w:hint="eastAsia" w:ascii="宋体" w:hAnsi="宋体" w:eastAsia="宋体" w:cs="宋体"/>
          <w:bCs/>
          <w:color w:val="auto"/>
          <w:sz w:val="24"/>
          <w:szCs w:val="24"/>
          <w:highlight w:val="none"/>
        </w:rPr>
        <w:t>2、</w:t>
      </w:r>
      <w:r>
        <w:rPr>
          <w:rFonts w:hint="eastAsia" w:ascii="宋体" w:hAnsi="宋体" w:eastAsia="宋体" w:cs="宋体"/>
          <w:b/>
          <w:color w:val="auto"/>
          <w:sz w:val="24"/>
          <w:szCs w:val="24"/>
          <w:highlight w:val="none"/>
        </w:rPr>
        <w:t>解释权：</w:t>
      </w:r>
      <w:r>
        <w:rPr>
          <w:rFonts w:hint="eastAsia" w:ascii="宋体" w:hAnsi="宋体" w:eastAsia="宋体" w:cs="宋体"/>
          <w:bCs/>
          <w:color w:val="auto"/>
          <w:sz w:val="24"/>
          <w:szCs w:val="24"/>
          <w:highlight w:val="none"/>
        </w:rPr>
        <w:t xml:space="preserve">本招标文件解释权属广西邕政采购代理有限公司 </w:t>
      </w:r>
    </w:p>
    <w:p>
      <w:pPr>
        <w:pStyle w:val="30"/>
        <w:snapToGrid w:val="0"/>
        <w:spacing w:line="360" w:lineRule="auto"/>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附件1：</w:t>
      </w:r>
    </w:p>
    <w:p>
      <w:pPr>
        <w:widowControl/>
        <w:snapToGrid w:val="0"/>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政府采购项目合同验收报告（格式）</w:t>
      </w:r>
    </w:p>
    <w:p>
      <w:pPr>
        <w:widowControl/>
        <w:snapToGrid w:val="0"/>
        <w:spacing w:line="360" w:lineRule="auto"/>
        <w:ind w:firstLine="659"/>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根据政府采购合同（采购合同编号：</w:t>
      </w:r>
      <w:r>
        <w:rPr>
          <w:rFonts w:hint="eastAsia" w:ascii="新宋体" w:hAnsi="新宋体" w:eastAsia="新宋体" w:cs="新宋体"/>
          <w:color w:val="auto"/>
          <w:kern w:val="0"/>
          <w:sz w:val="24"/>
          <w:highlight w:val="none"/>
          <w:u w:val="single"/>
        </w:rPr>
        <w:softHyphen/>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rPr>
        <w:t>）的约定，我单位对</w:t>
      </w:r>
      <w:r>
        <w:rPr>
          <w:rFonts w:hint="eastAsia" w:ascii="新宋体" w:hAnsi="新宋体" w:eastAsia="新宋体" w:cs="新宋体"/>
          <w:color w:val="auto"/>
          <w:kern w:val="0"/>
          <w:sz w:val="24"/>
          <w:highlight w:val="none"/>
          <w:u w:val="single"/>
        </w:rPr>
        <w:t>（项目名称）</w:t>
      </w:r>
      <w:r>
        <w:rPr>
          <w:rFonts w:hint="eastAsia" w:ascii="新宋体" w:hAnsi="新宋体" w:eastAsia="新宋体" w:cs="新宋体"/>
          <w:color w:val="auto"/>
          <w:kern w:val="0"/>
          <w:sz w:val="24"/>
          <w:highlight w:val="none"/>
        </w:rPr>
        <w:t>政府采购项目中标（或成交）供应商</w:t>
      </w:r>
      <w:r>
        <w:rPr>
          <w:rFonts w:hint="eastAsia" w:ascii="新宋体" w:hAnsi="新宋体" w:eastAsia="新宋体" w:cs="新宋体"/>
          <w:color w:val="auto"/>
          <w:kern w:val="0"/>
          <w:sz w:val="24"/>
          <w:highlight w:val="none"/>
          <w:u w:val="single"/>
        </w:rPr>
        <w:t>（公司名称）</w:t>
      </w:r>
      <w:r>
        <w:rPr>
          <w:rFonts w:hint="eastAsia" w:ascii="新宋体" w:hAnsi="新宋体" w:eastAsia="新宋体" w:cs="新宋体"/>
          <w:color w:val="auto"/>
          <w:kern w:val="0"/>
          <w:sz w:val="24"/>
          <w:highlight w:val="none"/>
        </w:rPr>
        <w:t>提供的货物（或服务）进行了验收，验收情况如下：</w:t>
      </w:r>
    </w:p>
    <w:tbl>
      <w:tblPr>
        <w:tblStyle w:val="53"/>
        <w:tblW w:w="97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770"/>
        <w:gridCol w:w="2027"/>
        <w:gridCol w:w="1322"/>
        <w:gridCol w:w="2414"/>
        <w:gridCol w:w="754"/>
        <w:gridCol w:w="1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7" w:hRule="atLeast"/>
          <w:jc w:val="center"/>
        </w:trPr>
        <w:tc>
          <w:tcPr>
            <w:tcW w:w="3409" w:type="dxa"/>
            <w:gridSpan w:val="3"/>
            <w:noWrap/>
            <w:vAlign w:val="center"/>
          </w:tcPr>
          <w:p>
            <w:pPr>
              <w:widowControl/>
              <w:snapToGrid w:val="0"/>
              <w:spacing w:line="360" w:lineRule="auto"/>
              <w:ind w:left="-3"/>
              <w:jc w:val="center"/>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验收方式</w:t>
            </w:r>
          </w:p>
        </w:tc>
        <w:tc>
          <w:tcPr>
            <w:tcW w:w="6357" w:type="dxa"/>
            <w:gridSpan w:val="4"/>
            <w:noWrap/>
            <w:vAlign w:val="center"/>
          </w:tcPr>
          <w:p>
            <w:pPr>
              <w:widowControl/>
              <w:snapToGrid w:val="0"/>
              <w:spacing w:line="360" w:lineRule="auto"/>
              <w:ind w:left="-3"/>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612" w:type="dxa"/>
            <w:tcBorders>
              <w:top w:val="single" w:color="auto" w:sz="4" w:space="0"/>
              <w:right w:val="single" w:color="auto" w:sz="4" w:space="0"/>
            </w:tcBorders>
            <w:noWrap/>
            <w:vAlign w:val="center"/>
          </w:tcPr>
          <w:p>
            <w:pPr>
              <w:widowControl/>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序号</w:t>
            </w:r>
          </w:p>
        </w:tc>
        <w:tc>
          <w:tcPr>
            <w:tcW w:w="2797" w:type="dxa"/>
            <w:gridSpan w:val="2"/>
            <w:tcBorders>
              <w:top w:val="single" w:color="auto" w:sz="4" w:space="0"/>
              <w:left w:val="single" w:color="auto" w:sz="4" w:space="0"/>
            </w:tcBorders>
            <w:noWrap/>
            <w:vAlign w:val="center"/>
          </w:tcPr>
          <w:p>
            <w:pPr>
              <w:widowControl/>
              <w:snapToGrid w:val="0"/>
              <w:spacing w:line="360" w:lineRule="auto"/>
              <w:ind w:left="-3"/>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名    称</w:t>
            </w:r>
          </w:p>
        </w:tc>
        <w:tc>
          <w:tcPr>
            <w:tcW w:w="3736" w:type="dxa"/>
            <w:gridSpan w:val="2"/>
            <w:noWrap/>
            <w:vAlign w:val="center"/>
          </w:tcPr>
          <w:p>
            <w:pPr>
              <w:widowControl/>
              <w:snapToGrid w:val="0"/>
              <w:spacing w:line="360" w:lineRule="auto"/>
              <w:ind w:left="-3"/>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货物型号规格、标准及配置</w:t>
            </w:r>
          </w:p>
          <w:p>
            <w:pPr>
              <w:widowControl/>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（或服务内容、标准）</w:t>
            </w:r>
          </w:p>
        </w:tc>
        <w:tc>
          <w:tcPr>
            <w:tcW w:w="754" w:type="dxa"/>
            <w:noWrap/>
            <w:vAlign w:val="center"/>
          </w:tcPr>
          <w:p>
            <w:pPr>
              <w:widowControl/>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数量</w:t>
            </w:r>
          </w:p>
        </w:tc>
        <w:tc>
          <w:tcPr>
            <w:tcW w:w="1867" w:type="dxa"/>
            <w:noWrap/>
            <w:vAlign w:val="center"/>
          </w:tcPr>
          <w:p>
            <w:pPr>
              <w:widowControl/>
              <w:snapToGrid w:val="0"/>
              <w:spacing w:line="360" w:lineRule="auto"/>
              <w:ind w:left="-3"/>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noWrap/>
            <w:vAlign w:val="center"/>
          </w:tcPr>
          <w:p>
            <w:pPr>
              <w:widowControl/>
              <w:snapToGrid w:val="0"/>
              <w:spacing w:line="360" w:lineRule="auto"/>
              <w:ind w:left="-3" w:firstLine="576"/>
              <w:jc w:val="left"/>
              <w:rPr>
                <w:rFonts w:ascii="新宋体" w:hAnsi="新宋体" w:eastAsia="新宋体" w:cs="新宋体"/>
                <w:color w:val="auto"/>
                <w:spacing w:val="-20"/>
                <w:kern w:val="0"/>
                <w:sz w:val="24"/>
                <w:highlight w:val="none"/>
              </w:rPr>
            </w:pPr>
          </w:p>
        </w:tc>
        <w:tc>
          <w:tcPr>
            <w:tcW w:w="2797" w:type="dxa"/>
            <w:gridSpan w:val="2"/>
            <w:tcBorders>
              <w:left w:val="single" w:color="auto" w:sz="4" w:space="0"/>
            </w:tcBorders>
            <w:noWrap/>
            <w:vAlign w:val="center"/>
          </w:tcPr>
          <w:p>
            <w:pPr>
              <w:widowControl/>
              <w:snapToGrid w:val="0"/>
              <w:spacing w:line="360" w:lineRule="auto"/>
              <w:ind w:left="-3" w:firstLine="576"/>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c>
          <w:tcPr>
            <w:tcW w:w="3736" w:type="dxa"/>
            <w:gridSpan w:val="2"/>
            <w:noWrap/>
            <w:vAlign w:val="center"/>
          </w:tcPr>
          <w:p>
            <w:pPr>
              <w:widowControl/>
              <w:snapToGrid w:val="0"/>
              <w:spacing w:line="360" w:lineRule="auto"/>
              <w:ind w:left="-3" w:firstLine="576"/>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c>
          <w:tcPr>
            <w:tcW w:w="754" w:type="dxa"/>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c>
          <w:tcPr>
            <w:tcW w:w="1867" w:type="dxa"/>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612" w:type="dxa"/>
            <w:tcBorders>
              <w:right w:val="single" w:color="auto" w:sz="4" w:space="0"/>
            </w:tcBorders>
            <w:noWrap/>
            <w:vAlign w:val="center"/>
          </w:tcPr>
          <w:p>
            <w:pPr>
              <w:widowControl/>
              <w:snapToGrid w:val="0"/>
              <w:spacing w:line="360" w:lineRule="auto"/>
              <w:ind w:left="-3" w:firstLine="576"/>
              <w:jc w:val="left"/>
              <w:rPr>
                <w:rFonts w:ascii="新宋体" w:hAnsi="新宋体" w:eastAsia="新宋体" w:cs="新宋体"/>
                <w:color w:val="auto"/>
                <w:spacing w:val="-20"/>
                <w:kern w:val="0"/>
                <w:sz w:val="24"/>
                <w:highlight w:val="none"/>
              </w:rPr>
            </w:pPr>
          </w:p>
        </w:tc>
        <w:tc>
          <w:tcPr>
            <w:tcW w:w="2797" w:type="dxa"/>
            <w:gridSpan w:val="2"/>
            <w:tcBorders>
              <w:left w:val="single" w:color="auto" w:sz="4" w:space="0"/>
            </w:tcBorders>
            <w:noWrap/>
            <w:vAlign w:val="center"/>
          </w:tcPr>
          <w:p>
            <w:pPr>
              <w:widowControl/>
              <w:snapToGrid w:val="0"/>
              <w:spacing w:line="360" w:lineRule="auto"/>
              <w:ind w:left="-3" w:firstLine="576"/>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c>
          <w:tcPr>
            <w:tcW w:w="3736" w:type="dxa"/>
            <w:gridSpan w:val="2"/>
            <w:noWrap/>
            <w:vAlign w:val="center"/>
          </w:tcPr>
          <w:p>
            <w:pPr>
              <w:widowControl/>
              <w:snapToGrid w:val="0"/>
              <w:spacing w:line="360" w:lineRule="auto"/>
              <w:ind w:left="-3" w:firstLine="576"/>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c>
          <w:tcPr>
            <w:tcW w:w="754" w:type="dxa"/>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c>
          <w:tcPr>
            <w:tcW w:w="1867" w:type="dxa"/>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noWrap/>
            <w:vAlign w:val="center"/>
          </w:tcPr>
          <w:p>
            <w:pPr>
              <w:widowControl/>
              <w:snapToGrid w:val="0"/>
              <w:spacing w:line="360" w:lineRule="auto"/>
              <w:ind w:left="-3" w:firstLine="576"/>
              <w:jc w:val="left"/>
              <w:rPr>
                <w:rFonts w:ascii="新宋体" w:hAnsi="新宋体" w:eastAsia="新宋体" w:cs="新宋体"/>
                <w:color w:val="auto"/>
                <w:spacing w:val="-20"/>
                <w:kern w:val="0"/>
                <w:sz w:val="24"/>
                <w:highlight w:val="none"/>
              </w:rPr>
            </w:pPr>
          </w:p>
        </w:tc>
        <w:tc>
          <w:tcPr>
            <w:tcW w:w="2797" w:type="dxa"/>
            <w:gridSpan w:val="2"/>
            <w:tcBorders>
              <w:left w:val="single" w:color="auto" w:sz="4" w:space="0"/>
            </w:tcBorders>
            <w:noWrap/>
            <w:vAlign w:val="center"/>
          </w:tcPr>
          <w:p>
            <w:pPr>
              <w:widowControl/>
              <w:snapToGrid w:val="0"/>
              <w:spacing w:line="360" w:lineRule="auto"/>
              <w:ind w:left="-3" w:firstLine="576"/>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c>
          <w:tcPr>
            <w:tcW w:w="3736" w:type="dxa"/>
            <w:gridSpan w:val="2"/>
            <w:noWrap/>
            <w:vAlign w:val="center"/>
          </w:tcPr>
          <w:p>
            <w:pPr>
              <w:widowControl/>
              <w:snapToGrid w:val="0"/>
              <w:spacing w:line="360" w:lineRule="auto"/>
              <w:ind w:left="-3" w:firstLine="576"/>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c>
          <w:tcPr>
            <w:tcW w:w="754" w:type="dxa"/>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c>
          <w:tcPr>
            <w:tcW w:w="1867" w:type="dxa"/>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7145" w:type="dxa"/>
            <w:gridSpan w:val="5"/>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合计</w:t>
            </w:r>
          </w:p>
        </w:tc>
        <w:tc>
          <w:tcPr>
            <w:tcW w:w="754" w:type="dxa"/>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p>
        </w:tc>
        <w:tc>
          <w:tcPr>
            <w:tcW w:w="1867" w:type="dxa"/>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9766" w:type="dxa"/>
            <w:gridSpan w:val="7"/>
            <w:noWrap/>
            <w:vAlign w:val="center"/>
          </w:tcPr>
          <w:p>
            <w:pPr>
              <w:widowControl/>
              <w:snapToGrid w:val="0"/>
              <w:spacing w:line="360" w:lineRule="auto"/>
              <w:jc w:val="left"/>
              <w:rPr>
                <w:rFonts w:ascii="新宋体" w:hAnsi="新宋体" w:eastAsia="新宋体" w:cs="新宋体"/>
                <w:color w:val="auto"/>
                <w:spacing w:val="-20"/>
                <w:kern w:val="0"/>
                <w:sz w:val="24"/>
                <w:highlight w:val="none"/>
              </w:rPr>
            </w:pPr>
            <w:r>
              <w:rPr>
                <w:rFonts w:hint="eastAsia" w:ascii="新宋体" w:hAnsi="新宋体" w:eastAsia="新宋体" w:cs="新宋体"/>
                <w:color w:val="auto"/>
                <w:spacing w:val="-20"/>
                <w:kern w:val="0"/>
                <w:sz w:val="24"/>
                <w:highlight w:val="none"/>
              </w:rPr>
              <w:t>合计大写金额：人民币元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57" w:hRule="atLeast"/>
          <w:jc w:val="center"/>
        </w:trPr>
        <w:tc>
          <w:tcPr>
            <w:tcW w:w="1382" w:type="dxa"/>
            <w:gridSpan w:val="2"/>
            <w:noWrap/>
            <w:vAlign w:val="center"/>
          </w:tcPr>
          <w:p>
            <w:pPr>
              <w:widowControl/>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实际供货日期</w:t>
            </w:r>
          </w:p>
        </w:tc>
        <w:tc>
          <w:tcPr>
            <w:tcW w:w="3349" w:type="dxa"/>
            <w:gridSpan w:val="2"/>
            <w:noWrap/>
            <w:vAlign w:val="center"/>
          </w:tcPr>
          <w:p>
            <w:pPr>
              <w:snapToGrid w:val="0"/>
              <w:spacing w:line="360" w:lineRule="auto"/>
              <w:jc w:val="left"/>
              <w:rPr>
                <w:rFonts w:ascii="新宋体" w:hAnsi="新宋体" w:eastAsia="新宋体" w:cs="新宋体"/>
                <w:color w:val="auto"/>
                <w:kern w:val="0"/>
                <w:sz w:val="24"/>
                <w:highlight w:val="none"/>
              </w:rPr>
            </w:pPr>
          </w:p>
        </w:tc>
        <w:tc>
          <w:tcPr>
            <w:tcW w:w="2414" w:type="dxa"/>
            <w:noWrap/>
            <w:vAlign w:val="center"/>
          </w:tcPr>
          <w:p>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合同交货验收日期</w:t>
            </w:r>
          </w:p>
        </w:tc>
        <w:tc>
          <w:tcPr>
            <w:tcW w:w="2621" w:type="dxa"/>
            <w:gridSpan w:val="2"/>
            <w:noWrap/>
            <w:vAlign w:val="center"/>
          </w:tcPr>
          <w:p>
            <w:pPr>
              <w:snapToGrid w:val="0"/>
              <w:spacing w:line="360" w:lineRule="auto"/>
              <w:jc w:val="left"/>
              <w:rPr>
                <w:rFonts w:ascii="新宋体" w:hAnsi="新宋体" w:eastAsia="新宋体" w:cs="新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noWrap/>
            <w:vAlign w:val="center"/>
          </w:tcPr>
          <w:p>
            <w:pPr>
              <w:widowControl/>
              <w:snapToGrid w:val="0"/>
              <w:spacing w:line="360" w:lineRule="auto"/>
              <w:jc w:val="center"/>
              <w:rPr>
                <w:rFonts w:ascii="新宋体" w:hAnsi="新宋体" w:eastAsia="新宋体" w:cs="新宋体"/>
                <w:color w:val="auto"/>
                <w:kern w:val="0"/>
                <w:sz w:val="24"/>
                <w:highlight w:val="none"/>
              </w:rPr>
            </w:pPr>
          </w:p>
        </w:tc>
        <w:tc>
          <w:tcPr>
            <w:tcW w:w="3349" w:type="dxa"/>
            <w:gridSpan w:val="2"/>
            <w:noWrap/>
            <w:vAlign w:val="center"/>
          </w:tcPr>
          <w:p>
            <w:pPr>
              <w:snapToGrid w:val="0"/>
              <w:spacing w:line="360" w:lineRule="auto"/>
              <w:jc w:val="left"/>
              <w:rPr>
                <w:rFonts w:ascii="新宋体" w:hAnsi="新宋体" w:eastAsia="新宋体" w:cs="新宋体"/>
                <w:color w:val="auto"/>
                <w:kern w:val="0"/>
                <w:sz w:val="24"/>
                <w:highlight w:val="none"/>
              </w:rPr>
            </w:pPr>
          </w:p>
        </w:tc>
        <w:tc>
          <w:tcPr>
            <w:tcW w:w="2414" w:type="dxa"/>
            <w:noWrap/>
            <w:vAlign w:val="center"/>
          </w:tcPr>
          <w:p>
            <w:pPr>
              <w:snapToGrid w:val="0"/>
              <w:spacing w:line="360" w:lineRule="auto"/>
              <w:jc w:val="center"/>
              <w:rPr>
                <w:rFonts w:ascii="新宋体" w:hAnsi="新宋体" w:eastAsia="新宋体" w:cs="新宋体"/>
                <w:color w:val="auto"/>
                <w:kern w:val="0"/>
                <w:sz w:val="24"/>
                <w:highlight w:val="none"/>
              </w:rPr>
            </w:pPr>
          </w:p>
        </w:tc>
        <w:tc>
          <w:tcPr>
            <w:tcW w:w="2621" w:type="dxa"/>
            <w:gridSpan w:val="2"/>
            <w:noWrap/>
            <w:vAlign w:val="center"/>
          </w:tcPr>
          <w:p>
            <w:pPr>
              <w:snapToGrid w:val="0"/>
              <w:spacing w:line="360" w:lineRule="auto"/>
              <w:jc w:val="left"/>
              <w:rPr>
                <w:rFonts w:ascii="新宋体" w:hAnsi="新宋体" w:eastAsia="新宋体" w:cs="新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93" w:hRule="atLeast"/>
          <w:jc w:val="center"/>
        </w:trPr>
        <w:tc>
          <w:tcPr>
            <w:tcW w:w="1382" w:type="dxa"/>
            <w:gridSpan w:val="2"/>
            <w:noWrap/>
            <w:tcMar>
              <w:top w:w="0" w:type="dxa"/>
              <w:left w:w="108" w:type="dxa"/>
              <w:bottom w:w="0" w:type="dxa"/>
              <w:right w:w="108" w:type="dxa"/>
            </w:tcMar>
            <w:vAlign w:val="center"/>
          </w:tcPr>
          <w:p>
            <w:pPr>
              <w:widowControl/>
              <w:snapToGrid w:val="0"/>
              <w:spacing w:line="360" w:lineRule="auto"/>
              <w:ind w:left="-172" w:leftChars="-82" w:right="-107" w:rightChars="-51"/>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验收具体内容</w:t>
            </w:r>
          </w:p>
        </w:tc>
        <w:tc>
          <w:tcPr>
            <w:tcW w:w="8384" w:type="dxa"/>
            <w:gridSpan w:val="5"/>
            <w:noWrap/>
            <w:tcMar>
              <w:top w:w="0" w:type="dxa"/>
              <w:left w:w="108" w:type="dxa"/>
              <w:bottom w:w="0" w:type="dxa"/>
              <w:right w:w="108" w:type="dxa"/>
            </w:tcMar>
            <w:vAlign w:val="center"/>
          </w:tcPr>
          <w:p>
            <w:pPr>
              <w:widowControl/>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382" w:type="dxa"/>
            <w:gridSpan w:val="2"/>
            <w:vMerge w:val="restart"/>
            <w:noWrap/>
            <w:tcMar>
              <w:top w:w="0" w:type="dxa"/>
              <w:left w:w="108" w:type="dxa"/>
              <w:bottom w:w="0" w:type="dxa"/>
              <w:right w:w="108" w:type="dxa"/>
            </w:tcMar>
            <w:vAlign w:val="center"/>
          </w:tcPr>
          <w:p>
            <w:pPr>
              <w:widowControl/>
              <w:snapToGrid w:val="0"/>
              <w:spacing w:line="360" w:lineRule="auto"/>
              <w:ind w:left="-172" w:leftChars="-82" w:right="-107" w:rightChars="-51"/>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验收小组意见</w:t>
            </w:r>
          </w:p>
        </w:tc>
        <w:tc>
          <w:tcPr>
            <w:tcW w:w="8384" w:type="dxa"/>
            <w:gridSpan w:val="5"/>
            <w:tcBorders>
              <w:bottom w:val="single" w:color="auto" w:sz="4" w:space="0"/>
            </w:tcBorders>
            <w:noWrap/>
            <w:vAlign w:val="center"/>
          </w:tcPr>
          <w:p>
            <w:pPr>
              <w:widowControl/>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验收结论性意见：</w:t>
            </w:r>
          </w:p>
          <w:p>
            <w:pPr>
              <w:widowControl/>
              <w:snapToGrid w:val="0"/>
              <w:spacing w:line="360" w:lineRule="auto"/>
              <w:jc w:val="left"/>
              <w:rPr>
                <w:rFonts w:ascii="新宋体" w:hAnsi="新宋体" w:eastAsia="新宋体" w:cs="新宋体"/>
                <w:color w:val="auto"/>
                <w:kern w:val="0"/>
                <w:sz w:val="24"/>
                <w:highlight w:val="none"/>
              </w:rPr>
            </w:pPr>
          </w:p>
          <w:p>
            <w:pPr>
              <w:widowControl/>
              <w:snapToGrid w:val="0"/>
              <w:spacing w:line="360" w:lineRule="auto"/>
              <w:jc w:val="left"/>
              <w:rPr>
                <w:rFonts w:ascii="新宋体" w:hAnsi="新宋体" w:eastAsia="新宋体" w:cs="新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06" w:hRule="atLeast"/>
          <w:jc w:val="center"/>
        </w:trPr>
        <w:tc>
          <w:tcPr>
            <w:tcW w:w="1382" w:type="dxa"/>
            <w:gridSpan w:val="2"/>
            <w:vMerge w:val="continue"/>
            <w:noWrap/>
            <w:tcMar>
              <w:top w:w="0" w:type="dxa"/>
              <w:left w:w="108" w:type="dxa"/>
              <w:bottom w:w="0" w:type="dxa"/>
              <w:right w:w="108" w:type="dxa"/>
            </w:tcMar>
            <w:vAlign w:val="center"/>
          </w:tcPr>
          <w:p>
            <w:pPr>
              <w:widowControl/>
              <w:snapToGrid w:val="0"/>
              <w:spacing w:line="360" w:lineRule="auto"/>
              <w:jc w:val="center"/>
              <w:rPr>
                <w:rFonts w:ascii="新宋体" w:hAnsi="新宋体" w:eastAsia="新宋体" w:cs="新宋体"/>
                <w:color w:val="auto"/>
                <w:kern w:val="0"/>
                <w:sz w:val="24"/>
                <w:highlight w:val="none"/>
              </w:rPr>
            </w:pPr>
          </w:p>
        </w:tc>
        <w:tc>
          <w:tcPr>
            <w:tcW w:w="8384" w:type="dxa"/>
            <w:gridSpan w:val="5"/>
            <w:tcBorders>
              <w:top w:val="single" w:color="auto" w:sz="4" w:space="0"/>
            </w:tcBorders>
            <w:noWrap/>
            <w:vAlign w:val="center"/>
          </w:tcPr>
          <w:p>
            <w:pPr>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有异议的意见和说明理由：</w:t>
            </w:r>
          </w:p>
          <w:p>
            <w:pPr>
              <w:snapToGrid w:val="0"/>
              <w:spacing w:line="360" w:lineRule="auto"/>
              <w:jc w:val="left"/>
              <w:rPr>
                <w:rFonts w:ascii="新宋体" w:hAnsi="新宋体" w:eastAsia="新宋体" w:cs="新宋体"/>
                <w:color w:val="auto"/>
                <w:kern w:val="0"/>
                <w:sz w:val="24"/>
                <w:highlight w:val="none"/>
              </w:rPr>
            </w:pPr>
          </w:p>
          <w:p>
            <w:pPr>
              <w:snapToGrid w:val="0"/>
              <w:spacing w:line="360" w:lineRule="auto"/>
              <w:jc w:val="left"/>
              <w:rPr>
                <w:rFonts w:ascii="新宋体" w:hAnsi="新宋体" w:eastAsia="新宋体" w:cs="新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9766" w:type="dxa"/>
            <w:gridSpan w:val="7"/>
            <w:noWrap/>
            <w:tcMar>
              <w:top w:w="0" w:type="dxa"/>
              <w:left w:w="108" w:type="dxa"/>
              <w:bottom w:w="0" w:type="dxa"/>
              <w:right w:w="108" w:type="dxa"/>
            </w:tcMar>
            <w:vAlign w:val="center"/>
          </w:tcPr>
          <w:p>
            <w:pPr>
              <w:widowControl/>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1" w:hRule="atLeast"/>
          <w:jc w:val="center"/>
        </w:trPr>
        <w:tc>
          <w:tcPr>
            <w:tcW w:w="9766" w:type="dxa"/>
            <w:gridSpan w:val="7"/>
            <w:noWrap/>
            <w:tcMar>
              <w:top w:w="0" w:type="dxa"/>
              <w:left w:w="108" w:type="dxa"/>
              <w:bottom w:w="0" w:type="dxa"/>
              <w:right w:w="108" w:type="dxa"/>
            </w:tcMar>
            <w:vAlign w:val="center"/>
          </w:tcPr>
          <w:p>
            <w:pPr>
              <w:widowControl/>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13" w:hRule="atLeast"/>
          <w:jc w:val="center"/>
        </w:trPr>
        <w:tc>
          <w:tcPr>
            <w:tcW w:w="4731" w:type="dxa"/>
            <w:gridSpan w:val="4"/>
            <w:noWrap/>
            <w:tcMar>
              <w:top w:w="0" w:type="dxa"/>
              <w:left w:w="108" w:type="dxa"/>
              <w:bottom w:w="0" w:type="dxa"/>
              <w:right w:w="108" w:type="dxa"/>
            </w:tcMar>
            <w:vAlign w:val="center"/>
          </w:tcPr>
          <w:p>
            <w:pPr>
              <w:widowControl/>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中标（或成交）供应商签字或盖章：</w:t>
            </w:r>
          </w:p>
          <w:p>
            <w:pPr>
              <w:widowControl/>
              <w:snapToGrid w:val="0"/>
              <w:spacing w:line="360" w:lineRule="auto"/>
              <w:jc w:val="left"/>
              <w:rPr>
                <w:rFonts w:ascii="新宋体" w:hAnsi="新宋体" w:eastAsia="新宋体" w:cs="新宋体"/>
                <w:color w:val="auto"/>
                <w:kern w:val="0"/>
                <w:sz w:val="24"/>
                <w:highlight w:val="none"/>
              </w:rPr>
            </w:pPr>
          </w:p>
          <w:p>
            <w:pPr>
              <w:widowControl/>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联系电话：</w:t>
            </w:r>
          </w:p>
          <w:p>
            <w:pPr>
              <w:widowControl/>
              <w:snapToGrid w:val="0"/>
              <w:spacing w:line="360" w:lineRule="auto"/>
              <w:jc w:val="left"/>
              <w:rPr>
                <w:rFonts w:ascii="新宋体" w:hAnsi="新宋体" w:eastAsia="新宋体" w:cs="新宋体"/>
                <w:color w:val="auto"/>
                <w:kern w:val="0"/>
                <w:sz w:val="24"/>
                <w:highlight w:val="none"/>
              </w:rPr>
            </w:pPr>
          </w:p>
          <w:p>
            <w:pPr>
              <w:widowControl/>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年  月   日</w:t>
            </w:r>
          </w:p>
        </w:tc>
        <w:tc>
          <w:tcPr>
            <w:tcW w:w="5035" w:type="dxa"/>
            <w:gridSpan w:val="3"/>
            <w:noWrap/>
            <w:vAlign w:val="center"/>
          </w:tcPr>
          <w:p>
            <w:pPr>
              <w:widowControl/>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采购单位的意见（盖章）：</w:t>
            </w:r>
          </w:p>
          <w:p>
            <w:pPr>
              <w:widowControl/>
              <w:snapToGrid w:val="0"/>
              <w:spacing w:line="360" w:lineRule="auto"/>
              <w:jc w:val="left"/>
              <w:rPr>
                <w:rFonts w:ascii="新宋体" w:hAnsi="新宋体" w:eastAsia="新宋体" w:cs="新宋体"/>
                <w:color w:val="auto"/>
                <w:kern w:val="0"/>
                <w:sz w:val="24"/>
                <w:highlight w:val="none"/>
              </w:rPr>
            </w:pPr>
          </w:p>
          <w:p>
            <w:pPr>
              <w:widowControl/>
              <w:snapToGrid w:val="0"/>
              <w:spacing w:line="360" w:lineRule="auto"/>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联系电话：</w:t>
            </w:r>
          </w:p>
          <w:p>
            <w:pPr>
              <w:widowControl/>
              <w:snapToGrid w:val="0"/>
              <w:spacing w:line="360" w:lineRule="auto"/>
              <w:jc w:val="left"/>
              <w:rPr>
                <w:rFonts w:ascii="新宋体" w:hAnsi="新宋体" w:eastAsia="新宋体" w:cs="新宋体"/>
                <w:color w:val="auto"/>
                <w:kern w:val="0"/>
                <w:sz w:val="24"/>
                <w:highlight w:val="none"/>
              </w:rPr>
            </w:pPr>
          </w:p>
          <w:p>
            <w:pPr>
              <w:widowControl/>
              <w:snapToGrid w:val="0"/>
              <w:spacing w:line="360" w:lineRule="auto"/>
              <w:ind w:firstLine="2119"/>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年  月   日</w:t>
            </w:r>
          </w:p>
        </w:tc>
      </w:tr>
    </w:tbl>
    <w:p>
      <w:pPr>
        <w:widowControl/>
        <w:snapToGrid w:val="0"/>
        <w:spacing w:line="360" w:lineRule="auto"/>
        <w:ind w:firstLine="600" w:firstLineChars="250"/>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备注：本报告单一式三份（采购单位1份、中标供应商1份、采购代理机构1份）。</w:t>
      </w:r>
    </w:p>
    <w:p>
      <w:pPr>
        <w:pStyle w:val="30"/>
        <w:snapToGrid w:val="0"/>
        <w:spacing w:line="360" w:lineRule="auto"/>
        <w:jc w:val="center"/>
        <w:outlineLvl w:val="0"/>
        <w:rPr>
          <w:rFonts w:ascii="宋体" w:hAnsi="宋体" w:cs="宋体"/>
          <w:color w:val="auto"/>
          <w:sz w:val="28"/>
          <w:szCs w:val="20"/>
          <w:highlight w:val="none"/>
        </w:rPr>
      </w:pPr>
      <w:bookmarkStart w:id="317" w:name="_Toc254970548"/>
      <w:bookmarkStart w:id="318" w:name="_Toc254970689"/>
      <w:r>
        <w:rPr>
          <w:rFonts w:hint="eastAsia" w:ascii="宋体" w:hAnsi="宋体" w:cs="宋体"/>
          <w:color w:val="auto"/>
          <w:sz w:val="30"/>
          <w:szCs w:val="30"/>
          <w:highlight w:val="none"/>
        </w:rPr>
        <w:br w:type="page"/>
      </w:r>
      <w:bookmarkEnd w:id="317"/>
      <w:bookmarkEnd w:id="318"/>
      <w:bookmarkStart w:id="319" w:name="_Toc482865158"/>
      <w:bookmarkStart w:id="320" w:name="_Toc482865328"/>
      <w:bookmarkStart w:id="321" w:name="_Toc483327817"/>
      <w:bookmarkStart w:id="322" w:name="_Toc16163"/>
      <w:r>
        <w:rPr>
          <w:rFonts w:hint="eastAsia" w:ascii="宋体" w:hAnsi="宋体" w:cs="宋体"/>
          <w:b/>
          <w:bCs/>
          <w:color w:val="auto"/>
          <w:sz w:val="40"/>
          <w:szCs w:val="44"/>
          <w:highlight w:val="none"/>
        </w:rPr>
        <w:t>第四章</w:t>
      </w:r>
      <w:r>
        <w:rPr>
          <w:rFonts w:hint="eastAsia" w:ascii="宋体" w:hAnsi="宋体" w:eastAsia="宋体" w:cs="宋体"/>
          <w:b/>
          <w:bCs/>
          <w:color w:val="auto"/>
          <w:sz w:val="40"/>
          <w:szCs w:val="44"/>
          <w:highlight w:val="none"/>
        </w:rPr>
        <w:t xml:space="preserve"> </w:t>
      </w:r>
      <w:r>
        <w:rPr>
          <w:rFonts w:hint="eastAsia" w:ascii="宋体" w:hAnsi="宋体" w:cs="宋体"/>
          <w:b/>
          <w:bCs/>
          <w:color w:val="auto"/>
          <w:sz w:val="40"/>
          <w:szCs w:val="44"/>
          <w:highlight w:val="none"/>
        </w:rPr>
        <w:t>评标原则及评分标准</w:t>
      </w:r>
      <w:bookmarkEnd w:id="319"/>
      <w:bookmarkEnd w:id="320"/>
      <w:bookmarkEnd w:id="321"/>
      <w:bookmarkEnd w:id="322"/>
    </w:p>
    <w:p>
      <w:pPr>
        <w:pStyle w:val="30"/>
        <w:snapToGrid w:val="0"/>
        <w:spacing w:line="360" w:lineRule="auto"/>
        <w:jc w:val="center"/>
        <w:rPr>
          <w:rFonts w:ascii="宋体" w:hAnsi="宋体" w:eastAsia="宋体" w:cs="宋体"/>
          <w:b/>
          <w:color w:val="auto"/>
          <w:sz w:val="28"/>
          <w:szCs w:val="28"/>
          <w:highlight w:val="none"/>
        </w:rPr>
      </w:pPr>
    </w:p>
    <w:p>
      <w:pPr>
        <w:pStyle w:val="30"/>
        <w:adjustRightInd w:val="0"/>
        <w:snapToGrid w:val="0"/>
        <w:spacing w:line="360" w:lineRule="auto"/>
        <w:ind w:firstLine="482" w:firstLineChars="200"/>
        <w:contextualSpacing/>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一、评标原则</w:t>
      </w:r>
    </w:p>
    <w:p>
      <w:pPr>
        <w:pStyle w:val="30"/>
        <w:snapToGrid w:val="0"/>
        <w:spacing w:line="360" w:lineRule="auto"/>
        <w:ind w:firstLine="312" w:firstLineChars="130"/>
        <w:rPr>
          <w:rFonts w:hAnsi="宋体"/>
          <w:bCs/>
          <w:color w:val="auto"/>
          <w:sz w:val="24"/>
          <w:szCs w:val="24"/>
          <w:highlight w:val="none"/>
        </w:rPr>
      </w:pPr>
      <w:r>
        <w:rPr>
          <w:rFonts w:hint="eastAsia" w:hAnsi="宋体"/>
          <w:bCs/>
          <w:color w:val="auto"/>
          <w:sz w:val="24"/>
          <w:szCs w:val="24"/>
          <w:highlight w:val="none"/>
        </w:rPr>
        <w:t>(一)评委构成：本招标采购项目的评标委员会由采购人代表和有关技术、经济等方面的专家组成，成员人数应当为五人以上单数。其中，技术、经济等方面的专家不得少于成员总数的三分之二</w:t>
      </w:r>
      <w:r>
        <w:rPr>
          <w:rFonts w:hint="eastAsia" w:hAnsi="宋体"/>
          <w:color w:val="auto"/>
          <w:sz w:val="24"/>
          <w:szCs w:val="24"/>
          <w:highlight w:val="none"/>
        </w:rPr>
        <w:t>。</w:t>
      </w:r>
    </w:p>
    <w:p>
      <w:pPr>
        <w:pStyle w:val="30"/>
        <w:snapToGrid w:val="0"/>
        <w:spacing w:line="360" w:lineRule="auto"/>
        <w:ind w:firstLine="331" w:firstLineChars="138"/>
        <w:rPr>
          <w:rFonts w:hAnsi="宋体"/>
          <w:b/>
          <w:bCs/>
          <w:color w:val="auto"/>
          <w:sz w:val="24"/>
          <w:szCs w:val="24"/>
          <w:highlight w:val="none"/>
        </w:rPr>
      </w:pPr>
      <w:r>
        <w:rPr>
          <w:rFonts w:hint="eastAsia" w:hAnsi="宋体"/>
          <w:bCs/>
          <w:color w:val="auto"/>
          <w:sz w:val="24"/>
          <w:szCs w:val="24"/>
          <w:highlight w:val="none"/>
        </w:rPr>
        <w:t>(二)评标依据：评委将以招投标文件为评标依据，对投标人的价格、技术、商务及业绩等方面内容按百分制打分。（以下评分细则不提供则不得分）</w:t>
      </w:r>
    </w:p>
    <w:p>
      <w:pPr>
        <w:pStyle w:val="30"/>
        <w:snapToGrid w:val="0"/>
        <w:spacing w:line="360" w:lineRule="auto"/>
        <w:ind w:firstLine="312" w:firstLineChars="130"/>
        <w:rPr>
          <w:rFonts w:eastAsia="宋体"/>
          <w:color w:val="auto"/>
          <w:highlight w:val="none"/>
        </w:rPr>
      </w:pPr>
      <w:r>
        <w:rPr>
          <w:rFonts w:hint="eastAsia" w:hAnsi="宋体"/>
          <w:bCs/>
          <w:color w:val="auto"/>
          <w:sz w:val="24"/>
          <w:szCs w:val="24"/>
          <w:highlight w:val="none"/>
        </w:rPr>
        <w:t>(三)评标方式：以封闭方式进行。</w:t>
      </w:r>
    </w:p>
    <w:p>
      <w:pPr>
        <w:pStyle w:val="30"/>
        <w:adjustRightInd w:val="0"/>
        <w:snapToGrid w:val="0"/>
        <w:spacing w:line="360" w:lineRule="auto"/>
        <w:ind w:firstLine="482" w:firstLineChars="200"/>
        <w:contextualSpacing/>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二、评分标准</w:t>
      </w:r>
    </w:p>
    <w:p>
      <w:pPr>
        <w:pStyle w:val="30"/>
        <w:adjustRightInd w:val="0"/>
        <w:snapToGrid w:val="0"/>
        <w:spacing w:line="360" w:lineRule="auto"/>
        <w:ind w:firstLine="480" w:firstLineChars="200"/>
        <w:contextualSpacing/>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（一）对进入详评的，采用百分制综合评分法。</w:t>
      </w:r>
    </w:p>
    <w:p>
      <w:pPr>
        <w:pStyle w:val="30"/>
        <w:adjustRightInd w:val="0"/>
        <w:snapToGrid w:val="0"/>
        <w:spacing w:line="360" w:lineRule="auto"/>
        <w:ind w:firstLine="480" w:firstLineChars="200"/>
        <w:contextualSpacing/>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（二）计分办法（按四舍五入取至百分位）</w:t>
      </w:r>
    </w:p>
    <w:p>
      <w:pPr>
        <w:pStyle w:val="30"/>
        <w:adjustRightInd w:val="0"/>
        <w:snapToGrid w:val="0"/>
        <w:spacing w:line="360" w:lineRule="auto"/>
        <w:ind w:firstLine="482" w:firstLineChars="200"/>
        <w:contextualSpacing/>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1、价格分…………………………………………………………………………</w:t>
      </w:r>
      <w:r>
        <w:rPr>
          <w:rFonts w:ascii="宋体" w:hAnsi="宋体" w:eastAsia="宋体" w:cs="宋体"/>
          <w:b/>
          <w:bCs/>
          <w:color w:val="auto"/>
          <w:sz w:val="24"/>
          <w:szCs w:val="24"/>
          <w:highlight w:val="none"/>
        </w:rPr>
        <w:t>10分</w:t>
      </w:r>
    </w:p>
    <w:p>
      <w:pPr>
        <w:pStyle w:val="30"/>
        <w:adjustRightInd w:val="0"/>
        <w:snapToGrid w:val="0"/>
        <w:spacing w:line="360" w:lineRule="auto"/>
        <w:ind w:firstLine="480" w:firstLineChars="200"/>
        <w:contextualSpacing/>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（1）按照《政府采购促进中小企业发展管理办法》（财库〔2020〕46号），</w:t>
      </w:r>
      <w:r>
        <w:rPr>
          <w:rFonts w:hint="eastAsia" w:cs="宋体" w:asciiTheme="majorEastAsia" w:hAnsiTheme="majorEastAsia" w:eastAsiaTheme="majorEastAsia"/>
          <w:color w:val="auto"/>
          <w:sz w:val="24"/>
          <w:szCs w:val="24"/>
          <w:highlight w:val="none"/>
        </w:rPr>
        <w:t>对于非专门面向中小企业的项目，</w:t>
      </w:r>
      <w:r>
        <w:rPr>
          <w:rFonts w:hint="eastAsia" w:ascii="宋体" w:hAnsi="宋体" w:eastAsia="宋体" w:cs="宋体"/>
          <w:bCs/>
          <w:color w:val="auto"/>
          <w:sz w:val="24"/>
          <w:szCs w:val="24"/>
          <w:highlight w:val="none"/>
        </w:rPr>
        <w:t>投标单位认定为小型和微型企业的，并提供本企业制造的货物，由本企业承担工程、提供服务，或者提供其他小型、微型企业制造的货物的（不包括使用大型企业注册商标的货物），对投标价给予10%的扣除，扣除后的价格为评标报价，即评标报价=投标价×（1-10%）；大中型企业与小型、微型企业组成联合体投标，其中小型、微型企业的协议合同金额占到联合体协议合同总金额30%以上的，联合体投标价给予3%的扣除，扣除后的价格为评标价，即评标报价=投标价×（1-3%）；</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（2）投标产品提供企业按《关于政府采购支持监狱企业发展有关问题的通知》</w:t>
      </w:r>
      <w:r>
        <w:rPr>
          <w:rFonts w:ascii="宋体" w:hAnsi="宋体"/>
          <w:color w:val="auto"/>
          <w:sz w:val="24"/>
          <w:highlight w:val="none"/>
        </w:rPr>
        <w:t>(</w:t>
      </w:r>
      <w:r>
        <w:rPr>
          <w:rFonts w:hint="eastAsia" w:ascii="宋体" w:hAnsi="宋体"/>
          <w:color w:val="auto"/>
          <w:sz w:val="24"/>
          <w:highlight w:val="none"/>
        </w:rPr>
        <w:t>财库</w:t>
      </w:r>
      <w:r>
        <w:rPr>
          <w:rFonts w:ascii="宋体" w:hAnsi="宋体"/>
          <w:color w:val="auto"/>
          <w:sz w:val="24"/>
          <w:highlight w:val="none"/>
        </w:rPr>
        <w:t>[2014]68</w:t>
      </w:r>
      <w:r>
        <w:rPr>
          <w:rFonts w:hint="eastAsia" w:ascii="宋体" w:hAnsi="宋体"/>
          <w:color w:val="auto"/>
          <w:sz w:val="24"/>
          <w:highlight w:val="none"/>
        </w:rPr>
        <w:t>号</w:t>
      </w:r>
      <w:r>
        <w:rPr>
          <w:rFonts w:ascii="宋体" w:hAnsi="宋体"/>
          <w:color w:val="auto"/>
          <w:sz w:val="24"/>
          <w:highlight w:val="none"/>
        </w:rPr>
        <w:t>)</w:t>
      </w:r>
      <w:r>
        <w:rPr>
          <w:rFonts w:hint="eastAsia" w:ascii="宋体" w:hAnsi="宋体"/>
          <w:color w:val="auto"/>
          <w:sz w:val="24"/>
          <w:highlight w:val="none"/>
        </w:rPr>
        <w:t>认定为监狱企业的，在政府采购活动中，监狱企业视同小型、微型企业。监狱企业参加政府采购活动时，应当提供由省级以上监狱管理局、戒毒管理局（含新疆生产建设兵团）出具的属于监狱企业的证明文件；</w:t>
      </w:r>
    </w:p>
    <w:p>
      <w:pPr>
        <w:pStyle w:val="30"/>
        <w:adjustRightInd w:val="0"/>
        <w:snapToGrid w:val="0"/>
        <w:spacing w:line="360" w:lineRule="auto"/>
        <w:ind w:firstLine="480" w:firstLineChars="200"/>
        <w:contextualSpacing/>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（3）投标产品提供单位按《</w:t>
      </w:r>
      <w:r>
        <w:rPr>
          <w:rFonts w:ascii="宋体" w:hAnsi="宋体" w:eastAsia="宋体" w:cs="宋体"/>
          <w:bCs/>
          <w:color w:val="auto"/>
          <w:sz w:val="24"/>
          <w:szCs w:val="24"/>
          <w:highlight w:val="none"/>
        </w:rPr>
        <w:t>关于促进残疾人就业政府采购政策的通知</w:t>
      </w: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财库〔2019〕141号</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pStyle w:val="30"/>
        <w:adjustRightInd w:val="0"/>
        <w:snapToGrid w:val="0"/>
        <w:spacing w:line="360" w:lineRule="auto"/>
        <w:ind w:firstLine="480" w:firstLineChars="200"/>
        <w:contextualSpacing/>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（4）除上述情况外，评标报价=投标价。</w:t>
      </w:r>
    </w:p>
    <w:p>
      <w:pPr>
        <w:pStyle w:val="30"/>
        <w:adjustRightInd w:val="0"/>
        <w:snapToGrid w:val="0"/>
        <w:spacing w:line="360" w:lineRule="auto"/>
        <w:ind w:firstLine="480" w:firstLineChars="200"/>
        <w:contextualSpacing/>
        <w:rPr>
          <w:rFonts w:eastAsia="宋体"/>
          <w:color w:val="auto"/>
          <w:highlight w:val="none"/>
        </w:rPr>
      </w:pPr>
      <w:r>
        <w:rPr>
          <w:rFonts w:hint="eastAsia" w:ascii="宋体" w:hAnsi="宋体" w:eastAsia="宋体" w:cs="宋体"/>
          <w:bCs/>
          <w:color w:val="auto"/>
          <w:sz w:val="24"/>
          <w:szCs w:val="24"/>
          <w:highlight w:val="none"/>
        </w:rPr>
        <w:t>（5）</w:t>
      </w:r>
      <w:r>
        <w:rPr>
          <w:rFonts w:hint="eastAsia" w:hAnsi="宋体"/>
          <w:bCs/>
          <w:color w:val="auto"/>
          <w:sz w:val="24"/>
          <w:szCs w:val="24"/>
          <w:highlight w:val="none"/>
        </w:rPr>
        <w:t>以进入综合评分环节的最低的评标报价为基准价，基准价报价得分为</w:t>
      </w:r>
      <w:r>
        <w:rPr>
          <w:rFonts w:hint="eastAsia" w:hAnsi="宋体" w:eastAsia="宋体"/>
          <w:bCs/>
          <w:color w:val="auto"/>
          <w:sz w:val="24"/>
          <w:szCs w:val="24"/>
          <w:highlight w:val="none"/>
        </w:rPr>
        <w:t>1</w:t>
      </w:r>
      <w:r>
        <w:rPr>
          <w:rFonts w:hAnsi="宋体"/>
          <w:bCs/>
          <w:color w:val="auto"/>
          <w:sz w:val="24"/>
          <w:szCs w:val="24"/>
          <w:highlight w:val="none"/>
        </w:rPr>
        <w:t>0</w:t>
      </w:r>
      <w:r>
        <w:rPr>
          <w:rFonts w:hint="eastAsia" w:hAnsi="宋体"/>
          <w:bCs/>
          <w:color w:val="auto"/>
          <w:sz w:val="24"/>
          <w:szCs w:val="24"/>
          <w:highlight w:val="none"/>
        </w:rPr>
        <w:t>分</w:t>
      </w:r>
      <w:r>
        <w:rPr>
          <w:rFonts w:hint="eastAsia" w:ascii="宋体" w:hAnsi="宋体" w:eastAsia="宋体" w:cs="宋体"/>
          <w:bCs/>
          <w:color w:val="auto"/>
          <w:sz w:val="24"/>
          <w:szCs w:val="24"/>
          <w:highlight w:val="none"/>
        </w:rPr>
        <w:t>。</w:t>
      </w:r>
    </w:p>
    <w:p>
      <w:pPr>
        <w:pStyle w:val="30"/>
        <w:snapToGrid w:val="0"/>
        <w:spacing w:line="360" w:lineRule="auto"/>
        <w:ind w:firstLine="42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（6）价格分计算公式：</w:t>
      </w:r>
      <w:r>
        <w:rPr>
          <w:rFonts w:hint="eastAsia" w:hAnsi="宋体"/>
          <w:bCs/>
          <w:color w:val="auto"/>
          <w:sz w:val="24"/>
          <w:szCs w:val="24"/>
          <w:highlight w:val="none"/>
        </w:rPr>
        <w:t>某投标人价格分=基准价</w:t>
      </w:r>
      <w:r>
        <w:rPr>
          <w:rFonts w:hint="eastAsia" w:hAnsi="宋体" w:eastAsia="宋体"/>
          <w:bCs/>
          <w:color w:val="auto"/>
          <w:sz w:val="24"/>
          <w:szCs w:val="24"/>
          <w:highlight w:val="none"/>
        </w:rPr>
        <w:t>/</w:t>
      </w:r>
      <w:r>
        <w:rPr>
          <w:rFonts w:hint="eastAsia" w:hAnsi="宋体"/>
          <w:bCs/>
          <w:color w:val="auto"/>
          <w:sz w:val="24"/>
          <w:szCs w:val="24"/>
          <w:highlight w:val="none"/>
        </w:rPr>
        <w:t>某投标人评标报价金额×</w:t>
      </w:r>
      <w:r>
        <w:rPr>
          <w:rFonts w:hint="eastAsia" w:hAnsi="宋体" w:eastAsia="宋体"/>
          <w:bCs/>
          <w:color w:val="auto"/>
          <w:sz w:val="24"/>
          <w:szCs w:val="24"/>
          <w:highlight w:val="none"/>
        </w:rPr>
        <w:t>1</w:t>
      </w:r>
      <w:r>
        <w:rPr>
          <w:rFonts w:hAnsi="宋体"/>
          <w:bCs/>
          <w:color w:val="auto"/>
          <w:sz w:val="24"/>
          <w:szCs w:val="24"/>
          <w:highlight w:val="none"/>
        </w:rPr>
        <w:t>0</w:t>
      </w:r>
      <w:r>
        <w:rPr>
          <w:rFonts w:hint="eastAsia" w:hAnsi="宋体"/>
          <w:bCs/>
          <w:color w:val="auto"/>
          <w:sz w:val="24"/>
          <w:szCs w:val="24"/>
          <w:highlight w:val="none"/>
        </w:rPr>
        <w:t>分。</w:t>
      </w:r>
    </w:p>
    <w:p>
      <w:pPr>
        <w:snapToGrid w:val="0"/>
        <w:spacing w:line="360" w:lineRule="auto"/>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2、技术分……………………………………………………………………………70分</w:t>
      </w:r>
    </w:p>
    <w:p>
      <w:pPr>
        <w:snapToGrid w:val="0"/>
        <w:spacing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（1）整体实施方案分（满分20分，提供方案或不满足一档的得0分。）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一档（8分）：投标人提供的实施方案一般，能基本阐述清楚实施方法及保障措施、有一定的项目管理计划，不能准确描述在雅长兰科保护区开展项目相关调研的情况</w:t>
      </w:r>
      <w:r>
        <w:rPr>
          <w:rFonts w:hint="eastAsia" w:ascii="新宋体" w:hAnsi="新宋体" w:eastAsia="新宋体" w:cs="新宋体"/>
          <w:color w:val="auto"/>
          <w:sz w:val="24"/>
          <w:highlight w:val="none"/>
          <w:lang w:eastAsia="zh-Hans"/>
        </w:rPr>
        <w:t>。</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二档（14分)：投标人对项目情况有一定的了解，能准确描述在雅长兰科保护区开展项目相关调研的情况</w:t>
      </w:r>
      <w:r>
        <w:rPr>
          <w:rFonts w:hint="eastAsia" w:ascii="新宋体" w:hAnsi="新宋体" w:eastAsia="新宋体" w:cs="新宋体"/>
          <w:color w:val="auto"/>
          <w:sz w:val="24"/>
          <w:highlight w:val="none"/>
          <w:lang w:eastAsia="zh-Hans"/>
        </w:rPr>
        <w:t>，</w:t>
      </w:r>
      <w:r>
        <w:rPr>
          <w:rFonts w:hint="eastAsia" w:ascii="新宋体" w:hAnsi="新宋体" w:eastAsia="新宋体" w:cs="新宋体"/>
          <w:color w:val="auto"/>
          <w:sz w:val="24"/>
          <w:highlight w:val="none"/>
        </w:rPr>
        <w:t>提供的项目实施方案和服务方案描述较详细，技术较成熟，有实施日程表和人员安排、管理规章制度，有一定的较为清晰的项目实施步骤，职责分工较为明确，进度安排较为合理，具有一定的可操作性。</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三档（20分）：投标人对项目情况了解清晰,能准确描述在雅长兰科保护区开展项目相关调研的情况</w:t>
      </w:r>
      <w:r>
        <w:rPr>
          <w:rFonts w:hint="eastAsia" w:ascii="新宋体" w:hAnsi="新宋体" w:eastAsia="新宋体" w:cs="新宋体"/>
          <w:color w:val="auto"/>
          <w:sz w:val="24"/>
          <w:highlight w:val="none"/>
          <w:lang w:eastAsia="zh-Hans"/>
        </w:rPr>
        <w:t>，</w:t>
      </w:r>
      <w:r>
        <w:rPr>
          <w:rFonts w:hint="eastAsia" w:ascii="新宋体" w:hAnsi="新宋体" w:eastAsia="新宋体" w:cs="新宋体"/>
          <w:color w:val="auto"/>
          <w:sz w:val="24"/>
          <w:highlight w:val="none"/>
        </w:rPr>
        <w:t>能根据现场提供详细的情况说明或图像文字，与项目结合性强，所提供的项目实施方案和服务方案描述详细且全面、技术成熟可行，具有严格的质量控制措施、安全生产管理措施、有实施日程表和人员安排、管理规章制度，针对项目情况提出的具体实施步骤工序计划详细，逻辑关系清晰，职责分工明确，进度安排合理，可操作性强。</w:t>
      </w:r>
    </w:p>
    <w:p>
      <w:pPr>
        <w:snapToGrid w:val="0"/>
        <w:spacing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（2）平台系统建设方案分（满分21分，提供方案或不满足一档的得0分。）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一档（7分）：投标人对平台系统建设整体需求有一定的的理解，有部分具体功能定义，但不清晰、未成体系，所提供的平台系统建设方案较为简单。</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二档（14分）：投标人对平台系统建设整体需求的理解程度高，对软件系统建设内容和需求基本理解，对软件模块功能定义较为清晰，能成体系，提供的平台系统建设方案具有一定的可行性和针对性。</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三档（21分）：投标人对平台系统建设整体需求的理解程度高，对软件系统建设内容和需求理解深刻，各功能之间的边界和逻辑关系清晰，有详细的功能模块定义且内容具体清晰，提供的平台系统建设方案全面，思路清晰，可行性和针对性强。</w:t>
      </w:r>
    </w:p>
    <w:p>
      <w:pPr>
        <w:snapToGrid w:val="0"/>
        <w:spacing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（3）有线传输、无线网络覆盖及供电系统建设方案分（满分20分，提供方案或不满足一档的得0分。）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一档（10分）：有线传输、无线网络覆盖及供电系统建设方案基本满足采购文件要求, 基本了解采购人监控区域的网络情况，能提供简单的实施方案。</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二档（15分）：有线传输、无线网络覆盖及供电系统建设方案满足采购文件要求, 了解采购人监控区域的网络情况，并提供对应实施方案的，说明组网结构及所用主要网络设备的。</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三档（20分）：有线传输、无线网络覆盖及供电系统建设方案全部满足采购文件要求, 充分了解采购人监控区域的网络情况，并提供对应详细实施方案的，包括但不限于网络及市电规划、施工设计图、施工进度表以及配套的施工管理计划等，说明组网结构及所用主要网络设备，且提供可靠的网络设备动环监控服务能力，提供详细的应急保障方案（以上需提供动环系统截图并加盖投标人公章）。</w:t>
      </w:r>
    </w:p>
    <w:p>
      <w:pPr>
        <w:snapToGrid w:val="0"/>
        <w:spacing w:line="360" w:lineRule="auto"/>
        <w:ind w:firstLine="482" w:firstLineChars="200"/>
        <w:jc w:val="left"/>
        <w:rPr>
          <w:rFonts w:ascii="新宋体" w:hAnsi="新宋体" w:eastAsia="新宋体" w:cs="新宋体"/>
          <w:b/>
          <w:bCs/>
          <w:color w:val="auto"/>
          <w:sz w:val="24"/>
          <w:highlight w:val="none"/>
        </w:rPr>
      </w:pPr>
      <w:bookmarkStart w:id="323" w:name="_Hlk44487995"/>
      <w:r>
        <w:rPr>
          <w:rFonts w:hint="eastAsia" w:ascii="新宋体" w:hAnsi="新宋体" w:eastAsia="新宋体" w:cs="新宋体"/>
          <w:b/>
          <w:bCs/>
          <w:color w:val="auto"/>
          <w:sz w:val="24"/>
          <w:highlight w:val="none"/>
        </w:rPr>
        <w:t>（4）功能演示（满分9分）：</w:t>
      </w:r>
    </w:p>
    <w:p>
      <w:pPr>
        <w:snapToGrid w:val="0"/>
        <w:spacing w:line="360" w:lineRule="auto"/>
        <w:ind w:firstLine="480" w:firstLineChars="20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投标人现场进行系统平台功能演示：（演示时长不超过15分钟，通过光盘的形式递交）</w:t>
      </w:r>
    </w:p>
    <w:p>
      <w:pPr>
        <w:snapToGrid w:val="0"/>
        <w:spacing w:line="360" w:lineRule="auto"/>
        <w:ind w:firstLine="480" w:firstLineChars="20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功能点一（共3分）：综合平台框架可展示平台集成数据服务、业务应用、数据管理、决策支持。</w:t>
      </w:r>
    </w:p>
    <w:p>
      <w:pPr>
        <w:snapToGrid w:val="0"/>
        <w:spacing w:line="360" w:lineRule="auto"/>
        <w:ind w:firstLine="480" w:firstLineChars="20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功能点二（共3分）：综合监测可演示集成化的视频监测、气象监测、巡护监测、环境监测的仪器设备实时数据接收展示功能。</w:t>
      </w:r>
    </w:p>
    <w:p>
      <w:pPr>
        <w:snapToGrid w:val="0"/>
        <w:spacing w:line="360" w:lineRule="auto"/>
        <w:ind w:firstLine="480" w:firstLineChars="20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功能点三（共3分）：数据管理可展示自然保护区概况数据、生物多样性数据、社区经济数据、保护区管理数据。</w:t>
      </w:r>
    </w:p>
    <w:p>
      <w:pPr>
        <w:snapToGrid w:val="0"/>
        <w:spacing w:line="360" w:lineRule="auto"/>
        <w:ind w:firstLine="482" w:firstLineChars="200"/>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3、商务分………………………………………………………</w:t>
      </w:r>
      <w:r>
        <w:rPr>
          <w:rFonts w:hint="eastAsia" w:ascii="新宋体" w:hAnsi="新宋体" w:eastAsia="新宋体" w:cs="新宋体"/>
          <w:b/>
          <w:color w:val="auto"/>
          <w:sz w:val="24"/>
          <w:highlight w:val="none"/>
        </w:rPr>
        <w:t>………</w:t>
      </w:r>
      <w:r>
        <w:rPr>
          <w:rFonts w:hint="eastAsia" w:ascii="新宋体" w:hAnsi="新宋体" w:eastAsia="新宋体" w:cs="新宋体"/>
          <w:b/>
          <w:bCs/>
          <w:color w:val="auto"/>
          <w:sz w:val="24"/>
          <w:highlight w:val="none"/>
        </w:rPr>
        <w:t>……………20分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（1）类似案例，满分2分。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投标人提供2018年以来类似案例，每提供1个得1分，满分2分；需同时提供项目的中标（成交）通知书复印件或合同复印件（合同复印件至少包含合同首页、显示所述评分内容的相关页、签字签章页），原件备查。</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（2）运维服务能力，满分5分。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bookmarkEnd w:id="323"/>
      <w:r>
        <w:rPr>
          <w:rFonts w:hint="eastAsia" w:ascii="新宋体" w:hAnsi="新宋体" w:eastAsia="新宋体" w:cs="新宋体"/>
          <w:color w:val="auto"/>
          <w:sz w:val="24"/>
          <w:highlight w:val="none"/>
        </w:rPr>
        <w:t>售后服务团队健全，能在项目所在地（含项目所在地的县区域内任意地点）长期稳定的提供售后服务，维护技术管理人员常驻项目所在地（含项目所在地的县区域内任意地点）不小于3人或提供中标后能确保上述人员常驻项目所在地（含项目所在地的县区域内任意地点）全年不少于10个月以上的承诺函，（采购人有权在合同期间随时抽查上述人员到位情况，若发现与投标承诺函不符，则按虚假应标处理。）的得2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拟投入本项目能提供2辆及以上自有运行维护车辆（以车辆行驶证复印件为准）；或提供中标后能确保本项目运行维护车辆不少于2辆的承诺函（采购人有权在合同期间随时抽查上述车辆到位情况，若发现与投标承诺函不符，则按虚假应标处理）的得3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投标人拟投入项目人员具备中级工程师证或职称的得每人得1分，具备高级工程师证或职称得每人得2分，满分5分。（人员需提供花名册，包括姓名、学历、所获证书以及在项目工作中拟承担的工作内容和工作分工。上述人员中属招聘人员的须提供在本单位缴纳的近期连续3个月的社保缴纳证明复印件，属事业单位编制人员的提供在编人员证明复印件。）</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（4）售后服务分（满分8分）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委根据售后服务书内容的完整性、可行性、质保期、到达故障现场时间、故障出现解决方案、定期维护、免费技术培训方案、质保期维护方案、其他优惠措施等确定所属分档标准并打分，不提供或不满足一档的得0分。</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一档（2分）：售后服务方案基本合理、可行，保障响应措施，有一定的服务经验。承诺在8小时内赶往现场，24小时内解决问题。</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二档（5分）：售后服务方案比较细致、合理、可行，保障响应措施较有力，服务经验较丰富，针对本项目中不同的建设部分提供有基本满足项目要求的方案。承诺在6小时内赶往现场，20小时内解决问题。</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三档（8分）：售后服务方案比较细致、合理、可行，保障响应措施较有力，服务经验</w:t>
      </w:r>
    </w:p>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丰富，针对项目中不同的建设部分售后服务方案（系统软件、网络传输、咨询支撑）措施合理、可行，售后服务的响应时间满足项目要求，承诺在4小时内赶往现场，16小时内解决问题。</w:t>
      </w:r>
    </w:p>
    <w:p>
      <w:pPr>
        <w:snapToGrid w:val="0"/>
        <w:spacing w:line="360" w:lineRule="auto"/>
        <w:ind w:firstLine="480" w:firstLineChars="200"/>
        <w:rPr>
          <w:rFonts w:ascii="宋体" w:hAnsi="宋体" w:cs="宋体"/>
          <w:b/>
          <w:bCs/>
          <w:color w:val="auto"/>
          <w:sz w:val="24"/>
          <w:highlight w:val="none"/>
        </w:rPr>
      </w:pPr>
      <w:r>
        <w:rPr>
          <w:rFonts w:hint="eastAsia" w:ascii="新宋体" w:hAnsi="新宋体" w:eastAsia="新宋体" w:cs="新宋体"/>
          <w:color w:val="auto"/>
          <w:sz w:val="24"/>
          <w:highlight w:val="none"/>
        </w:rPr>
        <w:t>（三）</w:t>
      </w:r>
      <w:r>
        <w:rPr>
          <w:rFonts w:hint="eastAsia" w:ascii="新宋体" w:hAnsi="新宋体" w:eastAsia="新宋体" w:cs="新宋体"/>
          <w:b/>
          <w:color w:val="auto"/>
          <w:sz w:val="24"/>
          <w:highlight w:val="none"/>
          <w:lang w:val="zh-CN"/>
        </w:rPr>
        <w:t>总得分=1+2+3。</w:t>
      </w:r>
    </w:p>
    <w:p>
      <w:pPr>
        <w:pStyle w:val="30"/>
        <w:adjustRightInd w:val="0"/>
        <w:snapToGrid w:val="0"/>
        <w:spacing w:line="360" w:lineRule="auto"/>
        <w:ind w:firstLine="482" w:firstLineChars="200"/>
        <w:contextualSpacing/>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三、中标候选人推荐原则</w:t>
      </w:r>
    </w:p>
    <w:p>
      <w:pPr>
        <w:pStyle w:val="30"/>
        <w:adjustRightInd w:val="0"/>
        <w:snapToGrid w:val="0"/>
        <w:spacing w:line="360" w:lineRule="auto"/>
        <w:ind w:firstLine="480" w:firstLineChars="200"/>
        <w:contextualSpacing/>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评标委员会将按评审后得分由高到低顺序排列。得分相同的，按投标报价由低到高顺序排列。得分且投标报价相同的并列。投标文件满足招标文件全部实质性要求，且评审得分最高的投标人为排名第一的中标候选人。</w:t>
      </w:r>
      <w:r>
        <w:rPr>
          <w:rFonts w:hint="eastAsia" w:ascii="宋体" w:hAnsi="宋体" w:eastAsia="宋体"/>
          <w:color w:val="auto"/>
          <w:sz w:val="24"/>
          <w:szCs w:val="24"/>
          <w:highlight w:val="none"/>
          <w:shd w:val="clear" w:color="auto" w:fill="FFFFFF"/>
        </w:rPr>
        <w:t>采购人应当确定排名第一的中标候选人为中标供应商。除非有法定事由，如排名第一的中标候选人放弃中标、因不可抗力不能履行合同、不按照招标文件要求提交履约保证金，或者被查实存在影响中标结果的违法行为等情形，不符合中标条件的。该等情况下，采购人可以按照评标委员会提出的中标候选人名单排序依法确定其他中标候选人为中标供应商，也可以重新招标。</w:t>
      </w:r>
    </w:p>
    <w:p>
      <w:pPr>
        <w:pStyle w:val="30"/>
        <w:adjustRightInd w:val="0"/>
        <w:snapToGrid w:val="0"/>
        <w:spacing w:line="360" w:lineRule="auto"/>
        <w:ind w:firstLine="482" w:firstLineChars="200"/>
        <w:contextualSpacing/>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四、特别说明</w:t>
      </w:r>
    </w:p>
    <w:p>
      <w:pPr>
        <w:pStyle w:val="30"/>
        <w:snapToGrid w:val="0"/>
        <w:spacing w:line="360" w:lineRule="auto"/>
        <w:ind w:firstLine="482" w:firstLineChars="200"/>
        <w:rPr>
          <w:rFonts w:ascii="宋体" w:hAnsi="宋体" w:eastAsia="宋体"/>
          <w:color w:val="auto"/>
          <w:sz w:val="24"/>
          <w:szCs w:val="24"/>
          <w:highlight w:val="none"/>
          <w:shd w:val="clear" w:color="auto" w:fill="FFFFFF"/>
        </w:rPr>
      </w:pPr>
      <w:r>
        <w:rPr>
          <w:rFonts w:ascii="宋体" w:hAnsi="宋体" w:eastAsia="宋体"/>
          <w:b/>
          <w:color w:val="auto"/>
          <w:sz w:val="24"/>
          <w:szCs w:val="24"/>
          <w:highlight w:val="none"/>
          <w:shd w:val="clear" w:color="auto" w:fill="FFFFFF"/>
        </w:rPr>
        <w:t>评标委员会认为供应商的报价明显低于其他通过符合性审查供应商的报价，有可能影响产品质量或者不能诚信履约的，应当要求其在评标现场合理的时间内提供书面说明并提交相关证明材料</w:t>
      </w:r>
      <w:r>
        <w:rPr>
          <w:rFonts w:hint="eastAsia" w:ascii="宋体" w:hAnsi="宋体" w:eastAsia="宋体"/>
          <w:b/>
          <w:color w:val="auto"/>
          <w:sz w:val="24"/>
          <w:szCs w:val="24"/>
          <w:highlight w:val="none"/>
          <w:shd w:val="clear" w:color="auto" w:fill="FFFFFF"/>
        </w:rPr>
        <w:t>，</w:t>
      </w:r>
      <w:r>
        <w:rPr>
          <w:rFonts w:ascii="宋体" w:hAnsi="宋体" w:eastAsia="宋体"/>
          <w:b/>
          <w:color w:val="auto"/>
          <w:sz w:val="24"/>
          <w:szCs w:val="24"/>
          <w:highlight w:val="none"/>
          <w:shd w:val="clear" w:color="auto" w:fill="FFFFFF"/>
        </w:rPr>
        <w:t>供应商不能证明其报价合理性的，评标委员会应当将其作为无效投标处理</w:t>
      </w:r>
      <w:r>
        <w:rPr>
          <w:rFonts w:ascii="宋体" w:hAnsi="宋体" w:eastAsia="宋体"/>
          <w:color w:val="auto"/>
          <w:sz w:val="24"/>
          <w:szCs w:val="24"/>
          <w:highlight w:val="none"/>
          <w:shd w:val="clear" w:color="auto" w:fill="FFFFFF"/>
        </w:rPr>
        <w:t>。</w:t>
      </w:r>
    </w:p>
    <w:p>
      <w:pPr>
        <w:pStyle w:val="49"/>
        <w:snapToGrid w:val="0"/>
        <w:spacing w:line="360" w:lineRule="auto"/>
        <w:rPr>
          <w:rFonts w:ascii="宋体" w:hAnsi="宋体" w:cs="宋体"/>
          <w:color w:val="auto"/>
          <w:highlight w:val="none"/>
        </w:rPr>
      </w:pPr>
      <w:r>
        <w:rPr>
          <w:rFonts w:hint="eastAsia" w:ascii="宋体" w:hAnsi="宋体" w:cs="宋体"/>
          <w:b w:val="0"/>
          <w:color w:val="auto"/>
          <w:kern w:val="0"/>
          <w:sz w:val="21"/>
          <w:szCs w:val="21"/>
          <w:highlight w:val="none"/>
        </w:rPr>
        <w:br w:type="page"/>
      </w:r>
      <w:bookmarkStart w:id="324" w:name="_Toc483327818"/>
      <w:bookmarkStart w:id="325" w:name="_Toc26920"/>
      <w:bookmarkStart w:id="326" w:name="_Toc482865159"/>
      <w:bookmarkStart w:id="327" w:name="_Toc482865329"/>
      <w:r>
        <w:rPr>
          <w:rFonts w:hint="eastAsia" w:ascii="宋体" w:hAnsi="宋体" w:cs="宋体"/>
          <w:color w:val="auto"/>
          <w:highlight w:val="none"/>
        </w:rPr>
        <w:t>第五章合同主要条款格式</w:t>
      </w:r>
      <w:bookmarkEnd w:id="324"/>
      <w:bookmarkEnd w:id="325"/>
      <w:bookmarkEnd w:id="326"/>
      <w:bookmarkEnd w:id="327"/>
    </w:p>
    <w:p>
      <w:pPr>
        <w:snapToGrid w:val="0"/>
        <w:spacing w:line="360" w:lineRule="auto"/>
        <w:rPr>
          <w:rFonts w:ascii="宋体" w:hAnsi="宋体" w:cs="宋体"/>
          <w:color w:val="auto"/>
          <w:highlight w:val="none"/>
        </w:rPr>
      </w:pPr>
    </w:p>
    <w:p>
      <w:pPr>
        <w:pStyle w:val="2"/>
        <w:spacing w:line="360" w:lineRule="auto"/>
        <w:rPr>
          <w:rFonts w:ascii="宋体" w:hAnsi="宋体" w:cs="宋体"/>
          <w:color w:val="auto"/>
          <w:highlight w:val="none"/>
        </w:rPr>
      </w:pPr>
    </w:p>
    <w:p>
      <w:pPr>
        <w:pStyle w:val="2"/>
        <w:spacing w:line="360" w:lineRule="auto"/>
        <w:rPr>
          <w:rFonts w:ascii="宋体" w:hAnsi="宋体" w:cs="宋体"/>
          <w:color w:val="auto"/>
          <w:highlight w:val="none"/>
        </w:rPr>
      </w:pPr>
    </w:p>
    <w:p>
      <w:pPr>
        <w:pStyle w:val="2"/>
        <w:spacing w:line="360" w:lineRule="auto"/>
        <w:rPr>
          <w:rFonts w:ascii="宋体" w:hAnsi="宋体" w:cs="宋体"/>
          <w:color w:val="auto"/>
          <w:highlight w:val="none"/>
        </w:rPr>
      </w:pPr>
    </w:p>
    <w:p>
      <w:pPr>
        <w:pStyle w:val="2"/>
        <w:spacing w:line="360" w:lineRule="auto"/>
        <w:rPr>
          <w:rFonts w:ascii="宋体" w:hAnsi="宋体" w:cs="宋体"/>
          <w:color w:val="auto"/>
          <w:highlight w:val="none"/>
        </w:rPr>
      </w:pPr>
    </w:p>
    <w:p>
      <w:pPr>
        <w:snapToGrid w:val="0"/>
        <w:spacing w:line="360" w:lineRule="auto"/>
        <w:jc w:val="center"/>
        <w:rPr>
          <w:rFonts w:ascii="宋体" w:hAnsi="宋体" w:cs="宋体"/>
          <w:b/>
          <w:bCs/>
          <w:color w:val="auto"/>
          <w:sz w:val="28"/>
          <w:szCs w:val="28"/>
          <w:highlight w:val="none"/>
        </w:rPr>
      </w:pPr>
    </w:p>
    <w:p>
      <w:pPr>
        <w:snapToGrid w:val="0"/>
        <w:spacing w:line="360" w:lineRule="auto"/>
        <w:jc w:val="center"/>
        <w:rPr>
          <w:rFonts w:ascii="宋体" w:hAnsi="宋体"/>
          <w:b/>
          <w:bCs/>
          <w:color w:val="auto"/>
          <w:sz w:val="36"/>
          <w:szCs w:val="36"/>
          <w:highlight w:val="none"/>
        </w:rPr>
      </w:pP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eastAsia="zh-CN"/>
        </w:rPr>
        <w:t>广西雅长兰科植物国家级自然保护区智慧管理平台建设（监测与宣教二期）项目</w:t>
      </w:r>
      <w:r>
        <w:rPr>
          <w:rFonts w:hint="eastAsia" w:ascii="宋体" w:hAnsi="宋体"/>
          <w:b/>
          <w:bCs/>
          <w:color w:val="auto"/>
          <w:sz w:val="32"/>
          <w:szCs w:val="32"/>
          <w:highlight w:val="none"/>
          <w:u w:val="single"/>
        </w:rPr>
        <w:t>）</w:t>
      </w:r>
      <w:r>
        <w:rPr>
          <w:rFonts w:hint="eastAsia" w:ascii="宋体" w:hAnsi="宋体"/>
          <w:b/>
          <w:bCs/>
          <w:color w:val="auto"/>
          <w:sz w:val="36"/>
          <w:szCs w:val="36"/>
          <w:highlight w:val="none"/>
        </w:rPr>
        <w:t>合同</w:t>
      </w:r>
    </w:p>
    <w:p>
      <w:pPr>
        <w:snapToGrid w:val="0"/>
        <w:spacing w:line="360" w:lineRule="auto"/>
        <w:rPr>
          <w:rFonts w:ascii="宋体" w:hAnsi="宋体"/>
          <w:b/>
          <w:bCs/>
          <w:color w:val="auto"/>
          <w:sz w:val="44"/>
          <w:highlight w:val="none"/>
        </w:rPr>
      </w:pPr>
    </w:p>
    <w:p>
      <w:pPr>
        <w:snapToGrid w:val="0"/>
        <w:spacing w:line="360" w:lineRule="auto"/>
        <w:ind w:firstLine="3507" w:firstLineChars="794"/>
        <w:rPr>
          <w:rFonts w:ascii="宋体" w:hAnsi="宋体"/>
          <w:b/>
          <w:bCs/>
          <w:color w:val="auto"/>
          <w:sz w:val="44"/>
          <w:highlight w:val="none"/>
        </w:rPr>
      </w:pPr>
    </w:p>
    <w:p>
      <w:pPr>
        <w:snapToGrid w:val="0"/>
        <w:spacing w:line="360" w:lineRule="auto"/>
        <w:ind w:firstLine="3507" w:firstLineChars="794"/>
        <w:rPr>
          <w:rFonts w:ascii="宋体" w:hAnsi="宋体"/>
          <w:b/>
          <w:bCs/>
          <w:color w:val="auto"/>
          <w:sz w:val="44"/>
          <w:highlight w:val="none"/>
        </w:rPr>
      </w:pPr>
    </w:p>
    <w:p>
      <w:pPr>
        <w:widowControl/>
        <w:snapToGrid w:val="0"/>
        <w:spacing w:line="360" w:lineRule="auto"/>
        <w:ind w:firstLine="1807" w:firstLineChars="500"/>
        <w:jc w:val="left"/>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lang w:eastAsia="zh-CN"/>
        </w:rPr>
        <w:t>GXZC2021-G3-003416-GXYZ</w:t>
      </w:r>
      <w:r>
        <w:rPr>
          <w:rFonts w:hint="eastAsia" w:ascii="宋体" w:hAnsi="宋体"/>
          <w:b/>
          <w:color w:val="auto"/>
          <w:sz w:val="36"/>
          <w:szCs w:val="36"/>
          <w:highlight w:val="none"/>
        </w:rPr>
        <w:t xml:space="preserve">  </w:t>
      </w:r>
    </w:p>
    <w:p>
      <w:pPr>
        <w:widowControl/>
        <w:snapToGrid w:val="0"/>
        <w:spacing w:line="360" w:lineRule="auto"/>
        <w:ind w:firstLine="1807" w:firstLineChars="500"/>
        <w:jc w:val="left"/>
        <w:rPr>
          <w:rFonts w:ascii="宋体" w:hAnsi="宋体"/>
          <w:b/>
          <w:color w:val="auto"/>
          <w:sz w:val="36"/>
          <w:szCs w:val="36"/>
          <w:highlight w:val="none"/>
        </w:rPr>
      </w:pPr>
      <w:r>
        <w:rPr>
          <w:rFonts w:hint="eastAsia" w:ascii="宋体" w:hAnsi="宋体"/>
          <w:b/>
          <w:color w:val="auto"/>
          <w:sz w:val="36"/>
          <w:szCs w:val="36"/>
          <w:highlight w:val="none"/>
        </w:rPr>
        <w:t xml:space="preserve">采购计划文号： </w:t>
      </w:r>
    </w:p>
    <w:p>
      <w:pPr>
        <w:snapToGrid w:val="0"/>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 xml:space="preserve">               </w:t>
      </w:r>
    </w:p>
    <w:p>
      <w:pPr>
        <w:pStyle w:val="47"/>
        <w:snapToGrid w:val="0"/>
        <w:spacing w:beforeAutospacing="0" w:afterAutospacing="0" w:line="360" w:lineRule="auto"/>
        <w:ind w:right="840" w:firstLine="1807" w:firstLineChars="500"/>
        <w:rPr>
          <w:rFonts w:ascii="宋体" w:hAnsi="宋体"/>
          <w:b/>
          <w:color w:val="auto"/>
          <w:sz w:val="36"/>
          <w:szCs w:val="36"/>
          <w:highlight w:val="none"/>
        </w:rPr>
      </w:pPr>
    </w:p>
    <w:p>
      <w:pPr>
        <w:tabs>
          <w:tab w:val="left" w:pos="7380"/>
        </w:tabs>
        <w:snapToGrid w:val="0"/>
        <w:spacing w:line="360" w:lineRule="auto"/>
        <w:ind w:firstLine="723" w:firstLineChars="200"/>
        <w:rPr>
          <w:rFonts w:ascii="宋体" w:hAnsi="宋体"/>
          <w:b/>
          <w:color w:val="auto"/>
          <w:sz w:val="36"/>
          <w:szCs w:val="36"/>
          <w:highlight w:val="none"/>
        </w:rPr>
      </w:pPr>
      <w:r>
        <w:rPr>
          <w:rFonts w:hint="eastAsia" w:ascii="宋体" w:hAnsi="宋体"/>
          <w:b/>
          <w:color w:val="auto"/>
          <w:sz w:val="36"/>
          <w:szCs w:val="36"/>
          <w:highlight w:val="none"/>
        </w:rPr>
        <w:t>采购单位：广西雅长兰科植物国家级自然保护区管理中心</w:t>
      </w:r>
    </w:p>
    <w:p>
      <w:pPr>
        <w:tabs>
          <w:tab w:val="left" w:pos="7380"/>
        </w:tabs>
        <w:snapToGrid w:val="0"/>
        <w:spacing w:line="360" w:lineRule="auto"/>
        <w:ind w:firstLine="1807" w:firstLineChars="500"/>
        <w:rPr>
          <w:rFonts w:ascii="宋体" w:hAnsi="宋体"/>
          <w:b/>
          <w:color w:val="auto"/>
          <w:sz w:val="36"/>
          <w:szCs w:val="36"/>
          <w:highlight w:val="none"/>
        </w:rPr>
      </w:pPr>
    </w:p>
    <w:p>
      <w:pPr>
        <w:tabs>
          <w:tab w:val="left" w:pos="7380"/>
        </w:tabs>
        <w:snapToGrid w:val="0"/>
        <w:spacing w:line="360" w:lineRule="auto"/>
        <w:ind w:firstLine="723" w:firstLineChars="200"/>
        <w:rPr>
          <w:rFonts w:ascii="宋体" w:hAnsi="宋体"/>
          <w:b/>
          <w:bCs/>
          <w:color w:val="auto"/>
          <w:sz w:val="44"/>
          <w:highlight w:val="none"/>
        </w:rPr>
      </w:pPr>
      <w:r>
        <w:rPr>
          <w:rFonts w:hint="eastAsia" w:ascii="宋体" w:hAnsi="宋体"/>
          <w:b/>
          <w:color w:val="auto"/>
          <w:sz w:val="36"/>
          <w:szCs w:val="36"/>
          <w:highlight w:val="none"/>
        </w:rPr>
        <w:t xml:space="preserve">中标单位：  </w:t>
      </w:r>
      <w:r>
        <w:rPr>
          <w:rFonts w:hint="eastAsia" w:ascii="宋体" w:hAnsi="宋体"/>
          <w:b/>
          <w:color w:val="auto"/>
          <w:sz w:val="36"/>
          <w:szCs w:val="36"/>
          <w:highlight w:val="none"/>
          <w:u w:val="single"/>
        </w:rPr>
        <w:t xml:space="preserve">                             </w:t>
      </w:r>
    </w:p>
    <w:p>
      <w:pPr>
        <w:tabs>
          <w:tab w:val="left" w:pos="7380"/>
        </w:tabs>
        <w:snapToGrid w:val="0"/>
        <w:spacing w:line="360" w:lineRule="auto"/>
        <w:rPr>
          <w:rFonts w:ascii="宋体" w:hAnsi="宋体"/>
          <w:b/>
          <w:bCs/>
          <w:color w:val="auto"/>
          <w:sz w:val="44"/>
          <w:highlight w:val="none"/>
        </w:rPr>
      </w:pPr>
    </w:p>
    <w:p>
      <w:pPr>
        <w:tabs>
          <w:tab w:val="left" w:pos="7380"/>
        </w:tabs>
        <w:snapToGrid w:val="0"/>
        <w:spacing w:line="360" w:lineRule="auto"/>
        <w:jc w:val="center"/>
        <w:rPr>
          <w:rFonts w:ascii="宋体" w:hAnsi="宋体"/>
          <w:b/>
          <w:bCs/>
          <w:color w:val="auto"/>
          <w:sz w:val="44"/>
          <w:highlight w:val="none"/>
        </w:rPr>
      </w:pPr>
      <w:r>
        <w:rPr>
          <w:rFonts w:hint="eastAsia" w:ascii="宋体" w:hAnsi="宋体"/>
          <w:b/>
          <w:bCs/>
          <w:color w:val="auto"/>
          <w:sz w:val="44"/>
          <w:highlight w:val="none"/>
        </w:rPr>
        <w:br w:type="page"/>
      </w:r>
      <w:r>
        <w:rPr>
          <w:rFonts w:hint="eastAsia" w:ascii="宋体" w:hAnsi="宋体"/>
          <w:b/>
          <w:color w:val="auto"/>
          <w:sz w:val="36"/>
          <w:szCs w:val="36"/>
          <w:highlight w:val="none"/>
        </w:rPr>
        <w:t>目  录</w:t>
      </w:r>
    </w:p>
    <w:p>
      <w:pPr>
        <w:snapToGrid w:val="0"/>
        <w:spacing w:line="360" w:lineRule="auto"/>
        <w:rPr>
          <w:rFonts w:ascii="宋体" w:hAnsi="宋体"/>
          <w:b/>
          <w:color w:val="auto"/>
          <w:sz w:val="30"/>
          <w:szCs w:val="30"/>
          <w:highlight w:val="none"/>
        </w:rPr>
      </w:pPr>
      <w:r>
        <w:rPr>
          <w:rFonts w:hint="eastAsia" w:ascii="宋体" w:hAnsi="宋体"/>
          <w:b/>
          <w:color w:val="auto"/>
          <w:sz w:val="30"/>
          <w:szCs w:val="30"/>
          <w:highlight w:val="none"/>
        </w:rPr>
        <w:t>一、政府采购合同书</w:t>
      </w:r>
    </w:p>
    <w:p>
      <w:pPr>
        <w:snapToGrid w:val="0"/>
        <w:spacing w:line="360" w:lineRule="auto"/>
        <w:rPr>
          <w:rFonts w:ascii="宋体" w:hAnsi="宋体"/>
          <w:b/>
          <w:color w:val="auto"/>
          <w:sz w:val="30"/>
          <w:szCs w:val="30"/>
          <w:highlight w:val="none"/>
        </w:rPr>
      </w:pPr>
      <w:r>
        <w:rPr>
          <w:rFonts w:hint="eastAsia" w:ascii="宋体" w:hAnsi="宋体"/>
          <w:b/>
          <w:color w:val="auto"/>
          <w:sz w:val="30"/>
          <w:szCs w:val="30"/>
          <w:highlight w:val="none"/>
        </w:rPr>
        <w:t>二、合同附件</w:t>
      </w:r>
    </w:p>
    <w:p>
      <w:pPr>
        <w:pStyle w:val="30"/>
        <w:snapToGrid w:val="0"/>
        <w:spacing w:line="360" w:lineRule="auto"/>
        <w:ind w:firstLine="560" w:firstLineChars="200"/>
        <w:rPr>
          <w:rFonts w:hAnsi="宋体"/>
          <w:color w:val="auto"/>
          <w:sz w:val="28"/>
          <w:szCs w:val="28"/>
          <w:highlight w:val="none"/>
        </w:rPr>
      </w:pPr>
      <w:r>
        <w:rPr>
          <w:rFonts w:hint="eastAsia" w:hAnsi="宋体"/>
          <w:color w:val="auto"/>
          <w:sz w:val="28"/>
          <w:szCs w:val="28"/>
          <w:highlight w:val="none"/>
        </w:rPr>
        <w:t>1、中标通知书</w:t>
      </w:r>
    </w:p>
    <w:p>
      <w:pPr>
        <w:pStyle w:val="30"/>
        <w:snapToGrid w:val="0"/>
        <w:spacing w:line="360" w:lineRule="auto"/>
        <w:ind w:firstLine="560" w:firstLineChars="200"/>
        <w:rPr>
          <w:rFonts w:hAnsi="宋体"/>
          <w:color w:val="auto"/>
          <w:sz w:val="28"/>
          <w:szCs w:val="28"/>
          <w:highlight w:val="none"/>
        </w:rPr>
      </w:pPr>
      <w:r>
        <w:rPr>
          <w:rFonts w:hint="eastAsia" w:hAnsi="宋体"/>
          <w:color w:val="auto"/>
          <w:sz w:val="28"/>
          <w:szCs w:val="28"/>
          <w:highlight w:val="none"/>
        </w:rPr>
        <w:t>2、招标文件服务需求一览表</w:t>
      </w:r>
    </w:p>
    <w:p>
      <w:pPr>
        <w:pStyle w:val="30"/>
        <w:snapToGrid w:val="0"/>
        <w:spacing w:line="360" w:lineRule="auto"/>
        <w:ind w:firstLine="560" w:firstLineChars="200"/>
        <w:rPr>
          <w:rFonts w:hAnsi="宋体"/>
          <w:color w:val="auto"/>
          <w:sz w:val="28"/>
          <w:szCs w:val="28"/>
          <w:highlight w:val="none"/>
        </w:rPr>
      </w:pPr>
      <w:r>
        <w:rPr>
          <w:rFonts w:hint="eastAsia" w:hAnsi="宋体"/>
          <w:color w:val="auto"/>
          <w:sz w:val="28"/>
          <w:szCs w:val="28"/>
          <w:highlight w:val="none"/>
        </w:rPr>
        <w:t>3、招标文件的</w:t>
      </w:r>
      <w:r>
        <w:rPr>
          <w:rFonts w:hint="eastAsia" w:hAnsi="宋体"/>
          <w:color w:val="auto"/>
          <w:sz w:val="28"/>
          <w:highlight w:val="none"/>
        </w:rPr>
        <w:t>更改通知（如有）</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4、投标函</w:t>
      </w:r>
    </w:p>
    <w:p>
      <w:pPr>
        <w:pStyle w:val="30"/>
        <w:snapToGrid w:val="0"/>
        <w:spacing w:line="360" w:lineRule="auto"/>
        <w:ind w:firstLine="560" w:firstLineChars="200"/>
        <w:rPr>
          <w:rFonts w:hAnsi="宋体"/>
          <w:color w:val="auto"/>
          <w:sz w:val="28"/>
          <w:szCs w:val="28"/>
          <w:highlight w:val="none"/>
        </w:rPr>
      </w:pPr>
      <w:r>
        <w:rPr>
          <w:rFonts w:hint="eastAsia" w:hAnsi="宋体"/>
          <w:color w:val="auto"/>
          <w:sz w:val="28"/>
          <w:szCs w:val="28"/>
          <w:highlight w:val="none"/>
        </w:rPr>
        <w:t>5、投标报价表</w:t>
      </w:r>
    </w:p>
    <w:p>
      <w:pPr>
        <w:pStyle w:val="30"/>
        <w:snapToGrid w:val="0"/>
        <w:spacing w:line="360" w:lineRule="auto"/>
        <w:ind w:firstLine="560" w:firstLineChars="200"/>
        <w:rPr>
          <w:rFonts w:hAnsi="宋体"/>
          <w:color w:val="auto"/>
          <w:sz w:val="28"/>
          <w:szCs w:val="28"/>
          <w:highlight w:val="none"/>
        </w:rPr>
      </w:pPr>
      <w:r>
        <w:rPr>
          <w:rFonts w:hint="eastAsia" w:hAnsi="宋体"/>
          <w:color w:val="auto"/>
          <w:sz w:val="28"/>
          <w:szCs w:val="28"/>
          <w:highlight w:val="none"/>
        </w:rPr>
        <w:t>6、投标服务技术资料表</w:t>
      </w:r>
    </w:p>
    <w:p>
      <w:pPr>
        <w:pStyle w:val="30"/>
        <w:snapToGrid w:val="0"/>
        <w:spacing w:line="360" w:lineRule="auto"/>
        <w:ind w:firstLine="560" w:firstLineChars="200"/>
        <w:rPr>
          <w:rFonts w:hAnsi="宋体"/>
          <w:color w:val="auto"/>
          <w:sz w:val="28"/>
          <w:szCs w:val="28"/>
          <w:highlight w:val="none"/>
        </w:rPr>
      </w:pPr>
      <w:r>
        <w:rPr>
          <w:rFonts w:hint="eastAsia" w:hAnsi="宋体"/>
          <w:color w:val="auto"/>
          <w:sz w:val="28"/>
          <w:szCs w:val="28"/>
          <w:highlight w:val="none"/>
        </w:rPr>
        <w:t>7、商务条款偏离表</w:t>
      </w:r>
    </w:p>
    <w:p>
      <w:pPr>
        <w:pStyle w:val="30"/>
        <w:snapToGrid w:val="0"/>
        <w:spacing w:line="360" w:lineRule="auto"/>
        <w:ind w:firstLine="560" w:firstLineChars="200"/>
        <w:rPr>
          <w:rFonts w:hAnsi="宋体"/>
          <w:color w:val="auto"/>
          <w:sz w:val="28"/>
          <w:szCs w:val="28"/>
          <w:highlight w:val="none"/>
        </w:rPr>
      </w:pPr>
      <w:r>
        <w:rPr>
          <w:rFonts w:hint="eastAsia" w:hAnsi="宋体"/>
          <w:color w:val="auto"/>
          <w:sz w:val="28"/>
          <w:szCs w:val="28"/>
          <w:highlight w:val="none"/>
        </w:rPr>
        <w:t>8、中标单位澄清函（如有请提</w:t>
      </w:r>
      <w:r>
        <w:rPr>
          <w:rFonts w:hint="eastAsia" w:hAnsi="宋体"/>
          <w:color w:val="auto"/>
          <w:sz w:val="30"/>
          <w:szCs w:val="30"/>
          <w:highlight w:val="none"/>
        </w:rPr>
        <w:t>供</w:t>
      </w:r>
      <w:r>
        <w:rPr>
          <w:rFonts w:hint="eastAsia" w:hAnsi="宋体"/>
          <w:color w:val="auto"/>
          <w:sz w:val="28"/>
          <w:szCs w:val="28"/>
          <w:highlight w:val="none"/>
        </w:rPr>
        <w:t>）</w:t>
      </w:r>
    </w:p>
    <w:p>
      <w:pPr>
        <w:pStyle w:val="30"/>
        <w:snapToGrid w:val="0"/>
        <w:spacing w:line="360" w:lineRule="auto"/>
        <w:ind w:firstLine="560" w:firstLineChars="200"/>
        <w:rPr>
          <w:rFonts w:hAnsi="宋体"/>
          <w:color w:val="auto"/>
          <w:sz w:val="28"/>
          <w:szCs w:val="28"/>
          <w:highlight w:val="none"/>
        </w:rPr>
      </w:pPr>
      <w:r>
        <w:rPr>
          <w:rFonts w:hint="eastAsia" w:hAnsi="宋体"/>
          <w:color w:val="auto"/>
          <w:sz w:val="28"/>
          <w:szCs w:val="28"/>
          <w:highlight w:val="none"/>
        </w:rPr>
        <w:t>9、其他与本合同相关的资料（如有请提</w:t>
      </w:r>
      <w:r>
        <w:rPr>
          <w:rFonts w:hint="eastAsia" w:hAnsi="宋体"/>
          <w:color w:val="auto"/>
          <w:sz w:val="30"/>
          <w:szCs w:val="30"/>
          <w:highlight w:val="none"/>
        </w:rPr>
        <w:t>供</w:t>
      </w:r>
      <w:r>
        <w:rPr>
          <w:rFonts w:hint="eastAsia" w:hAnsi="宋体"/>
          <w:color w:val="auto"/>
          <w:sz w:val="28"/>
          <w:szCs w:val="28"/>
          <w:highlight w:val="none"/>
        </w:rPr>
        <w:t>）</w:t>
      </w:r>
    </w:p>
    <w:p>
      <w:pPr>
        <w:snapToGrid w:val="0"/>
        <w:spacing w:line="360" w:lineRule="auto"/>
        <w:rPr>
          <w:rFonts w:ascii="宋体" w:hAnsi="宋体"/>
          <w:b/>
          <w:color w:val="auto"/>
          <w:sz w:val="30"/>
          <w:szCs w:val="30"/>
          <w:highlight w:val="none"/>
        </w:rPr>
      </w:pPr>
    </w:p>
    <w:p>
      <w:pPr>
        <w:snapToGrid w:val="0"/>
        <w:spacing w:line="360" w:lineRule="auto"/>
        <w:jc w:val="center"/>
        <w:rPr>
          <w:rFonts w:ascii="宋体" w:hAnsi="宋体"/>
          <w:b/>
          <w:bCs/>
          <w:color w:val="auto"/>
          <w:sz w:val="28"/>
          <w:highlight w:val="none"/>
        </w:rPr>
      </w:pPr>
    </w:p>
    <w:p>
      <w:pPr>
        <w:snapToGrid w:val="0"/>
        <w:spacing w:line="360" w:lineRule="auto"/>
        <w:jc w:val="center"/>
        <w:rPr>
          <w:rFonts w:ascii="宋体" w:hAnsi="宋体"/>
          <w:b/>
          <w:bCs/>
          <w:color w:val="auto"/>
          <w:sz w:val="30"/>
          <w:szCs w:val="30"/>
          <w:highlight w:val="none"/>
        </w:rPr>
      </w:pPr>
      <w:r>
        <w:rPr>
          <w:rFonts w:hint="eastAsia" w:ascii="宋体" w:hAnsi="宋体"/>
          <w:bCs/>
          <w:color w:val="auto"/>
          <w:sz w:val="28"/>
          <w:highlight w:val="none"/>
        </w:rPr>
        <w:br w:type="page"/>
      </w:r>
      <w:r>
        <w:rPr>
          <w:rFonts w:hint="eastAsia" w:ascii="宋体" w:hAnsi="宋体"/>
          <w:b/>
          <w:color w:val="auto"/>
          <w:sz w:val="30"/>
          <w:szCs w:val="30"/>
          <w:highlight w:val="none"/>
        </w:rPr>
        <w:t>政府采购合同书</w:t>
      </w:r>
    </w:p>
    <w:p>
      <w:pPr>
        <w:pStyle w:val="30"/>
        <w:snapToGrid w:val="0"/>
        <w:spacing w:line="360" w:lineRule="auto"/>
        <w:rPr>
          <w:rFonts w:hAnsi="宋体" w:eastAsia="宋体"/>
          <w:bCs/>
          <w:color w:val="auto"/>
          <w:sz w:val="24"/>
          <w:szCs w:val="24"/>
          <w:highlight w:val="none"/>
          <w:u w:val="single"/>
        </w:rPr>
      </w:pPr>
      <w:r>
        <w:rPr>
          <w:rFonts w:hint="eastAsia" w:hAnsi="宋体"/>
          <w:color w:val="auto"/>
          <w:sz w:val="24"/>
          <w:szCs w:val="24"/>
          <w:highlight w:val="none"/>
        </w:rPr>
        <w:t>项目名称</w:t>
      </w:r>
      <w:r>
        <w:rPr>
          <w:rFonts w:hint="eastAsia" w:hAnsi="宋体"/>
          <w:color w:val="auto"/>
          <w:sz w:val="24"/>
          <w:szCs w:val="24"/>
          <w:highlight w:val="none"/>
          <w:u w:val="single"/>
        </w:rPr>
        <w:t>：</w:t>
      </w:r>
      <w:r>
        <w:rPr>
          <w:rFonts w:hint="eastAsia" w:hAnsi="宋体" w:eastAsia="宋体"/>
          <w:color w:val="auto"/>
          <w:sz w:val="24"/>
          <w:szCs w:val="24"/>
          <w:highlight w:val="none"/>
          <w:u w:val="single"/>
          <w:lang w:eastAsia="zh-CN"/>
        </w:rPr>
        <w:t>广西雅长兰科植物国家级自然保护区智慧管理平台建设（监测与宣教二期）项目</w:t>
      </w:r>
      <w:r>
        <w:rPr>
          <w:rFonts w:hint="eastAsia" w:hAnsi="宋体"/>
          <w:color w:val="auto"/>
          <w:sz w:val="24"/>
          <w:szCs w:val="24"/>
          <w:highlight w:val="none"/>
          <w:u w:val="single"/>
        </w:rPr>
        <w:t xml:space="preserve">   </w:t>
      </w:r>
      <w:r>
        <w:rPr>
          <w:rFonts w:hint="eastAsia" w:hAnsi="宋体" w:eastAsia="宋体"/>
          <w:bCs/>
          <w:color w:val="auto"/>
          <w:sz w:val="24"/>
          <w:szCs w:val="24"/>
          <w:highlight w:val="none"/>
          <w:u w:val="single"/>
        </w:rPr>
        <w:t xml:space="preserve">          </w:t>
      </w:r>
    </w:p>
    <w:p>
      <w:pPr>
        <w:pStyle w:val="30"/>
        <w:snapToGrid w:val="0"/>
        <w:spacing w:line="360" w:lineRule="auto"/>
        <w:rPr>
          <w:rFonts w:hAnsi="宋体" w:eastAsia="宋体"/>
          <w:color w:val="auto"/>
          <w:sz w:val="24"/>
          <w:szCs w:val="24"/>
          <w:highlight w:val="none"/>
          <w:u w:val="single"/>
        </w:rPr>
      </w:pPr>
      <w:r>
        <w:rPr>
          <w:rFonts w:hint="eastAsia" w:hAnsi="宋体"/>
          <w:color w:val="auto"/>
          <w:sz w:val="24"/>
          <w:szCs w:val="24"/>
          <w:highlight w:val="none"/>
        </w:rPr>
        <w:t>项目编号：</w:t>
      </w:r>
      <w:r>
        <w:rPr>
          <w:rFonts w:hint="eastAsia" w:hAnsi="宋体" w:eastAsia="宋体"/>
          <w:color w:val="auto"/>
          <w:sz w:val="24"/>
          <w:szCs w:val="24"/>
          <w:highlight w:val="none"/>
        </w:rPr>
        <w:t xml:space="preserve"> </w:t>
      </w:r>
      <w:r>
        <w:rPr>
          <w:rFonts w:hint="eastAsia" w:hAnsi="宋体" w:eastAsia="宋体"/>
          <w:color w:val="auto"/>
          <w:sz w:val="24"/>
          <w:szCs w:val="24"/>
          <w:highlight w:val="none"/>
          <w:u w:val="single"/>
          <w:lang w:eastAsia="zh-CN"/>
        </w:rPr>
        <w:t>GXZC2021-G3-003416-GXYZ</w:t>
      </w:r>
      <w:r>
        <w:rPr>
          <w:rFonts w:hint="eastAsia" w:hAnsi="宋体" w:eastAsia="宋体"/>
          <w:color w:val="auto"/>
          <w:sz w:val="24"/>
          <w:szCs w:val="24"/>
          <w:highlight w:val="none"/>
          <w:u w:val="single"/>
        </w:rPr>
        <w:t xml:space="preserve"> .</w:t>
      </w:r>
      <w:r>
        <w:rPr>
          <w:rFonts w:hint="eastAsia" w:hAnsi="宋体"/>
          <w:color w:val="auto"/>
          <w:sz w:val="24"/>
          <w:szCs w:val="24"/>
          <w:highlight w:val="none"/>
          <w:u w:val="single"/>
        </w:rPr>
        <w:t xml:space="preserve"> </w:t>
      </w:r>
    </w:p>
    <w:p>
      <w:pPr>
        <w:snapToGrid w:val="0"/>
        <w:spacing w:line="360" w:lineRule="auto"/>
        <w:rPr>
          <w:rFonts w:ascii="宋体" w:hAnsi="宋体"/>
          <w:color w:val="auto"/>
          <w:sz w:val="24"/>
          <w:highlight w:val="none"/>
          <w:u w:val="single"/>
        </w:rPr>
      </w:pPr>
      <w:r>
        <w:rPr>
          <w:rFonts w:hint="eastAsia" w:ascii="宋体" w:hAnsi="宋体"/>
          <w:color w:val="auto"/>
          <w:sz w:val="24"/>
          <w:highlight w:val="none"/>
        </w:rPr>
        <w:t>分标号（有分标时填写）：</w:t>
      </w:r>
      <w:r>
        <w:rPr>
          <w:rFonts w:hint="eastAsia" w:ascii="宋体" w:hAnsi="宋体"/>
          <w:color w:val="auto"/>
          <w:sz w:val="24"/>
          <w:highlight w:val="none"/>
          <w:u w:val="single"/>
        </w:rPr>
        <w:t>/</w:t>
      </w:r>
    </w:p>
    <w:p>
      <w:pPr>
        <w:pStyle w:val="30"/>
        <w:snapToGrid w:val="0"/>
        <w:spacing w:line="360" w:lineRule="auto"/>
        <w:rPr>
          <w:rFonts w:hAnsi="宋体"/>
          <w:color w:val="auto"/>
          <w:sz w:val="24"/>
          <w:szCs w:val="24"/>
          <w:highlight w:val="none"/>
        </w:rPr>
      </w:pPr>
    </w:p>
    <w:p>
      <w:pPr>
        <w:pStyle w:val="47"/>
        <w:snapToGrid w:val="0"/>
        <w:spacing w:beforeAutospacing="0" w:afterAutospacing="0" w:line="360" w:lineRule="auto"/>
        <w:ind w:right="840"/>
        <w:rPr>
          <w:rFonts w:hAnsi="宋体"/>
          <w:color w:val="auto"/>
          <w:highlight w:val="none"/>
          <w:u w:val="single"/>
        </w:rPr>
      </w:pPr>
      <w:r>
        <w:rPr>
          <w:rFonts w:hint="eastAsia" w:hAnsi="宋体"/>
          <w:color w:val="auto"/>
          <w:highlight w:val="none"/>
        </w:rPr>
        <w:t>甲方（买方）：</w:t>
      </w:r>
      <w:r>
        <w:rPr>
          <w:rFonts w:hint="eastAsia" w:asciiTheme="majorEastAsia" w:hAnsiTheme="majorEastAsia" w:eastAsiaTheme="majorEastAsia"/>
          <w:color w:val="auto"/>
          <w:highlight w:val="none"/>
        </w:rPr>
        <w:t>广西雅长兰科植物国家级自然保护区管理中心</w:t>
      </w:r>
    </w:p>
    <w:p>
      <w:pPr>
        <w:pStyle w:val="30"/>
        <w:snapToGrid w:val="0"/>
        <w:spacing w:line="360" w:lineRule="auto"/>
        <w:rPr>
          <w:rFonts w:hAnsi="宋体"/>
          <w:color w:val="auto"/>
          <w:sz w:val="24"/>
          <w:szCs w:val="24"/>
          <w:highlight w:val="none"/>
        </w:rPr>
      </w:pP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乙方（卖方）：</w:t>
      </w:r>
      <w:r>
        <w:rPr>
          <w:rFonts w:hint="eastAsia" w:hAnsi="宋体"/>
          <w:color w:val="auto"/>
          <w:sz w:val="24"/>
          <w:szCs w:val="24"/>
          <w:highlight w:val="none"/>
          <w:u w:val="single"/>
        </w:rPr>
        <w:t xml:space="preserve">                                   </w:t>
      </w:r>
    </w:p>
    <w:p>
      <w:pPr>
        <w:pStyle w:val="30"/>
        <w:snapToGrid w:val="0"/>
        <w:spacing w:line="360" w:lineRule="auto"/>
        <w:rPr>
          <w:rFonts w:hAnsi="宋体"/>
          <w:b/>
          <w:color w:val="auto"/>
          <w:sz w:val="24"/>
          <w:szCs w:val="24"/>
          <w:highlight w:val="none"/>
        </w:rPr>
      </w:pPr>
      <w:r>
        <w:rPr>
          <w:rFonts w:hint="eastAsia" w:hAnsi="宋体"/>
          <w:b/>
          <w:color w:val="auto"/>
          <w:sz w:val="24"/>
          <w:szCs w:val="24"/>
          <w:highlight w:val="none"/>
        </w:rPr>
        <w:t xml:space="preserve">    </w:t>
      </w:r>
    </w:p>
    <w:p>
      <w:pPr>
        <w:pStyle w:val="30"/>
        <w:snapToGrid w:val="0"/>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根据</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日政府采购项目的采购结果，甲方接受乙方对本项目的投标，甲、乙双方同意签署本合同（以下简称合同）。</w:t>
      </w:r>
    </w:p>
    <w:p>
      <w:pPr>
        <w:pStyle w:val="30"/>
        <w:snapToGrid w:val="0"/>
        <w:spacing w:line="360" w:lineRule="auto"/>
        <w:rPr>
          <w:rFonts w:hAnsi="宋体"/>
          <w:b/>
          <w:color w:val="auto"/>
          <w:sz w:val="24"/>
          <w:szCs w:val="24"/>
          <w:highlight w:val="none"/>
        </w:rPr>
      </w:pPr>
    </w:p>
    <w:p>
      <w:pPr>
        <w:pStyle w:val="30"/>
        <w:snapToGrid w:val="0"/>
        <w:spacing w:line="360" w:lineRule="auto"/>
        <w:rPr>
          <w:rFonts w:hAnsi="宋体"/>
          <w:b/>
          <w:bCs/>
          <w:color w:val="auto"/>
          <w:sz w:val="24"/>
          <w:szCs w:val="24"/>
          <w:highlight w:val="none"/>
        </w:rPr>
      </w:pPr>
      <w:r>
        <w:rPr>
          <w:rFonts w:hint="eastAsia" w:hAnsi="宋体"/>
          <w:b/>
          <w:bCs/>
          <w:color w:val="auto"/>
          <w:sz w:val="24"/>
          <w:szCs w:val="24"/>
          <w:highlight w:val="none"/>
        </w:rPr>
        <w:t>1.  采购内容</w:t>
      </w:r>
    </w:p>
    <w:p>
      <w:pPr>
        <w:pStyle w:val="30"/>
        <w:tabs>
          <w:tab w:val="left" w:pos="5220"/>
        </w:tabs>
        <w:snapToGrid w:val="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1.1 服务名称：</w:t>
      </w:r>
      <w:r>
        <w:rPr>
          <w:rFonts w:hint="eastAsia" w:hAnsi="宋体"/>
          <w:color w:val="auto"/>
          <w:sz w:val="24"/>
          <w:szCs w:val="24"/>
          <w:highlight w:val="none"/>
          <w:u w:val="single"/>
        </w:rPr>
        <w:t>详见合同附件中投标报价表</w:t>
      </w:r>
    </w:p>
    <w:p>
      <w:pPr>
        <w:pStyle w:val="30"/>
        <w:tabs>
          <w:tab w:val="left" w:pos="5220"/>
        </w:tabs>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1.2 数量：</w:t>
      </w:r>
      <w:r>
        <w:rPr>
          <w:rFonts w:hint="eastAsia" w:hAnsi="宋体"/>
          <w:color w:val="auto"/>
          <w:sz w:val="24"/>
          <w:szCs w:val="24"/>
          <w:highlight w:val="none"/>
          <w:u w:val="single"/>
        </w:rPr>
        <w:t>详见合同附件中投标报价表</w:t>
      </w:r>
    </w:p>
    <w:p>
      <w:pPr>
        <w:pStyle w:val="30"/>
        <w:tabs>
          <w:tab w:val="left" w:pos="5220"/>
        </w:tabs>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1.2 服务内容：</w:t>
      </w:r>
      <w:r>
        <w:rPr>
          <w:rFonts w:hint="eastAsia" w:hAnsi="宋体"/>
          <w:color w:val="auto"/>
          <w:sz w:val="24"/>
          <w:szCs w:val="24"/>
          <w:highlight w:val="none"/>
          <w:u w:val="single"/>
        </w:rPr>
        <w:t>详见合同附件中投标服务技术资料表</w:t>
      </w:r>
    </w:p>
    <w:p>
      <w:pPr>
        <w:pStyle w:val="30"/>
        <w:tabs>
          <w:tab w:val="left" w:pos="5145"/>
        </w:tabs>
        <w:snapToGrid w:val="0"/>
        <w:spacing w:line="360" w:lineRule="auto"/>
        <w:rPr>
          <w:rFonts w:hAnsi="宋体"/>
          <w:b/>
          <w:bCs/>
          <w:color w:val="auto"/>
          <w:sz w:val="24"/>
          <w:szCs w:val="24"/>
          <w:highlight w:val="none"/>
        </w:rPr>
      </w:pPr>
      <w:r>
        <w:rPr>
          <w:rFonts w:hint="eastAsia" w:hAnsi="宋体"/>
          <w:b/>
          <w:bCs/>
          <w:color w:val="auto"/>
          <w:sz w:val="24"/>
          <w:szCs w:val="24"/>
          <w:highlight w:val="none"/>
        </w:rPr>
        <w:t>2.  合同金额</w:t>
      </w:r>
    </w:p>
    <w:p>
      <w:pPr>
        <w:pStyle w:val="30"/>
        <w:snapToGrid w:val="0"/>
        <w:spacing w:line="360" w:lineRule="auto"/>
        <w:ind w:firstLine="470" w:firstLineChars="196"/>
        <w:rPr>
          <w:rFonts w:hAnsi="宋体"/>
          <w:b/>
          <w:bCs/>
          <w:color w:val="auto"/>
          <w:sz w:val="24"/>
          <w:szCs w:val="24"/>
          <w:highlight w:val="none"/>
        </w:rPr>
      </w:pPr>
      <w:r>
        <w:rPr>
          <w:rFonts w:hint="eastAsia" w:hAnsi="宋体"/>
          <w:color w:val="auto"/>
          <w:sz w:val="24"/>
          <w:szCs w:val="24"/>
          <w:highlight w:val="none"/>
        </w:rPr>
        <w:t>2.1 本合同金额为（大写）人民币</w:t>
      </w:r>
      <w:r>
        <w:rPr>
          <w:rFonts w:hint="eastAsia" w:hAnsi="宋体"/>
          <w:color w:val="auto"/>
          <w:sz w:val="24"/>
          <w:szCs w:val="24"/>
          <w:highlight w:val="none"/>
          <w:u w:val="single"/>
        </w:rPr>
        <w:t xml:space="preserve">　　　　　　    </w:t>
      </w:r>
      <w:r>
        <w:rPr>
          <w:rFonts w:hint="eastAsia" w:hAnsi="宋体"/>
          <w:color w:val="auto"/>
          <w:sz w:val="24"/>
          <w:szCs w:val="24"/>
          <w:highlight w:val="none"/>
        </w:rPr>
        <w:t>（￥</w:t>
      </w:r>
      <w:r>
        <w:rPr>
          <w:rFonts w:hint="eastAsia" w:hAnsi="宋体"/>
          <w:color w:val="auto"/>
          <w:sz w:val="24"/>
          <w:szCs w:val="24"/>
          <w:highlight w:val="none"/>
          <w:u w:val="single"/>
        </w:rPr>
        <w:t xml:space="preserve">　　　　　　 </w:t>
      </w:r>
      <w:r>
        <w:rPr>
          <w:rFonts w:hint="eastAsia" w:hAnsi="宋体"/>
          <w:color w:val="auto"/>
          <w:sz w:val="24"/>
          <w:szCs w:val="24"/>
          <w:highlight w:val="none"/>
        </w:rPr>
        <w:t>元）。（详见投标报价表）</w:t>
      </w:r>
    </w:p>
    <w:p>
      <w:pPr>
        <w:pStyle w:val="30"/>
        <w:tabs>
          <w:tab w:val="left" w:pos="5940"/>
        </w:tabs>
        <w:snapToGrid w:val="0"/>
        <w:spacing w:line="360" w:lineRule="auto"/>
        <w:rPr>
          <w:rFonts w:hAnsi="宋体"/>
          <w:b/>
          <w:bCs/>
          <w:color w:val="auto"/>
          <w:sz w:val="24"/>
          <w:szCs w:val="24"/>
          <w:highlight w:val="none"/>
        </w:rPr>
      </w:pPr>
      <w:r>
        <w:rPr>
          <w:rFonts w:hint="eastAsia" w:hAnsi="宋体"/>
          <w:b/>
          <w:bCs/>
          <w:color w:val="auto"/>
          <w:sz w:val="24"/>
          <w:szCs w:val="24"/>
          <w:highlight w:val="none"/>
        </w:rPr>
        <w:t>3.  提交服务成果时间和地点</w:t>
      </w:r>
    </w:p>
    <w:p>
      <w:pPr>
        <w:pStyle w:val="30"/>
        <w:tabs>
          <w:tab w:val="left" w:pos="5250"/>
          <w:tab w:val="left" w:pos="5940"/>
        </w:tabs>
        <w:snapToGrid w:val="0"/>
        <w:spacing w:line="360" w:lineRule="auto"/>
        <w:ind w:firstLine="470" w:firstLineChars="196"/>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3.1 交付使用时间：         </w:t>
      </w:r>
    </w:p>
    <w:p>
      <w:pPr>
        <w:pStyle w:val="30"/>
        <w:tabs>
          <w:tab w:val="left" w:pos="5250"/>
          <w:tab w:val="left" w:pos="5940"/>
        </w:tabs>
        <w:snapToGrid w:val="0"/>
        <w:spacing w:line="360" w:lineRule="auto"/>
        <w:ind w:firstLine="470" w:firstLineChars="196"/>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3.2 服务期限：                  </w:t>
      </w:r>
    </w:p>
    <w:p>
      <w:pPr>
        <w:pStyle w:val="30"/>
        <w:tabs>
          <w:tab w:val="left" w:pos="5250"/>
          <w:tab w:val="left" w:pos="5940"/>
        </w:tabs>
        <w:snapToGrid w:val="0"/>
        <w:spacing w:line="360" w:lineRule="auto"/>
        <w:ind w:firstLine="470" w:firstLineChars="196"/>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3.3 提交服务成果地点：                        </w:t>
      </w:r>
    </w:p>
    <w:p>
      <w:pPr>
        <w:pStyle w:val="30"/>
        <w:tabs>
          <w:tab w:val="left" w:pos="5250"/>
          <w:tab w:val="left" w:pos="5940"/>
        </w:tabs>
        <w:snapToGrid w:val="0"/>
        <w:spacing w:line="360" w:lineRule="auto"/>
        <w:ind w:firstLine="470" w:firstLineChars="196"/>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3.4 乙方必须按投标文件承诺的服务响应条款向甲方提供服务。</w:t>
      </w:r>
    </w:p>
    <w:p>
      <w:pPr>
        <w:pStyle w:val="30"/>
        <w:snapToGrid w:val="0"/>
        <w:spacing w:line="360" w:lineRule="auto"/>
        <w:ind w:left="410" w:hanging="408" w:hangingChars="170"/>
        <w:rPr>
          <w:rFonts w:hAnsi="宋体"/>
          <w:b/>
          <w:bCs/>
          <w:color w:val="auto"/>
          <w:sz w:val="24"/>
          <w:szCs w:val="24"/>
          <w:highlight w:val="none"/>
        </w:rPr>
      </w:pPr>
      <w:r>
        <w:rPr>
          <w:rFonts w:hint="eastAsia" w:hAnsi="宋体"/>
          <w:b/>
          <w:bCs/>
          <w:color w:val="auto"/>
          <w:sz w:val="24"/>
          <w:szCs w:val="24"/>
          <w:highlight w:val="none"/>
        </w:rPr>
        <w:t>4.  履约保证金</w:t>
      </w:r>
    </w:p>
    <w:p>
      <w:pPr>
        <w:pStyle w:val="30"/>
        <w:snapToGrid w:val="0"/>
        <w:spacing w:line="360" w:lineRule="auto"/>
        <w:ind w:left="315" w:leftChars="150"/>
        <w:rPr>
          <w:rFonts w:hAnsi="宋体"/>
          <w:color w:val="auto"/>
          <w:sz w:val="24"/>
          <w:szCs w:val="24"/>
          <w:highlight w:val="none"/>
        </w:rPr>
      </w:pPr>
      <w:r>
        <w:rPr>
          <w:rFonts w:hint="eastAsia" w:hAnsi="宋体"/>
          <w:color w:val="auto"/>
          <w:sz w:val="24"/>
          <w:szCs w:val="24"/>
          <w:highlight w:val="none"/>
        </w:rPr>
        <w:t>本项目不收取履约保证金。</w:t>
      </w:r>
    </w:p>
    <w:p>
      <w:pPr>
        <w:pStyle w:val="30"/>
        <w:snapToGrid w:val="0"/>
        <w:spacing w:line="360" w:lineRule="auto"/>
        <w:ind w:left="412" w:hanging="411" w:hangingChars="171"/>
        <w:rPr>
          <w:rFonts w:hAnsi="宋体"/>
          <w:b/>
          <w:color w:val="auto"/>
          <w:sz w:val="24"/>
          <w:szCs w:val="24"/>
          <w:highlight w:val="none"/>
        </w:rPr>
      </w:pPr>
      <w:r>
        <w:rPr>
          <w:rFonts w:hint="eastAsia" w:hAnsi="宋体"/>
          <w:b/>
          <w:bCs/>
          <w:color w:val="auto"/>
          <w:sz w:val="24"/>
          <w:szCs w:val="24"/>
          <w:highlight w:val="none"/>
        </w:rPr>
        <w:t>5.  产权</w:t>
      </w:r>
    </w:p>
    <w:p>
      <w:pPr>
        <w:pStyle w:val="30"/>
        <w:snapToGrid w:val="0"/>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5.1 乙方应保证所提供的服务或其任何一部分均不会侵犯任何第三方的专利权、商标权或著作权</w:t>
      </w:r>
      <w:r>
        <w:rPr>
          <w:rFonts w:hint="eastAsia" w:hAnsi="宋体"/>
          <w:bCs/>
          <w:color w:val="auto"/>
          <w:sz w:val="24"/>
          <w:szCs w:val="24"/>
          <w:highlight w:val="none"/>
        </w:rPr>
        <w:t>。</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5.2乙方保证所交付服务的所有权属于、方且无任何抵押、查封等产权瑕疵（特别说明:交付服务所涉及的部分基站所占有的房屋/土地为通过租赁或其他方式取得使用权)。如乙方所交付服务有产权瑕疵的(甲方知晓并同意:上述特别说明事项丕视为产权瑕疵)，视为乙方违约，按照本合同第10.3项的约定处理。但在已经全部支付完众凤款后才发现有产权瑕疵的，乙方除了支付违约金还应负担甲方由此产生的一切损失。</w:t>
      </w:r>
    </w:p>
    <w:p>
      <w:pPr>
        <w:pStyle w:val="30"/>
        <w:snapToGrid w:val="0"/>
        <w:spacing w:line="360" w:lineRule="auto"/>
        <w:rPr>
          <w:rFonts w:hAnsi="宋体"/>
          <w:b/>
          <w:color w:val="auto"/>
          <w:sz w:val="24"/>
          <w:szCs w:val="24"/>
          <w:highlight w:val="none"/>
        </w:rPr>
      </w:pPr>
    </w:p>
    <w:p>
      <w:pPr>
        <w:pStyle w:val="30"/>
        <w:snapToGrid w:val="0"/>
        <w:spacing w:line="360" w:lineRule="auto"/>
        <w:rPr>
          <w:rFonts w:hAnsi="宋体"/>
          <w:b/>
          <w:color w:val="auto"/>
          <w:sz w:val="24"/>
          <w:szCs w:val="24"/>
          <w:highlight w:val="none"/>
        </w:rPr>
      </w:pPr>
      <w:r>
        <w:rPr>
          <w:rFonts w:hint="eastAsia" w:hAnsi="宋体"/>
          <w:b/>
          <w:bCs/>
          <w:color w:val="auto"/>
          <w:sz w:val="24"/>
          <w:szCs w:val="24"/>
          <w:highlight w:val="none"/>
        </w:rPr>
        <w:t>6.  技术资料</w:t>
      </w:r>
    </w:p>
    <w:p>
      <w:pPr>
        <w:pStyle w:val="30"/>
        <w:tabs>
          <w:tab w:val="left" w:pos="0"/>
        </w:tabs>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6.1 甲方应向乙方提供提交服务成果所必需的有关数据、资料等。</w:t>
      </w:r>
    </w:p>
    <w:p>
      <w:pPr>
        <w:pStyle w:val="30"/>
        <w:tabs>
          <w:tab w:val="left" w:pos="0"/>
        </w:tabs>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0"/>
        <w:snapToGrid w:val="0"/>
        <w:spacing w:line="360" w:lineRule="auto"/>
        <w:rPr>
          <w:rFonts w:hAnsi="宋体"/>
          <w:b/>
          <w:bCs/>
          <w:color w:val="auto"/>
          <w:sz w:val="24"/>
          <w:szCs w:val="24"/>
          <w:highlight w:val="none"/>
        </w:rPr>
      </w:pPr>
      <w:r>
        <w:rPr>
          <w:rFonts w:hint="eastAsia" w:hAnsi="宋体"/>
          <w:b/>
          <w:bCs/>
          <w:color w:val="auto"/>
          <w:sz w:val="24"/>
          <w:szCs w:val="24"/>
          <w:highlight w:val="none"/>
        </w:rPr>
        <w:t>7.  验收</w:t>
      </w:r>
    </w:p>
    <w:p>
      <w:pPr>
        <w:pStyle w:val="30"/>
        <w:tabs>
          <w:tab w:val="left" w:pos="0"/>
        </w:tabs>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7.1 乙方应对提交的服务成果作出全面检查和整理，并列出清单，作为甲方验收和使用的技术条件依据，清单应随提交的服务成果交给甲方。</w:t>
      </w:r>
    </w:p>
    <w:p>
      <w:pPr>
        <w:pStyle w:val="30"/>
        <w:tabs>
          <w:tab w:val="left" w:pos="0"/>
        </w:tabs>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7.2 乙方在指定地点提交服务成果后，甲方应在五个工作日内依据招标文件、乙方的投标文件等组织验收，验收完毕后作出书面验收报告。验收时乙方必须在现场。</w:t>
      </w:r>
    </w:p>
    <w:p>
      <w:pPr>
        <w:pStyle w:val="30"/>
        <w:tabs>
          <w:tab w:val="left" w:pos="0"/>
        </w:tabs>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7.3 对复杂的服务，甲方可请国家认可的专业机构参与验收，并由其出具验收报告，相关费用由甲方承担。</w:t>
      </w:r>
    </w:p>
    <w:p>
      <w:pPr>
        <w:pStyle w:val="30"/>
        <w:snapToGrid w:val="0"/>
        <w:spacing w:line="360" w:lineRule="auto"/>
        <w:rPr>
          <w:rFonts w:hAnsi="宋体"/>
          <w:b/>
          <w:bCs/>
          <w:color w:val="auto"/>
          <w:sz w:val="24"/>
          <w:szCs w:val="24"/>
          <w:highlight w:val="none"/>
        </w:rPr>
      </w:pPr>
      <w:r>
        <w:rPr>
          <w:rFonts w:hint="eastAsia" w:hAnsi="宋体"/>
          <w:b/>
          <w:bCs/>
          <w:color w:val="auto"/>
          <w:sz w:val="24"/>
          <w:szCs w:val="24"/>
          <w:highlight w:val="none"/>
        </w:rPr>
        <w:t>8.  合同款支付</w:t>
      </w:r>
    </w:p>
    <w:p>
      <w:pPr>
        <w:tabs>
          <w:tab w:val="left" w:pos="2101"/>
        </w:tabs>
        <w:snapToGrid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8.1 付款方</w:t>
      </w:r>
      <w:r>
        <w:rPr>
          <w:rFonts w:hint="eastAsia" w:ascii="宋体" w:hAnsi="宋体" w:cs="宋体"/>
          <w:color w:val="auto"/>
          <w:sz w:val="24"/>
          <w:highlight w:val="none"/>
        </w:rPr>
        <w:t>式：</w:t>
      </w:r>
      <w:r>
        <w:rPr>
          <w:rFonts w:hint="eastAsia" w:ascii="宋体" w:hAnsi="宋体" w:cs="宋体"/>
          <w:color w:val="auto"/>
          <w:sz w:val="24"/>
          <w:highlight w:val="none"/>
          <w:u w:val="single"/>
        </w:rPr>
        <w:t xml:space="preserve">                                                  。</w:t>
      </w:r>
    </w:p>
    <w:p>
      <w:pPr>
        <w:tabs>
          <w:tab w:val="left" w:pos="2101"/>
        </w:tabs>
        <w:snapToGrid w:val="0"/>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8.2 支付合同款时，由甲方按照合同约定提交完整且合格的支付申请材料；按支付程序将款项直接支付给供应商。</w:t>
      </w:r>
    </w:p>
    <w:p>
      <w:pPr>
        <w:pStyle w:val="30"/>
        <w:tabs>
          <w:tab w:val="left" w:pos="5145"/>
          <w:tab w:val="left" w:pos="5355"/>
          <w:tab w:val="left" w:pos="6195"/>
        </w:tabs>
        <w:snapToGrid w:val="0"/>
        <w:spacing w:line="360" w:lineRule="auto"/>
        <w:ind w:firstLine="480" w:firstLineChars="200"/>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8.3 政府采购监督管理部门在处理投诉事项期间，可以视具体情况书面通知采购人暂停采购活动</w:t>
      </w:r>
      <w:r>
        <w:rPr>
          <w:rFonts w:hint="eastAsia" w:ascii="宋体" w:hAnsi="宋体" w:eastAsia="宋体" w:cs="宋体"/>
          <w:bCs/>
          <w:color w:val="auto"/>
          <w:sz w:val="24"/>
          <w:szCs w:val="24"/>
          <w:highlight w:val="none"/>
        </w:rPr>
        <w:t>，并延期支付合同款。</w:t>
      </w:r>
    </w:p>
    <w:p>
      <w:pPr>
        <w:pStyle w:val="30"/>
        <w:snapToGrid w:val="0"/>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售后服务要求</w:t>
      </w:r>
    </w:p>
    <w:p>
      <w:pPr>
        <w:pStyle w:val="3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乙方提供服务的售后服务期限为：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pPr>
        <w:pStyle w:val="30"/>
        <w:snapToGrid w:val="0"/>
        <w:spacing w:line="360" w:lineRule="auto"/>
        <w:ind w:firstLine="480" w:firstLineChars="200"/>
        <w:rPr>
          <w:rFonts w:hAnsi="宋体"/>
          <w:color w:val="auto"/>
          <w:sz w:val="24"/>
          <w:szCs w:val="24"/>
          <w:highlight w:val="none"/>
        </w:rPr>
      </w:pPr>
      <w:r>
        <w:rPr>
          <w:rFonts w:hint="eastAsia" w:ascii="宋体" w:hAnsi="宋体" w:eastAsia="宋体" w:cs="宋体"/>
          <w:color w:val="auto"/>
          <w:sz w:val="24"/>
          <w:szCs w:val="24"/>
          <w:highlight w:val="none"/>
        </w:rPr>
        <w:t>9.2 在本合同第9.1项约定的质量保证期内，乙方</w:t>
      </w:r>
      <w:r>
        <w:rPr>
          <w:rFonts w:hint="eastAsia" w:hAnsi="宋体"/>
          <w:color w:val="auto"/>
          <w:sz w:val="24"/>
          <w:szCs w:val="24"/>
          <w:highlight w:val="none"/>
        </w:rPr>
        <w:t>应对服务出现的问题负责处理解决并承担一切费用。</w:t>
      </w:r>
    </w:p>
    <w:p>
      <w:pPr>
        <w:pStyle w:val="30"/>
        <w:tabs>
          <w:tab w:val="left" w:pos="5250"/>
        </w:tabs>
        <w:snapToGrid w:val="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9.3 其他售后服务要求：</w:t>
      </w:r>
      <w:r>
        <w:rPr>
          <w:rFonts w:hint="eastAsia" w:hAnsi="宋体"/>
          <w:color w:val="auto"/>
          <w:sz w:val="24"/>
          <w:szCs w:val="24"/>
          <w:highlight w:val="none"/>
          <w:u w:val="single"/>
        </w:rPr>
        <w:t>按投标文件商务条款偏离表内容执行。</w:t>
      </w:r>
    </w:p>
    <w:p>
      <w:pPr>
        <w:pStyle w:val="30"/>
        <w:snapToGrid w:val="0"/>
        <w:spacing w:line="360" w:lineRule="auto"/>
        <w:rPr>
          <w:rFonts w:hAnsi="宋体"/>
          <w:b/>
          <w:bCs/>
          <w:color w:val="auto"/>
          <w:sz w:val="24"/>
          <w:szCs w:val="24"/>
          <w:highlight w:val="none"/>
        </w:rPr>
      </w:pPr>
      <w:r>
        <w:rPr>
          <w:rFonts w:hint="eastAsia" w:hAnsi="宋体"/>
          <w:b/>
          <w:bCs/>
          <w:color w:val="auto"/>
          <w:sz w:val="24"/>
          <w:szCs w:val="24"/>
          <w:highlight w:val="none"/>
        </w:rPr>
        <w:t>10.  违约责任</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10.1 甲方无正当理由拒收服务的，甲方向乙方偿付拒收服务费总值的百分之五违约金。</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10.2 甲方无故逾期验收或办理合同款支付手续的，甲方应按逾期付款总额每日万分之五向乙方支付违约金。</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10.3 乙方逾期交付服务的，乙方应按逾期提供服务总额每日万分之五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30"/>
        <w:snapToGrid w:val="0"/>
        <w:spacing w:line="360" w:lineRule="auto"/>
        <w:rPr>
          <w:rFonts w:hAnsi="宋体"/>
          <w:b/>
          <w:bCs/>
          <w:color w:val="auto"/>
          <w:sz w:val="24"/>
          <w:szCs w:val="24"/>
          <w:highlight w:val="none"/>
        </w:rPr>
      </w:pPr>
      <w:r>
        <w:rPr>
          <w:rFonts w:hint="eastAsia" w:hAnsi="宋体"/>
          <w:b/>
          <w:bCs/>
          <w:color w:val="auto"/>
          <w:sz w:val="24"/>
          <w:szCs w:val="24"/>
          <w:highlight w:val="none"/>
        </w:rPr>
        <w:t>11.  不可抗力事件处理</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11.1 在合同有效期内，任何一方因不可抗力事件导致不能履行合同，则合同履行期可延长，其延长期与不可抗力影响期相同。</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11.2 不可抗力事件发生后，应立即通知对方，并寄送有关权威机构出具的证明。</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11.3 不可抗力事件延续120天以上，双方应通过友好协商，确定是否继续履行合同。</w:t>
      </w:r>
    </w:p>
    <w:p>
      <w:pPr>
        <w:pStyle w:val="30"/>
        <w:snapToGrid w:val="0"/>
        <w:spacing w:line="360" w:lineRule="auto"/>
        <w:rPr>
          <w:rFonts w:hAnsi="宋体"/>
          <w:b/>
          <w:bCs/>
          <w:color w:val="auto"/>
          <w:sz w:val="24"/>
          <w:szCs w:val="24"/>
          <w:highlight w:val="none"/>
        </w:rPr>
      </w:pPr>
      <w:r>
        <w:rPr>
          <w:rFonts w:hint="eastAsia" w:hAnsi="宋体"/>
          <w:b/>
          <w:bCs/>
          <w:color w:val="auto"/>
          <w:sz w:val="24"/>
          <w:szCs w:val="24"/>
          <w:highlight w:val="none"/>
        </w:rPr>
        <w:t>12.  诉讼</w:t>
      </w:r>
    </w:p>
    <w:p>
      <w:pPr>
        <w:pStyle w:val="30"/>
        <w:tabs>
          <w:tab w:val="left" w:pos="0"/>
        </w:tabs>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12.1 双方在执行合同中所发生的一切争议，应通过协商解决。如协商不成，可向合同签订地法院起诉，合同签订地在此约定为</w:t>
      </w:r>
      <w:r>
        <w:rPr>
          <w:rFonts w:hint="eastAsia" w:hAnsi="宋体" w:eastAsia="宋体"/>
          <w:color w:val="auto"/>
          <w:sz w:val="24"/>
          <w:szCs w:val="24"/>
          <w:highlight w:val="none"/>
        </w:rPr>
        <w:t>百色</w:t>
      </w:r>
      <w:r>
        <w:rPr>
          <w:rFonts w:hint="eastAsia" w:hAnsi="宋体"/>
          <w:color w:val="auto"/>
          <w:sz w:val="24"/>
          <w:szCs w:val="24"/>
          <w:highlight w:val="none"/>
        </w:rPr>
        <w:t>市。</w:t>
      </w:r>
    </w:p>
    <w:p>
      <w:pPr>
        <w:pStyle w:val="30"/>
        <w:snapToGrid w:val="0"/>
        <w:spacing w:line="360" w:lineRule="auto"/>
        <w:rPr>
          <w:rFonts w:hAnsi="宋体"/>
          <w:b/>
          <w:bCs/>
          <w:color w:val="auto"/>
          <w:sz w:val="24"/>
          <w:szCs w:val="24"/>
          <w:highlight w:val="none"/>
        </w:rPr>
      </w:pPr>
      <w:r>
        <w:rPr>
          <w:rFonts w:hint="eastAsia" w:hAnsi="宋体"/>
          <w:b/>
          <w:bCs/>
          <w:color w:val="auto"/>
          <w:sz w:val="24"/>
          <w:szCs w:val="24"/>
          <w:highlight w:val="none"/>
        </w:rPr>
        <w:t>13.  合同生效及其它</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13.1 合同经双方法定代表人（或负责人）或授权委托代理人签字并加盖单位公章后生效。</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13.2 合同执行中涉及采购资金和采购内容修改或补充的，须经财政部门审批，并签书面补充协议报政府采购监督管理部门备案，方可作为主合同不可分割的一部分。</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13.3 下述合同附件为本合同不可分割的部分并与本合同具有同等效力：</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（1）中标通知书；</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（2）招标文件服务需求一览表；</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（3）招标文件的澄清和修改；</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（4）投标函、投标报价表；</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（5）投标服务技术资料表、商务条款偏离表、售后服务承诺书；</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（6）中标单位澄清函。</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13.4 本合同未尽事宜，遵照《中华人民共和国合同法》有关条文执行。</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13.5</w:t>
      </w:r>
      <w:r>
        <w:rPr>
          <w:rFonts w:hint="eastAsia" w:hAnsi="宋体"/>
          <w:color w:val="auto"/>
          <w:sz w:val="24"/>
          <w:highlight w:val="none"/>
        </w:rPr>
        <w:t>本合同正本一式</w:t>
      </w:r>
      <w:r>
        <w:rPr>
          <w:rFonts w:hint="eastAsia" w:hAnsi="宋体"/>
          <w:b/>
          <w:color w:val="auto"/>
          <w:sz w:val="24"/>
          <w:highlight w:val="none"/>
        </w:rPr>
        <w:t>贰份</w:t>
      </w:r>
      <w:r>
        <w:rPr>
          <w:rFonts w:hint="eastAsia" w:hAnsi="宋体"/>
          <w:color w:val="auto"/>
          <w:sz w:val="24"/>
          <w:highlight w:val="none"/>
        </w:rPr>
        <w:t>，具有同等法律效力，甲乙双方各执</w:t>
      </w:r>
      <w:r>
        <w:rPr>
          <w:rFonts w:hint="eastAsia" w:hAnsi="宋体"/>
          <w:b/>
          <w:color w:val="auto"/>
          <w:sz w:val="24"/>
          <w:highlight w:val="none"/>
        </w:rPr>
        <w:t>壹份</w:t>
      </w:r>
      <w:r>
        <w:rPr>
          <w:rFonts w:hint="eastAsia" w:hAnsi="宋体"/>
          <w:color w:val="auto"/>
          <w:sz w:val="24"/>
          <w:highlight w:val="none"/>
        </w:rPr>
        <w:t>；副本</w:t>
      </w:r>
      <w:r>
        <w:rPr>
          <w:rFonts w:hint="eastAsia" w:hAnsi="宋体"/>
          <w:b/>
          <w:color w:val="auto"/>
          <w:sz w:val="24"/>
          <w:highlight w:val="none"/>
        </w:rPr>
        <w:t>伍份</w:t>
      </w:r>
      <w:r>
        <w:rPr>
          <w:rFonts w:hint="eastAsia" w:hAnsi="宋体"/>
          <w:color w:val="auto"/>
          <w:sz w:val="24"/>
          <w:highlight w:val="none"/>
        </w:rPr>
        <w:t>，甲方</w:t>
      </w:r>
      <w:r>
        <w:rPr>
          <w:rFonts w:hint="eastAsia" w:hAnsi="宋体"/>
          <w:b/>
          <w:color w:val="auto"/>
          <w:sz w:val="24"/>
          <w:highlight w:val="none"/>
        </w:rPr>
        <w:t>贰份，</w:t>
      </w:r>
      <w:r>
        <w:rPr>
          <w:rFonts w:hint="eastAsia" w:hAnsi="宋体"/>
          <w:color w:val="auto"/>
          <w:sz w:val="24"/>
          <w:highlight w:val="none"/>
        </w:rPr>
        <w:t>乙方</w:t>
      </w:r>
      <w:r>
        <w:rPr>
          <w:rFonts w:hint="eastAsia" w:hAnsi="宋体"/>
          <w:b/>
          <w:color w:val="auto"/>
          <w:sz w:val="24"/>
          <w:highlight w:val="none"/>
        </w:rPr>
        <w:t>壹份</w:t>
      </w:r>
      <w:r>
        <w:rPr>
          <w:rFonts w:hint="eastAsia" w:hAnsi="宋体"/>
          <w:color w:val="auto"/>
          <w:sz w:val="24"/>
          <w:highlight w:val="none"/>
        </w:rPr>
        <w:t>，采购代理</w:t>
      </w:r>
      <w:r>
        <w:rPr>
          <w:rFonts w:hint="eastAsia" w:hAnsi="宋体"/>
          <w:b/>
          <w:color w:val="auto"/>
          <w:sz w:val="24"/>
          <w:highlight w:val="none"/>
        </w:rPr>
        <w:t>贰份</w:t>
      </w:r>
      <w:r>
        <w:rPr>
          <w:rFonts w:hint="eastAsia" w:hAnsi="宋体"/>
          <w:color w:val="auto"/>
          <w:sz w:val="24"/>
          <w:highlight w:val="none"/>
        </w:rPr>
        <w:t>。自合同签订之日起</w:t>
      </w:r>
      <w:r>
        <w:rPr>
          <w:rFonts w:hint="eastAsia" w:hAnsi="宋体"/>
          <w:b/>
          <w:color w:val="auto"/>
          <w:sz w:val="24"/>
          <w:highlight w:val="none"/>
        </w:rPr>
        <w:t>2个工作日内</w:t>
      </w:r>
      <w:r>
        <w:rPr>
          <w:rFonts w:hint="eastAsia" w:hAnsi="宋体"/>
          <w:color w:val="auto"/>
          <w:sz w:val="24"/>
          <w:highlight w:val="none"/>
        </w:rPr>
        <w:t>由中标人将合同送至采购代理机构处。采购代理机构将政府采购合同在省级以上人民政府财政部门指定的媒体上公告。</w:t>
      </w:r>
    </w:p>
    <w:p>
      <w:pPr>
        <w:pStyle w:val="30"/>
        <w:snapToGrid w:val="0"/>
        <w:spacing w:line="360" w:lineRule="auto"/>
        <w:ind w:firstLine="480" w:firstLineChars="200"/>
        <w:rPr>
          <w:rFonts w:hAnsi="宋体"/>
          <w:color w:val="auto"/>
          <w:sz w:val="24"/>
          <w:szCs w:val="24"/>
          <w:highlight w:val="none"/>
        </w:rPr>
      </w:pPr>
    </w:p>
    <w:p>
      <w:pPr>
        <w:pStyle w:val="14"/>
        <w:snapToGrid w:val="0"/>
        <w:spacing w:line="360" w:lineRule="auto"/>
        <w:rPr>
          <w:color w:val="auto"/>
          <w:highlight w:val="none"/>
        </w:rPr>
      </w:pPr>
    </w:p>
    <w:p>
      <w:pPr>
        <w:pStyle w:val="30"/>
        <w:snapToGrid w:val="0"/>
        <w:spacing w:line="360" w:lineRule="auto"/>
        <w:rPr>
          <w:rFonts w:hAnsi="宋体"/>
          <w:color w:val="auto"/>
          <w:sz w:val="24"/>
          <w:szCs w:val="24"/>
          <w:highlight w:val="none"/>
          <w:u w:val="single"/>
        </w:rPr>
      </w:pPr>
      <w:r>
        <w:rPr>
          <w:rFonts w:hint="eastAsia" w:hAnsi="宋体"/>
          <w:color w:val="auto"/>
          <w:sz w:val="24"/>
          <w:szCs w:val="24"/>
          <w:highlight w:val="none"/>
        </w:rPr>
        <w:t>甲方：</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乙方：</w:t>
      </w:r>
      <w:r>
        <w:rPr>
          <w:rFonts w:hint="eastAsia" w:hAnsi="宋体"/>
          <w:color w:val="auto"/>
          <w:sz w:val="24"/>
          <w:szCs w:val="24"/>
          <w:highlight w:val="none"/>
          <w:u w:val="single"/>
        </w:rPr>
        <w:t xml:space="preserve">                                    </w:t>
      </w: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地址：</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地址：</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法定代表人：</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法定代表人（或负责人）：</w:t>
      </w:r>
      <w:r>
        <w:rPr>
          <w:rFonts w:hint="eastAsia" w:hAnsi="宋体"/>
          <w:color w:val="auto"/>
          <w:sz w:val="24"/>
          <w:szCs w:val="24"/>
          <w:highlight w:val="none"/>
          <w:u w:val="single"/>
        </w:rPr>
        <w:t xml:space="preserve">                              </w:t>
      </w: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委托代理人：</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委托代理人：</w:t>
      </w:r>
      <w:r>
        <w:rPr>
          <w:rFonts w:hint="eastAsia" w:hAnsi="宋体"/>
          <w:color w:val="auto"/>
          <w:sz w:val="24"/>
          <w:szCs w:val="24"/>
          <w:highlight w:val="none"/>
          <w:u w:val="single"/>
        </w:rPr>
        <w:t xml:space="preserve">                              </w:t>
      </w: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电话：</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电话：</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传真：</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传真：</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邮政编码：</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邮政编码：</w:t>
      </w:r>
      <w:r>
        <w:rPr>
          <w:rFonts w:hint="eastAsia" w:hAnsi="宋体"/>
          <w:color w:val="auto"/>
          <w:sz w:val="24"/>
          <w:szCs w:val="24"/>
          <w:highlight w:val="none"/>
          <w:u w:val="single"/>
        </w:rPr>
        <w:t xml:space="preserve">                                </w:t>
      </w:r>
    </w:p>
    <w:p>
      <w:pPr>
        <w:pStyle w:val="30"/>
        <w:snapToGrid w:val="0"/>
        <w:spacing w:line="360" w:lineRule="auto"/>
        <w:rPr>
          <w:rFonts w:hAnsi="宋体"/>
          <w:color w:val="auto"/>
          <w:highlight w:val="none"/>
          <w:u w:val="single"/>
        </w:rPr>
      </w:pPr>
      <w:r>
        <w:rPr>
          <w:rFonts w:hint="eastAsia" w:hAnsi="宋体"/>
          <w:color w:val="auto"/>
          <w:sz w:val="24"/>
          <w:szCs w:val="24"/>
          <w:highlight w:val="none"/>
        </w:rPr>
        <w:t>统一社会代码：</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统一社会信用代码：</w:t>
      </w:r>
      <w:r>
        <w:rPr>
          <w:rFonts w:hint="eastAsia" w:hAnsi="宋体"/>
          <w:color w:val="auto"/>
          <w:sz w:val="24"/>
          <w:szCs w:val="24"/>
          <w:highlight w:val="none"/>
          <w:u w:val="single"/>
        </w:rPr>
        <w:t xml:space="preserve">  </w:t>
      </w:r>
      <w:r>
        <w:rPr>
          <w:rFonts w:hint="eastAsia" w:hAnsi="宋体"/>
          <w:color w:val="auto"/>
          <w:highlight w:val="none"/>
          <w:u w:val="single"/>
        </w:rPr>
        <w:t xml:space="preserve">                       </w:t>
      </w:r>
    </w:p>
    <w:p>
      <w:pPr>
        <w:pStyle w:val="30"/>
        <w:snapToGrid w:val="0"/>
        <w:spacing w:line="360" w:lineRule="auto"/>
        <w:ind w:firstLine="5520" w:firstLineChars="2300"/>
        <w:rPr>
          <w:rFonts w:hAnsi="宋体"/>
          <w:color w:val="auto"/>
          <w:sz w:val="24"/>
          <w:szCs w:val="24"/>
          <w:highlight w:val="none"/>
          <w:u w:val="single"/>
        </w:rPr>
      </w:pPr>
      <w:r>
        <w:rPr>
          <w:rFonts w:hint="eastAsia" w:hAnsi="宋体"/>
          <w:color w:val="auto"/>
          <w:sz w:val="24"/>
          <w:szCs w:val="24"/>
          <w:highlight w:val="none"/>
        </w:rPr>
        <w:t>开户银行：</w:t>
      </w:r>
      <w:r>
        <w:rPr>
          <w:rFonts w:hint="eastAsia" w:hAnsi="宋体"/>
          <w:color w:val="auto"/>
          <w:sz w:val="24"/>
          <w:szCs w:val="24"/>
          <w:highlight w:val="none"/>
          <w:u w:val="single"/>
        </w:rPr>
        <w:t xml:space="preserve">                                </w:t>
      </w:r>
    </w:p>
    <w:p>
      <w:pPr>
        <w:pStyle w:val="30"/>
        <w:snapToGrid w:val="0"/>
        <w:spacing w:line="360" w:lineRule="auto"/>
        <w:rPr>
          <w:rFonts w:hAnsi="宋体"/>
          <w:color w:val="auto"/>
          <w:sz w:val="24"/>
          <w:szCs w:val="24"/>
          <w:highlight w:val="none"/>
          <w:u w:val="single"/>
        </w:rPr>
      </w:pPr>
      <w:r>
        <w:rPr>
          <w:rFonts w:hint="eastAsia" w:hAnsi="宋体"/>
          <w:color w:val="auto"/>
          <w:sz w:val="24"/>
          <w:szCs w:val="24"/>
          <w:highlight w:val="none"/>
        </w:rPr>
        <w:t xml:space="preserve">                                              开户名称：</w:t>
      </w:r>
      <w:r>
        <w:rPr>
          <w:rFonts w:hint="eastAsia" w:hAnsi="宋体"/>
          <w:color w:val="auto"/>
          <w:sz w:val="24"/>
          <w:szCs w:val="24"/>
          <w:highlight w:val="none"/>
          <w:u w:val="single"/>
        </w:rPr>
        <w:t xml:space="preserve">                                </w:t>
      </w:r>
    </w:p>
    <w:p>
      <w:pPr>
        <w:pStyle w:val="30"/>
        <w:snapToGrid w:val="0"/>
        <w:spacing w:line="360" w:lineRule="auto"/>
        <w:rPr>
          <w:rFonts w:hAnsi="宋体"/>
          <w:color w:val="auto"/>
          <w:sz w:val="24"/>
          <w:szCs w:val="24"/>
          <w:highlight w:val="none"/>
          <w:u w:val="single"/>
        </w:rPr>
      </w:pPr>
      <w:r>
        <w:rPr>
          <w:rFonts w:hint="eastAsia" w:hAnsi="宋体"/>
          <w:color w:val="auto"/>
          <w:sz w:val="24"/>
          <w:szCs w:val="24"/>
          <w:highlight w:val="none"/>
        </w:rPr>
        <w:t xml:space="preserve">                                              银行账号：</w:t>
      </w:r>
      <w:r>
        <w:rPr>
          <w:rFonts w:hint="eastAsia" w:hAnsi="宋体"/>
          <w:color w:val="auto"/>
          <w:sz w:val="24"/>
          <w:szCs w:val="24"/>
          <w:highlight w:val="none"/>
          <w:u w:val="single"/>
        </w:rPr>
        <w:t xml:space="preserve">                                </w:t>
      </w: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合同签订地点：广西</w:t>
      </w:r>
      <w:r>
        <w:rPr>
          <w:rFonts w:hint="eastAsia" w:hAnsi="宋体" w:eastAsia="宋体"/>
          <w:color w:val="auto"/>
          <w:sz w:val="24"/>
          <w:szCs w:val="24"/>
          <w:highlight w:val="none"/>
        </w:rPr>
        <w:t>百色</w:t>
      </w:r>
      <w:r>
        <w:rPr>
          <w:rFonts w:hint="eastAsia" w:hAnsi="宋体"/>
          <w:color w:val="auto"/>
          <w:sz w:val="24"/>
          <w:szCs w:val="24"/>
          <w:highlight w:val="none"/>
        </w:rPr>
        <w:t xml:space="preserve">市 </w:t>
      </w: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合同签订日期：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napToGrid w:val="0"/>
        <w:spacing w:line="360" w:lineRule="auto"/>
        <w:jc w:val="center"/>
        <w:outlineLvl w:val="0"/>
        <w:rPr>
          <w:rFonts w:ascii="宋体" w:hAnsi="宋体" w:cs="宋体"/>
          <w:b/>
          <w:bCs/>
          <w:color w:val="auto"/>
          <w:sz w:val="32"/>
          <w:szCs w:val="32"/>
          <w:highlight w:val="none"/>
        </w:rPr>
      </w:pPr>
      <w:bookmarkStart w:id="328" w:name="_Toc810"/>
      <w:r>
        <w:rPr>
          <w:rFonts w:hint="eastAsia" w:ascii="宋体" w:hAnsi="宋体" w:cs="宋体"/>
          <w:b/>
          <w:bCs/>
          <w:color w:val="auto"/>
          <w:sz w:val="32"/>
          <w:szCs w:val="32"/>
          <w:highlight w:val="none"/>
        </w:rPr>
        <w:t>第六章投标文件格式</w:t>
      </w:r>
      <w:bookmarkEnd w:id="328"/>
    </w:p>
    <w:p>
      <w:pPr>
        <w:snapToGrid w:val="0"/>
        <w:spacing w:line="360" w:lineRule="auto"/>
        <w:rPr>
          <w:rFonts w:ascii="宋体" w:hAnsi="宋体" w:cs="宋体"/>
          <w:b/>
          <w:color w:val="auto"/>
          <w:kern w:val="0"/>
          <w:sz w:val="20"/>
          <w:szCs w:val="21"/>
          <w:highlight w:val="none"/>
        </w:rPr>
      </w:pPr>
      <w:bookmarkStart w:id="329" w:name="_Toc293863061"/>
      <w:bookmarkStart w:id="330" w:name="_Toc293863331"/>
    </w:p>
    <w:p>
      <w:pPr>
        <w:snapToGrid w:val="0"/>
        <w:spacing w:line="360" w:lineRule="auto"/>
        <w:rPr>
          <w:rFonts w:ascii="宋体" w:hAnsi="宋体" w:cs="宋体"/>
          <w:b/>
          <w:color w:val="auto"/>
          <w:kern w:val="0"/>
          <w:sz w:val="20"/>
          <w:szCs w:val="21"/>
          <w:highlight w:val="none"/>
        </w:rPr>
      </w:pPr>
    </w:p>
    <w:p>
      <w:pPr>
        <w:snapToGrid w:val="0"/>
        <w:spacing w:line="360" w:lineRule="auto"/>
        <w:rPr>
          <w:rFonts w:ascii="宋体" w:hAnsi="宋体" w:cs="宋体"/>
          <w:b/>
          <w:color w:val="auto"/>
          <w:kern w:val="0"/>
          <w:sz w:val="24"/>
          <w:highlight w:val="none"/>
        </w:rPr>
      </w:pPr>
      <w:bookmarkStart w:id="331" w:name="_Toc482865331"/>
      <w:bookmarkStart w:id="332" w:name="_Toc482864560"/>
      <w:bookmarkStart w:id="333" w:name="_Toc483327820"/>
      <w:bookmarkStart w:id="334" w:name="_Toc448421151"/>
      <w:bookmarkStart w:id="335" w:name="_Toc57024427"/>
      <w:bookmarkStart w:id="336" w:name="_Toc445223691"/>
      <w:bookmarkStart w:id="337" w:name="_Toc308018688"/>
      <w:bookmarkStart w:id="338" w:name="_Toc482865161"/>
      <w:bookmarkStart w:id="339" w:name="_Toc400465724"/>
      <w:r>
        <w:rPr>
          <w:rFonts w:hint="eastAsia" w:ascii="宋体" w:hAnsi="宋体" w:cs="宋体"/>
          <w:b/>
          <w:color w:val="auto"/>
          <w:kern w:val="0"/>
          <w:sz w:val="24"/>
          <w:highlight w:val="none"/>
        </w:rPr>
        <w:t>一、投标文件外层包装封面</w:t>
      </w:r>
      <w:bookmarkEnd w:id="329"/>
      <w:bookmarkEnd w:id="330"/>
      <w:r>
        <w:rPr>
          <w:rFonts w:hint="eastAsia" w:ascii="宋体" w:hAnsi="宋体" w:cs="宋体"/>
          <w:b/>
          <w:color w:val="auto"/>
          <w:kern w:val="0"/>
          <w:sz w:val="24"/>
          <w:highlight w:val="none"/>
        </w:rPr>
        <w:t>格式</w:t>
      </w:r>
      <w:bookmarkEnd w:id="331"/>
      <w:bookmarkEnd w:id="332"/>
      <w:bookmarkEnd w:id="333"/>
      <w:bookmarkEnd w:id="334"/>
      <w:bookmarkEnd w:id="335"/>
      <w:bookmarkEnd w:id="336"/>
      <w:bookmarkEnd w:id="337"/>
      <w:bookmarkEnd w:id="338"/>
      <w:bookmarkEnd w:id="339"/>
    </w:p>
    <w:p>
      <w:pPr>
        <w:snapToGrid w:val="0"/>
        <w:spacing w:line="360" w:lineRule="auto"/>
        <w:rPr>
          <w:rFonts w:ascii="宋体" w:hAnsi="宋体" w:cs="宋体"/>
          <w:b/>
          <w:color w:val="auto"/>
          <w:kern w:val="0"/>
          <w:sz w:val="20"/>
          <w:szCs w:val="21"/>
          <w:highlight w:val="none"/>
        </w:rPr>
      </w:pPr>
    </w:p>
    <w:p>
      <w:pPr>
        <w:snapToGrid w:val="0"/>
        <w:spacing w:line="360" w:lineRule="auto"/>
        <w:rPr>
          <w:rFonts w:ascii="宋体" w:hAnsi="宋体" w:cs="宋体"/>
          <w:color w:val="auto"/>
          <w:sz w:val="24"/>
          <w:szCs w:val="20"/>
          <w:highlight w:val="none"/>
        </w:rPr>
      </w:pPr>
    </w:p>
    <w:p>
      <w:pPr>
        <w:snapToGrid w:val="0"/>
        <w:spacing w:line="360" w:lineRule="auto"/>
        <w:jc w:val="center"/>
        <w:rPr>
          <w:rFonts w:ascii="宋体" w:hAnsi="宋体" w:cs="宋体"/>
          <w:bCs/>
          <w:color w:val="auto"/>
          <w:sz w:val="24"/>
          <w:szCs w:val="20"/>
          <w:highlight w:val="none"/>
        </w:rPr>
      </w:pPr>
    </w:p>
    <w:p>
      <w:pPr>
        <w:snapToGrid w:val="0"/>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投标文件</w:t>
      </w:r>
    </w:p>
    <w:p>
      <w:pPr>
        <w:snapToGrid w:val="0"/>
        <w:spacing w:line="360" w:lineRule="auto"/>
        <w:rPr>
          <w:rFonts w:ascii="宋体" w:hAnsi="宋体" w:cs="宋体"/>
          <w:bCs/>
          <w:color w:val="auto"/>
          <w:sz w:val="24"/>
          <w:szCs w:val="20"/>
          <w:highlight w:val="none"/>
        </w:rPr>
      </w:pPr>
    </w:p>
    <w:p>
      <w:pPr>
        <w:snapToGrid w:val="0"/>
        <w:spacing w:line="360" w:lineRule="auto"/>
        <w:ind w:firstLine="943" w:firstLineChars="393"/>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line="360" w:lineRule="auto"/>
        <w:ind w:firstLine="943" w:firstLineChars="393"/>
        <w:rPr>
          <w:rFonts w:ascii="宋体" w:hAnsi="宋体" w:cs="宋体"/>
          <w:bCs/>
          <w:color w:val="auto"/>
          <w:sz w:val="24"/>
          <w:highlight w:val="none"/>
        </w:rPr>
      </w:pPr>
    </w:p>
    <w:p>
      <w:pPr>
        <w:snapToGrid w:val="0"/>
        <w:spacing w:line="360" w:lineRule="auto"/>
        <w:ind w:firstLine="943" w:firstLineChars="393"/>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line="360" w:lineRule="auto"/>
        <w:ind w:firstLine="480" w:firstLineChars="200"/>
        <w:rPr>
          <w:rFonts w:ascii="宋体" w:hAnsi="宋体" w:cs="宋体"/>
          <w:bCs/>
          <w:color w:val="auto"/>
          <w:sz w:val="24"/>
          <w:highlight w:val="none"/>
        </w:rPr>
      </w:pPr>
    </w:p>
    <w:p>
      <w:pPr>
        <w:snapToGrid w:val="0"/>
        <w:spacing w:line="360" w:lineRule="auto"/>
        <w:ind w:firstLine="960" w:firstLineChars="400"/>
        <w:rPr>
          <w:rFonts w:ascii="宋体" w:hAnsi="宋体" w:cs="宋体"/>
          <w:bCs/>
          <w:color w:val="auto"/>
          <w:sz w:val="24"/>
          <w:highlight w:val="none"/>
        </w:rPr>
      </w:pPr>
    </w:p>
    <w:p>
      <w:pPr>
        <w:snapToGrid w:val="0"/>
        <w:spacing w:line="360" w:lineRule="auto"/>
        <w:ind w:firstLine="960" w:firstLineChars="40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line="360" w:lineRule="auto"/>
        <w:ind w:firstLine="960" w:firstLineChars="400"/>
        <w:rPr>
          <w:rFonts w:ascii="宋体" w:hAnsi="宋体" w:cs="宋体"/>
          <w:bCs/>
          <w:color w:val="auto"/>
          <w:sz w:val="24"/>
          <w:highlight w:val="none"/>
        </w:rPr>
      </w:pPr>
    </w:p>
    <w:p>
      <w:pPr>
        <w:snapToGrid w:val="0"/>
        <w:spacing w:line="360" w:lineRule="auto"/>
        <w:ind w:firstLine="960" w:firstLineChars="400"/>
        <w:rPr>
          <w:rFonts w:ascii="宋体" w:hAnsi="宋体" w:cs="宋体"/>
          <w:bCs/>
          <w:color w:val="auto"/>
          <w:sz w:val="24"/>
          <w:highlight w:val="none"/>
        </w:rPr>
      </w:pPr>
      <w:r>
        <w:rPr>
          <w:rFonts w:hint="eastAsia" w:ascii="宋体" w:hAnsi="宋体" w:cs="宋体"/>
          <w:bCs/>
          <w:color w:val="auto"/>
          <w:sz w:val="24"/>
          <w:highlight w:val="none"/>
        </w:rPr>
        <w:t>投标人地址：</w:t>
      </w:r>
    </w:p>
    <w:p>
      <w:pPr>
        <w:snapToGrid w:val="0"/>
        <w:spacing w:line="360" w:lineRule="auto"/>
        <w:ind w:firstLine="960" w:firstLineChars="400"/>
        <w:rPr>
          <w:rFonts w:ascii="宋体" w:hAnsi="宋体" w:cs="宋体"/>
          <w:bCs/>
          <w:color w:val="auto"/>
          <w:sz w:val="24"/>
          <w:highlight w:val="none"/>
        </w:rPr>
      </w:pPr>
    </w:p>
    <w:p>
      <w:pPr>
        <w:snapToGrid w:val="0"/>
        <w:spacing w:line="360" w:lineRule="auto"/>
        <w:ind w:firstLine="960" w:firstLineChars="400"/>
        <w:rPr>
          <w:rFonts w:ascii="宋体" w:hAnsi="宋体" w:cs="宋体"/>
          <w:bCs/>
          <w:color w:val="auto"/>
          <w:sz w:val="24"/>
          <w:highlight w:val="none"/>
        </w:rPr>
      </w:pPr>
      <w:r>
        <w:rPr>
          <w:rFonts w:hint="eastAsia" w:ascii="宋体" w:hAnsi="宋体" w:cs="宋体"/>
          <w:bCs/>
          <w:color w:val="auto"/>
          <w:sz w:val="24"/>
          <w:highlight w:val="none"/>
        </w:rPr>
        <w:t>开标时启封</w:t>
      </w:r>
    </w:p>
    <w:p>
      <w:pPr>
        <w:snapToGrid w:val="0"/>
        <w:spacing w:line="360" w:lineRule="auto"/>
        <w:ind w:firstLine="4080" w:firstLineChars="1700"/>
        <w:rPr>
          <w:rFonts w:ascii="宋体" w:hAnsi="宋体" w:cs="宋体"/>
          <w:bCs/>
          <w:color w:val="auto"/>
          <w:sz w:val="24"/>
          <w:highlight w:val="none"/>
        </w:rPr>
      </w:pPr>
    </w:p>
    <w:p>
      <w:pPr>
        <w:snapToGrid w:val="0"/>
        <w:spacing w:line="360" w:lineRule="auto"/>
        <w:ind w:firstLine="645"/>
        <w:jc w:val="center"/>
        <w:rPr>
          <w:rFonts w:ascii="宋体" w:hAnsi="宋体" w:cs="宋体"/>
          <w:bCs/>
          <w:color w:val="auto"/>
          <w:sz w:val="24"/>
          <w:highlight w:val="none"/>
        </w:rPr>
      </w:pPr>
      <w:r>
        <w:rPr>
          <w:rFonts w:hint="eastAsia" w:ascii="宋体" w:hAnsi="宋体" w:cs="宋体"/>
          <w:bCs/>
          <w:color w:val="auto"/>
          <w:sz w:val="24"/>
          <w:highlight w:val="none"/>
        </w:rPr>
        <w:t>年月日</w:t>
      </w:r>
    </w:p>
    <w:p>
      <w:pPr>
        <w:snapToGrid w:val="0"/>
        <w:spacing w:line="360" w:lineRule="auto"/>
        <w:rPr>
          <w:rFonts w:ascii="宋体" w:hAnsi="宋体" w:cs="宋体"/>
          <w:b/>
          <w:bCs/>
          <w:color w:val="auto"/>
          <w:sz w:val="24"/>
          <w:highlight w:val="none"/>
        </w:rPr>
      </w:pPr>
      <w:r>
        <w:rPr>
          <w:rFonts w:hint="eastAsia" w:ascii="宋体" w:hAnsi="宋体" w:cs="宋体"/>
          <w:bCs/>
          <w:color w:val="auto"/>
          <w:sz w:val="24"/>
          <w:highlight w:val="none"/>
        </w:rPr>
        <w:br w:type="page"/>
      </w:r>
      <w:bookmarkStart w:id="340" w:name="_Toc483327823"/>
      <w:bookmarkStart w:id="341" w:name="_Toc482865334"/>
      <w:bookmarkStart w:id="342" w:name="_Toc482865164"/>
      <w:bookmarkStart w:id="343" w:name="_Toc57024428"/>
      <w:bookmarkStart w:id="344" w:name="_Toc400465727"/>
      <w:bookmarkStart w:id="345" w:name="_Toc448421154"/>
      <w:bookmarkStart w:id="346" w:name="_Toc482864563"/>
      <w:bookmarkStart w:id="347" w:name="_Toc308018691"/>
      <w:bookmarkStart w:id="348" w:name="_Toc445223694"/>
      <w:r>
        <w:rPr>
          <w:rFonts w:hint="eastAsia" w:ascii="宋体" w:hAnsi="宋体" w:cs="宋体"/>
          <w:b/>
          <w:bCs/>
          <w:color w:val="auto"/>
          <w:sz w:val="24"/>
          <w:highlight w:val="none"/>
        </w:rPr>
        <w:t>二、资格部分格式</w:t>
      </w:r>
      <w:bookmarkEnd w:id="340"/>
      <w:bookmarkEnd w:id="341"/>
      <w:bookmarkEnd w:id="342"/>
      <w:bookmarkEnd w:id="343"/>
      <w:bookmarkEnd w:id="344"/>
      <w:bookmarkEnd w:id="345"/>
      <w:bookmarkEnd w:id="346"/>
      <w:bookmarkEnd w:id="347"/>
      <w:bookmarkEnd w:id="348"/>
    </w:p>
    <w:p>
      <w:pPr>
        <w:snapToGrid w:val="0"/>
        <w:spacing w:line="360" w:lineRule="auto"/>
        <w:rPr>
          <w:rFonts w:ascii="宋体" w:hAnsi="宋体" w:cs="宋体"/>
          <w:b/>
          <w:bCs/>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2.1资格部分封面格式：</w:t>
      </w:r>
    </w:p>
    <w:p>
      <w:pPr>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正本/或副本</w:t>
      </w:r>
    </w:p>
    <w:p>
      <w:pPr>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48"/>
          <w:szCs w:val="48"/>
          <w:highlight w:val="none"/>
        </w:rPr>
        <w:t>投标文件（资格部分）</w:t>
      </w:r>
    </w:p>
    <w:p>
      <w:pPr>
        <w:snapToGrid w:val="0"/>
        <w:spacing w:line="360" w:lineRule="auto"/>
        <w:jc w:val="center"/>
        <w:rPr>
          <w:rFonts w:ascii="宋体" w:hAnsi="宋体" w:cs="宋体"/>
          <w:b/>
          <w:bCs/>
          <w:color w:val="auto"/>
          <w:sz w:val="28"/>
          <w:szCs w:val="28"/>
          <w:highlight w:val="none"/>
        </w:rPr>
      </w:pPr>
    </w:p>
    <w:p>
      <w:pPr>
        <w:snapToGrid w:val="0"/>
        <w:spacing w:line="360" w:lineRule="auto"/>
        <w:ind w:firstLine="1200" w:firstLineChars="500"/>
        <w:rPr>
          <w:rFonts w:ascii="宋体" w:hAnsi="宋体" w:cs="宋体"/>
          <w:bCs/>
          <w:color w:val="auto"/>
          <w:sz w:val="24"/>
          <w:szCs w:val="20"/>
          <w:highlight w:val="none"/>
        </w:rPr>
      </w:pPr>
      <w:r>
        <w:rPr>
          <w:rFonts w:hint="eastAsia" w:ascii="宋体" w:hAnsi="宋体" w:cs="宋体"/>
          <w:bCs/>
          <w:color w:val="auto"/>
          <w:sz w:val="24"/>
          <w:highlight w:val="none"/>
        </w:rPr>
        <w:t>项目名称：</w:t>
      </w: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line="360" w:lineRule="auto"/>
        <w:ind w:firstLine="480" w:firstLineChars="200"/>
        <w:rPr>
          <w:rFonts w:ascii="宋体" w:hAnsi="宋体" w:cs="宋体"/>
          <w:bCs/>
          <w:color w:val="auto"/>
          <w:sz w:val="24"/>
          <w:highlight w:val="none"/>
        </w:rPr>
      </w:pP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法定代表人</w:t>
      </w:r>
      <w:r>
        <w:rPr>
          <w:rFonts w:hint="eastAsia" w:hAnsi="宋体"/>
          <w:color w:val="auto"/>
          <w:sz w:val="24"/>
          <w:highlight w:val="none"/>
        </w:rPr>
        <w:t>（或负责人）</w:t>
      </w:r>
      <w:r>
        <w:rPr>
          <w:rFonts w:hint="eastAsia" w:ascii="宋体" w:hAnsi="宋体" w:cs="宋体"/>
          <w:bCs/>
          <w:color w:val="auto"/>
          <w:sz w:val="24"/>
          <w:highlight w:val="none"/>
        </w:rPr>
        <w:t>或其委托代理人（签字）：</w:t>
      </w:r>
    </w:p>
    <w:p>
      <w:pPr>
        <w:snapToGrid w:val="0"/>
        <w:spacing w:line="360" w:lineRule="auto"/>
        <w:ind w:firstLine="4440" w:firstLineChars="1850"/>
        <w:rPr>
          <w:rFonts w:ascii="宋体" w:hAnsi="宋体" w:cs="宋体"/>
          <w:bCs/>
          <w:color w:val="auto"/>
          <w:sz w:val="24"/>
          <w:highlight w:val="none"/>
        </w:rPr>
      </w:pPr>
      <w:r>
        <w:rPr>
          <w:rFonts w:hint="eastAsia" w:ascii="宋体" w:hAnsi="宋体" w:cs="宋体"/>
          <w:bCs/>
          <w:color w:val="auto"/>
          <w:sz w:val="24"/>
          <w:highlight w:val="none"/>
        </w:rPr>
        <w:t>年月日</w:t>
      </w:r>
    </w:p>
    <w:p>
      <w:pPr>
        <w:snapToGrid w:val="0"/>
        <w:spacing w:line="360" w:lineRule="auto"/>
        <w:rPr>
          <w:rFonts w:ascii="宋体" w:hAnsi="宋体" w:cs="宋体"/>
          <w:b/>
          <w:color w:val="auto"/>
          <w:szCs w:val="21"/>
          <w:highlight w:val="none"/>
        </w:rPr>
      </w:pPr>
    </w:p>
    <w:p>
      <w:pPr>
        <w:snapToGrid w:val="0"/>
        <w:spacing w:line="360" w:lineRule="auto"/>
        <w:rPr>
          <w:rFonts w:ascii="宋体" w:hAnsi="宋体" w:cs="宋体"/>
          <w:b/>
          <w:color w:val="auto"/>
          <w:szCs w:val="21"/>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 xml:space="preserve">2.2 </w:t>
      </w:r>
      <w:r>
        <w:rPr>
          <w:rFonts w:hint="eastAsia" w:ascii="宋体" w:hAnsi="宋体" w:cs="宋体"/>
          <w:b/>
          <w:bCs/>
          <w:color w:val="auto"/>
          <w:sz w:val="24"/>
          <w:highlight w:val="none"/>
        </w:rPr>
        <w:t>资格部分目录</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（1）有效的三证合一的营业执照副本复印件</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（2）法定代表人</w:t>
      </w:r>
      <w:r>
        <w:rPr>
          <w:rFonts w:hint="eastAsia" w:hAnsi="宋体"/>
          <w:color w:val="auto"/>
          <w:sz w:val="24"/>
          <w:highlight w:val="none"/>
        </w:rPr>
        <w:t>（或负责人）</w:t>
      </w:r>
      <w:r>
        <w:rPr>
          <w:rFonts w:hint="eastAsia" w:ascii="宋体" w:hAnsi="宋体" w:cs="宋体"/>
          <w:color w:val="auto"/>
          <w:sz w:val="24"/>
          <w:highlight w:val="none"/>
        </w:rPr>
        <w:t>完整有效的身份证复印件（第二代身份证必须提供正反面复印件，同时要加盖单位公章）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（3）法定代表人</w:t>
      </w:r>
      <w:r>
        <w:rPr>
          <w:rFonts w:hint="eastAsia" w:hAnsi="宋体"/>
          <w:color w:val="auto"/>
          <w:sz w:val="24"/>
          <w:highlight w:val="none"/>
        </w:rPr>
        <w:t>（或负责人）</w:t>
      </w:r>
      <w:r>
        <w:rPr>
          <w:rFonts w:hint="eastAsia" w:ascii="宋体" w:hAnsi="宋体" w:cs="宋体"/>
          <w:color w:val="auto"/>
          <w:sz w:val="24"/>
          <w:highlight w:val="none"/>
        </w:rPr>
        <w:t>授权委托书(格式见第六章) 和委托代理人完整有效的身份证复印件（第二代身份证必须提供正反面复印件，同时要加盖单位公章）</w:t>
      </w:r>
      <w:r>
        <w:rPr>
          <w:rFonts w:hint="eastAsia" w:ascii="宋体" w:hAnsi="宋体" w:cs="宋体"/>
          <w:b/>
          <w:bCs/>
          <w:color w:val="auto"/>
          <w:sz w:val="24"/>
          <w:highlight w:val="none"/>
        </w:rPr>
        <w:t>（委托代理时必须提供）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（4）截标时间前半年内，任意三个月投标人依法缴纳税收（国税或地税）的凭证复印件</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（5）截标时间前半年内，任意三个月投标人依法缴纳社会保障资金的凭证复印件</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（6）参加政府采购活动前3年内在经营活动中没有重大违法记录的书面声明</w:t>
      </w:r>
      <w:r>
        <w:rPr>
          <w:rFonts w:hint="eastAsia" w:ascii="宋体" w:hAnsi="宋体" w:cs="宋体"/>
          <w:b/>
          <w:bCs/>
          <w:color w:val="auto"/>
          <w:sz w:val="24"/>
          <w:highlight w:val="none"/>
        </w:rPr>
        <w:t>（格式自拟，必须提供）</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（7）信用声明函（格式见第六章）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r>
        <w:rPr>
          <w:rFonts w:hint="eastAsia" w:asciiTheme="majorEastAsia" w:hAnsiTheme="majorEastAsia" w:eastAsiaTheme="majorEastAsia"/>
          <w:b/>
          <w:color w:val="auto"/>
          <w:sz w:val="24"/>
          <w:highlight w:val="none"/>
        </w:rPr>
        <w:t>（注：采购人或采购代理机构在对投标人资格审查时进行信用查询，查询结果与投标文件不一致时，以采购人或采购代理机构查询结果为准。）</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（8）投标人近期财务状况报告（2020年度经第三方审计的财务报告；</w:t>
      </w:r>
      <w:r>
        <w:rPr>
          <w:rFonts w:hint="eastAsia" w:ascii="宋体" w:hAnsi="宋体"/>
          <w:color w:val="auto"/>
          <w:sz w:val="24"/>
          <w:highlight w:val="none"/>
        </w:rPr>
        <w:t>或投标人基本开户银行出具的资信证明复印件；或截标时间前半年内能反映财务状况的报表）；成立不足3个月的供应商按实际情况提供</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（9）联合体协议书；</w:t>
      </w:r>
      <w:r>
        <w:rPr>
          <w:rFonts w:hint="eastAsia" w:ascii="宋体" w:hAnsi="宋体" w:cs="宋体"/>
          <w:b/>
          <w:bCs/>
          <w:color w:val="auto"/>
          <w:sz w:val="24"/>
          <w:highlight w:val="none"/>
        </w:rPr>
        <w:t>（允许联合体投标时必须提供）</w:t>
      </w:r>
      <w:r>
        <w:rPr>
          <w:rFonts w:hint="eastAsia" w:ascii="宋体" w:hAnsi="宋体" w:cs="宋体"/>
          <w:color w:val="auto"/>
          <w:sz w:val="24"/>
          <w:highlight w:val="none"/>
        </w:rPr>
        <w:t>（格式见第六章）</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（10）联合投标授权委托书；</w:t>
      </w:r>
      <w:r>
        <w:rPr>
          <w:rFonts w:hint="eastAsia" w:ascii="宋体" w:hAnsi="宋体" w:cs="宋体"/>
          <w:b/>
          <w:bCs/>
          <w:color w:val="auto"/>
          <w:sz w:val="24"/>
          <w:highlight w:val="none"/>
        </w:rPr>
        <w:t>（联合体投标时必须提供）</w:t>
      </w:r>
      <w:r>
        <w:rPr>
          <w:rFonts w:hint="eastAsia" w:ascii="宋体" w:hAnsi="宋体" w:cs="宋体"/>
          <w:color w:val="auto"/>
          <w:sz w:val="24"/>
          <w:highlight w:val="none"/>
        </w:rPr>
        <w:t>（格式见第六章）</w:t>
      </w:r>
    </w:p>
    <w:p>
      <w:pPr>
        <w:snapToGrid w:val="0"/>
        <w:spacing w:line="360" w:lineRule="auto"/>
        <w:ind w:right="-143" w:rightChars="-68" w:firstLine="480" w:firstLineChars="200"/>
        <w:rPr>
          <w:rFonts w:ascii="宋体" w:hAnsi="宋体" w:cs="宋体"/>
          <w:b/>
          <w:color w:val="auto"/>
          <w:sz w:val="24"/>
          <w:highlight w:val="none"/>
        </w:rPr>
      </w:pPr>
      <w:r>
        <w:rPr>
          <w:rFonts w:hint="eastAsia" w:ascii="宋体" w:hAnsi="宋体" w:cs="宋体"/>
          <w:color w:val="auto"/>
          <w:sz w:val="24"/>
          <w:highlight w:val="none"/>
        </w:rPr>
        <w:t>（11）特殊资质要求：无。</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2.2.1</w:t>
      </w:r>
      <w:r>
        <w:rPr>
          <w:rFonts w:hint="eastAsia" w:ascii="宋体" w:hAnsi="宋体" w:cs="宋体"/>
          <w:color w:val="auto"/>
          <w:sz w:val="24"/>
          <w:highlight w:val="none"/>
        </w:rPr>
        <w:t>有效的三证合一的营业执照副本复印件；</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2.2.2法定代表人</w:t>
      </w:r>
      <w:r>
        <w:rPr>
          <w:rFonts w:hint="eastAsia" w:hAnsi="宋体"/>
          <w:b/>
          <w:color w:val="auto"/>
          <w:sz w:val="24"/>
          <w:highlight w:val="none"/>
        </w:rPr>
        <w:t>（或负责人）</w:t>
      </w:r>
      <w:r>
        <w:rPr>
          <w:rFonts w:hint="eastAsia" w:ascii="宋体" w:hAnsi="宋体" w:cs="宋体"/>
          <w:b/>
          <w:color w:val="auto"/>
          <w:sz w:val="24"/>
          <w:highlight w:val="none"/>
        </w:rPr>
        <w:t>完整有效的身份证复印件；</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2.2.3-1法定代表人</w:t>
      </w:r>
      <w:r>
        <w:rPr>
          <w:rFonts w:hint="eastAsia" w:hAnsi="宋体"/>
          <w:b/>
          <w:color w:val="auto"/>
          <w:sz w:val="24"/>
          <w:highlight w:val="none"/>
        </w:rPr>
        <w:t>（或负责人）</w:t>
      </w:r>
      <w:r>
        <w:rPr>
          <w:rFonts w:hint="eastAsia" w:ascii="宋体" w:hAnsi="宋体" w:cs="宋体"/>
          <w:b/>
          <w:color w:val="auto"/>
          <w:sz w:val="24"/>
          <w:highlight w:val="none"/>
        </w:rPr>
        <w:t>授权委托书格式：</w:t>
      </w:r>
    </w:p>
    <w:p>
      <w:pPr>
        <w:pStyle w:val="51"/>
        <w:snapToGrid w:val="0"/>
        <w:spacing w:line="360" w:lineRule="auto"/>
        <w:rPr>
          <w:color w:val="auto"/>
          <w:highlight w:val="none"/>
        </w:rPr>
      </w:pP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法定代表人（或负责人）授权委托书</w:t>
      </w:r>
    </w:p>
    <w:p>
      <w:pPr>
        <w:snapToGrid w:val="0"/>
        <w:spacing w:line="360" w:lineRule="auto"/>
        <w:rPr>
          <w:rFonts w:ascii="宋体" w:hAnsi="宋体" w:cs="宋体"/>
          <w:bCs/>
          <w:color w:val="auto"/>
          <w:sz w:val="24"/>
          <w:highlight w:val="none"/>
        </w:rPr>
      </w:pPr>
    </w:p>
    <w:p>
      <w:pPr>
        <w:snapToGrid w:val="0"/>
        <w:spacing w:line="360"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rPr>
        <w:t>（采购代理机构名称）：</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w:t>
      </w:r>
      <w:r>
        <w:rPr>
          <w:rFonts w:hint="eastAsia" w:ascii="宋体" w:hAnsi="宋体" w:cs="宋体"/>
          <w:color w:val="auto"/>
          <w:sz w:val="24"/>
          <w:highlight w:val="none"/>
        </w:rPr>
        <w:t>姓名）系</w:t>
      </w:r>
      <w:r>
        <w:rPr>
          <w:rFonts w:hint="eastAsia" w:ascii="宋体" w:hAnsi="宋体" w:cs="宋体"/>
          <w:color w:val="auto"/>
          <w:sz w:val="24"/>
          <w:highlight w:val="none"/>
          <w:u w:val="single"/>
        </w:rPr>
        <w:t>（</w:t>
      </w:r>
      <w:r>
        <w:rPr>
          <w:rFonts w:hint="eastAsia" w:ascii="宋体" w:hAnsi="宋体" w:cs="宋体"/>
          <w:color w:val="auto"/>
          <w:sz w:val="24"/>
          <w:highlight w:val="none"/>
        </w:rPr>
        <w:t>投标人名称）的法定代表人</w:t>
      </w:r>
      <w:r>
        <w:rPr>
          <w:rFonts w:hint="eastAsia" w:hAnsi="宋体"/>
          <w:color w:val="auto"/>
          <w:sz w:val="24"/>
          <w:highlight w:val="none"/>
        </w:rPr>
        <w:t>（或负责人）</w:t>
      </w:r>
      <w:r>
        <w:rPr>
          <w:rFonts w:hint="eastAsia" w:ascii="宋体" w:hAnsi="宋体" w:cs="宋体"/>
          <w:color w:val="auto"/>
          <w:sz w:val="24"/>
          <w:highlight w:val="none"/>
        </w:rPr>
        <w:t>，现授权委托本单位在职职工</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姓名）以我方的名义参加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   ）的投标活动，并代表我方全权办理针对上述项目的投标、开标、评标、签约等具体事务和签署相关文件。</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我方对被授权人的签名事项负全部责任。</w:t>
      </w:r>
    </w:p>
    <w:p>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被授权人签名：法定代表人</w:t>
      </w:r>
      <w:r>
        <w:rPr>
          <w:rFonts w:hint="eastAsia" w:hAnsi="宋体"/>
          <w:color w:val="auto"/>
          <w:sz w:val="24"/>
          <w:highlight w:val="none"/>
        </w:rPr>
        <w:t>（或负责人）</w:t>
      </w:r>
      <w:r>
        <w:rPr>
          <w:rFonts w:hint="eastAsia" w:ascii="宋体" w:hAnsi="宋体" w:cs="宋体"/>
          <w:color w:val="auto"/>
          <w:sz w:val="24"/>
          <w:highlight w:val="none"/>
        </w:rPr>
        <w:t>签名：</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所在部门职务：职务：</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被授权人身份证号码：</w:t>
      </w:r>
    </w:p>
    <w:p>
      <w:pPr>
        <w:snapToGrid w:val="0"/>
        <w:spacing w:line="360" w:lineRule="auto"/>
        <w:rPr>
          <w:rFonts w:ascii="宋体" w:hAnsi="宋体" w:cs="宋体"/>
          <w:color w:val="auto"/>
          <w:sz w:val="24"/>
          <w:highlight w:val="none"/>
        </w:rPr>
      </w:pPr>
    </w:p>
    <w:p>
      <w:pPr>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line="360" w:lineRule="auto"/>
        <w:jc w:val="center"/>
        <w:rPr>
          <w:rFonts w:ascii="宋体" w:hAnsi="宋体" w:cs="宋体"/>
          <w:color w:val="auto"/>
          <w:szCs w:val="21"/>
          <w:highlight w:val="none"/>
        </w:rPr>
      </w:pP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2.2.3-2委托代理人完整有效的身份证复印件（委托代理时必须提供）；</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2.2.4</w:t>
      </w:r>
      <w:r>
        <w:rPr>
          <w:rFonts w:hint="eastAsia" w:ascii="宋体" w:hAnsi="宋体" w:cs="宋体"/>
          <w:b/>
          <w:bCs/>
          <w:color w:val="auto"/>
          <w:sz w:val="24"/>
          <w:highlight w:val="none"/>
        </w:rPr>
        <w:t>截标时间前半年内，任意三个月投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成立不足3个月的供应商按实际情况提供）</w:t>
      </w:r>
      <w:r>
        <w:rPr>
          <w:rFonts w:hint="eastAsia" w:ascii="宋体" w:hAnsi="宋体"/>
          <w:color w:val="auto"/>
          <w:sz w:val="24"/>
          <w:highlight w:val="none"/>
        </w:rPr>
        <w:t>；</w:t>
      </w:r>
    </w:p>
    <w:p>
      <w:pPr>
        <w:snapToGrid w:val="0"/>
        <w:spacing w:line="360" w:lineRule="auto"/>
        <w:rPr>
          <w:rFonts w:ascii="宋体" w:hAnsi="宋体" w:cs="宋体"/>
          <w:b/>
          <w:color w:val="auto"/>
          <w:spacing w:val="20"/>
          <w:sz w:val="24"/>
          <w:highlight w:val="none"/>
          <w:u w:val="single"/>
        </w:rPr>
      </w:pPr>
      <w:r>
        <w:rPr>
          <w:rFonts w:hint="eastAsia" w:ascii="宋体" w:hAnsi="宋体" w:cs="宋体"/>
          <w:b/>
          <w:color w:val="auto"/>
          <w:sz w:val="24"/>
          <w:highlight w:val="none"/>
        </w:rPr>
        <w:t>2.2.5</w:t>
      </w:r>
      <w:r>
        <w:rPr>
          <w:rFonts w:hint="eastAsia" w:ascii="宋体" w:hAnsi="宋体" w:cs="宋体"/>
          <w:b/>
          <w:bCs/>
          <w:color w:val="auto"/>
          <w:sz w:val="24"/>
          <w:highlight w:val="none"/>
        </w:rPr>
        <w:t>截标时间前半年内，任意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成立不足3个月的供应商按实际情况提供）</w:t>
      </w:r>
      <w:r>
        <w:rPr>
          <w:rFonts w:hint="eastAsia" w:ascii="宋体" w:hAnsi="宋体"/>
          <w:color w:val="auto"/>
          <w:sz w:val="24"/>
          <w:highlight w:val="none"/>
        </w:rPr>
        <w:t>；</w:t>
      </w:r>
    </w:p>
    <w:p>
      <w:pPr>
        <w:snapToGrid w:val="0"/>
        <w:spacing w:line="360" w:lineRule="auto"/>
        <w:ind w:left="-2" w:leftChars="-1" w:firstLine="2"/>
        <w:rPr>
          <w:rFonts w:ascii="宋体" w:hAnsi="宋体" w:cs="宋体"/>
          <w:b/>
          <w:color w:val="auto"/>
          <w:spacing w:val="20"/>
          <w:sz w:val="24"/>
          <w:highlight w:val="none"/>
          <w:u w:val="single"/>
        </w:rPr>
      </w:pPr>
      <w:r>
        <w:rPr>
          <w:rFonts w:hint="eastAsia" w:ascii="宋体" w:hAnsi="宋体" w:cs="宋体"/>
          <w:b/>
          <w:color w:val="auto"/>
          <w:sz w:val="24"/>
          <w:highlight w:val="none"/>
        </w:rPr>
        <w:t>2.2.6 参加政府采购活动前3年内在经营活动中没有重大违法记录的书面声明（格式自拟）；</w:t>
      </w:r>
    </w:p>
    <w:p>
      <w:pPr>
        <w:snapToGrid w:val="0"/>
        <w:spacing w:line="360" w:lineRule="auto"/>
        <w:ind w:left="-2" w:leftChars="-1" w:firstLine="2"/>
        <w:rPr>
          <w:rFonts w:ascii="宋体" w:hAnsi="宋体" w:cs="宋体"/>
          <w:b/>
          <w:color w:val="auto"/>
          <w:spacing w:val="20"/>
          <w:sz w:val="24"/>
          <w:highlight w:val="none"/>
          <w:u w:val="single"/>
        </w:rPr>
      </w:pPr>
    </w:p>
    <w:p>
      <w:pPr>
        <w:snapToGrid w:val="0"/>
        <w:spacing w:line="360" w:lineRule="auto"/>
        <w:rPr>
          <w:rFonts w:ascii="宋体" w:hAnsi="宋体" w:cs="宋体"/>
          <w:b/>
          <w:color w:val="auto"/>
          <w:kern w:val="0"/>
          <w:sz w:val="24"/>
          <w:highlight w:val="none"/>
        </w:rPr>
      </w:pPr>
      <w:r>
        <w:rPr>
          <w:rFonts w:hint="eastAsia" w:ascii="宋体" w:hAnsi="宋体" w:cs="宋体"/>
          <w:b/>
          <w:color w:val="auto"/>
          <w:spacing w:val="20"/>
          <w:kern w:val="0"/>
          <w:sz w:val="24"/>
          <w:highlight w:val="none"/>
        </w:rPr>
        <w:t>2.2.7</w:t>
      </w:r>
      <w:r>
        <w:rPr>
          <w:rFonts w:hint="eastAsia" w:ascii="宋体" w:hAnsi="宋体" w:cs="宋体"/>
          <w:b/>
          <w:color w:val="auto"/>
          <w:sz w:val="24"/>
          <w:highlight w:val="none"/>
        </w:rPr>
        <w:t>信用声明函（格式）：</w:t>
      </w:r>
    </w:p>
    <w:p>
      <w:pPr>
        <w:snapToGri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信用声明函（格式）</w:t>
      </w:r>
    </w:p>
    <w:p>
      <w:pPr>
        <w:snapToGrid w:val="0"/>
        <w:spacing w:line="360" w:lineRule="auto"/>
        <w:jc w:val="center"/>
        <w:rPr>
          <w:rFonts w:ascii="宋体" w:hAnsi="宋体" w:cs="宋体"/>
          <w:b/>
          <w:color w:val="auto"/>
          <w:kern w:val="0"/>
          <w:sz w:val="30"/>
          <w:szCs w:val="30"/>
          <w:highlight w:val="none"/>
        </w:rPr>
      </w:pPr>
    </w:p>
    <w:p>
      <w:pPr>
        <w:tabs>
          <w:tab w:val="left" w:pos="7200"/>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致：（采购代理机构名称）</w:t>
      </w:r>
    </w:p>
    <w:p>
      <w:pPr>
        <w:tabs>
          <w:tab w:val="left" w:pos="7200"/>
        </w:tabs>
        <w:snapToGrid w:val="0"/>
        <w:spacing w:line="360" w:lineRule="auto"/>
        <w:ind w:firstLine="480" w:firstLineChars="200"/>
        <w:jc w:val="left"/>
        <w:rPr>
          <w:rFonts w:ascii="宋体" w:hAnsi="宋体" w:cs="宋体"/>
          <w:color w:val="auto"/>
          <w:sz w:val="24"/>
          <w:highlight w:val="none"/>
        </w:rPr>
      </w:pPr>
    </w:p>
    <w:p>
      <w:pPr>
        <w:tabs>
          <w:tab w:val="left" w:pos="7200"/>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（项目编号：   ）项目的投标，为便于贵方公正、择优地确定中标供应商及其投标服务成果和服务，我方就本次投标有关事项郑重声明如下：</w:t>
      </w:r>
    </w:p>
    <w:p>
      <w:pPr>
        <w:tabs>
          <w:tab w:val="left" w:pos="7200"/>
        </w:tabs>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 经查询，在规定的查询时间内，“信用中国”和“中国政府采购网”网站我方未被列入失信被执行人、重大税收违法案件当事人名单、政府采购严重违法失信行为记录名单。</w:t>
      </w:r>
    </w:p>
    <w:p>
      <w:pPr>
        <w:tabs>
          <w:tab w:val="left" w:pos="72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以上事项如有虚假或隐瞒，我方愿意承担一切后果，并不再寻求任何旨在减轻或免除法律责任的辩解。</w:t>
      </w:r>
    </w:p>
    <w:p>
      <w:pPr>
        <w:tabs>
          <w:tab w:val="left" w:pos="7200"/>
        </w:tabs>
        <w:snapToGrid w:val="0"/>
        <w:spacing w:line="360" w:lineRule="auto"/>
        <w:ind w:firstLine="959" w:firstLineChars="398"/>
        <w:rPr>
          <w:rFonts w:ascii="宋体" w:hAnsi="宋体" w:cs="宋体"/>
          <w:b/>
          <w:color w:val="auto"/>
          <w:sz w:val="24"/>
          <w:highlight w:val="none"/>
        </w:rPr>
      </w:pPr>
    </w:p>
    <w:p>
      <w:pPr>
        <w:tabs>
          <w:tab w:val="left" w:pos="7200"/>
        </w:tabs>
        <w:snapToGrid w:val="0"/>
        <w:spacing w:line="360" w:lineRule="auto"/>
        <w:ind w:firstLine="959" w:firstLineChars="398"/>
        <w:rPr>
          <w:rFonts w:ascii="宋体" w:hAnsi="宋体" w:cs="宋体"/>
          <w:b/>
          <w:color w:val="auto"/>
          <w:sz w:val="24"/>
          <w:highlight w:val="none"/>
        </w:rPr>
      </w:pPr>
    </w:p>
    <w:p>
      <w:pPr>
        <w:tabs>
          <w:tab w:val="left" w:pos="7200"/>
        </w:tabs>
        <w:snapToGrid w:val="0"/>
        <w:spacing w:line="360" w:lineRule="auto"/>
        <w:ind w:firstLine="959" w:firstLineChars="398"/>
        <w:rPr>
          <w:rFonts w:ascii="宋体" w:hAnsi="宋体" w:cs="宋体"/>
          <w:b/>
          <w:color w:val="auto"/>
          <w:sz w:val="24"/>
          <w:highlight w:val="none"/>
          <w:u w:val="single"/>
        </w:rPr>
      </w:pPr>
      <w:r>
        <w:rPr>
          <w:rFonts w:hint="eastAsia" w:ascii="宋体" w:hAnsi="宋体" w:cs="宋体"/>
          <w:b/>
          <w:color w:val="auto"/>
          <w:sz w:val="24"/>
          <w:highlight w:val="none"/>
        </w:rPr>
        <w:t>法定代表人（或负责人）或其委托代理人（签字）：</w:t>
      </w:r>
    </w:p>
    <w:p>
      <w:pPr>
        <w:tabs>
          <w:tab w:val="left" w:pos="7200"/>
        </w:tabs>
        <w:snapToGrid w:val="0"/>
        <w:spacing w:line="360" w:lineRule="auto"/>
        <w:ind w:firstLine="3132" w:firstLineChars="1300"/>
        <w:jc w:val="left"/>
        <w:rPr>
          <w:rFonts w:ascii="宋体" w:hAnsi="宋体" w:cs="宋体"/>
          <w:b/>
          <w:color w:val="auto"/>
          <w:sz w:val="24"/>
          <w:highlight w:val="none"/>
        </w:rPr>
      </w:pPr>
      <w:r>
        <w:rPr>
          <w:rFonts w:hint="eastAsia" w:ascii="宋体" w:hAnsi="宋体" w:cs="宋体"/>
          <w:b/>
          <w:color w:val="auto"/>
          <w:sz w:val="24"/>
          <w:highlight w:val="none"/>
        </w:rPr>
        <w:t>投标人（盖章）：</w:t>
      </w:r>
    </w:p>
    <w:p>
      <w:pPr>
        <w:tabs>
          <w:tab w:val="left" w:pos="7200"/>
        </w:tabs>
        <w:snapToGrid w:val="0"/>
        <w:spacing w:line="360" w:lineRule="auto"/>
        <w:ind w:left="6720" w:leftChars="3200" w:firstLine="116" w:firstLineChars="48"/>
        <w:jc w:val="left"/>
        <w:rPr>
          <w:rFonts w:ascii="宋体" w:hAnsi="宋体" w:cs="宋体"/>
          <w:b/>
          <w:color w:val="auto"/>
          <w:sz w:val="24"/>
          <w:highlight w:val="none"/>
        </w:rPr>
      </w:pPr>
      <w:r>
        <w:rPr>
          <w:rFonts w:hint="eastAsia" w:ascii="宋体" w:hAnsi="宋体" w:cs="宋体"/>
          <w:b/>
          <w:color w:val="auto"/>
          <w:sz w:val="24"/>
          <w:highlight w:val="none"/>
        </w:rPr>
        <w:t>年    月     日</w:t>
      </w:r>
    </w:p>
    <w:p>
      <w:pPr>
        <w:overflowPunct w:val="0"/>
        <w:snapToGrid w:val="0"/>
        <w:spacing w:line="360" w:lineRule="auto"/>
        <w:rPr>
          <w:rFonts w:ascii="宋体" w:hAnsi="宋体" w:cs="宋体"/>
          <w:b/>
          <w:color w:val="auto"/>
          <w:sz w:val="24"/>
          <w:highlight w:val="none"/>
        </w:rPr>
      </w:pPr>
    </w:p>
    <w:p>
      <w:pPr>
        <w:overflowPunct w:val="0"/>
        <w:snapToGrid w:val="0"/>
        <w:spacing w:line="360" w:lineRule="auto"/>
        <w:rPr>
          <w:rFonts w:ascii="宋体" w:hAnsi="宋体" w:cs="宋体"/>
          <w:b/>
          <w:color w:val="auto"/>
          <w:spacing w:val="20"/>
          <w:sz w:val="24"/>
          <w:highlight w:val="none"/>
        </w:rPr>
      </w:pPr>
      <w:r>
        <w:rPr>
          <w:rFonts w:hint="eastAsia" w:ascii="宋体" w:hAnsi="宋体" w:cs="宋体"/>
          <w:b/>
          <w:color w:val="auto"/>
          <w:spacing w:val="20"/>
          <w:sz w:val="24"/>
          <w:highlight w:val="none"/>
        </w:rPr>
        <w:t>2.2.8</w:t>
      </w:r>
      <w:r>
        <w:rPr>
          <w:rFonts w:hint="eastAsia" w:ascii="宋体" w:hAnsi="宋体" w:cs="宋体"/>
          <w:b/>
          <w:color w:val="auto"/>
          <w:sz w:val="24"/>
          <w:highlight w:val="none"/>
        </w:rPr>
        <w:t>投标人近期财务状况报告（2020年度经第三方审计的财务报告；或投标人基本开户银行出具的资信证明复印件；或截标时间前半年内能反映财务状况的报表）；成立不足3个月的供应商按实际情况提供；</w:t>
      </w:r>
    </w:p>
    <w:p>
      <w:pPr>
        <w:overflowPunct w:val="0"/>
        <w:snapToGrid w:val="0"/>
        <w:spacing w:line="360" w:lineRule="auto"/>
        <w:rPr>
          <w:rFonts w:ascii="宋体" w:hAnsi="宋体" w:cs="宋体"/>
          <w:b/>
          <w:color w:val="auto"/>
          <w:spacing w:val="20"/>
          <w:sz w:val="24"/>
          <w:highlight w:val="none"/>
        </w:rPr>
      </w:pPr>
    </w:p>
    <w:p>
      <w:pPr>
        <w:snapToGrid w:val="0"/>
        <w:spacing w:line="360" w:lineRule="auto"/>
        <w:ind w:firstLine="562" w:firstLineChars="200"/>
        <w:jc w:val="left"/>
        <w:rPr>
          <w:rFonts w:ascii="宋体" w:hAnsi="宋体" w:cs="宋体"/>
          <w:b/>
          <w:color w:val="auto"/>
          <w:spacing w:val="20"/>
          <w:sz w:val="24"/>
          <w:highlight w:val="none"/>
        </w:rPr>
      </w:pPr>
    </w:p>
    <w:p>
      <w:pPr>
        <w:snapToGrid w:val="0"/>
        <w:spacing w:line="360" w:lineRule="auto"/>
        <w:ind w:firstLine="562" w:firstLineChars="200"/>
        <w:jc w:val="left"/>
        <w:rPr>
          <w:rFonts w:ascii="宋体" w:hAnsi="宋体" w:cs="宋体"/>
          <w:b/>
          <w:color w:val="auto"/>
          <w:spacing w:val="20"/>
          <w:sz w:val="24"/>
          <w:highlight w:val="none"/>
        </w:rPr>
      </w:pPr>
    </w:p>
    <w:p>
      <w:pPr>
        <w:snapToGrid w:val="0"/>
        <w:spacing w:line="360" w:lineRule="auto"/>
        <w:jc w:val="left"/>
        <w:rPr>
          <w:rFonts w:ascii="宋体" w:hAnsi="宋体" w:cs="宋体"/>
          <w:color w:val="auto"/>
          <w:sz w:val="24"/>
          <w:highlight w:val="none"/>
        </w:rPr>
      </w:pPr>
      <w:r>
        <w:rPr>
          <w:rFonts w:hint="eastAsia" w:ascii="宋体" w:hAnsi="宋体" w:cs="宋体"/>
          <w:b/>
          <w:color w:val="auto"/>
          <w:spacing w:val="20"/>
          <w:sz w:val="24"/>
          <w:highlight w:val="none"/>
        </w:rPr>
        <w:t>2.2.9</w:t>
      </w:r>
      <w:r>
        <w:rPr>
          <w:rFonts w:hint="eastAsia" w:ascii="宋体" w:hAnsi="宋体" w:cs="宋体"/>
          <w:b/>
          <w:color w:val="auto"/>
          <w:sz w:val="24"/>
          <w:highlight w:val="none"/>
        </w:rPr>
        <w:t>联合体协议书；（联合体投标时必须提供）</w:t>
      </w:r>
    </w:p>
    <w:p>
      <w:pPr>
        <w:snapToGrid w:val="0"/>
        <w:spacing w:line="360" w:lineRule="auto"/>
        <w:ind w:firstLine="420" w:firstLineChars="200"/>
        <w:jc w:val="left"/>
        <w:rPr>
          <w:rFonts w:ascii="宋体" w:hAnsi="宋体" w:cs="宋体"/>
          <w:color w:val="auto"/>
          <w:szCs w:val="21"/>
          <w:highlight w:val="none"/>
        </w:rPr>
      </w:pPr>
    </w:p>
    <w:p>
      <w:pPr>
        <w:snapToGrid w:val="0"/>
        <w:spacing w:line="360" w:lineRule="auto"/>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联合体协议书（格式）</w:t>
      </w:r>
    </w:p>
    <w:p>
      <w:pPr>
        <w:autoSpaceDE w:val="0"/>
        <w:autoSpaceDN w:val="0"/>
        <w:adjustRightInd w:val="0"/>
        <w:snapToGrid w:val="0"/>
        <w:spacing w:line="360" w:lineRule="auto"/>
        <w:jc w:val="left"/>
        <w:rPr>
          <w:rFonts w:ascii="宋体" w:hAnsi="宋体" w:cs="宋体"/>
          <w:color w:val="auto"/>
          <w:kern w:val="0"/>
          <w:sz w:val="28"/>
          <w:szCs w:val="28"/>
          <w:highlight w:val="none"/>
          <w:u w:val="single"/>
        </w:rPr>
      </w:pPr>
    </w:p>
    <w:p>
      <w:pPr>
        <w:autoSpaceDE w:val="0"/>
        <w:autoSpaceDN w:val="0"/>
        <w:adjustRightInd w:val="0"/>
        <w:snapToGrid w:val="0"/>
        <w:spacing w:line="360" w:lineRule="auto"/>
        <w:jc w:val="left"/>
        <w:rPr>
          <w:rFonts w:ascii="宋体" w:cs="宋体"/>
          <w:color w:val="auto"/>
          <w:kern w:val="0"/>
          <w:sz w:val="24"/>
          <w:highlight w:val="none"/>
        </w:rPr>
      </w:pPr>
      <w:r>
        <w:rPr>
          <w:rFonts w:hint="eastAsia" w:ascii="宋体" w:cs="宋体"/>
          <w:color w:val="auto"/>
          <w:kern w:val="0"/>
          <w:sz w:val="24"/>
          <w:highlight w:val="none"/>
          <w:u w:val="single"/>
        </w:rPr>
        <w:t>（所有成员单位名称）</w:t>
      </w:r>
      <w:r>
        <w:rPr>
          <w:rFonts w:hint="eastAsia" w:ascii="宋体" w:cs="宋体"/>
          <w:color w:val="auto"/>
          <w:kern w:val="0"/>
          <w:sz w:val="24"/>
          <w:highlight w:val="none"/>
        </w:rPr>
        <w:t>自愿组成联合体，共同参加</w:t>
      </w:r>
      <w:r>
        <w:rPr>
          <w:rFonts w:hint="eastAsia" w:ascii="宋体" w:cs="宋体"/>
          <w:color w:val="auto"/>
          <w:kern w:val="0"/>
          <w:sz w:val="24"/>
          <w:highlight w:val="none"/>
          <w:u w:val="single"/>
        </w:rPr>
        <w:t>（采购代理机构名称）</w:t>
      </w:r>
      <w:r>
        <w:rPr>
          <w:rFonts w:hint="eastAsia" w:ascii="宋体" w:cs="宋体"/>
          <w:color w:val="auto"/>
          <w:kern w:val="0"/>
          <w:sz w:val="24"/>
          <w:highlight w:val="none"/>
        </w:rPr>
        <w:t>组织的</w:t>
      </w:r>
      <w:r>
        <w:rPr>
          <w:rFonts w:hint="eastAsia" w:ascii="宋体" w:cs="宋体"/>
          <w:color w:val="auto"/>
          <w:kern w:val="0"/>
          <w:sz w:val="24"/>
          <w:highlight w:val="none"/>
          <w:u w:val="single"/>
        </w:rPr>
        <w:t>（项目名称）</w:t>
      </w:r>
      <w:r>
        <w:rPr>
          <w:rFonts w:hint="eastAsia" w:ascii="宋体" w:cs="宋体"/>
          <w:color w:val="auto"/>
          <w:kern w:val="0"/>
          <w:sz w:val="24"/>
          <w:highlight w:val="none"/>
        </w:rPr>
        <w:t>（项目编号：）投标。现就联合体投标事宜订立如下协议：</w:t>
      </w:r>
    </w:p>
    <w:p>
      <w:pPr>
        <w:autoSpaceDE w:val="0"/>
        <w:autoSpaceDN w:val="0"/>
        <w:adjustRightInd w:val="0"/>
        <w:snapToGrid w:val="0"/>
        <w:spacing w:line="360" w:lineRule="auto"/>
        <w:ind w:firstLine="420"/>
        <w:jc w:val="left"/>
        <w:rPr>
          <w:rFonts w:ascii="宋体" w:hAnsi="宋体" w:cs="宋体"/>
          <w:color w:val="auto"/>
          <w:kern w:val="0"/>
          <w:sz w:val="24"/>
          <w:highlight w:val="none"/>
        </w:rPr>
      </w:pPr>
      <w:r>
        <w:rPr>
          <w:rFonts w:hint="eastAsia" w:ascii="宋体" w:hAnsi="宋体" w:cs="TimesNewRomanPSMT"/>
          <w:color w:val="auto"/>
          <w:kern w:val="0"/>
          <w:sz w:val="24"/>
          <w:highlight w:val="none"/>
        </w:rPr>
        <w:t>1</w:t>
      </w:r>
      <w:r>
        <w:rPr>
          <w:rFonts w:hint="eastAsia" w:ascii="宋体" w:hAnsi="宋体" w:cs="宋体"/>
          <w:color w:val="auto"/>
          <w:kern w:val="0"/>
          <w:sz w:val="24"/>
          <w:highlight w:val="none"/>
        </w:rPr>
        <w:t>、</w:t>
      </w:r>
      <w:r>
        <w:rPr>
          <w:color w:val="auto"/>
          <w:sz w:val="24"/>
          <w:highlight w:val="none"/>
        </w:rPr>
        <w:t>________________________</w:t>
      </w:r>
      <w:r>
        <w:rPr>
          <w:rFonts w:hint="eastAsia" w:ascii="宋体" w:hAnsi="宋体" w:cs="宋体"/>
          <w:color w:val="auto"/>
          <w:kern w:val="0"/>
          <w:sz w:val="24"/>
          <w:highlight w:val="none"/>
        </w:rPr>
        <w:t>（某成员单位名称）为联合体名称牵头人。</w:t>
      </w:r>
    </w:p>
    <w:p>
      <w:pPr>
        <w:autoSpaceDE w:val="0"/>
        <w:autoSpaceDN w:val="0"/>
        <w:adjustRightInd w:val="0"/>
        <w:snapToGrid w:val="0"/>
        <w:spacing w:line="360" w:lineRule="auto"/>
        <w:ind w:firstLine="420"/>
        <w:jc w:val="left"/>
        <w:rPr>
          <w:rFonts w:ascii="宋体" w:hAnsi="宋体" w:cs="宋体"/>
          <w:color w:val="auto"/>
          <w:kern w:val="0"/>
          <w:sz w:val="24"/>
          <w:highlight w:val="none"/>
        </w:rPr>
      </w:pPr>
      <w:r>
        <w:rPr>
          <w:rFonts w:hint="eastAsia" w:ascii="宋体" w:hAnsi="宋体" w:cs="TimesNewRomanPSMT"/>
          <w:color w:val="auto"/>
          <w:kern w:val="0"/>
          <w:sz w:val="24"/>
          <w:highlight w:val="none"/>
        </w:rPr>
        <w:t>2</w:t>
      </w:r>
      <w:r>
        <w:rPr>
          <w:rFonts w:hint="eastAsia" w:ascii="宋体" w:hAnsi="宋体" w:cs="宋体"/>
          <w:color w:val="auto"/>
          <w:kern w:val="0"/>
          <w:sz w:val="24"/>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napToGrid w:val="0"/>
        <w:spacing w:line="360" w:lineRule="auto"/>
        <w:ind w:firstLine="420"/>
        <w:jc w:val="left"/>
        <w:rPr>
          <w:rFonts w:ascii="宋体" w:hAnsi="宋体" w:cs="宋体"/>
          <w:color w:val="auto"/>
          <w:kern w:val="0"/>
          <w:sz w:val="24"/>
          <w:highlight w:val="none"/>
        </w:rPr>
      </w:pPr>
      <w:r>
        <w:rPr>
          <w:rFonts w:hint="eastAsia" w:ascii="宋体" w:hAnsi="宋体" w:cs="TimesNewRomanPSMT"/>
          <w:color w:val="auto"/>
          <w:kern w:val="0"/>
          <w:sz w:val="24"/>
          <w:highlight w:val="none"/>
        </w:rPr>
        <w:t>3</w:t>
      </w:r>
      <w:r>
        <w:rPr>
          <w:rFonts w:hint="eastAsia" w:ascii="宋体" w:hAnsi="宋体" w:cs="宋体"/>
          <w:color w:val="auto"/>
          <w:kern w:val="0"/>
          <w:sz w:val="24"/>
          <w:highlight w:val="none"/>
        </w:rPr>
        <w:t>、联合体将严格按照招标文件的各项要求，递交投标文件，履行合同，并对外承担连带责任。</w:t>
      </w:r>
    </w:p>
    <w:p>
      <w:pPr>
        <w:autoSpaceDE w:val="0"/>
        <w:autoSpaceDN w:val="0"/>
        <w:adjustRightInd w:val="0"/>
        <w:snapToGrid w:val="0"/>
        <w:spacing w:line="360" w:lineRule="auto"/>
        <w:ind w:firstLine="420"/>
        <w:jc w:val="left"/>
        <w:rPr>
          <w:rFonts w:ascii="宋体" w:hAnsi="宋体" w:cs="宋体"/>
          <w:color w:val="auto"/>
          <w:kern w:val="0"/>
          <w:sz w:val="24"/>
          <w:highlight w:val="none"/>
        </w:rPr>
      </w:pPr>
      <w:r>
        <w:rPr>
          <w:rFonts w:hint="eastAsia" w:ascii="宋体" w:hAnsi="宋体" w:cs="TimesNewRomanPSMT"/>
          <w:color w:val="auto"/>
          <w:kern w:val="0"/>
          <w:sz w:val="24"/>
          <w:highlight w:val="none"/>
        </w:rPr>
        <w:t>4</w:t>
      </w:r>
      <w:r>
        <w:rPr>
          <w:rFonts w:hint="eastAsia" w:ascii="宋体" w:hAnsi="宋体" w:cs="宋体"/>
          <w:color w:val="auto"/>
          <w:kern w:val="0"/>
          <w:sz w:val="24"/>
          <w:highlight w:val="none"/>
        </w:rPr>
        <w:t>、联合体各成员单位内部的职责分工如下：</w:t>
      </w:r>
      <w:r>
        <w:rPr>
          <w:color w:val="auto"/>
          <w:sz w:val="24"/>
          <w:highlight w:val="none"/>
        </w:rPr>
        <w:t>________________________________________________</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本联合体中，________________________（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pPr>
        <w:autoSpaceDE w:val="0"/>
        <w:autoSpaceDN w:val="0"/>
        <w:adjustRightInd w:val="0"/>
        <w:snapToGrid w:val="0"/>
        <w:spacing w:line="360" w:lineRule="auto"/>
        <w:ind w:firstLine="420"/>
        <w:jc w:val="left"/>
        <w:rPr>
          <w:rFonts w:ascii="宋体" w:hAnsi="宋体" w:cs="宋体"/>
          <w:color w:val="auto"/>
          <w:kern w:val="0"/>
          <w:sz w:val="24"/>
          <w:highlight w:val="none"/>
        </w:rPr>
      </w:pPr>
      <w:r>
        <w:rPr>
          <w:rFonts w:hint="eastAsia" w:ascii="宋体" w:hAnsi="宋体" w:cs="TimesNewRomanPSMT"/>
          <w:color w:val="auto"/>
          <w:kern w:val="0"/>
          <w:sz w:val="24"/>
          <w:highlight w:val="none"/>
        </w:rPr>
        <w:t>6</w:t>
      </w:r>
      <w:r>
        <w:rPr>
          <w:rFonts w:hint="eastAsia" w:ascii="宋体" w:hAnsi="宋体" w:cs="宋体"/>
          <w:color w:val="auto"/>
          <w:kern w:val="0"/>
          <w:sz w:val="24"/>
          <w:highlight w:val="none"/>
        </w:rPr>
        <w:t>、本协议书自签署之日起生效，合同履行完毕后自动失效。</w:t>
      </w:r>
    </w:p>
    <w:p>
      <w:pPr>
        <w:autoSpaceDE w:val="0"/>
        <w:autoSpaceDN w:val="0"/>
        <w:adjustRightInd w:val="0"/>
        <w:snapToGrid w:val="0"/>
        <w:spacing w:line="360" w:lineRule="auto"/>
        <w:ind w:firstLine="420"/>
        <w:jc w:val="left"/>
        <w:rPr>
          <w:rFonts w:ascii="宋体" w:hAnsi="宋体" w:cs="宋体"/>
          <w:color w:val="auto"/>
          <w:kern w:val="0"/>
          <w:sz w:val="24"/>
          <w:highlight w:val="none"/>
        </w:rPr>
      </w:pPr>
      <w:r>
        <w:rPr>
          <w:rFonts w:hint="eastAsia" w:ascii="宋体" w:hAnsi="宋体" w:cs="TimesNewRomanPSMT"/>
          <w:color w:val="auto"/>
          <w:kern w:val="0"/>
          <w:sz w:val="24"/>
          <w:highlight w:val="none"/>
        </w:rPr>
        <w:t>7</w:t>
      </w:r>
      <w:r>
        <w:rPr>
          <w:rFonts w:hint="eastAsia" w:ascii="宋体" w:hAnsi="宋体" w:cs="宋体"/>
          <w:color w:val="auto"/>
          <w:kern w:val="0"/>
          <w:sz w:val="24"/>
          <w:highlight w:val="none"/>
        </w:rPr>
        <w:t>、本协议书一式份，联合体成员和采购代理机构各执一份。</w:t>
      </w:r>
    </w:p>
    <w:p>
      <w:pPr>
        <w:autoSpaceDE w:val="0"/>
        <w:autoSpaceDN w:val="0"/>
        <w:adjustRightInd w:val="0"/>
        <w:snapToGrid w:val="0"/>
        <w:spacing w:line="360" w:lineRule="auto"/>
        <w:ind w:firstLine="420"/>
        <w:jc w:val="left"/>
        <w:rPr>
          <w:rFonts w:ascii="宋体" w:cs="宋体"/>
          <w:color w:val="auto"/>
          <w:kern w:val="0"/>
          <w:sz w:val="24"/>
          <w:highlight w:val="none"/>
        </w:rPr>
      </w:pPr>
      <w:r>
        <w:rPr>
          <w:rFonts w:hint="eastAsia" w:ascii="宋体" w:cs="宋体"/>
          <w:color w:val="auto"/>
          <w:kern w:val="0"/>
          <w:sz w:val="24"/>
          <w:highlight w:val="none"/>
        </w:rPr>
        <w:t>注：本协议书由委托代理人签字的，应附法定代表人</w:t>
      </w:r>
      <w:r>
        <w:rPr>
          <w:rFonts w:hint="eastAsia" w:hAnsi="宋体"/>
          <w:color w:val="auto"/>
          <w:sz w:val="24"/>
          <w:highlight w:val="none"/>
        </w:rPr>
        <w:t>（或负责人）</w:t>
      </w:r>
      <w:r>
        <w:rPr>
          <w:rFonts w:hint="eastAsia" w:ascii="宋体" w:cs="宋体"/>
          <w:color w:val="auto"/>
          <w:kern w:val="0"/>
          <w:sz w:val="24"/>
          <w:highlight w:val="none"/>
        </w:rPr>
        <w:t>授权委托书。</w:t>
      </w:r>
    </w:p>
    <w:p>
      <w:pPr>
        <w:autoSpaceDE w:val="0"/>
        <w:autoSpaceDN w:val="0"/>
        <w:adjustRightInd w:val="0"/>
        <w:snapToGrid w:val="0"/>
        <w:spacing w:line="360" w:lineRule="auto"/>
        <w:jc w:val="left"/>
        <w:rPr>
          <w:rFonts w:ascii="宋体" w:cs="宋体"/>
          <w:color w:val="auto"/>
          <w:kern w:val="0"/>
          <w:sz w:val="24"/>
          <w:highlight w:val="none"/>
        </w:rPr>
      </w:pPr>
    </w:p>
    <w:p>
      <w:pPr>
        <w:autoSpaceDE w:val="0"/>
        <w:autoSpaceDN w:val="0"/>
        <w:adjustRightInd w:val="0"/>
        <w:snapToGrid w:val="0"/>
        <w:spacing w:line="360" w:lineRule="auto"/>
        <w:jc w:val="left"/>
        <w:rPr>
          <w:rFonts w:ascii="宋体" w:cs="宋体"/>
          <w:color w:val="auto"/>
          <w:kern w:val="0"/>
          <w:sz w:val="24"/>
          <w:highlight w:val="none"/>
        </w:rPr>
      </w:pPr>
      <w:r>
        <w:rPr>
          <w:rFonts w:hint="eastAsia" w:ascii="宋体" w:cs="宋体"/>
          <w:color w:val="auto"/>
          <w:kern w:val="0"/>
          <w:sz w:val="24"/>
          <w:highlight w:val="none"/>
        </w:rPr>
        <w:t>牵头人名称：（盖单位公章）</w:t>
      </w:r>
    </w:p>
    <w:p>
      <w:pPr>
        <w:autoSpaceDE w:val="0"/>
        <w:autoSpaceDN w:val="0"/>
        <w:adjustRightInd w:val="0"/>
        <w:snapToGrid w:val="0"/>
        <w:spacing w:line="360" w:lineRule="auto"/>
        <w:jc w:val="left"/>
        <w:rPr>
          <w:rFonts w:ascii="宋体" w:cs="宋体"/>
          <w:color w:val="auto"/>
          <w:kern w:val="0"/>
          <w:sz w:val="24"/>
          <w:highlight w:val="none"/>
        </w:rPr>
      </w:pPr>
      <w:r>
        <w:rPr>
          <w:rFonts w:hint="eastAsia" w:ascii="宋体" w:cs="宋体"/>
          <w:color w:val="auto"/>
          <w:kern w:val="0"/>
          <w:sz w:val="24"/>
          <w:highlight w:val="none"/>
        </w:rPr>
        <w:t>法定代表人</w:t>
      </w:r>
      <w:r>
        <w:rPr>
          <w:rFonts w:hint="eastAsia" w:hAnsi="宋体"/>
          <w:color w:val="auto"/>
          <w:sz w:val="24"/>
          <w:highlight w:val="none"/>
        </w:rPr>
        <w:t>（或负责人）</w:t>
      </w:r>
      <w:r>
        <w:rPr>
          <w:rFonts w:hint="eastAsia" w:ascii="宋体" w:cs="宋体"/>
          <w:color w:val="auto"/>
          <w:kern w:val="0"/>
          <w:sz w:val="24"/>
          <w:highlight w:val="none"/>
        </w:rPr>
        <w:t>或其委托代理人：（签字）</w:t>
      </w:r>
    </w:p>
    <w:p>
      <w:pPr>
        <w:autoSpaceDE w:val="0"/>
        <w:autoSpaceDN w:val="0"/>
        <w:adjustRightInd w:val="0"/>
        <w:snapToGrid w:val="0"/>
        <w:spacing w:line="360" w:lineRule="auto"/>
        <w:jc w:val="left"/>
        <w:rPr>
          <w:rFonts w:ascii="宋体" w:cs="宋体"/>
          <w:color w:val="auto"/>
          <w:kern w:val="0"/>
          <w:sz w:val="24"/>
          <w:highlight w:val="none"/>
        </w:rPr>
      </w:pPr>
    </w:p>
    <w:p>
      <w:pPr>
        <w:autoSpaceDE w:val="0"/>
        <w:autoSpaceDN w:val="0"/>
        <w:adjustRightInd w:val="0"/>
        <w:snapToGrid w:val="0"/>
        <w:spacing w:line="360" w:lineRule="auto"/>
        <w:jc w:val="left"/>
        <w:rPr>
          <w:rFonts w:ascii="宋体" w:cs="宋体"/>
          <w:color w:val="auto"/>
          <w:kern w:val="0"/>
          <w:sz w:val="24"/>
          <w:highlight w:val="none"/>
        </w:rPr>
      </w:pPr>
      <w:r>
        <w:rPr>
          <w:rFonts w:hint="eastAsia" w:ascii="宋体" w:cs="宋体"/>
          <w:color w:val="auto"/>
          <w:kern w:val="0"/>
          <w:sz w:val="24"/>
          <w:highlight w:val="none"/>
        </w:rPr>
        <w:t>成员一名称：（盖单位公章）</w:t>
      </w:r>
    </w:p>
    <w:p>
      <w:pPr>
        <w:autoSpaceDE w:val="0"/>
        <w:autoSpaceDN w:val="0"/>
        <w:adjustRightInd w:val="0"/>
        <w:snapToGrid w:val="0"/>
        <w:spacing w:line="360" w:lineRule="auto"/>
        <w:jc w:val="left"/>
        <w:rPr>
          <w:rFonts w:ascii="宋体" w:cs="宋体"/>
          <w:color w:val="auto"/>
          <w:kern w:val="0"/>
          <w:sz w:val="24"/>
          <w:highlight w:val="none"/>
        </w:rPr>
      </w:pPr>
      <w:r>
        <w:rPr>
          <w:rFonts w:hint="eastAsia" w:ascii="宋体" w:cs="宋体"/>
          <w:color w:val="auto"/>
          <w:kern w:val="0"/>
          <w:sz w:val="24"/>
          <w:highlight w:val="none"/>
        </w:rPr>
        <w:t>法定代表人</w:t>
      </w:r>
      <w:r>
        <w:rPr>
          <w:rFonts w:hint="eastAsia" w:hAnsi="宋体"/>
          <w:color w:val="auto"/>
          <w:sz w:val="24"/>
          <w:highlight w:val="none"/>
        </w:rPr>
        <w:t>（或负责人）</w:t>
      </w:r>
      <w:r>
        <w:rPr>
          <w:rFonts w:hint="eastAsia" w:ascii="宋体" w:cs="宋体"/>
          <w:color w:val="auto"/>
          <w:kern w:val="0"/>
          <w:sz w:val="24"/>
          <w:highlight w:val="none"/>
        </w:rPr>
        <w:t>或其委托代理人：（签字）</w:t>
      </w:r>
    </w:p>
    <w:p>
      <w:pPr>
        <w:autoSpaceDE w:val="0"/>
        <w:autoSpaceDN w:val="0"/>
        <w:adjustRightInd w:val="0"/>
        <w:snapToGrid w:val="0"/>
        <w:spacing w:line="360" w:lineRule="auto"/>
        <w:jc w:val="left"/>
        <w:rPr>
          <w:rFonts w:ascii="宋体" w:cs="宋体"/>
          <w:color w:val="auto"/>
          <w:kern w:val="0"/>
          <w:sz w:val="24"/>
          <w:highlight w:val="none"/>
        </w:rPr>
      </w:pPr>
    </w:p>
    <w:p>
      <w:pPr>
        <w:autoSpaceDE w:val="0"/>
        <w:autoSpaceDN w:val="0"/>
        <w:adjustRightInd w:val="0"/>
        <w:snapToGrid w:val="0"/>
        <w:spacing w:line="360" w:lineRule="auto"/>
        <w:jc w:val="left"/>
        <w:rPr>
          <w:rFonts w:ascii="宋体" w:cs="宋体"/>
          <w:color w:val="auto"/>
          <w:kern w:val="0"/>
          <w:sz w:val="24"/>
          <w:highlight w:val="none"/>
        </w:rPr>
      </w:pPr>
      <w:r>
        <w:rPr>
          <w:rFonts w:hint="eastAsia" w:ascii="宋体" w:cs="宋体"/>
          <w:color w:val="auto"/>
          <w:kern w:val="0"/>
          <w:sz w:val="24"/>
          <w:highlight w:val="none"/>
        </w:rPr>
        <w:t>成员二名称：（盖单位公章）</w:t>
      </w:r>
    </w:p>
    <w:p>
      <w:pPr>
        <w:autoSpaceDE w:val="0"/>
        <w:autoSpaceDN w:val="0"/>
        <w:adjustRightInd w:val="0"/>
        <w:snapToGrid w:val="0"/>
        <w:spacing w:line="360" w:lineRule="auto"/>
        <w:jc w:val="left"/>
        <w:rPr>
          <w:rFonts w:ascii="宋体" w:cs="宋体"/>
          <w:color w:val="auto"/>
          <w:kern w:val="0"/>
          <w:sz w:val="24"/>
          <w:highlight w:val="none"/>
        </w:rPr>
      </w:pPr>
      <w:r>
        <w:rPr>
          <w:rFonts w:hint="eastAsia" w:ascii="宋体" w:cs="宋体"/>
          <w:color w:val="auto"/>
          <w:kern w:val="0"/>
          <w:sz w:val="24"/>
          <w:highlight w:val="none"/>
        </w:rPr>
        <w:t>法定代表人</w:t>
      </w:r>
      <w:r>
        <w:rPr>
          <w:rFonts w:hint="eastAsia" w:hAnsi="宋体"/>
          <w:color w:val="auto"/>
          <w:sz w:val="24"/>
          <w:highlight w:val="none"/>
        </w:rPr>
        <w:t>（或负责人）</w:t>
      </w:r>
      <w:r>
        <w:rPr>
          <w:rFonts w:hint="eastAsia" w:ascii="宋体" w:cs="宋体"/>
          <w:color w:val="auto"/>
          <w:kern w:val="0"/>
          <w:sz w:val="24"/>
          <w:highlight w:val="none"/>
        </w:rPr>
        <w:t>或其委托代理人：（签字）</w:t>
      </w:r>
    </w:p>
    <w:p>
      <w:pPr>
        <w:snapToGrid w:val="0"/>
        <w:spacing w:line="360" w:lineRule="auto"/>
        <w:rPr>
          <w:rFonts w:ascii="Ђˎ̥" w:eastAsia="Ђˎ̥"/>
          <w:color w:val="auto"/>
          <w:kern w:val="0"/>
          <w:sz w:val="24"/>
          <w:highlight w:val="none"/>
        </w:rPr>
      </w:pPr>
      <w:r>
        <w:rPr>
          <w:rFonts w:ascii="Ђˎ̥" w:eastAsia="Ђˎ̥"/>
          <w:color w:val="auto"/>
          <w:kern w:val="0"/>
          <w:sz w:val="24"/>
          <w:highlight w:val="none"/>
        </w:rPr>
        <w:t>......</w:t>
      </w:r>
    </w:p>
    <w:p>
      <w:pPr>
        <w:snapToGrid w:val="0"/>
        <w:spacing w:line="360" w:lineRule="auto"/>
        <w:ind w:firstLine="420"/>
        <w:jc w:val="center"/>
        <w:rPr>
          <w:rFonts w:ascii="宋体" w:cs="宋体"/>
          <w:color w:val="auto"/>
          <w:kern w:val="0"/>
          <w:sz w:val="24"/>
          <w:highlight w:val="none"/>
        </w:rPr>
      </w:pPr>
      <w:r>
        <w:rPr>
          <w:rFonts w:hint="eastAsia" w:ascii="宋体" w:cs="宋体"/>
          <w:color w:val="auto"/>
          <w:kern w:val="0"/>
          <w:sz w:val="24"/>
          <w:highlight w:val="none"/>
        </w:rPr>
        <w:t>年月日</w:t>
      </w:r>
    </w:p>
    <w:p>
      <w:pPr>
        <w:overflowPunct w:val="0"/>
        <w:snapToGrid w:val="0"/>
        <w:spacing w:line="360" w:lineRule="auto"/>
        <w:rPr>
          <w:rFonts w:ascii="宋体" w:hAnsi="宋体"/>
          <w:b/>
          <w:color w:val="auto"/>
          <w:szCs w:val="21"/>
          <w:highlight w:val="none"/>
        </w:rPr>
      </w:pPr>
    </w:p>
    <w:p>
      <w:pPr>
        <w:overflowPunct w:val="0"/>
        <w:snapToGrid w:val="0"/>
        <w:spacing w:line="360" w:lineRule="auto"/>
        <w:rPr>
          <w:rFonts w:ascii="宋体" w:hAnsi="宋体"/>
          <w:b/>
          <w:color w:val="auto"/>
          <w:szCs w:val="21"/>
          <w:highlight w:val="none"/>
        </w:rPr>
      </w:pPr>
    </w:p>
    <w:p>
      <w:pPr>
        <w:overflowPunct w:val="0"/>
        <w:snapToGrid w:val="0"/>
        <w:spacing w:line="360" w:lineRule="auto"/>
        <w:rPr>
          <w:rFonts w:ascii="宋体" w:hAnsi="宋体"/>
          <w:b/>
          <w:color w:val="auto"/>
          <w:szCs w:val="21"/>
          <w:highlight w:val="none"/>
        </w:rPr>
      </w:pPr>
    </w:p>
    <w:p>
      <w:pPr>
        <w:overflowPunct w:val="0"/>
        <w:snapToGrid w:val="0"/>
        <w:spacing w:line="360" w:lineRule="auto"/>
        <w:rPr>
          <w:rFonts w:ascii="宋体" w:hAnsi="宋体"/>
          <w:b/>
          <w:color w:val="auto"/>
          <w:szCs w:val="21"/>
          <w:highlight w:val="none"/>
        </w:rPr>
      </w:pPr>
    </w:p>
    <w:p>
      <w:pPr>
        <w:snapToGri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2.2.10联合投标授权委托书；（联合体投标时必须提供）</w:t>
      </w:r>
    </w:p>
    <w:p>
      <w:pPr>
        <w:overflowPunct w:val="0"/>
        <w:snapToGrid w:val="0"/>
        <w:spacing w:line="360" w:lineRule="auto"/>
        <w:ind w:firstLine="420"/>
        <w:jc w:val="center"/>
        <w:rPr>
          <w:rFonts w:ascii="宋体" w:hAnsi="宋体"/>
          <w:color w:val="auto"/>
          <w:sz w:val="30"/>
          <w:szCs w:val="20"/>
          <w:highlight w:val="none"/>
        </w:rPr>
      </w:pPr>
    </w:p>
    <w:p>
      <w:pPr>
        <w:overflowPunct w:val="0"/>
        <w:snapToGrid w:val="0"/>
        <w:spacing w:line="360" w:lineRule="auto"/>
        <w:ind w:firstLine="420"/>
        <w:jc w:val="center"/>
        <w:rPr>
          <w:rFonts w:ascii="宋体" w:hAnsi="宋体"/>
          <w:b/>
          <w:color w:val="auto"/>
          <w:sz w:val="28"/>
          <w:szCs w:val="28"/>
          <w:highlight w:val="none"/>
        </w:rPr>
      </w:pPr>
      <w:r>
        <w:rPr>
          <w:rFonts w:hint="eastAsia" w:ascii="宋体" w:hAnsi="宋体"/>
          <w:b/>
          <w:color w:val="auto"/>
          <w:sz w:val="28"/>
          <w:szCs w:val="28"/>
          <w:highlight w:val="none"/>
        </w:rPr>
        <w:t>联合投标授权委托书</w:t>
      </w:r>
    </w:p>
    <w:p>
      <w:pPr>
        <w:overflowPunct w:val="0"/>
        <w:snapToGrid w:val="0"/>
        <w:spacing w:line="360" w:lineRule="auto"/>
        <w:ind w:firstLine="420"/>
        <w:rPr>
          <w:rFonts w:ascii="宋体" w:hAnsi="宋体"/>
          <w:color w:val="auto"/>
          <w:sz w:val="24"/>
          <w:szCs w:val="20"/>
          <w:highlight w:val="none"/>
        </w:rPr>
      </w:pPr>
    </w:p>
    <w:p>
      <w:pPr>
        <w:overflowPunct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本授权委托书声明：根据与签订的《联合投标协议书》的内容，主办人的法定代表人</w:t>
      </w:r>
      <w:r>
        <w:rPr>
          <w:rFonts w:hint="eastAsia" w:hAnsi="宋体"/>
          <w:color w:val="auto"/>
          <w:sz w:val="24"/>
          <w:highlight w:val="none"/>
        </w:rPr>
        <w:t>（或负责人）</w:t>
      </w:r>
      <w:r>
        <w:rPr>
          <w:rFonts w:hint="eastAsia" w:ascii="宋体" w:hAnsi="宋体"/>
          <w:color w:val="auto"/>
          <w:sz w:val="24"/>
          <w:highlight w:val="none"/>
        </w:rPr>
        <w:t>现授权为联合投标代理人，代理人在投标、开标、评标、合同谈判过程中所签署的一切文件和处理与这有关的一切事务，联合投标各方均予以认可并遵守。</w:t>
      </w:r>
    </w:p>
    <w:p>
      <w:pPr>
        <w:overflowPunct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特此委托。</w:t>
      </w:r>
    </w:p>
    <w:p>
      <w:pPr>
        <w:overflowPunct w:val="0"/>
        <w:snapToGrid w:val="0"/>
        <w:spacing w:line="360" w:lineRule="auto"/>
        <w:ind w:firstLine="420"/>
        <w:rPr>
          <w:rFonts w:ascii="宋体" w:hAnsi="宋体"/>
          <w:color w:val="auto"/>
          <w:sz w:val="24"/>
          <w:highlight w:val="none"/>
        </w:rPr>
      </w:pPr>
    </w:p>
    <w:p>
      <w:pPr>
        <w:overflowPunct w:val="0"/>
        <w:snapToGrid w:val="0"/>
        <w:spacing w:line="360" w:lineRule="auto"/>
        <w:ind w:firstLine="420"/>
        <w:rPr>
          <w:rFonts w:ascii="宋体" w:hAnsi="宋体"/>
          <w:color w:val="auto"/>
          <w:sz w:val="24"/>
          <w:highlight w:val="none"/>
        </w:rPr>
      </w:pPr>
    </w:p>
    <w:p>
      <w:pPr>
        <w:overflowPunct w:val="0"/>
        <w:snapToGrid w:val="0"/>
        <w:spacing w:line="360" w:lineRule="auto"/>
        <w:ind w:firstLine="420"/>
        <w:rPr>
          <w:rFonts w:ascii="宋体" w:hAnsi="宋体"/>
          <w:color w:val="auto"/>
          <w:sz w:val="24"/>
          <w:highlight w:val="none"/>
        </w:rPr>
      </w:pPr>
    </w:p>
    <w:p>
      <w:pPr>
        <w:overflowPunct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授权人（签字）：</w:t>
      </w:r>
    </w:p>
    <w:p>
      <w:pPr>
        <w:overflowPunct w:val="0"/>
        <w:snapToGrid w:val="0"/>
        <w:spacing w:line="360" w:lineRule="auto"/>
        <w:ind w:left="420"/>
        <w:rPr>
          <w:rFonts w:ascii="宋体" w:hAnsi="宋体"/>
          <w:color w:val="auto"/>
          <w:sz w:val="24"/>
          <w:highlight w:val="none"/>
        </w:rPr>
      </w:pPr>
    </w:p>
    <w:p>
      <w:pPr>
        <w:overflowPunct w:val="0"/>
        <w:snapToGrid w:val="0"/>
        <w:spacing w:line="360" w:lineRule="auto"/>
        <w:ind w:left="420"/>
        <w:rPr>
          <w:rFonts w:ascii="宋体" w:hAnsi="宋体"/>
          <w:color w:val="auto"/>
          <w:sz w:val="24"/>
          <w:highlight w:val="none"/>
        </w:rPr>
      </w:pPr>
      <w:r>
        <w:rPr>
          <w:rFonts w:hint="eastAsia" w:ascii="宋体" w:hAnsi="宋体"/>
          <w:color w:val="auto"/>
          <w:sz w:val="24"/>
          <w:highlight w:val="none"/>
        </w:rPr>
        <w:t>日期：年月日</w:t>
      </w:r>
    </w:p>
    <w:p>
      <w:pPr>
        <w:overflowPunct w:val="0"/>
        <w:snapToGrid w:val="0"/>
        <w:spacing w:line="360" w:lineRule="auto"/>
        <w:ind w:firstLine="420"/>
        <w:rPr>
          <w:rFonts w:ascii="宋体" w:hAnsi="宋体"/>
          <w:color w:val="auto"/>
          <w:sz w:val="24"/>
          <w:highlight w:val="none"/>
        </w:rPr>
      </w:pPr>
    </w:p>
    <w:p>
      <w:pPr>
        <w:overflowPunct w:val="0"/>
        <w:snapToGrid w:val="0"/>
        <w:spacing w:line="360" w:lineRule="auto"/>
        <w:ind w:firstLine="420"/>
        <w:rPr>
          <w:rFonts w:ascii="宋体" w:hAnsi="宋体"/>
          <w:color w:val="auto"/>
          <w:sz w:val="24"/>
          <w:highlight w:val="none"/>
        </w:rPr>
      </w:pPr>
    </w:p>
    <w:p>
      <w:pPr>
        <w:overflowPunct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被授权人（签字）；</w:t>
      </w:r>
    </w:p>
    <w:p>
      <w:pPr>
        <w:overflowPunct w:val="0"/>
        <w:snapToGrid w:val="0"/>
        <w:spacing w:line="360" w:lineRule="auto"/>
        <w:ind w:firstLine="420"/>
        <w:rPr>
          <w:rFonts w:ascii="宋体" w:hAnsi="宋体"/>
          <w:color w:val="auto"/>
          <w:sz w:val="24"/>
          <w:highlight w:val="none"/>
        </w:rPr>
      </w:pPr>
    </w:p>
    <w:p>
      <w:pPr>
        <w:overflowPunct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日期：年月日</w:t>
      </w:r>
    </w:p>
    <w:p>
      <w:pPr>
        <w:snapToGrid w:val="0"/>
        <w:spacing w:line="360" w:lineRule="auto"/>
        <w:rPr>
          <w:rFonts w:ascii="宋体" w:hAnsi="宋体"/>
          <w:color w:val="auto"/>
          <w:sz w:val="24"/>
          <w:highlight w:val="none"/>
        </w:rPr>
      </w:pPr>
    </w:p>
    <w:p>
      <w:pPr>
        <w:snapToGrid w:val="0"/>
        <w:spacing w:line="360" w:lineRule="auto"/>
        <w:rPr>
          <w:rFonts w:ascii="宋体" w:hAnsi="宋体"/>
          <w:b/>
          <w:color w:val="auto"/>
          <w:sz w:val="24"/>
          <w:highlight w:val="none"/>
        </w:rPr>
      </w:pPr>
      <w:r>
        <w:rPr>
          <w:rFonts w:hint="eastAsia" w:ascii="宋体" w:hAnsi="宋体"/>
          <w:b/>
          <w:color w:val="auto"/>
          <w:sz w:val="24"/>
          <w:highlight w:val="none"/>
        </w:rPr>
        <w:t>附：</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（1）法定代表人</w:t>
      </w:r>
      <w:r>
        <w:rPr>
          <w:rFonts w:hint="eastAsia" w:hAnsi="宋体"/>
          <w:color w:val="auto"/>
          <w:sz w:val="24"/>
          <w:highlight w:val="none"/>
        </w:rPr>
        <w:t>（或负责人）</w:t>
      </w:r>
      <w:r>
        <w:rPr>
          <w:rFonts w:hint="eastAsia" w:ascii="宋体" w:hAnsi="宋体" w:cs="宋体"/>
          <w:b/>
          <w:color w:val="auto"/>
          <w:sz w:val="24"/>
          <w:highlight w:val="none"/>
        </w:rPr>
        <w:t>完整有效的身份证复印件（必须提供，第二代身份证必须提供正反面复印件，同时要加盖单位公章）；</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b/>
          <w:color w:val="auto"/>
          <w:sz w:val="24"/>
          <w:highlight w:val="none"/>
        </w:rPr>
      </w:pPr>
    </w:p>
    <w:p>
      <w:pPr>
        <w:snapToGrid w:val="0"/>
        <w:spacing w:line="360" w:lineRule="auto"/>
        <w:rPr>
          <w:rFonts w:ascii="宋体" w:hAnsi="宋体"/>
          <w:color w:val="auto"/>
          <w:sz w:val="24"/>
          <w:highlight w:val="none"/>
        </w:rPr>
      </w:pPr>
      <w:r>
        <w:rPr>
          <w:rFonts w:hint="eastAsia" w:ascii="宋体" w:hAnsi="宋体" w:cs="宋体"/>
          <w:b/>
          <w:color w:val="auto"/>
          <w:sz w:val="24"/>
          <w:highlight w:val="none"/>
        </w:rPr>
        <w:t>（2） 委托代理人完整有效的身份证复印件（委托代理时必须提供。第二代身份证必须提供正反面复印件，同时要加盖单位公章，否则其投标无效）。</w:t>
      </w:r>
    </w:p>
    <w:p>
      <w:pPr>
        <w:snapToGrid w:val="0"/>
        <w:spacing w:line="360" w:lineRule="auto"/>
        <w:ind w:firstLine="480" w:firstLineChars="200"/>
        <w:jc w:val="left"/>
        <w:rPr>
          <w:rFonts w:ascii="宋体" w:hAnsi="宋体" w:cs="宋体"/>
          <w:color w:val="auto"/>
          <w:sz w:val="24"/>
          <w:highlight w:val="none"/>
        </w:rPr>
      </w:pPr>
    </w:p>
    <w:p>
      <w:pPr>
        <w:overflowPunct w:val="0"/>
        <w:snapToGrid w:val="0"/>
        <w:spacing w:line="360" w:lineRule="auto"/>
        <w:rPr>
          <w:rFonts w:ascii="宋体" w:hAnsi="宋体" w:cs="宋体"/>
          <w:b/>
          <w:color w:val="auto"/>
          <w:spacing w:val="20"/>
          <w:sz w:val="24"/>
          <w:highlight w:val="none"/>
        </w:rPr>
      </w:pPr>
    </w:p>
    <w:p>
      <w:pPr>
        <w:overflowPunct w:val="0"/>
        <w:snapToGrid w:val="0"/>
        <w:spacing w:line="360" w:lineRule="auto"/>
        <w:rPr>
          <w:rFonts w:ascii="宋体" w:hAnsi="宋体" w:cs="宋体"/>
          <w:b/>
          <w:color w:val="auto"/>
          <w:sz w:val="24"/>
          <w:highlight w:val="none"/>
        </w:rPr>
      </w:pPr>
      <w:r>
        <w:rPr>
          <w:rFonts w:hint="eastAsia" w:ascii="宋体" w:hAnsi="宋体" w:cs="宋体"/>
          <w:b/>
          <w:color w:val="auto"/>
          <w:spacing w:val="20"/>
          <w:sz w:val="24"/>
          <w:highlight w:val="none"/>
        </w:rPr>
        <w:t>2.2.11</w:t>
      </w:r>
      <w:r>
        <w:rPr>
          <w:rFonts w:hint="eastAsia" w:ascii="宋体" w:hAnsi="宋体" w:cs="宋体"/>
          <w:b/>
          <w:color w:val="auto"/>
          <w:sz w:val="24"/>
          <w:highlight w:val="none"/>
        </w:rPr>
        <w:t>特殊资质：无。</w:t>
      </w:r>
    </w:p>
    <w:p>
      <w:pPr>
        <w:widowControl/>
        <w:snapToGrid w:val="0"/>
        <w:spacing w:line="360" w:lineRule="auto"/>
        <w:jc w:val="left"/>
        <w:rPr>
          <w:rFonts w:ascii="宋体" w:hAnsi="宋体" w:cs="宋体"/>
          <w:b/>
          <w:color w:val="auto"/>
          <w:sz w:val="24"/>
          <w:highlight w:val="none"/>
        </w:rPr>
      </w:pPr>
    </w:p>
    <w:p>
      <w:pPr>
        <w:widowControl/>
        <w:snapToGrid w:val="0"/>
        <w:spacing w:line="360" w:lineRule="auto"/>
        <w:jc w:val="left"/>
        <w:rPr>
          <w:rFonts w:ascii="宋体" w:hAnsi="宋体" w:cs="宋体"/>
          <w:b/>
          <w:color w:val="auto"/>
          <w:sz w:val="24"/>
          <w:highlight w:val="none"/>
        </w:rPr>
      </w:pPr>
    </w:p>
    <w:p>
      <w:pPr>
        <w:widowControl/>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三、投标文件（商务及技术部分、报价部分）格式</w:t>
      </w:r>
    </w:p>
    <w:p>
      <w:pPr>
        <w:snapToGrid w:val="0"/>
        <w:spacing w:line="360" w:lineRule="auto"/>
        <w:rPr>
          <w:rFonts w:ascii="宋体" w:hAnsi="宋体" w:cs="宋体"/>
          <w:bCs/>
          <w:color w:val="auto"/>
          <w:sz w:val="24"/>
          <w:highlight w:val="none"/>
        </w:rPr>
      </w:pPr>
    </w:p>
    <w:p>
      <w:pPr>
        <w:snapToGrid w:val="0"/>
        <w:spacing w:line="360" w:lineRule="auto"/>
        <w:rPr>
          <w:rFonts w:ascii="宋体" w:hAnsi="宋体" w:cs="宋体"/>
          <w:bCs/>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正本/或副本</w:t>
      </w:r>
    </w:p>
    <w:p>
      <w:pPr>
        <w:snapToGrid w:val="0"/>
        <w:spacing w:line="360" w:lineRule="auto"/>
        <w:jc w:val="center"/>
        <w:rPr>
          <w:rFonts w:ascii="宋体" w:hAnsi="宋体" w:cs="宋体"/>
          <w:b/>
          <w:bCs/>
          <w:color w:val="auto"/>
          <w:sz w:val="24"/>
          <w:highlight w:val="none"/>
        </w:rPr>
      </w:pPr>
    </w:p>
    <w:p>
      <w:pPr>
        <w:snapToGrid w:val="0"/>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投标文件</w:t>
      </w:r>
    </w:p>
    <w:p>
      <w:pPr>
        <w:snapToGrid w:val="0"/>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（商务及技术部分、报价部分）</w:t>
      </w:r>
    </w:p>
    <w:p>
      <w:pPr>
        <w:snapToGrid w:val="0"/>
        <w:spacing w:line="360" w:lineRule="auto"/>
        <w:rPr>
          <w:rFonts w:ascii="宋体" w:hAnsi="宋体" w:cs="宋体"/>
          <w:bCs/>
          <w:color w:val="auto"/>
          <w:sz w:val="24"/>
          <w:szCs w:val="20"/>
          <w:highlight w:val="none"/>
        </w:rPr>
      </w:pP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line="360" w:lineRule="auto"/>
        <w:ind w:firstLine="480" w:firstLineChars="200"/>
        <w:rPr>
          <w:rFonts w:ascii="宋体" w:hAnsi="宋体" w:cs="宋体"/>
          <w:bCs/>
          <w:color w:val="auto"/>
          <w:sz w:val="24"/>
          <w:highlight w:val="none"/>
        </w:rPr>
      </w:pP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line="360" w:lineRule="auto"/>
        <w:ind w:firstLine="1200" w:firstLineChars="500"/>
        <w:rPr>
          <w:rFonts w:ascii="宋体" w:hAnsi="宋体" w:cs="宋体"/>
          <w:bCs/>
          <w:color w:val="auto"/>
          <w:sz w:val="24"/>
          <w:highlight w:val="none"/>
        </w:rPr>
      </w:pP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法定代表人</w:t>
      </w:r>
      <w:r>
        <w:rPr>
          <w:rFonts w:hint="eastAsia" w:hAnsi="宋体"/>
          <w:color w:val="auto"/>
          <w:sz w:val="24"/>
          <w:highlight w:val="none"/>
        </w:rPr>
        <w:t>（或负责人）</w:t>
      </w:r>
      <w:r>
        <w:rPr>
          <w:rFonts w:hint="eastAsia" w:ascii="宋体" w:hAnsi="宋体" w:cs="宋体"/>
          <w:bCs/>
          <w:color w:val="auto"/>
          <w:sz w:val="24"/>
          <w:highlight w:val="none"/>
        </w:rPr>
        <w:t>或其委托代理人（签字）：</w:t>
      </w:r>
    </w:p>
    <w:p>
      <w:pPr>
        <w:snapToGrid w:val="0"/>
        <w:spacing w:line="360" w:lineRule="auto"/>
        <w:ind w:firstLine="1680" w:firstLineChars="700"/>
        <w:rPr>
          <w:rFonts w:ascii="宋体" w:hAnsi="宋体" w:cs="宋体"/>
          <w:bCs/>
          <w:color w:val="auto"/>
          <w:sz w:val="24"/>
          <w:highlight w:val="none"/>
        </w:rPr>
      </w:pPr>
      <w:r>
        <w:rPr>
          <w:rFonts w:hint="eastAsia" w:ascii="宋体" w:hAnsi="宋体" w:cs="宋体"/>
          <w:bCs/>
          <w:color w:val="auto"/>
          <w:sz w:val="24"/>
          <w:highlight w:val="none"/>
        </w:rPr>
        <w:t>年月日</w:t>
      </w:r>
    </w:p>
    <w:p>
      <w:pPr>
        <w:snapToGrid w:val="0"/>
        <w:spacing w:line="360" w:lineRule="auto"/>
        <w:rPr>
          <w:rFonts w:ascii="宋体" w:hAnsi="宋体" w:cs="宋体"/>
          <w:bCs/>
          <w:color w:val="auto"/>
          <w:sz w:val="24"/>
          <w:highlight w:val="none"/>
        </w:rPr>
      </w:pPr>
    </w:p>
    <w:p>
      <w:pPr>
        <w:widowControl/>
        <w:snapToGrid w:val="0"/>
        <w:spacing w:line="360" w:lineRule="auto"/>
        <w:jc w:val="left"/>
        <w:rPr>
          <w:rFonts w:ascii="宋体" w:hAnsi="宋体" w:cs="宋体"/>
          <w:b/>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3.1 商务及技术部分内封面格式：</w:t>
      </w: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商务及技术部分</w:t>
      </w:r>
    </w:p>
    <w:p>
      <w:pPr>
        <w:snapToGrid w:val="0"/>
        <w:spacing w:line="360" w:lineRule="auto"/>
        <w:rPr>
          <w:rFonts w:ascii="宋体" w:hAnsi="宋体" w:cs="宋体"/>
          <w:bCs/>
          <w:color w:val="auto"/>
          <w:sz w:val="24"/>
          <w:szCs w:val="20"/>
          <w:highlight w:val="none"/>
        </w:rPr>
      </w:pPr>
    </w:p>
    <w:p>
      <w:pPr>
        <w:snapToGrid w:val="0"/>
        <w:spacing w:line="360" w:lineRule="auto"/>
        <w:ind w:firstLine="1200" w:firstLineChars="500"/>
        <w:rPr>
          <w:rFonts w:ascii="宋体" w:hAnsi="宋体" w:cs="宋体"/>
          <w:bCs/>
          <w:color w:val="auto"/>
          <w:sz w:val="24"/>
          <w:szCs w:val="20"/>
          <w:highlight w:val="none"/>
        </w:rPr>
      </w:pPr>
      <w:r>
        <w:rPr>
          <w:rFonts w:hint="eastAsia" w:ascii="宋体" w:hAnsi="宋体" w:cs="宋体"/>
          <w:bCs/>
          <w:color w:val="auto"/>
          <w:sz w:val="24"/>
          <w:highlight w:val="none"/>
        </w:rPr>
        <w:t>项目名称：</w:t>
      </w: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line="360" w:lineRule="auto"/>
        <w:ind w:firstLine="480" w:firstLineChars="200"/>
        <w:rPr>
          <w:rFonts w:ascii="宋体" w:hAnsi="宋体" w:cs="宋体"/>
          <w:bCs/>
          <w:color w:val="auto"/>
          <w:sz w:val="24"/>
          <w:highlight w:val="none"/>
        </w:rPr>
      </w:pP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法定代表人</w:t>
      </w:r>
      <w:r>
        <w:rPr>
          <w:rFonts w:hint="eastAsia" w:hAnsi="宋体"/>
          <w:color w:val="auto"/>
          <w:sz w:val="24"/>
          <w:highlight w:val="none"/>
        </w:rPr>
        <w:t>（或负责人）</w:t>
      </w:r>
      <w:r>
        <w:rPr>
          <w:rFonts w:hint="eastAsia" w:ascii="宋体" w:hAnsi="宋体" w:cs="宋体"/>
          <w:bCs/>
          <w:color w:val="auto"/>
          <w:sz w:val="24"/>
          <w:highlight w:val="none"/>
        </w:rPr>
        <w:t>或其委托代理人（签字）：</w:t>
      </w:r>
    </w:p>
    <w:p>
      <w:pPr>
        <w:snapToGrid w:val="0"/>
        <w:spacing w:line="360" w:lineRule="auto"/>
        <w:ind w:firstLine="4080" w:firstLineChars="1700"/>
        <w:rPr>
          <w:rFonts w:ascii="宋体" w:hAnsi="宋体" w:cs="宋体"/>
          <w:bCs/>
          <w:color w:val="auto"/>
          <w:sz w:val="24"/>
          <w:highlight w:val="none"/>
        </w:rPr>
      </w:pPr>
      <w:r>
        <w:rPr>
          <w:rFonts w:hint="eastAsia" w:ascii="宋体" w:hAnsi="宋体" w:cs="宋体"/>
          <w:bCs/>
          <w:color w:val="auto"/>
          <w:sz w:val="24"/>
          <w:highlight w:val="none"/>
        </w:rPr>
        <w:t>年月日</w:t>
      </w:r>
    </w:p>
    <w:p>
      <w:pPr>
        <w:snapToGrid w:val="0"/>
        <w:spacing w:line="360" w:lineRule="auto"/>
        <w:rPr>
          <w:rFonts w:ascii="宋体" w:hAnsi="宋体" w:cs="宋体"/>
          <w:b/>
          <w:color w:val="auto"/>
          <w:szCs w:val="21"/>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3.2商务</w:t>
      </w:r>
      <w:r>
        <w:rPr>
          <w:rFonts w:hint="eastAsia" w:ascii="宋体" w:hAnsi="宋体" w:cs="宋体"/>
          <w:b/>
          <w:bCs/>
          <w:color w:val="auto"/>
          <w:sz w:val="24"/>
          <w:highlight w:val="none"/>
        </w:rPr>
        <w:t>部分目录</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（1）投标保证金银行回执单复印件</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（2）投标声明书(格式见第六章)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（3）投标人情况介绍；</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（4）属于投标人的资质及信誉等方面的证书或材料；</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（5）属于产品制造商的资质及信誉等方面的证书或材料；</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（6）商务响应表(格式见第六章)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（7）投标人需要说明的其他文件和说明；</w:t>
      </w:r>
    </w:p>
    <w:p>
      <w:pPr>
        <w:snapToGrid w:val="0"/>
        <w:spacing w:line="360" w:lineRule="auto"/>
        <w:ind w:firstLine="710" w:firstLineChars="296"/>
        <w:jc w:val="left"/>
        <w:rPr>
          <w:rFonts w:ascii="宋体" w:hAnsi="宋体" w:cs="宋体"/>
          <w:color w:val="auto"/>
          <w:sz w:val="24"/>
          <w:highlight w:val="none"/>
        </w:rPr>
      </w:pPr>
      <w:r>
        <w:rPr>
          <w:rFonts w:hint="eastAsia" w:ascii="宋体" w:hAnsi="宋体" w:cs="宋体"/>
          <w:color w:val="auto"/>
          <w:sz w:val="24"/>
          <w:highlight w:val="none"/>
        </w:rPr>
        <w:t>（8）投标人的类似成功案例的业绩证明文件(格式见第六章)；</w:t>
      </w:r>
    </w:p>
    <w:p>
      <w:pPr>
        <w:snapToGrid w:val="0"/>
        <w:spacing w:line="360" w:lineRule="auto"/>
        <w:ind w:firstLine="710" w:firstLineChars="296"/>
        <w:jc w:val="left"/>
        <w:rPr>
          <w:rFonts w:ascii="宋体" w:hAnsi="宋体" w:cs="宋体"/>
          <w:color w:val="auto"/>
          <w:sz w:val="24"/>
          <w:highlight w:val="none"/>
        </w:rPr>
      </w:pPr>
      <w:r>
        <w:rPr>
          <w:rFonts w:hint="eastAsia" w:ascii="宋体" w:hAnsi="宋体" w:cs="宋体"/>
          <w:color w:val="auto"/>
          <w:sz w:val="24"/>
          <w:highlight w:val="none"/>
        </w:rPr>
        <w:t>（9）投标人符合中小企业划型标准的，按《政府采购促进中小企业发展管理办法》（财库〔2020〕46号）要求，提供中小企业声明函。监</w:t>
      </w:r>
      <w:r>
        <w:rPr>
          <w:rFonts w:hint="eastAsia" w:ascii="宋体" w:hAnsi="宋体"/>
          <w:color w:val="auto"/>
          <w:sz w:val="24"/>
          <w:highlight w:val="none"/>
        </w:rPr>
        <w:t>狱企业参加政府采购活动时，应当提供由省级以上监狱管理局、戒毒管理局（含新疆生产建设兵团）出具的属于监狱企业的证明文件。</w:t>
      </w:r>
      <w:r>
        <w:rPr>
          <w:rFonts w:hint="eastAsia" w:ascii="宋体" w:hAnsi="宋体" w:cs="宋体"/>
          <w:bCs/>
          <w:color w:val="auto"/>
          <w:sz w:val="24"/>
          <w:highlight w:val="none"/>
        </w:rPr>
        <w:t>（证明文件在有效期内或注明为2020年度的为有效；未注明有效期或2020年度的，开具时间在一年内的为有效，其余由评标委员会认定）</w:t>
      </w:r>
      <w:r>
        <w:rPr>
          <w:rFonts w:hint="eastAsia" w:ascii="宋体" w:hAnsi="宋体" w:cs="宋体"/>
          <w:color w:val="auto"/>
          <w:sz w:val="24"/>
          <w:highlight w:val="none"/>
        </w:rPr>
        <w:t>(格式见第六章)；</w:t>
      </w:r>
    </w:p>
    <w:p>
      <w:pPr>
        <w:snapToGrid w:val="0"/>
        <w:spacing w:line="360" w:lineRule="auto"/>
        <w:ind w:firstLine="710" w:firstLineChars="296"/>
        <w:jc w:val="left"/>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olor w:val="auto"/>
          <w:sz w:val="24"/>
          <w:highlight w:val="none"/>
        </w:rPr>
        <w:t>投标产品提供单位按《</w:t>
      </w:r>
      <w:r>
        <w:rPr>
          <w:rFonts w:ascii="宋体" w:hAnsi="宋体"/>
          <w:color w:val="auto"/>
          <w:sz w:val="24"/>
          <w:highlight w:val="none"/>
        </w:rPr>
        <w:t>关于促进残疾人就业政府采购政策的通知</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财库〔2019〕141号</w:t>
      </w:r>
      <w:r>
        <w:rPr>
          <w:rFonts w:ascii="宋体" w:hAnsi="宋体"/>
          <w:color w:val="auto"/>
          <w:sz w:val="24"/>
          <w:highlight w:val="none"/>
        </w:rPr>
        <w:t>)</w:t>
      </w:r>
      <w:r>
        <w:rPr>
          <w:rFonts w:hint="eastAsia" w:ascii="宋体" w:hAnsi="宋体"/>
          <w:color w:val="auto"/>
          <w:sz w:val="24"/>
          <w:highlight w:val="none"/>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hint="eastAsia" w:ascii="宋体" w:hAnsi="宋体" w:cs="宋体"/>
          <w:color w:val="auto"/>
          <w:sz w:val="24"/>
          <w:highlight w:val="none"/>
        </w:rPr>
        <w:t>(格式见第六章)</w:t>
      </w:r>
      <w:r>
        <w:rPr>
          <w:rFonts w:hint="eastAsia" w:ascii="宋体" w:hAnsi="宋体"/>
          <w:color w:val="auto"/>
          <w:sz w:val="24"/>
          <w:highlight w:val="none"/>
        </w:rPr>
        <w:t>。</w:t>
      </w:r>
    </w:p>
    <w:p>
      <w:pPr>
        <w:snapToGrid w:val="0"/>
        <w:spacing w:line="360" w:lineRule="auto"/>
        <w:jc w:val="left"/>
        <w:rPr>
          <w:rFonts w:ascii="宋体" w:hAnsi="宋体" w:cs="宋体"/>
          <w:b/>
          <w:color w:val="auto"/>
          <w:sz w:val="24"/>
          <w:highlight w:val="none"/>
        </w:rPr>
      </w:pPr>
    </w:p>
    <w:p>
      <w:pPr>
        <w:pStyle w:val="51"/>
        <w:snapToGrid w:val="0"/>
        <w:spacing w:line="360" w:lineRule="auto"/>
        <w:rPr>
          <w:color w:val="auto"/>
          <w:highlight w:val="none"/>
        </w:rPr>
      </w:pPr>
    </w:p>
    <w:p>
      <w:pPr>
        <w:snapToGrid w:val="0"/>
        <w:spacing w:line="360" w:lineRule="auto"/>
        <w:jc w:val="left"/>
        <w:rPr>
          <w:rFonts w:ascii="宋体" w:hAnsi="宋体" w:cs="宋体"/>
          <w:bCs/>
          <w:color w:val="auto"/>
          <w:sz w:val="24"/>
          <w:highlight w:val="none"/>
        </w:rPr>
      </w:pPr>
      <w:r>
        <w:rPr>
          <w:rFonts w:hint="eastAsia" w:ascii="宋体" w:hAnsi="宋体" w:cs="宋体"/>
          <w:b/>
          <w:color w:val="auto"/>
          <w:sz w:val="24"/>
          <w:highlight w:val="none"/>
        </w:rPr>
        <w:t>3.3技术</w:t>
      </w:r>
      <w:r>
        <w:rPr>
          <w:rFonts w:hint="eastAsia" w:ascii="宋体" w:hAnsi="宋体" w:cs="宋体"/>
          <w:b/>
          <w:bCs/>
          <w:color w:val="auto"/>
          <w:sz w:val="24"/>
          <w:highlight w:val="none"/>
        </w:rPr>
        <w:t>部分目录</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（1）技术响应表(格式见第六章)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（2）技术服务承诺，包括但不限于以下文件资料：</w:t>
      </w:r>
    </w:p>
    <w:p>
      <w:pPr>
        <w:snapToGrid w:val="0"/>
        <w:spacing w:line="360" w:lineRule="auto"/>
        <w:ind w:firstLine="1132" w:firstLineChars="472"/>
        <w:jc w:val="left"/>
        <w:rPr>
          <w:rFonts w:ascii="宋体" w:hAnsi="宋体" w:cs="宋体"/>
          <w:color w:val="auto"/>
          <w:sz w:val="24"/>
          <w:highlight w:val="none"/>
        </w:rPr>
      </w:pPr>
      <w:r>
        <w:rPr>
          <w:rFonts w:hint="eastAsia" w:ascii="宋体" w:hAnsi="宋体" w:cs="宋体"/>
          <w:color w:val="auto"/>
          <w:sz w:val="24"/>
          <w:highlight w:val="none"/>
        </w:rPr>
        <w:t>1）项目实施人员一览表(格式见第六章)；</w:t>
      </w:r>
    </w:p>
    <w:p>
      <w:pPr>
        <w:snapToGrid w:val="0"/>
        <w:spacing w:line="360" w:lineRule="auto"/>
        <w:ind w:firstLine="1132" w:firstLineChars="472"/>
        <w:jc w:val="left"/>
        <w:rPr>
          <w:rFonts w:ascii="宋体" w:hAnsi="宋体" w:cs="宋体"/>
          <w:color w:val="auto"/>
          <w:sz w:val="24"/>
          <w:highlight w:val="none"/>
        </w:rPr>
      </w:pPr>
      <w:r>
        <w:rPr>
          <w:rFonts w:hint="eastAsia" w:ascii="宋体" w:hAnsi="宋体" w:cs="宋体"/>
          <w:color w:val="auto"/>
          <w:sz w:val="24"/>
          <w:highlight w:val="none"/>
        </w:rPr>
        <w:t>2）服务的内容和措施；</w:t>
      </w:r>
    </w:p>
    <w:p>
      <w:pPr>
        <w:snapToGrid w:val="0"/>
        <w:spacing w:line="360" w:lineRule="auto"/>
        <w:ind w:firstLine="768" w:firstLineChars="320"/>
        <w:jc w:val="left"/>
        <w:rPr>
          <w:rFonts w:ascii="宋体" w:hAnsi="宋体" w:cs="宋体"/>
          <w:color w:val="auto"/>
          <w:sz w:val="24"/>
          <w:highlight w:val="none"/>
        </w:rPr>
      </w:pPr>
      <w:r>
        <w:rPr>
          <w:rFonts w:hint="eastAsia" w:ascii="宋体" w:hAnsi="宋体" w:cs="宋体"/>
          <w:color w:val="auto"/>
          <w:sz w:val="24"/>
          <w:highlight w:val="none"/>
        </w:rPr>
        <w:t>（3）本地化服务能力证明（距采购人最近的服务网点情况表）(格式见第六章)。</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（4）对本项目总体要求的理解；</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（5）招标采购需求中要求提供的材料（如技术方案、实施方案等）；</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（6）技术服务、技术培训的内容和措施；</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（7）投标人对本项目的合理化建议和改进措施；</w:t>
      </w:r>
    </w:p>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（8）投标人需要说明的其他文件和说明。</w:t>
      </w:r>
    </w:p>
    <w:p>
      <w:pPr>
        <w:snapToGrid w:val="0"/>
        <w:spacing w:line="360" w:lineRule="auto"/>
        <w:ind w:firstLine="422" w:firstLineChars="200"/>
        <w:jc w:val="left"/>
        <w:rPr>
          <w:rFonts w:ascii="宋体" w:hAnsi="宋体" w:cs="宋体"/>
          <w:b/>
          <w:color w:val="auto"/>
          <w:szCs w:val="21"/>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snapToGrid w:val="0"/>
        <w:spacing w:line="360" w:lineRule="auto"/>
        <w:jc w:val="left"/>
        <w:rPr>
          <w:rFonts w:ascii="宋体" w:hAnsi="宋体" w:cs="宋体"/>
          <w:b/>
          <w:bCs/>
          <w:color w:val="auto"/>
          <w:sz w:val="24"/>
          <w:highlight w:val="none"/>
        </w:rPr>
      </w:pPr>
      <w:r>
        <w:rPr>
          <w:rFonts w:hint="eastAsia" w:ascii="宋体" w:hAnsi="宋体" w:cs="宋体"/>
          <w:b/>
          <w:color w:val="auto"/>
          <w:sz w:val="24"/>
          <w:highlight w:val="none"/>
        </w:rPr>
        <w:t>3.2商务</w:t>
      </w:r>
      <w:r>
        <w:rPr>
          <w:rFonts w:hint="eastAsia" w:ascii="宋体" w:hAnsi="宋体" w:cs="宋体"/>
          <w:b/>
          <w:bCs/>
          <w:color w:val="auto"/>
          <w:sz w:val="24"/>
          <w:highlight w:val="none"/>
        </w:rPr>
        <w:t>部分</w:t>
      </w:r>
    </w:p>
    <w:p>
      <w:pPr>
        <w:snapToGrid w:val="0"/>
        <w:spacing w:line="360" w:lineRule="auto"/>
        <w:ind w:firstLine="482" w:firstLineChars="200"/>
        <w:jc w:val="left"/>
        <w:rPr>
          <w:rFonts w:ascii="宋体" w:hAnsi="宋体" w:cs="宋体"/>
          <w:b/>
          <w:color w:val="auto"/>
          <w:sz w:val="24"/>
          <w:highlight w:val="none"/>
        </w:rPr>
      </w:pP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3.2.1投标保证金银行回执单复印件（一式二份，一份随商务部分装订，一份随开标一览表装订）</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3.2.2投标声明书格式：</w:t>
      </w:r>
    </w:p>
    <w:p>
      <w:pPr>
        <w:snapToGrid w:val="0"/>
        <w:spacing w:line="360" w:lineRule="auto"/>
        <w:jc w:val="left"/>
        <w:rPr>
          <w:rFonts w:ascii="宋体" w:hAnsi="宋体" w:cs="宋体"/>
          <w:color w:val="auto"/>
          <w:szCs w:val="21"/>
          <w:highlight w:val="none"/>
        </w:rPr>
      </w:pP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投标声明书</w:t>
      </w:r>
    </w:p>
    <w:p>
      <w:pPr>
        <w:snapToGrid w:val="0"/>
        <w:spacing w:line="360" w:lineRule="auto"/>
        <w:jc w:val="center"/>
        <w:rPr>
          <w:rFonts w:ascii="宋体" w:hAnsi="宋体" w:cs="宋体"/>
          <w:b/>
          <w:color w:val="auto"/>
          <w:sz w:val="28"/>
          <w:szCs w:val="28"/>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致：（采购代理机构名称）：</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pPr>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w:t>
      </w:r>
      <w:r>
        <w:rPr>
          <w:rFonts w:hint="eastAsia" w:ascii="宋体" w:hAnsi="宋体" w:cs="宋体"/>
          <w:color w:val="auto"/>
          <w:sz w:val="24"/>
          <w:highlight w:val="none"/>
        </w:rPr>
        <w:t>姓名）系</w:t>
      </w:r>
      <w:r>
        <w:rPr>
          <w:rFonts w:hint="eastAsia" w:ascii="宋体" w:hAnsi="宋体" w:cs="宋体"/>
          <w:color w:val="auto"/>
          <w:sz w:val="24"/>
          <w:highlight w:val="none"/>
          <w:u w:val="single"/>
        </w:rPr>
        <w:t>（</w:t>
      </w:r>
      <w:r>
        <w:rPr>
          <w:rFonts w:hint="eastAsia" w:ascii="宋体" w:hAnsi="宋体" w:cs="宋体"/>
          <w:color w:val="auto"/>
          <w:sz w:val="24"/>
          <w:highlight w:val="none"/>
        </w:rPr>
        <w:t>投标人名称）的法定代表人</w:t>
      </w:r>
      <w:r>
        <w:rPr>
          <w:rFonts w:hint="eastAsia" w:hAnsi="宋体"/>
          <w:color w:val="auto"/>
          <w:sz w:val="24"/>
          <w:highlight w:val="none"/>
        </w:rPr>
        <w:t>（或负责人）</w:t>
      </w: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）的投标，为便于贵方公正、择优地确定中标供应商及其投标产品和服务，我方就本次投标有关事项郑重声明如下：</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 我方向贵方提交的所有投标文件、资料都是准确的和真实的。</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 我方不是采购人的附属机构；在获知本项目采购信息后，与采购人聘请的为此项目提供咨询服务的公司及其附属机构没有任何联系。</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 以上事项如有虚假或隐瞒，我方愿意承担一切后果，并不再寻求任何旨在减轻或免除法律责任的辩解。</w:t>
      </w:r>
    </w:p>
    <w:p>
      <w:pPr>
        <w:snapToGrid w:val="0"/>
        <w:spacing w:line="360" w:lineRule="auto"/>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6000" w:firstLineChars="2500"/>
        <w:rPr>
          <w:rFonts w:ascii="宋体" w:hAnsi="宋体" w:cs="宋体"/>
          <w:color w:val="auto"/>
          <w:sz w:val="24"/>
          <w:highlight w:val="none"/>
          <w:u w:val="single"/>
        </w:rPr>
      </w:pPr>
      <w:r>
        <w:rPr>
          <w:rFonts w:hint="eastAsia" w:ascii="宋体" w:cs="宋体"/>
          <w:color w:val="auto"/>
          <w:kern w:val="0"/>
          <w:sz w:val="24"/>
          <w:highlight w:val="none"/>
        </w:rPr>
        <w:t>法定代表人</w:t>
      </w:r>
      <w:r>
        <w:rPr>
          <w:rFonts w:hint="eastAsia" w:hAnsi="宋体"/>
          <w:color w:val="auto"/>
          <w:sz w:val="24"/>
          <w:highlight w:val="none"/>
        </w:rPr>
        <w:t>（或负责人）</w:t>
      </w:r>
      <w:r>
        <w:rPr>
          <w:rFonts w:hint="eastAsia" w:ascii="宋体" w:cs="宋体"/>
          <w:color w:val="auto"/>
          <w:kern w:val="0"/>
          <w:sz w:val="24"/>
          <w:highlight w:val="none"/>
        </w:rPr>
        <w:t>（签字）</w:t>
      </w:r>
      <w:r>
        <w:rPr>
          <w:rFonts w:hint="eastAsia" w:ascii="宋体" w:hAnsi="宋体" w:cs="宋体"/>
          <w:color w:val="auto"/>
          <w:sz w:val="24"/>
          <w:highlight w:val="none"/>
        </w:rPr>
        <w:t>：</w:t>
      </w:r>
    </w:p>
    <w:p>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投标人公章：年月日</w:t>
      </w:r>
    </w:p>
    <w:p>
      <w:pPr>
        <w:snapToGrid w:val="0"/>
        <w:spacing w:line="360" w:lineRule="auto"/>
        <w:ind w:firstLine="422" w:firstLineChars="200"/>
        <w:jc w:val="left"/>
        <w:rPr>
          <w:rFonts w:ascii="宋体" w:hAnsi="宋体" w:cs="宋体"/>
          <w:b/>
          <w:color w:val="auto"/>
          <w:szCs w:val="21"/>
          <w:highlight w:val="none"/>
        </w:rPr>
      </w:pPr>
    </w:p>
    <w:p>
      <w:pPr>
        <w:snapToGrid w:val="0"/>
        <w:spacing w:line="360" w:lineRule="auto"/>
        <w:ind w:firstLine="422" w:firstLineChars="200"/>
        <w:jc w:val="left"/>
        <w:rPr>
          <w:rFonts w:ascii="宋体" w:hAnsi="宋体" w:cs="宋体"/>
          <w:b/>
          <w:color w:val="auto"/>
          <w:szCs w:val="21"/>
          <w:highlight w:val="none"/>
        </w:rPr>
      </w:pPr>
    </w:p>
    <w:p>
      <w:pPr>
        <w:snapToGrid w:val="0"/>
        <w:spacing w:line="360" w:lineRule="auto"/>
        <w:ind w:firstLine="482" w:firstLineChars="200"/>
        <w:jc w:val="left"/>
        <w:rPr>
          <w:rFonts w:ascii="宋体" w:hAnsi="宋体" w:cs="宋体"/>
          <w:b/>
          <w:color w:val="auto"/>
          <w:sz w:val="24"/>
          <w:highlight w:val="none"/>
        </w:rPr>
      </w:pPr>
    </w:p>
    <w:p>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3.2.3 投标人情况介绍（格式自拟）</w:t>
      </w:r>
    </w:p>
    <w:p>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3.2.4 属于投标人资质及信誉等方面的证书或材料（格式自拟）</w:t>
      </w:r>
    </w:p>
    <w:p>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3.2.5 属于产品制造商资质及信誉等方面的证书或材料（格式自拟）</w:t>
      </w:r>
    </w:p>
    <w:p>
      <w:pPr>
        <w:snapToGrid w:val="0"/>
        <w:spacing w:line="360" w:lineRule="auto"/>
        <w:ind w:firstLine="482" w:firstLineChars="200"/>
        <w:jc w:val="left"/>
        <w:rPr>
          <w:rFonts w:ascii="宋体" w:hAnsi="宋体" w:cs="宋体"/>
          <w:b/>
          <w:color w:val="auto"/>
          <w:sz w:val="24"/>
          <w:highlight w:val="none"/>
        </w:rPr>
      </w:pPr>
    </w:p>
    <w:p>
      <w:pPr>
        <w:snapToGrid w:val="0"/>
        <w:spacing w:line="360" w:lineRule="auto"/>
        <w:ind w:firstLine="482" w:firstLineChars="200"/>
        <w:jc w:val="left"/>
        <w:rPr>
          <w:rFonts w:ascii="宋体" w:hAnsi="宋体" w:cs="宋体"/>
          <w:b/>
          <w:color w:val="auto"/>
          <w:sz w:val="24"/>
          <w:highlight w:val="none"/>
        </w:rPr>
      </w:pPr>
    </w:p>
    <w:p>
      <w:pPr>
        <w:snapToGrid w:val="0"/>
        <w:spacing w:line="360" w:lineRule="auto"/>
        <w:ind w:firstLine="482" w:firstLineChars="200"/>
        <w:jc w:val="left"/>
        <w:rPr>
          <w:rFonts w:ascii="宋体" w:hAnsi="宋体" w:cs="宋体"/>
          <w:b/>
          <w:color w:val="auto"/>
          <w:sz w:val="24"/>
          <w:highlight w:val="none"/>
        </w:rPr>
      </w:pPr>
    </w:p>
    <w:p>
      <w:pPr>
        <w:snapToGrid w:val="0"/>
        <w:spacing w:line="360" w:lineRule="auto"/>
        <w:ind w:firstLine="482" w:firstLineChars="200"/>
        <w:jc w:val="left"/>
        <w:rPr>
          <w:rFonts w:ascii="宋体" w:hAnsi="宋体" w:cs="宋体"/>
          <w:b/>
          <w:color w:val="auto"/>
          <w:sz w:val="24"/>
          <w:highlight w:val="none"/>
        </w:rPr>
      </w:pPr>
    </w:p>
    <w:p>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3.2.6 商务响应表（格式）</w:t>
      </w:r>
    </w:p>
    <w:p>
      <w:pPr>
        <w:snapToGrid w:val="0"/>
        <w:spacing w:line="360" w:lineRule="auto"/>
        <w:ind w:firstLine="600" w:firstLineChars="200"/>
        <w:jc w:val="center"/>
        <w:rPr>
          <w:rFonts w:ascii="Times New Roman" w:hAnsi="Times New Roman" w:eastAsia="Ђˎ̥"/>
          <w:b/>
          <w:bCs/>
          <w:color w:val="auto"/>
          <w:kern w:val="0"/>
          <w:sz w:val="30"/>
          <w:szCs w:val="30"/>
          <w:highlight w:val="none"/>
        </w:rPr>
      </w:pPr>
    </w:p>
    <w:p>
      <w:pPr>
        <w:snapToGrid w:val="0"/>
        <w:spacing w:line="360" w:lineRule="auto"/>
        <w:ind w:firstLine="562" w:firstLineChars="200"/>
        <w:jc w:val="center"/>
        <w:rPr>
          <w:rFonts w:ascii="Times New Roman" w:hAnsi="Times New Roman" w:eastAsia="Ђˎ̥"/>
          <w:b/>
          <w:bCs/>
          <w:color w:val="auto"/>
          <w:kern w:val="0"/>
          <w:sz w:val="30"/>
          <w:szCs w:val="30"/>
          <w:highlight w:val="none"/>
        </w:rPr>
      </w:pPr>
      <w:r>
        <w:rPr>
          <w:rFonts w:hint="eastAsia" w:ascii="宋体" w:hAnsi="宋体" w:cs="宋体"/>
          <w:b/>
          <w:bCs/>
          <w:color w:val="auto"/>
          <w:kern w:val="0"/>
          <w:sz w:val="28"/>
          <w:szCs w:val="28"/>
          <w:highlight w:val="none"/>
        </w:rPr>
        <w:t>商务响应表（格式）</w:t>
      </w:r>
    </w:p>
    <w:p>
      <w:pPr>
        <w:snapToGrid w:val="0"/>
        <w:spacing w:line="360" w:lineRule="auto"/>
        <w:rPr>
          <w:rFonts w:ascii="Times New Roman" w:hAnsi="Times New Roman" w:eastAsia="Ђˎ̥"/>
          <w:color w:val="auto"/>
          <w:kern w:val="0"/>
          <w:sz w:val="20"/>
          <w:szCs w:val="21"/>
          <w:highlight w:val="none"/>
          <w:u w:val="thick"/>
        </w:rPr>
      </w:pPr>
    </w:p>
    <w:p>
      <w:pPr>
        <w:snapToGrid w:val="0"/>
        <w:spacing w:line="360" w:lineRule="auto"/>
        <w:rPr>
          <w:rFonts w:ascii="Ђˎ̥" w:eastAsia="Ђˎ̥"/>
          <w:color w:val="auto"/>
          <w:kern w:val="0"/>
          <w:sz w:val="20"/>
          <w:szCs w:val="21"/>
          <w:highlight w:val="none"/>
          <w:u w:val="single"/>
        </w:rPr>
      </w:pPr>
    </w:p>
    <w:tbl>
      <w:tblPr>
        <w:tblStyle w:val="53"/>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项号</w:t>
            </w:r>
          </w:p>
        </w:tc>
        <w:tc>
          <w:tcPr>
            <w:tcW w:w="407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招标文件的商务</w:t>
            </w:r>
            <w:r>
              <w:rPr>
                <w:rFonts w:hint="eastAsia" w:ascii="宋体" w:hAnsi="宋体"/>
                <w:color w:val="auto"/>
                <w:sz w:val="24"/>
                <w:highlight w:val="none"/>
              </w:rPr>
              <w:t>条款</w:t>
            </w:r>
          </w:p>
        </w:tc>
        <w:tc>
          <w:tcPr>
            <w:tcW w:w="37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投标文件承诺的商务条款</w:t>
            </w:r>
          </w:p>
        </w:tc>
        <w:tc>
          <w:tcPr>
            <w:tcW w:w="109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一</w:t>
            </w:r>
          </w:p>
        </w:tc>
        <w:tc>
          <w:tcPr>
            <w:tcW w:w="407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olor w:val="auto"/>
                <w:sz w:val="24"/>
                <w:highlight w:val="none"/>
              </w:rPr>
            </w:pPr>
            <w:r>
              <w:rPr>
                <w:rFonts w:ascii="宋体" w:hAnsi="宋体"/>
                <w:color w:val="auto"/>
                <w:sz w:val="24"/>
                <w:highlight w:val="none"/>
              </w:rPr>
              <w:t>1  ……</w:t>
            </w:r>
          </w:p>
          <w:p>
            <w:pPr>
              <w:snapToGrid w:val="0"/>
              <w:spacing w:line="360" w:lineRule="auto"/>
              <w:rPr>
                <w:rFonts w:ascii="宋体" w:hAnsi="宋体"/>
                <w:color w:val="auto"/>
                <w:sz w:val="24"/>
                <w:highlight w:val="none"/>
              </w:rPr>
            </w:pPr>
            <w:r>
              <w:rPr>
                <w:rFonts w:ascii="宋体" w:hAnsi="宋体"/>
                <w:color w:val="auto"/>
                <w:sz w:val="24"/>
                <w:highlight w:val="none"/>
              </w:rPr>
              <w:t>2  ……</w:t>
            </w:r>
          </w:p>
          <w:p>
            <w:pPr>
              <w:snapToGrid w:val="0"/>
              <w:spacing w:line="360" w:lineRule="auto"/>
              <w:rPr>
                <w:rFonts w:ascii="宋体" w:hAnsi="宋体"/>
                <w:color w:val="auto"/>
                <w:sz w:val="24"/>
                <w:highlight w:val="none"/>
              </w:rPr>
            </w:pPr>
            <w:r>
              <w:rPr>
                <w:rFonts w:ascii="宋体" w:hAnsi="宋体"/>
                <w:color w:val="auto"/>
                <w:sz w:val="24"/>
                <w:highlight w:val="none"/>
              </w:rPr>
              <w:t>3  ……</w:t>
            </w:r>
          </w:p>
          <w:p>
            <w:pPr>
              <w:snapToGrid w:val="0"/>
              <w:spacing w:line="360" w:lineRule="auto"/>
              <w:rPr>
                <w:rFonts w:ascii="宋体" w:hAnsi="宋体"/>
                <w:color w:val="auto"/>
                <w:sz w:val="24"/>
                <w:highlight w:val="none"/>
              </w:rPr>
            </w:pPr>
            <w:r>
              <w:rPr>
                <w:rFonts w:ascii="宋体" w:hAnsi="宋体"/>
                <w:color w:val="auto"/>
                <w:sz w:val="24"/>
                <w:highlight w:val="none"/>
              </w:rPr>
              <w:t>……</w:t>
            </w:r>
          </w:p>
        </w:tc>
        <w:tc>
          <w:tcPr>
            <w:tcW w:w="372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olor w:val="auto"/>
                <w:sz w:val="24"/>
                <w:highlight w:val="none"/>
              </w:rPr>
            </w:pPr>
            <w:r>
              <w:rPr>
                <w:rFonts w:ascii="宋体" w:hAnsi="宋体"/>
                <w:color w:val="auto"/>
                <w:sz w:val="24"/>
                <w:highlight w:val="none"/>
              </w:rPr>
              <w:t>1  ……</w:t>
            </w:r>
          </w:p>
          <w:p>
            <w:pPr>
              <w:snapToGrid w:val="0"/>
              <w:spacing w:line="360" w:lineRule="auto"/>
              <w:rPr>
                <w:rFonts w:ascii="宋体" w:hAnsi="宋体"/>
                <w:color w:val="auto"/>
                <w:sz w:val="24"/>
                <w:highlight w:val="none"/>
              </w:rPr>
            </w:pPr>
            <w:r>
              <w:rPr>
                <w:rFonts w:ascii="宋体" w:hAnsi="宋体"/>
                <w:color w:val="auto"/>
                <w:sz w:val="24"/>
                <w:highlight w:val="none"/>
              </w:rPr>
              <w:t>2  ……</w:t>
            </w:r>
          </w:p>
          <w:p>
            <w:pPr>
              <w:snapToGrid w:val="0"/>
              <w:spacing w:line="360" w:lineRule="auto"/>
              <w:rPr>
                <w:rFonts w:ascii="宋体" w:hAnsi="宋体"/>
                <w:color w:val="auto"/>
                <w:sz w:val="24"/>
                <w:highlight w:val="none"/>
              </w:rPr>
            </w:pPr>
            <w:r>
              <w:rPr>
                <w:rFonts w:ascii="宋体" w:hAnsi="宋体"/>
                <w:color w:val="auto"/>
                <w:sz w:val="24"/>
                <w:highlight w:val="none"/>
              </w:rPr>
              <w:t>3  ……</w:t>
            </w:r>
          </w:p>
          <w:p>
            <w:pPr>
              <w:snapToGrid w:val="0"/>
              <w:spacing w:line="360" w:lineRule="auto"/>
              <w:rPr>
                <w:rFonts w:ascii="宋体" w:hAnsi="宋体"/>
                <w:color w:val="auto"/>
                <w:sz w:val="24"/>
                <w:highlight w:val="none"/>
              </w:rPr>
            </w:pPr>
            <w:r>
              <w:rPr>
                <w:rFonts w:ascii="宋体" w:hAnsi="宋体"/>
                <w:color w:val="auto"/>
                <w:sz w:val="24"/>
                <w:highlight w:val="none"/>
              </w:rPr>
              <w:t>……</w:t>
            </w:r>
          </w:p>
        </w:tc>
        <w:tc>
          <w:tcPr>
            <w:tcW w:w="1098"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olor w:val="auto"/>
                <w:sz w:val="24"/>
                <w:highlight w:val="none"/>
              </w:rPr>
            </w:pPr>
            <w:r>
              <w:rPr>
                <w:rFonts w:ascii="宋体" w:hAnsi="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二</w:t>
            </w:r>
          </w:p>
        </w:tc>
        <w:tc>
          <w:tcPr>
            <w:tcW w:w="407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olor w:val="auto"/>
                <w:sz w:val="24"/>
                <w:highlight w:val="none"/>
              </w:rPr>
            </w:pPr>
            <w:r>
              <w:rPr>
                <w:rFonts w:ascii="宋体" w:hAnsi="宋体"/>
                <w:color w:val="auto"/>
                <w:sz w:val="24"/>
                <w:highlight w:val="none"/>
              </w:rPr>
              <w:t>1  ……</w:t>
            </w:r>
          </w:p>
          <w:p>
            <w:pPr>
              <w:snapToGrid w:val="0"/>
              <w:spacing w:line="360" w:lineRule="auto"/>
              <w:rPr>
                <w:rFonts w:ascii="宋体" w:hAnsi="宋体"/>
                <w:color w:val="auto"/>
                <w:sz w:val="24"/>
                <w:highlight w:val="none"/>
              </w:rPr>
            </w:pPr>
            <w:r>
              <w:rPr>
                <w:rFonts w:ascii="宋体" w:hAnsi="宋体"/>
                <w:color w:val="auto"/>
                <w:sz w:val="24"/>
                <w:highlight w:val="none"/>
              </w:rPr>
              <w:t>2  ……</w:t>
            </w:r>
          </w:p>
          <w:p>
            <w:pPr>
              <w:snapToGrid w:val="0"/>
              <w:spacing w:line="360" w:lineRule="auto"/>
              <w:rPr>
                <w:rFonts w:ascii="宋体" w:hAnsi="宋体"/>
                <w:color w:val="auto"/>
                <w:sz w:val="24"/>
                <w:highlight w:val="none"/>
              </w:rPr>
            </w:pPr>
            <w:r>
              <w:rPr>
                <w:rFonts w:ascii="宋体" w:hAnsi="宋体"/>
                <w:color w:val="auto"/>
                <w:sz w:val="24"/>
                <w:highlight w:val="none"/>
              </w:rPr>
              <w:t>3  ……</w:t>
            </w:r>
          </w:p>
          <w:p>
            <w:pPr>
              <w:snapToGrid w:val="0"/>
              <w:spacing w:line="360" w:lineRule="auto"/>
              <w:rPr>
                <w:rFonts w:ascii="宋体" w:hAnsi="宋体"/>
                <w:color w:val="auto"/>
                <w:sz w:val="24"/>
                <w:highlight w:val="none"/>
              </w:rPr>
            </w:pPr>
            <w:r>
              <w:rPr>
                <w:rFonts w:ascii="宋体" w:hAnsi="宋体"/>
                <w:color w:val="auto"/>
                <w:sz w:val="24"/>
                <w:highlight w:val="none"/>
              </w:rPr>
              <w:t>……</w:t>
            </w:r>
          </w:p>
        </w:tc>
        <w:tc>
          <w:tcPr>
            <w:tcW w:w="372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olor w:val="auto"/>
                <w:sz w:val="24"/>
                <w:highlight w:val="none"/>
              </w:rPr>
            </w:pPr>
            <w:r>
              <w:rPr>
                <w:rFonts w:ascii="宋体" w:hAnsi="宋体"/>
                <w:color w:val="auto"/>
                <w:sz w:val="24"/>
                <w:highlight w:val="none"/>
              </w:rPr>
              <w:t>1  ……</w:t>
            </w:r>
          </w:p>
          <w:p>
            <w:pPr>
              <w:snapToGrid w:val="0"/>
              <w:spacing w:line="360" w:lineRule="auto"/>
              <w:rPr>
                <w:rFonts w:ascii="宋体" w:hAnsi="宋体"/>
                <w:color w:val="auto"/>
                <w:sz w:val="24"/>
                <w:highlight w:val="none"/>
              </w:rPr>
            </w:pPr>
            <w:r>
              <w:rPr>
                <w:rFonts w:ascii="宋体" w:hAnsi="宋体"/>
                <w:color w:val="auto"/>
                <w:sz w:val="24"/>
                <w:highlight w:val="none"/>
              </w:rPr>
              <w:t>2  ……</w:t>
            </w:r>
          </w:p>
          <w:p>
            <w:pPr>
              <w:snapToGrid w:val="0"/>
              <w:spacing w:line="360" w:lineRule="auto"/>
              <w:rPr>
                <w:rFonts w:ascii="宋体" w:hAnsi="宋体"/>
                <w:color w:val="auto"/>
                <w:sz w:val="24"/>
                <w:highlight w:val="none"/>
              </w:rPr>
            </w:pPr>
            <w:r>
              <w:rPr>
                <w:rFonts w:ascii="宋体" w:hAnsi="宋体"/>
                <w:color w:val="auto"/>
                <w:sz w:val="24"/>
                <w:highlight w:val="none"/>
              </w:rPr>
              <w:t>3  ……</w:t>
            </w:r>
          </w:p>
          <w:p>
            <w:pPr>
              <w:snapToGrid w:val="0"/>
              <w:spacing w:line="360" w:lineRule="auto"/>
              <w:rPr>
                <w:rFonts w:ascii="宋体" w:hAnsi="宋体"/>
                <w:color w:val="auto"/>
                <w:sz w:val="24"/>
                <w:highlight w:val="none"/>
              </w:rPr>
            </w:pPr>
            <w:r>
              <w:rPr>
                <w:rFonts w:ascii="宋体" w:hAnsi="宋体"/>
                <w:color w:val="auto"/>
                <w:sz w:val="24"/>
                <w:highlight w:val="none"/>
              </w:rPr>
              <w:t>……</w:t>
            </w:r>
          </w:p>
        </w:tc>
        <w:tc>
          <w:tcPr>
            <w:tcW w:w="1098"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olor w:val="auto"/>
                <w:sz w:val="24"/>
                <w:highlight w:val="none"/>
              </w:rPr>
            </w:pPr>
            <w:r>
              <w:rPr>
                <w:rFonts w:ascii="宋体" w:hAnsi="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w:t>
            </w:r>
          </w:p>
        </w:tc>
        <w:tc>
          <w:tcPr>
            <w:tcW w:w="407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olor w:val="auto"/>
                <w:sz w:val="24"/>
                <w:highlight w:val="none"/>
              </w:rPr>
            </w:pPr>
            <w:r>
              <w:rPr>
                <w:rFonts w:ascii="宋体" w:hAnsi="宋体"/>
                <w:color w:val="auto"/>
                <w:sz w:val="24"/>
                <w:highlight w:val="none"/>
              </w:rPr>
              <w:t>1  ……</w:t>
            </w:r>
          </w:p>
          <w:p>
            <w:pPr>
              <w:snapToGrid w:val="0"/>
              <w:spacing w:line="360" w:lineRule="auto"/>
              <w:rPr>
                <w:rFonts w:ascii="宋体" w:hAnsi="宋体"/>
                <w:color w:val="auto"/>
                <w:sz w:val="24"/>
                <w:highlight w:val="none"/>
              </w:rPr>
            </w:pPr>
            <w:r>
              <w:rPr>
                <w:rFonts w:ascii="宋体" w:hAnsi="宋体"/>
                <w:color w:val="auto"/>
                <w:sz w:val="24"/>
                <w:highlight w:val="none"/>
              </w:rPr>
              <w:t>2  ……</w:t>
            </w:r>
          </w:p>
          <w:p>
            <w:pPr>
              <w:snapToGrid w:val="0"/>
              <w:spacing w:line="360" w:lineRule="auto"/>
              <w:rPr>
                <w:rFonts w:ascii="宋体" w:hAnsi="宋体"/>
                <w:color w:val="auto"/>
                <w:sz w:val="24"/>
                <w:highlight w:val="none"/>
              </w:rPr>
            </w:pPr>
            <w:r>
              <w:rPr>
                <w:rFonts w:ascii="宋体" w:hAnsi="宋体"/>
                <w:color w:val="auto"/>
                <w:sz w:val="24"/>
                <w:highlight w:val="none"/>
              </w:rPr>
              <w:t>3  ……</w:t>
            </w:r>
          </w:p>
          <w:p>
            <w:pPr>
              <w:snapToGrid w:val="0"/>
              <w:spacing w:line="360" w:lineRule="auto"/>
              <w:rPr>
                <w:rFonts w:ascii="宋体" w:hAnsi="宋体"/>
                <w:color w:val="auto"/>
                <w:sz w:val="24"/>
                <w:highlight w:val="none"/>
              </w:rPr>
            </w:pPr>
            <w:r>
              <w:rPr>
                <w:rFonts w:ascii="宋体" w:hAnsi="宋体"/>
                <w:color w:val="auto"/>
                <w:sz w:val="24"/>
                <w:highlight w:val="none"/>
              </w:rPr>
              <w:t>……</w:t>
            </w:r>
          </w:p>
        </w:tc>
        <w:tc>
          <w:tcPr>
            <w:tcW w:w="372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olor w:val="auto"/>
                <w:sz w:val="24"/>
                <w:highlight w:val="none"/>
              </w:rPr>
            </w:pPr>
            <w:r>
              <w:rPr>
                <w:rFonts w:ascii="宋体" w:hAnsi="宋体"/>
                <w:color w:val="auto"/>
                <w:sz w:val="24"/>
                <w:highlight w:val="none"/>
              </w:rPr>
              <w:t>1  ……</w:t>
            </w:r>
          </w:p>
          <w:p>
            <w:pPr>
              <w:snapToGrid w:val="0"/>
              <w:spacing w:line="360" w:lineRule="auto"/>
              <w:rPr>
                <w:rFonts w:ascii="宋体" w:hAnsi="宋体"/>
                <w:color w:val="auto"/>
                <w:sz w:val="24"/>
                <w:highlight w:val="none"/>
              </w:rPr>
            </w:pPr>
            <w:r>
              <w:rPr>
                <w:rFonts w:ascii="宋体" w:hAnsi="宋体"/>
                <w:color w:val="auto"/>
                <w:sz w:val="24"/>
                <w:highlight w:val="none"/>
              </w:rPr>
              <w:t>2  ……</w:t>
            </w:r>
          </w:p>
          <w:p>
            <w:pPr>
              <w:snapToGrid w:val="0"/>
              <w:spacing w:line="360" w:lineRule="auto"/>
              <w:rPr>
                <w:rFonts w:ascii="宋体" w:hAnsi="宋体"/>
                <w:color w:val="auto"/>
                <w:sz w:val="24"/>
                <w:highlight w:val="none"/>
              </w:rPr>
            </w:pPr>
            <w:r>
              <w:rPr>
                <w:rFonts w:ascii="宋体" w:hAnsi="宋体"/>
                <w:color w:val="auto"/>
                <w:sz w:val="24"/>
                <w:highlight w:val="none"/>
              </w:rPr>
              <w:t>3  ……</w:t>
            </w:r>
          </w:p>
          <w:p>
            <w:pPr>
              <w:snapToGrid w:val="0"/>
              <w:spacing w:line="360" w:lineRule="auto"/>
              <w:rPr>
                <w:rFonts w:ascii="宋体" w:hAnsi="宋体"/>
                <w:color w:val="auto"/>
                <w:sz w:val="24"/>
                <w:highlight w:val="none"/>
              </w:rPr>
            </w:pPr>
            <w:r>
              <w:rPr>
                <w:rFonts w:ascii="宋体" w:hAnsi="宋体"/>
                <w:color w:val="auto"/>
                <w:sz w:val="24"/>
                <w:highlight w:val="none"/>
              </w:rPr>
              <w:t>……</w:t>
            </w:r>
          </w:p>
        </w:tc>
        <w:tc>
          <w:tcPr>
            <w:tcW w:w="1098"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olor w:val="auto"/>
                <w:sz w:val="24"/>
                <w:highlight w:val="none"/>
              </w:rPr>
            </w:pPr>
            <w:r>
              <w:rPr>
                <w:rFonts w:ascii="宋体" w:hAnsi="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606"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ascii="宋体" w:hAnsi="宋体"/>
                <w:color w:val="auto"/>
                <w:sz w:val="24"/>
                <w:highlight w:val="none"/>
                <w:u w:val="single"/>
              </w:rPr>
              <w:t>　　</w:t>
            </w:r>
            <w:r>
              <w:rPr>
                <w:rFonts w:ascii="宋体" w:hAnsi="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606"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ascii="宋体" w:hAnsi="宋体"/>
                <w:color w:val="auto"/>
                <w:sz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606"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ascii="宋体" w:hAnsi="宋体"/>
                <w:color w:val="auto"/>
                <w:sz w:val="24"/>
                <w:highlight w:val="none"/>
              </w:rPr>
              <w:t>法定代表人</w:t>
            </w:r>
            <w:r>
              <w:rPr>
                <w:rFonts w:hint="eastAsia"/>
                <w:color w:val="auto"/>
                <w:sz w:val="24"/>
                <w:highlight w:val="none"/>
              </w:rPr>
              <w:t>（或负责人）</w:t>
            </w:r>
            <w:r>
              <w:rPr>
                <w:rFonts w:ascii="宋体" w:hAnsi="宋体"/>
                <w:color w:val="auto"/>
                <w:sz w:val="24"/>
                <w:highlight w:val="none"/>
              </w:rPr>
              <w:t>或其委托代理人（签字或盖章）：</w:t>
            </w:r>
          </w:p>
        </w:tc>
      </w:tr>
    </w:tbl>
    <w:p>
      <w:pPr>
        <w:snapToGrid w:val="0"/>
        <w:spacing w:line="360" w:lineRule="auto"/>
        <w:rPr>
          <w:rFonts w:ascii="宋体" w:hAnsi="宋体"/>
          <w:color w:val="auto"/>
          <w:sz w:val="24"/>
          <w:highlight w:val="none"/>
        </w:rPr>
      </w:pPr>
      <w:r>
        <w:rPr>
          <w:rFonts w:ascii="宋体" w:hAnsi="宋体"/>
          <w:color w:val="auto"/>
          <w:sz w:val="24"/>
          <w:highlight w:val="none"/>
        </w:rPr>
        <w:t>注：</w:t>
      </w:r>
      <w:r>
        <w:rPr>
          <w:rFonts w:hint="eastAsia" w:ascii="宋体" w:hAnsi="宋体" w:cs="宋体"/>
          <w:color w:val="auto"/>
          <w:sz w:val="24"/>
          <w:highlight w:val="none"/>
        </w:rPr>
        <w:t>⑴</w:t>
      </w:r>
      <w:r>
        <w:rPr>
          <w:rFonts w:ascii="宋体" w:hAnsi="宋体"/>
          <w:color w:val="auto"/>
          <w:sz w:val="24"/>
          <w:highlight w:val="none"/>
        </w:rPr>
        <w:t>表格内容均需按要求填写并盖章。</w:t>
      </w:r>
    </w:p>
    <w:p>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⑵</w:t>
      </w:r>
      <w:r>
        <w:rPr>
          <w:rFonts w:hint="eastAsia" w:ascii="宋体" w:hAnsi="宋体"/>
          <w:color w:val="auto"/>
          <w:sz w:val="24"/>
          <w:highlight w:val="none"/>
        </w:rPr>
        <w:t>投标人应对照招标文件中商务部分要求的内容逐条响应，并在“偏离情况”栏注明“正偏离”、“负偏离”或“无偏离”</w:t>
      </w:r>
      <w:r>
        <w:rPr>
          <w:rFonts w:ascii="宋体" w:hAnsi="宋体"/>
          <w:color w:val="auto"/>
          <w:sz w:val="24"/>
          <w:highlight w:val="none"/>
        </w:rPr>
        <w:t>。</w:t>
      </w:r>
    </w:p>
    <w:p>
      <w:pPr>
        <w:snapToGrid w:val="0"/>
        <w:spacing w:line="360" w:lineRule="auto"/>
        <w:ind w:firstLine="482" w:firstLineChars="200"/>
        <w:jc w:val="left"/>
        <w:rPr>
          <w:rFonts w:ascii="宋体" w:hAnsi="宋体" w:cs="宋体"/>
          <w:b/>
          <w:color w:val="auto"/>
          <w:sz w:val="24"/>
          <w:highlight w:val="none"/>
        </w:rPr>
      </w:pPr>
    </w:p>
    <w:p>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3.2.7 投标人需要说明的其他文件和说明</w:t>
      </w:r>
    </w:p>
    <w:p>
      <w:pPr>
        <w:snapToGrid w:val="0"/>
        <w:spacing w:line="360" w:lineRule="auto"/>
        <w:ind w:left="-2" w:leftChars="-1" w:firstLine="2"/>
        <w:rPr>
          <w:rFonts w:ascii="宋体" w:hAnsi="宋体" w:cs="宋体"/>
          <w:color w:val="auto"/>
          <w:szCs w:val="21"/>
          <w:highlight w:val="none"/>
        </w:rPr>
      </w:pPr>
    </w:p>
    <w:p>
      <w:pPr>
        <w:snapToGrid w:val="0"/>
        <w:spacing w:line="360" w:lineRule="auto"/>
        <w:rPr>
          <w:rFonts w:ascii="宋体" w:hAnsi="宋体" w:cs="宋体"/>
          <w:color w:val="auto"/>
          <w:szCs w:val="21"/>
          <w:highlight w:val="none"/>
        </w:rPr>
        <w:sectPr>
          <w:footerReference r:id="rId10" w:type="first"/>
          <w:pgSz w:w="11906" w:h="16838"/>
          <w:pgMar w:top="1440" w:right="1080" w:bottom="1440" w:left="1080" w:header="794" w:footer="850" w:gutter="0"/>
          <w:cols w:space="720" w:num="1"/>
          <w:titlePg/>
          <w:docGrid w:linePitch="312" w:charSpace="0"/>
        </w:sectPr>
      </w:pPr>
    </w:p>
    <w:p>
      <w:pPr>
        <w:snapToGrid w:val="0"/>
        <w:spacing w:line="360" w:lineRule="auto"/>
        <w:jc w:val="left"/>
        <w:rPr>
          <w:rFonts w:ascii="宋体" w:hAnsi="宋体" w:cs="宋体"/>
          <w:b/>
          <w:color w:val="auto"/>
          <w:szCs w:val="21"/>
          <w:highlight w:val="none"/>
        </w:rPr>
      </w:pP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3.2.8投标人的类似成功案例的业绩证明文件：</w:t>
      </w:r>
    </w:p>
    <w:p>
      <w:pPr>
        <w:snapToGrid w:val="0"/>
        <w:spacing w:line="360" w:lineRule="auto"/>
        <w:jc w:val="left"/>
        <w:rPr>
          <w:rFonts w:ascii="宋体" w:hAnsi="宋体" w:cs="宋体"/>
          <w:b/>
          <w:color w:val="auto"/>
          <w:sz w:val="24"/>
          <w:highlight w:val="none"/>
        </w:rPr>
      </w:pPr>
    </w:p>
    <w:p>
      <w:pPr>
        <w:snapToGrid w:val="0"/>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投标人类似项目实施情况一览表格式（格式也可以自拟）：</w:t>
      </w:r>
    </w:p>
    <w:tbl>
      <w:tblPr>
        <w:tblStyle w:val="53"/>
        <w:tblW w:w="1420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0"/>
        <w:gridCol w:w="3472"/>
        <w:gridCol w:w="1097"/>
        <w:gridCol w:w="1461"/>
        <w:gridCol w:w="1475"/>
        <w:gridCol w:w="1664"/>
        <w:gridCol w:w="2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采购单位名称</w:t>
            </w:r>
          </w:p>
        </w:tc>
        <w:tc>
          <w:tcPr>
            <w:tcW w:w="3472"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货物或项目名称</w:t>
            </w:r>
          </w:p>
        </w:tc>
        <w:tc>
          <w:tcPr>
            <w:tcW w:w="1097"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461"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313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附件页码</w:t>
            </w:r>
          </w:p>
        </w:tc>
        <w:tc>
          <w:tcPr>
            <w:tcW w:w="247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采购单位联系人</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0"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color w:val="auto"/>
                <w:sz w:val="24"/>
                <w:highlight w:val="none"/>
              </w:rPr>
            </w:pPr>
          </w:p>
        </w:tc>
        <w:tc>
          <w:tcPr>
            <w:tcW w:w="3472"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color w:val="auto"/>
                <w:sz w:val="24"/>
                <w:highlight w:val="none"/>
              </w:rPr>
            </w:pPr>
          </w:p>
        </w:tc>
        <w:tc>
          <w:tcPr>
            <w:tcW w:w="1097"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color w:val="auto"/>
                <w:sz w:val="24"/>
                <w:highlight w:val="none"/>
              </w:rPr>
            </w:pPr>
          </w:p>
        </w:tc>
        <w:tc>
          <w:tcPr>
            <w:tcW w:w="146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66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247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0"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cs="宋体"/>
                <w:color w:val="auto"/>
                <w:sz w:val="24"/>
                <w:highlight w:val="none"/>
              </w:rPr>
            </w:pPr>
          </w:p>
        </w:tc>
        <w:tc>
          <w:tcPr>
            <w:tcW w:w="347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cs="宋体"/>
                <w:color w:val="auto"/>
                <w:sz w:val="24"/>
                <w:highlight w:val="none"/>
              </w:rPr>
            </w:pPr>
          </w:p>
        </w:tc>
        <w:tc>
          <w:tcPr>
            <w:tcW w:w="1461"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cs="宋体"/>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cs="宋体"/>
                <w:color w:val="auto"/>
                <w:sz w:val="24"/>
                <w:highlight w:val="none"/>
              </w:rPr>
            </w:pPr>
          </w:p>
        </w:tc>
        <w:tc>
          <w:tcPr>
            <w:tcW w:w="1664"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0"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cs="宋体"/>
                <w:color w:val="auto"/>
                <w:sz w:val="24"/>
                <w:highlight w:val="none"/>
              </w:rPr>
            </w:pPr>
          </w:p>
        </w:tc>
        <w:tc>
          <w:tcPr>
            <w:tcW w:w="347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461"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eastAsia="Ђˎ̥" w:cs="宋体"/>
                <w:b/>
                <w:bCs/>
                <w:color w:val="auto"/>
                <w:sz w:val="24"/>
                <w:highlight w:val="none"/>
              </w:rPr>
            </w:pPr>
          </w:p>
        </w:tc>
        <w:tc>
          <w:tcPr>
            <w:tcW w:w="1664"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eastAsia="Ђˎ̥" w:cs="宋体"/>
                <w:b/>
                <w:bCs/>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0"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cs="宋体"/>
                <w:color w:val="auto"/>
                <w:sz w:val="24"/>
                <w:highlight w:val="none"/>
              </w:rPr>
            </w:pPr>
          </w:p>
        </w:tc>
        <w:tc>
          <w:tcPr>
            <w:tcW w:w="347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461"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eastAsia="Ђˎ̥" w:cs="宋体"/>
                <w:b/>
                <w:bCs/>
                <w:color w:val="auto"/>
                <w:sz w:val="24"/>
                <w:highlight w:val="none"/>
              </w:rPr>
            </w:pPr>
          </w:p>
        </w:tc>
        <w:tc>
          <w:tcPr>
            <w:tcW w:w="1664"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eastAsia="Ђˎ̥" w:cs="宋体"/>
                <w:b/>
                <w:bCs/>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0"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cs="宋体"/>
                <w:color w:val="auto"/>
                <w:sz w:val="24"/>
                <w:highlight w:val="none"/>
              </w:rPr>
            </w:pPr>
          </w:p>
        </w:tc>
        <w:tc>
          <w:tcPr>
            <w:tcW w:w="347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461"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eastAsia="Ђˎ̥" w:cs="宋体"/>
                <w:b/>
                <w:bCs/>
                <w:color w:val="auto"/>
                <w:sz w:val="24"/>
                <w:highlight w:val="none"/>
              </w:rPr>
            </w:pPr>
          </w:p>
        </w:tc>
        <w:tc>
          <w:tcPr>
            <w:tcW w:w="1664"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eastAsia="Ђˎ̥" w:cs="宋体"/>
                <w:b/>
                <w:bCs/>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0"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cs="宋体"/>
                <w:color w:val="auto"/>
                <w:sz w:val="24"/>
                <w:highlight w:val="none"/>
              </w:rPr>
            </w:pPr>
          </w:p>
        </w:tc>
        <w:tc>
          <w:tcPr>
            <w:tcW w:w="347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461"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eastAsia="Ђˎ̥" w:cs="宋体"/>
                <w:b/>
                <w:bCs/>
                <w:color w:val="auto"/>
                <w:sz w:val="24"/>
                <w:highlight w:val="none"/>
              </w:rPr>
            </w:pPr>
          </w:p>
        </w:tc>
        <w:tc>
          <w:tcPr>
            <w:tcW w:w="1664"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宋体" w:hAnsi="宋体" w:eastAsia="Ђˎ̥" w:cs="宋体"/>
                <w:b/>
                <w:bCs/>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宋体" w:hAnsi="宋体" w:eastAsia="Ђˎ̥" w:cs="宋体"/>
                <w:b/>
                <w:bCs/>
                <w:color w:val="auto"/>
                <w:sz w:val="24"/>
                <w:highlight w:val="none"/>
              </w:rPr>
            </w:pPr>
          </w:p>
        </w:tc>
      </w:tr>
    </w:tbl>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附：投标人类似项目合同复印件、验收报告。</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hAnsi="宋体"/>
          <w:color w:val="auto"/>
          <w:sz w:val="24"/>
          <w:highlight w:val="none"/>
        </w:rPr>
        <w:t>（或负责人）</w:t>
      </w:r>
      <w:r>
        <w:rPr>
          <w:rFonts w:hint="eastAsia" w:ascii="宋体" w:hAnsi="宋体" w:cs="宋体"/>
          <w:color w:val="auto"/>
          <w:sz w:val="24"/>
          <w:highlight w:val="none"/>
        </w:rPr>
        <w:t>或其委托代理人（签字）：　</w:t>
      </w:r>
      <w:r>
        <w:rPr>
          <w:rFonts w:hint="eastAsia" w:ascii="宋体" w:hAnsi="宋体" w:cs="宋体"/>
          <w:color w:val="auto"/>
          <w:sz w:val="24"/>
          <w:highlight w:val="none"/>
          <w:u w:val="single"/>
        </w:rPr>
        <w:t>　　　　</w:t>
      </w:r>
    </w:p>
    <w:p>
      <w:pPr>
        <w:snapToGrid w:val="0"/>
        <w:spacing w:line="360" w:lineRule="auto"/>
        <w:rPr>
          <w:color w:val="auto"/>
          <w:sz w:val="24"/>
          <w:highlight w:val="none"/>
        </w:rPr>
      </w:pP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投标人公章：年月日</w:t>
      </w:r>
    </w:p>
    <w:p>
      <w:pPr>
        <w:snapToGrid w:val="0"/>
        <w:spacing w:line="360" w:lineRule="auto"/>
        <w:ind w:firstLine="422" w:firstLineChars="200"/>
        <w:jc w:val="left"/>
        <w:rPr>
          <w:rFonts w:ascii="宋体" w:hAnsi="宋体" w:cs="宋体"/>
          <w:b/>
          <w:color w:val="auto"/>
          <w:szCs w:val="21"/>
          <w:highlight w:val="none"/>
        </w:rPr>
      </w:pPr>
    </w:p>
    <w:p>
      <w:pPr>
        <w:snapToGrid w:val="0"/>
        <w:spacing w:line="360" w:lineRule="auto"/>
        <w:jc w:val="left"/>
        <w:rPr>
          <w:rFonts w:ascii="宋体" w:hAnsi="宋体" w:cs="宋体"/>
          <w:color w:val="auto"/>
          <w:sz w:val="24"/>
          <w:szCs w:val="20"/>
          <w:highlight w:val="none"/>
        </w:rPr>
        <w:sectPr>
          <w:footerReference r:id="rId12" w:type="first"/>
          <w:footerReference r:id="rId11" w:type="even"/>
          <w:pgSz w:w="16838" w:h="11906" w:orient="landscape"/>
          <w:pgMar w:top="924" w:right="1134" w:bottom="1077" w:left="1134" w:header="851" w:footer="992" w:gutter="0"/>
          <w:cols w:space="720" w:num="1"/>
          <w:docGrid w:linePitch="312" w:charSpace="0"/>
        </w:sectPr>
      </w:pPr>
    </w:p>
    <w:p>
      <w:pPr>
        <w:overflowPunct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3.2.9中小企业声明函格式：</w:t>
      </w:r>
    </w:p>
    <w:p>
      <w:pPr>
        <w:pStyle w:val="30"/>
        <w:snapToGrid w:val="0"/>
        <w:spacing w:line="360" w:lineRule="auto"/>
        <w:jc w:val="center"/>
        <w:rPr>
          <w:rFonts w:hAnsi="宋体"/>
          <w:b/>
          <w:color w:val="auto"/>
          <w:sz w:val="30"/>
          <w:szCs w:val="30"/>
          <w:highlight w:val="none"/>
        </w:rPr>
      </w:pPr>
    </w:p>
    <w:p>
      <w:pPr>
        <w:pStyle w:val="30"/>
        <w:snapToGrid w:val="0"/>
        <w:spacing w:line="360" w:lineRule="auto"/>
        <w:jc w:val="center"/>
        <w:rPr>
          <w:rFonts w:hAnsi="宋体"/>
          <w:b/>
          <w:color w:val="auto"/>
          <w:sz w:val="30"/>
          <w:szCs w:val="30"/>
          <w:highlight w:val="none"/>
        </w:rPr>
      </w:pPr>
      <w:r>
        <w:rPr>
          <w:rFonts w:hAnsi="宋体"/>
          <w:b/>
          <w:color w:val="auto"/>
          <w:sz w:val="30"/>
          <w:szCs w:val="30"/>
          <w:highlight w:val="none"/>
        </w:rPr>
        <w:t>中小企业声明函（格式）</w:t>
      </w:r>
    </w:p>
    <w:p>
      <w:pPr>
        <w:pStyle w:val="30"/>
        <w:snapToGrid w:val="0"/>
        <w:spacing w:line="360" w:lineRule="auto"/>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30"/>
          <w:szCs w:val="30"/>
          <w:highlight w:val="none"/>
        </w:rPr>
        <w:t xml:space="preserve"> </w:t>
      </w:r>
      <w:r>
        <w:rPr>
          <w:rFonts w:hint="eastAsia" w:hAnsi="宋体"/>
          <w:color w:val="auto"/>
          <w:sz w:val="24"/>
          <w:szCs w:val="24"/>
          <w:highlight w:val="none"/>
        </w:rPr>
        <w:t xml:space="preserve"> 本公司（联合体）</w:t>
      </w:r>
      <w:r>
        <w:rPr>
          <w:rFonts w:hint="eastAsia" w:hAnsi="宋体" w:eastAsia="宋体"/>
          <w:color w:val="auto"/>
          <w:sz w:val="24"/>
          <w:szCs w:val="24"/>
          <w:highlight w:val="none"/>
          <w:u w:val="single"/>
        </w:rPr>
        <w:t xml:space="preserve">      </w:t>
      </w:r>
      <w:r>
        <w:rPr>
          <w:rFonts w:hint="eastAsia" w:hAnsi="宋体"/>
          <w:color w:val="auto"/>
          <w:sz w:val="24"/>
          <w:szCs w:val="24"/>
          <w:highlight w:val="none"/>
        </w:rPr>
        <w:t>郑重声明，根据《政府采购促进中小企业发展管理办法》（财库（2020）46号）的规定，本公司（联合体）参加</w:t>
      </w:r>
      <w:r>
        <w:rPr>
          <w:rFonts w:hint="eastAsia" w:hAnsi="宋体"/>
          <w:color w:val="auto"/>
          <w:sz w:val="24"/>
          <w:szCs w:val="24"/>
          <w:highlight w:val="none"/>
          <w:u w:val="single"/>
        </w:rPr>
        <w:t>（单位名称）</w:t>
      </w:r>
      <w:r>
        <w:rPr>
          <w:rFonts w:hint="eastAsia" w:hAnsi="宋体"/>
          <w:color w:val="auto"/>
          <w:sz w:val="24"/>
          <w:szCs w:val="24"/>
          <w:highlight w:val="none"/>
        </w:rPr>
        <w:t>的</w:t>
      </w:r>
      <w:r>
        <w:rPr>
          <w:rFonts w:hint="eastAsia" w:hAnsi="宋体"/>
          <w:color w:val="auto"/>
          <w:sz w:val="24"/>
          <w:szCs w:val="24"/>
          <w:highlight w:val="none"/>
          <w:u w:val="single"/>
        </w:rPr>
        <w:t>（项目名称）</w:t>
      </w:r>
      <w:r>
        <w:rPr>
          <w:rFonts w:hint="eastAsia" w:hAnsi="宋体"/>
          <w:color w:val="auto"/>
          <w:sz w:val="24"/>
          <w:szCs w:val="24"/>
          <w:highlight w:val="none"/>
        </w:rPr>
        <w:t>采购活动，服务全部由符合政策要求的中小企业承接。相关企业（含联合体中的中小企业、签订分包意向协议的中小企业）的具体情况如下：</w:t>
      </w:r>
    </w:p>
    <w:p>
      <w:pPr>
        <w:pStyle w:val="3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u w:val="single"/>
        </w:rPr>
        <w:t>（标的名称</w:t>
      </w:r>
      <w:r>
        <w:rPr>
          <w:rFonts w:hint="eastAsia" w:hAnsi="宋体"/>
          <w:color w:val="auto"/>
          <w:sz w:val="24"/>
          <w:szCs w:val="24"/>
          <w:highlight w:val="none"/>
        </w:rPr>
        <w:t>），属于</w:t>
      </w:r>
      <w:r>
        <w:rPr>
          <w:rFonts w:hint="eastAsia" w:hAnsi="宋体"/>
          <w:color w:val="auto"/>
          <w:sz w:val="24"/>
          <w:szCs w:val="24"/>
          <w:highlight w:val="none"/>
          <w:u w:val="single"/>
        </w:rPr>
        <w:t>（采购文件中明确的所属行业）</w:t>
      </w:r>
      <w:r>
        <w:rPr>
          <w:rFonts w:hint="eastAsia" w:hAnsi="宋体"/>
          <w:color w:val="auto"/>
          <w:sz w:val="24"/>
          <w:szCs w:val="24"/>
          <w:highlight w:val="none"/>
        </w:rPr>
        <w:t>；承建（承接）企业为</w:t>
      </w:r>
      <w:r>
        <w:rPr>
          <w:rFonts w:hint="eastAsia" w:hAnsi="宋体"/>
          <w:color w:val="auto"/>
          <w:sz w:val="24"/>
          <w:szCs w:val="24"/>
          <w:highlight w:val="none"/>
          <w:u w:val="single"/>
        </w:rPr>
        <w:t>（企业名称）</w:t>
      </w:r>
      <w:r>
        <w:rPr>
          <w:rFonts w:hint="eastAsia" w:hAnsi="宋体"/>
          <w:color w:val="auto"/>
          <w:sz w:val="24"/>
          <w:szCs w:val="24"/>
          <w:highlight w:val="none"/>
        </w:rPr>
        <w:t>，从业人员</w:t>
      </w:r>
      <w:r>
        <w:rPr>
          <w:rFonts w:hint="eastAsia" w:hAnsi="宋体"/>
          <w:color w:val="auto"/>
          <w:sz w:val="24"/>
          <w:szCs w:val="24"/>
          <w:highlight w:val="none"/>
          <w:u w:val="single"/>
        </w:rPr>
        <w:t xml:space="preserve">    </w:t>
      </w:r>
      <w:r>
        <w:rPr>
          <w:rFonts w:hint="eastAsia" w:hAnsi="宋体"/>
          <w:color w:val="auto"/>
          <w:sz w:val="24"/>
          <w:szCs w:val="24"/>
          <w:highlight w:val="none"/>
        </w:rPr>
        <w:t>人，营业收入为</w:t>
      </w:r>
      <w:r>
        <w:rPr>
          <w:rFonts w:hint="eastAsia" w:hAnsi="宋体"/>
          <w:color w:val="auto"/>
          <w:sz w:val="24"/>
          <w:szCs w:val="24"/>
          <w:highlight w:val="none"/>
          <w:u w:val="single"/>
        </w:rPr>
        <w:t xml:space="preserve">     </w:t>
      </w:r>
      <w:r>
        <w:rPr>
          <w:rFonts w:hint="eastAsia" w:hAnsi="宋体"/>
          <w:color w:val="auto"/>
          <w:sz w:val="24"/>
          <w:szCs w:val="24"/>
          <w:highlight w:val="none"/>
        </w:rPr>
        <w:t>万元，资产总额为</w:t>
      </w:r>
      <w:r>
        <w:rPr>
          <w:rFonts w:hint="eastAsia" w:hAnsi="宋体"/>
          <w:color w:val="auto"/>
          <w:sz w:val="24"/>
          <w:szCs w:val="24"/>
          <w:highlight w:val="none"/>
          <w:u w:val="single"/>
        </w:rPr>
        <w:t xml:space="preserve">    </w:t>
      </w:r>
      <w:r>
        <w:rPr>
          <w:rFonts w:hint="eastAsia" w:hAnsi="宋体"/>
          <w:color w:val="auto"/>
          <w:sz w:val="24"/>
          <w:szCs w:val="24"/>
          <w:highlight w:val="none"/>
        </w:rPr>
        <w:t>万元，属于</w:t>
      </w:r>
      <w:r>
        <w:rPr>
          <w:rFonts w:hint="eastAsia" w:hAnsi="宋体"/>
          <w:color w:val="auto"/>
          <w:sz w:val="24"/>
          <w:szCs w:val="24"/>
          <w:highlight w:val="none"/>
          <w:u w:val="single"/>
        </w:rPr>
        <w:t>（中型企业、小型企业、微型企业）</w:t>
      </w:r>
      <w:r>
        <w:rPr>
          <w:rFonts w:hint="eastAsia" w:hAnsi="宋体"/>
          <w:color w:val="auto"/>
          <w:sz w:val="24"/>
          <w:szCs w:val="24"/>
          <w:highlight w:val="none"/>
        </w:rPr>
        <w:t>；</w:t>
      </w:r>
    </w:p>
    <w:p>
      <w:pPr>
        <w:pStyle w:val="3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2.</w:t>
      </w:r>
      <w:r>
        <w:rPr>
          <w:rFonts w:hint="eastAsia" w:hAnsi="宋体"/>
          <w:color w:val="auto"/>
          <w:sz w:val="24"/>
          <w:szCs w:val="24"/>
          <w:highlight w:val="none"/>
          <w:u w:val="single"/>
        </w:rPr>
        <w:t>（标的名称）</w:t>
      </w:r>
      <w:r>
        <w:rPr>
          <w:rFonts w:hint="eastAsia" w:hAnsi="宋体"/>
          <w:color w:val="auto"/>
          <w:sz w:val="24"/>
          <w:szCs w:val="24"/>
          <w:highlight w:val="none"/>
        </w:rPr>
        <w:t>，属于</w:t>
      </w:r>
      <w:r>
        <w:rPr>
          <w:rFonts w:hint="eastAsia" w:hAnsi="宋体"/>
          <w:color w:val="auto"/>
          <w:sz w:val="24"/>
          <w:szCs w:val="24"/>
          <w:highlight w:val="none"/>
          <w:u w:val="single"/>
        </w:rPr>
        <w:t>（采购文件中明确的所属行业）</w:t>
      </w:r>
      <w:r>
        <w:rPr>
          <w:rFonts w:hint="eastAsia" w:hAnsi="宋体"/>
          <w:color w:val="auto"/>
          <w:sz w:val="24"/>
          <w:szCs w:val="24"/>
          <w:highlight w:val="none"/>
        </w:rPr>
        <w:t>；承建（承接）企业为</w:t>
      </w:r>
      <w:r>
        <w:rPr>
          <w:rFonts w:hint="eastAsia" w:hAnsi="宋体"/>
          <w:color w:val="auto"/>
          <w:sz w:val="24"/>
          <w:szCs w:val="24"/>
          <w:highlight w:val="none"/>
          <w:u w:val="single"/>
        </w:rPr>
        <w:t>（企业名称）</w:t>
      </w:r>
      <w:r>
        <w:rPr>
          <w:rFonts w:hint="eastAsia" w:hAnsi="宋体"/>
          <w:color w:val="auto"/>
          <w:sz w:val="24"/>
          <w:szCs w:val="24"/>
          <w:highlight w:val="none"/>
        </w:rPr>
        <w:t>，从业人员</w:t>
      </w:r>
      <w:r>
        <w:rPr>
          <w:rFonts w:hint="eastAsia" w:hAnsi="宋体"/>
          <w:color w:val="auto"/>
          <w:sz w:val="24"/>
          <w:szCs w:val="24"/>
          <w:highlight w:val="none"/>
          <w:u w:val="single"/>
        </w:rPr>
        <w:t xml:space="preserve">    </w:t>
      </w:r>
      <w:r>
        <w:rPr>
          <w:rFonts w:hint="eastAsia" w:hAnsi="宋体"/>
          <w:color w:val="auto"/>
          <w:sz w:val="24"/>
          <w:szCs w:val="24"/>
          <w:highlight w:val="none"/>
        </w:rPr>
        <w:t>人，营业收入为</w:t>
      </w:r>
      <w:r>
        <w:rPr>
          <w:rFonts w:hint="eastAsia" w:hAnsi="宋体"/>
          <w:color w:val="auto"/>
          <w:sz w:val="24"/>
          <w:szCs w:val="24"/>
          <w:highlight w:val="none"/>
          <w:u w:val="single"/>
        </w:rPr>
        <w:t xml:space="preserve">     </w:t>
      </w:r>
      <w:r>
        <w:rPr>
          <w:rFonts w:hint="eastAsia" w:hAnsi="宋体"/>
          <w:color w:val="auto"/>
          <w:sz w:val="24"/>
          <w:szCs w:val="24"/>
          <w:highlight w:val="none"/>
        </w:rPr>
        <w:t>万元，资产总额为</w:t>
      </w:r>
      <w:r>
        <w:rPr>
          <w:rFonts w:hint="eastAsia" w:hAnsi="宋体"/>
          <w:color w:val="auto"/>
          <w:sz w:val="24"/>
          <w:szCs w:val="24"/>
          <w:highlight w:val="none"/>
          <w:u w:val="single"/>
        </w:rPr>
        <w:t xml:space="preserve">    </w:t>
      </w:r>
      <w:r>
        <w:rPr>
          <w:rFonts w:hint="eastAsia" w:hAnsi="宋体"/>
          <w:color w:val="auto"/>
          <w:sz w:val="24"/>
          <w:szCs w:val="24"/>
          <w:highlight w:val="none"/>
        </w:rPr>
        <w:t>万元，属于</w:t>
      </w:r>
      <w:r>
        <w:rPr>
          <w:rFonts w:hint="eastAsia" w:hAnsi="宋体"/>
          <w:color w:val="auto"/>
          <w:sz w:val="24"/>
          <w:szCs w:val="24"/>
          <w:highlight w:val="none"/>
          <w:u w:val="single"/>
        </w:rPr>
        <w:t>（中型企业、小型企业、微型企业）</w:t>
      </w:r>
      <w:r>
        <w:rPr>
          <w:rFonts w:hint="eastAsia" w:hAnsi="宋体"/>
          <w:color w:val="auto"/>
          <w:sz w:val="24"/>
          <w:szCs w:val="24"/>
          <w:highlight w:val="none"/>
        </w:rPr>
        <w:t>；</w:t>
      </w:r>
    </w:p>
    <w:p>
      <w:pPr>
        <w:pStyle w:val="30"/>
        <w:snapToGrid w:val="0"/>
        <w:spacing w:line="360" w:lineRule="auto"/>
        <w:ind w:left="480"/>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w:t>
      </w:r>
    </w:p>
    <w:p>
      <w:pPr>
        <w:pStyle w:val="30"/>
        <w:snapToGrid w:val="0"/>
        <w:spacing w:line="360" w:lineRule="auto"/>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 xml:space="preserve">   以上企业，不属于大企业的分支机构，不存在控股股东为大企业的情形，也不存在与大企业的负责人为同一人的情形。</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snapToGrid w:val="0"/>
        <w:spacing w:line="360" w:lineRule="auto"/>
        <w:ind w:firstLine="720" w:firstLineChars="300"/>
        <w:rPr>
          <w:rFonts w:ascii="宋体" w:hAnsi="宋体"/>
          <w:color w:val="auto"/>
          <w:sz w:val="24"/>
          <w:highlight w:val="none"/>
        </w:rPr>
      </w:pPr>
    </w:p>
    <w:p>
      <w:pPr>
        <w:pStyle w:val="21"/>
        <w:snapToGrid w:val="0"/>
        <w:spacing w:line="360" w:lineRule="auto"/>
        <w:rPr>
          <w:rFonts w:ascii="宋体" w:hAnsi="宋体"/>
          <w:color w:val="auto"/>
          <w:highlight w:val="none"/>
        </w:rPr>
      </w:pPr>
    </w:p>
    <w:p>
      <w:pPr>
        <w:pStyle w:val="21"/>
        <w:snapToGrid w:val="0"/>
        <w:spacing w:line="360" w:lineRule="auto"/>
        <w:rPr>
          <w:rFonts w:ascii="宋体" w:hAnsi="宋体"/>
          <w:color w:val="auto"/>
          <w:highlight w:val="none"/>
        </w:rPr>
      </w:pPr>
    </w:p>
    <w:p>
      <w:pPr>
        <w:snapToGrid w:val="0"/>
        <w:spacing w:line="360" w:lineRule="auto"/>
        <w:ind w:firstLine="5760" w:firstLineChars="2400"/>
        <w:rPr>
          <w:rFonts w:ascii="宋体" w:hAnsi="宋体"/>
          <w:color w:val="auto"/>
          <w:sz w:val="24"/>
          <w:highlight w:val="none"/>
        </w:rPr>
      </w:pPr>
      <w:r>
        <w:rPr>
          <w:rFonts w:hint="eastAsia" w:ascii="宋体" w:hAnsi="宋体"/>
          <w:color w:val="auto"/>
          <w:sz w:val="24"/>
          <w:highlight w:val="none"/>
        </w:rPr>
        <w:t>企业名称（盖章）：</w:t>
      </w:r>
    </w:p>
    <w:p>
      <w:pPr>
        <w:widowControl/>
        <w:snapToGrid w:val="0"/>
        <w:spacing w:line="360" w:lineRule="auto"/>
        <w:ind w:firstLine="5760" w:firstLineChars="2400"/>
        <w:jc w:val="left"/>
        <w:rPr>
          <w:rFonts w:ascii="宋体" w:hAnsi="宋体"/>
          <w:color w:val="auto"/>
          <w:sz w:val="24"/>
          <w:highlight w:val="none"/>
        </w:rPr>
      </w:pPr>
      <w:r>
        <w:rPr>
          <w:rFonts w:hint="eastAsia" w:ascii="宋体" w:hAnsi="宋体"/>
          <w:color w:val="auto"/>
          <w:sz w:val="24"/>
          <w:highlight w:val="none"/>
        </w:rPr>
        <w:t>日期：</w:t>
      </w:r>
    </w:p>
    <w:p>
      <w:pPr>
        <w:tabs>
          <w:tab w:val="left" w:pos="4860"/>
        </w:tabs>
        <w:snapToGrid w:val="0"/>
        <w:spacing w:line="360" w:lineRule="auto"/>
        <w:ind w:right="1560" w:firstLine="444" w:firstLineChars="200"/>
        <w:jc w:val="center"/>
        <w:rPr>
          <w:rFonts w:ascii="宋体" w:hAnsi="宋体" w:cs="宋体"/>
          <w:color w:val="auto"/>
          <w:spacing w:val="6"/>
          <w:szCs w:val="21"/>
          <w:highlight w:val="none"/>
        </w:rPr>
      </w:pPr>
    </w:p>
    <w:p>
      <w:pPr>
        <w:snapToGrid w:val="0"/>
        <w:spacing w:line="360" w:lineRule="auto"/>
        <w:rPr>
          <w:rFonts w:ascii="宋体" w:hAnsi="宋体" w:cs="宋体"/>
          <w:color w:val="auto"/>
          <w:spacing w:val="6"/>
          <w:szCs w:val="21"/>
          <w:highlight w:val="non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3.2.10残疾人福利性单位声明格式：</w:t>
      </w:r>
    </w:p>
    <w:p>
      <w:pPr>
        <w:widowControl/>
        <w:snapToGrid w:val="0"/>
        <w:spacing w:line="360" w:lineRule="auto"/>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残疾人福利性单位声明函</w:t>
      </w:r>
    </w:p>
    <w:p>
      <w:pPr>
        <w:widowControl/>
        <w:snapToGrid w:val="0"/>
        <w:spacing w:line="360" w:lineRule="auto"/>
        <w:jc w:val="left"/>
        <w:rPr>
          <w:rFonts w:ascii="宋体" w:hAnsi="宋体" w:cs="宋体"/>
          <w:color w:val="auto"/>
          <w:kern w:val="0"/>
          <w:sz w:val="24"/>
          <w:highlight w:val="non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单位郑重声明，根据《财政部民政部中国残疾人联合会关于促进残疾人就业政府采购政策的通知》（财库〔2019〕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本单位对上述声明的真实性负责。如有虚假，将依法承担相应责任。</w:t>
      </w:r>
    </w:p>
    <w:p>
      <w:pPr>
        <w:widowControl/>
        <w:snapToGrid w:val="0"/>
        <w:spacing w:line="360" w:lineRule="auto"/>
        <w:jc w:val="left"/>
        <w:rPr>
          <w:rFonts w:ascii="宋体" w:hAnsi="宋体" w:cs="宋体"/>
          <w:color w:val="auto"/>
          <w:kern w:val="0"/>
          <w:sz w:val="24"/>
          <w:highlight w:val="none"/>
        </w:rPr>
      </w:pPr>
    </w:p>
    <w:p>
      <w:pPr>
        <w:widowControl/>
        <w:snapToGrid w:val="0"/>
        <w:spacing w:line="360" w:lineRule="auto"/>
        <w:jc w:val="left"/>
        <w:rPr>
          <w:rFonts w:ascii="宋体" w:hAnsi="宋体" w:cs="宋体"/>
          <w:color w:val="auto"/>
          <w:kern w:val="0"/>
          <w:sz w:val="24"/>
          <w:highlight w:val="none"/>
        </w:rPr>
      </w:pPr>
    </w:p>
    <w:p>
      <w:pPr>
        <w:widowControl/>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单位名称（盖章）：</w:t>
      </w:r>
    </w:p>
    <w:p>
      <w:pPr>
        <w:widowControl/>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日期</w:t>
      </w:r>
    </w:p>
    <w:p>
      <w:pPr>
        <w:widowControl/>
        <w:snapToGrid w:val="0"/>
        <w:spacing w:line="360" w:lineRule="auto"/>
        <w:jc w:val="left"/>
        <w:rPr>
          <w:rFonts w:ascii="宋体" w:hAnsi="宋体" w:cs="宋体"/>
          <w:color w:val="auto"/>
          <w:kern w:val="0"/>
          <w:sz w:val="24"/>
          <w:highlight w:val="none"/>
        </w:rPr>
      </w:pPr>
    </w:p>
    <w:p>
      <w:pPr>
        <w:widowControl/>
        <w:snapToGrid w:val="0"/>
        <w:spacing w:line="360" w:lineRule="auto"/>
        <w:jc w:val="left"/>
        <w:rPr>
          <w:rFonts w:ascii="宋体" w:hAnsi="宋体" w:cs="宋体"/>
          <w:b/>
          <w:color w:val="auto"/>
          <w:sz w:val="24"/>
          <w:highlight w:val="none"/>
        </w:rPr>
      </w:pPr>
      <w:r>
        <w:rPr>
          <w:rFonts w:hint="eastAsia" w:ascii="宋体" w:hAnsi="宋体" w:cs="宋体"/>
          <w:color w:val="auto"/>
          <w:kern w:val="0"/>
          <w:sz w:val="24"/>
          <w:highlight w:val="none"/>
        </w:rPr>
        <w:t>注：投标人如为残疾人福利性单位并提供本《残疾人福利性单位声明函》的，必须对声明的真实性负责。</w:t>
      </w:r>
    </w:p>
    <w:p>
      <w:pPr>
        <w:widowControl/>
        <w:snapToGrid w:val="0"/>
        <w:spacing w:line="360" w:lineRule="auto"/>
        <w:jc w:val="left"/>
        <w:rPr>
          <w:rFonts w:ascii="宋体" w:hAnsi="宋体" w:cs="宋体"/>
          <w:b/>
          <w:color w:val="auto"/>
          <w:sz w:val="24"/>
          <w:highlight w:val="none"/>
        </w:rPr>
      </w:pPr>
    </w:p>
    <w:p>
      <w:pPr>
        <w:widowControl/>
        <w:snapToGrid w:val="0"/>
        <w:spacing w:line="360" w:lineRule="auto"/>
        <w:jc w:val="left"/>
        <w:rPr>
          <w:rFonts w:ascii="宋体" w:hAnsi="宋体" w:cs="宋体"/>
          <w:b/>
          <w:color w:val="auto"/>
          <w:sz w:val="24"/>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widowControl/>
        <w:snapToGrid w:val="0"/>
        <w:spacing w:line="360" w:lineRule="auto"/>
        <w:jc w:val="left"/>
        <w:rPr>
          <w:rFonts w:ascii="宋体" w:hAnsi="宋体" w:cs="宋体"/>
          <w:b/>
          <w:color w:val="auto"/>
          <w:szCs w:val="21"/>
          <w:highlight w:val="none"/>
        </w:rPr>
      </w:pPr>
    </w:p>
    <w:p>
      <w:pPr>
        <w:snapToGrid w:val="0"/>
        <w:spacing w:line="360" w:lineRule="auto"/>
        <w:jc w:val="left"/>
        <w:rPr>
          <w:rFonts w:ascii="宋体" w:hAnsi="宋体" w:cs="宋体"/>
          <w:bCs/>
          <w:color w:val="auto"/>
          <w:sz w:val="24"/>
          <w:highlight w:val="none"/>
        </w:rPr>
      </w:pPr>
      <w:r>
        <w:rPr>
          <w:rFonts w:hint="eastAsia" w:ascii="宋体" w:hAnsi="宋体" w:cs="宋体"/>
          <w:b/>
          <w:color w:val="auto"/>
          <w:sz w:val="24"/>
          <w:highlight w:val="none"/>
        </w:rPr>
        <w:t>3.3技术</w:t>
      </w:r>
      <w:r>
        <w:rPr>
          <w:rFonts w:hint="eastAsia" w:ascii="宋体" w:hAnsi="宋体" w:cs="宋体"/>
          <w:b/>
          <w:bCs/>
          <w:color w:val="auto"/>
          <w:sz w:val="24"/>
          <w:highlight w:val="none"/>
        </w:rPr>
        <w:t>部分</w:t>
      </w:r>
    </w:p>
    <w:p>
      <w:pPr>
        <w:snapToGrid w:val="0"/>
        <w:spacing w:line="360" w:lineRule="auto"/>
        <w:jc w:val="left"/>
        <w:rPr>
          <w:rFonts w:ascii="宋体" w:hAnsi="宋体" w:cs="宋体"/>
          <w:b/>
          <w:color w:val="auto"/>
          <w:sz w:val="24"/>
          <w:highlight w:val="none"/>
        </w:rPr>
      </w:pP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3.3.1技术响应表格式：</w:t>
      </w:r>
    </w:p>
    <w:p>
      <w:pPr>
        <w:snapToGrid w:val="0"/>
        <w:spacing w:line="360" w:lineRule="auto"/>
        <w:ind w:firstLine="315" w:firstLineChars="150"/>
        <w:jc w:val="left"/>
        <w:rPr>
          <w:rFonts w:ascii="宋体" w:hAnsi="宋体" w:cs="宋体"/>
          <w:color w:val="auto"/>
          <w:szCs w:val="21"/>
          <w:highlight w:val="none"/>
        </w:rPr>
      </w:pPr>
    </w:p>
    <w:p>
      <w:pPr>
        <w:snapToGrid w:val="0"/>
        <w:spacing w:line="360" w:lineRule="auto"/>
        <w:ind w:firstLine="281" w:firstLineChars="100"/>
        <w:jc w:val="center"/>
        <w:rPr>
          <w:rFonts w:ascii="宋体" w:hAnsi="宋体" w:cs="宋体"/>
          <w:color w:val="auto"/>
          <w:kern w:val="0"/>
          <w:sz w:val="20"/>
          <w:szCs w:val="21"/>
          <w:highlight w:val="none"/>
        </w:rPr>
      </w:pPr>
      <w:r>
        <w:rPr>
          <w:rFonts w:hint="eastAsia" w:ascii="宋体" w:hAnsi="宋体" w:cs="宋体"/>
          <w:b/>
          <w:bCs/>
          <w:color w:val="auto"/>
          <w:kern w:val="0"/>
          <w:sz w:val="28"/>
          <w:szCs w:val="28"/>
          <w:highlight w:val="none"/>
        </w:rPr>
        <w:t>技术响应表</w:t>
      </w:r>
    </w:p>
    <w:p>
      <w:pPr>
        <w:snapToGrid w:val="0"/>
        <w:spacing w:line="360" w:lineRule="auto"/>
        <w:rPr>
          <w:rFonts w:ascii="宋体" w:hAnsi="宋体" w:cs="宋体"/>
          <w:color w:val="auto"/>
          <w:kern w:val="0"/>
          <w:sz w:val="20"/>
          <w:szCs w:val="21"/>
          <w:highlight w:val="none"/>
          <w:u w:val="thick"/>
        </w:rPr>
      </w:pPr>
    </w:p>
    <w:tbl>
      <w:tblPr>
        <w:tblStyle w:val="5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76"/>
        <w:gridCol w:w="1125"/>
        <w:gridCol w:w="1574"/>
        <w:gridCol w:w="1226"/>
        <w:gridCol w:w="1438"/>
        <w:gridCol w:w="14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72"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项号</w:t>
            </w:r>
          </w:p>
        </w:tc>
        <w:tc>
          <w:tcPr>
            <w:tcW w:w="3575"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招标文件需求</w:t>
            </w:r>
          </w:p>
        </w:tc>
        <w:tc>
          <w:tcPr>
            <w:tcW w:w="411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投标文件承诺</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采购内容</w:t>
            </w:r>
          </w:p>
        </w:tc>
        <w:tc>
          <w:tcPr>
            <w:tcW w:w="11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数量及单位</w:t>
            </w:r>
          </w:p>
        </w:tc>
        <w:tc>
          <w:tcPr>
            <w:tcW w:w="15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要求</w:t>
            </w:r>
          </w:p>
        </w:tc>
        <w:tc>
          <w:tcPr>
            <w:tcW w:w="12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采购内容</w:t>
            </w:r>
          </w:p>
        </w:tc>
        <w:tc>
          <w:tcPr>
            <w:tcW w:w="143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数量及单位</w:t>
            </w:r>
          </w:p>
        </w:tc>
        <w:tc>
          <w:tcPr>
            <w:tcW w:w="144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性能及指标</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8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5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8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5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8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5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533" w:type="dxa"/>
            <w:gridSpan w:val="8"/>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33" w:type="dxa"/>
            <w:gridSpan w:val="8"/>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33" w:type="dxa"/>
            <w:gridSpan w:val="8"/>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r>
              <w:rPr>
                <w:rFonts w:hint="eastAsia" w:hAnsi="宋体"/>
                <w:color w:val="auto"/>
                <w:sz w:val="24"/>
                <w:highlight w:val="none"/>
              </w:rPr>
              <w:t>（或负责人）</w:t>
            </w:r>
            <w:r>
              <w:rPr>
                <w:rFonts w:hint="eastAsia" w:ascii="宋体" w:hAnsi="宋体" w:cs="宋体"/>
                <w:color w:val="auto"/>
                <w:sz w:val="24"/>
                <w:highlight w:val="none"/>
              </w:rPr>
              <w:t>或其委托代理人（签字或盖章）：</w:t>
            </w:r>
          </w:p>
        </w:tc>
      </w:tr>
    </w:tbl>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注：⑴表格内容均需按要求填写并盖章。</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⑵</w:t>
      </w:r>
      <w:r>
        <w:rPr>
          <w:rFonts w:hint="eastAsia" w:ascii="宋体" w:hAnsi="宋体" w:cs="宋体"/>
          <w:color w:val="auto"/>
          <w:sz w:val="24"/>
          <w:highlight w:val="none"/>
        </w:rPr>
        <w:t>投标人应对照招标文件采购需求技术部分逐条响应，并在“偏离情况”栏注明“正偏离”、“负偏离”或“无偏离”。</w:t>
      </w:r>
    </w:p>
    <w:p>
      <w:pPr>
        <w:snapToGrid w:val="0"/>
        <w:spacing w:line="360" w:lineRule="auto"/>
        <w:rPr>
          <w:rFonts w:ascii="宋体" w:hAnsi="宋体" w:cs="宋体"/>
          <w:color w:val="auto"/>
          <w:spacing w:val="20"/>
          <w:sz w:val="24"/>
          <w:highlight w:val="none"/>
          <w:u w:val="single"/>
        </w:rPr>
      </w:pPr>
    </w:p>
    <w:p>
      <w:pPr>
        <w:snapToGrid w:val="0"/>
        <w:spacing w:line="360" w:lineRule="auto"/>
        <w:jc w:val="left"/>
        <w:rPr>
          <w:rFonts w:ascii="宋体" w:hAnsi="宋体" w:cs="宋体"/>
          <w:b/>
          <w:color w:val="auto"/>
          <w:sz w:val="24"/>
          <w:highlight w:val="none"/>
        </w:rPr>
        <w:sectPr>
          <w:footerReference r:id="rId14" w:type="first"/>
          <w:footerReference r:id="rId13" w:type="even"/>
          <w:pgSz w:w="11906" w:h="16838"/>
          <w:pgMar w:top="1440" w:right="1080" w:bottom="1440" w:left="1080" w:header="851" w:footer="992" w:gutter="0"/>
          <w:cols w:space="720" w:num="1"/>
          <w:docGrid w:linePitch="312" w:charSpace="0"/>
        </w:sectPr>
      </w:pPr>
    </w:p>
    <w:p>
      <w:pPr>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3.3.2服务承诺（格式自拟）</w:t>
      </w:r>
      <w:r>
        <w:rPr>
          <w:rFonts w:hint="eastAsia" w:ascii="宋体" w:hAnsi="宋体" w:cs="宋体"/>
          <w:color w:val="auto"/>
          <w:sz w:val="24"/>
          <w:highlight w:val="none"/>
        </w:rPr>
        <w:t>，包括但不限于以下文件资料：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1）项目实施人员（主要从业人员及其技术资格）一览表；</w:t>
      </w:r>
    </w:p>
    <w:p>
      <w:pPr>
        <w:snapToGrid w:val="0"/>
        <w:spacing w:line="360" w:lineRule="auto"/>
        <w:ind w:firstLine="360" w:firstLineChars="150"/>
        <w:rPr>
          <w:rFonts w:ascii="新宋体" w:hAnsi="新宋体" w:eastAsia="新宋体" w:cs="新宋体"/>
          <w:b/>
          <w:color w:val="auto"/>
          <w:sz w:val="24"/>
          <w:highlight w:val="none"/>
        </w:rPr>
      </w:pPr>
      <w:r>
        <w:rPr>
          <w:rFonts w:hint="eastAsia" w:ascii="新宋体" w:hAnsi="新宋体" w:eastAsia="新宋体" w:cs="新宋体"/>
          <w:color w:val="auto"/>
          <w:sz w:val="24"/>
          <w:highlight w:val="none"/>
        </w:rPr>
        <w:t>分标：</w:t>
      </w:r>
    </w:p>
    <w:tbl>
      <w:tblPr>
        <w:tblStyle w:val="53"/>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010"/>
        <w:gridCol w:w="1672"/>
        <w:gridCol w:w="1122"/>
        <w:gridCol w:w="2138"/>
        <w:gridCol w:w="1530"/>
        <w:gridCol w:w="1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姓名</w:t>
            </w:r>
          </w:p>
        </w:tc>
        <w:tc>
          <w:tcPr>
            <w:tcW w:w="101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职务</w:t>
            </w:r>
          </w:p>
        </w:tc>
        <w:tc>
          <w:tcPr>
            <w:tcW w:w="16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专业技术资格</w:t>
            </w:r>
          </w:p>
        </w:tc>
        <w:tc>
          <w:tcPr>
            <w:tcW w:w="112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证书编号</w:t>
            </w:r>
          </w:p>
        </w:tc>
        <w:tc>
          <w:tcPr>
            <w:tcW w:w="213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参加本单位工作时间</w:t>
            </w:r>
          </w:p>
        </w:tc>
        <w:tc>
          <w:tcPr>
            <w:tcW w:w="153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劳动合同编号</w:t>
            </w:r>
          </w:p>
        </w:tc>
        <w:tc>
          <w:tcPr>
            <w:tcW w:w="14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社保缴费编号或信息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1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672"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213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1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672"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213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1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c>
          <w:tcPr>
            <w:tcW w:w="101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672"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213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新宋体" w:hAnsi="新宋体" w:eastAsia="新宋体" w:cs="新宋体"/>
                <w:b/>
                <w:bCs/>
                <w:color w:val="auto"/>
                <w:sz w:val="24"/>
                <w:highlight w:val="none"/>
              </w:rPr>
            </w:pPr>
          </w:p>
        </w:tc>
      </w:tr>
    </w:tbl>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注：在填写时，如本表格不适合投标单位的实际情况，可根据本表格式自行制表填写。</w:t>
      </w:r>
    </w:p>
    <w:p>
      <w:pPr>
        <w:snapToGrid w:val="0"/>
        <w:spacing w:line="360" w:lineRule="auto"/>
        <w:rPr>
          <w:rFonts w:ascii="新宋体" w:hAnsi="新宋体" w:eastAsia="新宋体" w:cs="新宋体"/>
          <w:color w:val="auto"/>
          <w:spacing w:val="20"/>
          <w:sz w:val="24"/>
          <w:highlight w:val="none"/>
        </w:rPr>
      </w:pPr>
    </w:p>
    <w:p>
      <w:pPr>
        <w:snapToGrid w:val="0"/>
        <w:spacing w:line="360" w:lineRule="auto"/>
        <w:rPr>
          <w:rFonts w:ascii="新宋体" w:hAnsi="新宋体" w:eastAsia="新宋体" w:cs="新宋体"/>
          <w:color w:val="auto"/>
          <w:spacing w:val="20"/>
          <w:sz w:val="24"/>
          <w:highlight w:val="none"/>
          <w:u w:val="single"/>
        </w:rPr>
      </w:pPr>
      <w:r>
        <w:rPr>
          <w:rFonts w:hint="eastAsia" w:ascii="新宋体" w:hAnsi="新宋体" w:eastAsia="新宋体" w:cs="新宋体"/>
          <w:color w:val="auto"/>
          <w:kern w:val="0"/>
          <w:sz w:val="24"/>
          <w:highlight w:val="none"/>
        </w:rPr>
        <w:t>法定代表人</w:t>
      </w:r>
      <w:r>
        <w:rPr>
          <w:rFonts w:hint="eastAsia" w:hAnsi="宋体"/>
          <w:color w:val="auto"/>
          <w:sz w:val="24"/>
          <w:highlight w:val="none"/>
        </w:rPr>
        <w:t>（或负责人）</w:t>
      </w:r>
      <w:r>
        <w:rPr>
          <w:rFonts w:hint="eastAsia" w:ascii="新宋体" w:hAnsi="新宋体" w:eastAsia="新宋体" w:cs="新宋体"/>
          <w:color w:val="auto"/>
          <w:kern w:val="0"/>
          <w:sz w:val="24"/>
          <w:highlight w:val="none"/>
        </w:rPr>
        <w:t>或其委托代理人（签字）</w:t>
      </w:r>
      <w:r>
        <w:rPr>
          <w:rFonts w:hint="eastAsia" w:ascii="新宋体" w:hAnsi="新宋体" w:eastAsia="新宋体" w:cs="新宋体"/>
          <w:color w:val="auto"/>
          <w:spacing w:val="20"/>
          <w:sz w:val="24"/>
          <w:highlight w:val="none"/>
        </w:rPr>
        <w:t>：</w:t>
      </w:r>
    </w:p>
    <w:p>
      <w:pPr>
        <w:snapToGrid w:val="0"/>
        <w:spacing w:line="360" w:lineRule="auto"/>
        <w:jc w:val="left"/>
        <w:rPr>
          <w:rFonts w:ascii="新宋体" w:hAnsi="新宋体" w:eastAsia="新宋体" w:cs="新宋体"/>
          <w:color w:val="auto"/>
          <w:spacing w:val="20"/>
          <w:sz w:val="24"/>
          <w:highlight w:val="none"/>
        </w:rPr>
      </w:pPr>
    </w:p>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投标人盖章：日期：</w:t>
      </w:r>
    </w:p>
    <w:p>
      <w:pPr>
        <w:snapToGrid w:val="0"/>
        <w:spacing w:line="360" w:lineRule="auto"/>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2）服务的内容和措施；</w:t>
      </w:r>
    </w:p>
    <w:p>
      <w:pPr>
        <w:snapToGrid w:val="0"/>
        <w:spacing w:line="360" w:lineRule="auto"/>
        <w:jc w:val="left"/>
        <w:rPr>
          <w:rFonts w:ascii="新宋体" w:hAnsi="新宋体" w:eastAsia="新宋体" w:cs="新宋体"/>
          <w:b/>
          <w:color w:val="auto"/>
          <w:sz w:val="24"/>
          <w:highlight w:val="none"/>
        </w:rPr>
      </w:pPr>
    </w:p>
    <w:p>
      <w:pPr>
        <w:snapToGrid w:val="0"/>
        <w:spacing w:line="360" w:lineRule="auto"/>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3.3.3本地化服务能力证明</w:t>
      </w:r>
    </w:p>
    <w:p>
      <w:pPr>
        <w:snapToGrid w:val="0"/>
        <w:spacing w:line="360" w:lineRule="auto"/>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距采购人最近或者能为本项目提供最优服务的网点情况表</w:t>
      </w:r>
    </w:p>
    <w:tbl>
      <w:tblPr>
        <w:tblStyle w:val="53"/>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5"/>
        <w:gridCol w:w="1895"/>
        <w:gridCol w:w="223"/>
        <w:gridCol w:w="1680"/>
        <w:gridCol w:w="1038"/>
        <w:gridCol w:w="1479"/>
        <w:gridCol w:w="16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服务网点名称</w:t>
            </w:r>
          </w:p>
        </w:tc>
        <w:tc>
          <w:tcPr>
            <w:tcW w:w="6315" w:type="dxa"/>
            <w:gridSpan w:val="5"/>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1632"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地址</w:t>
            </w:r>
          </w:p>
        </w:tc>
        <w:tc>
          <w:tcPr>
            <w:tcW w:w="6315" w:type="dxa"/>
            <w:gridSpan w:val="5"/>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1632"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注册资本金</w:t>
            </w:r>
          </w:p>
        </w:tc>
        <w:tc>
          <w:tcPr>
            <w:tcW w:w="189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2941" w:type="dxa"/>
            <w:gridSpan w:val="3"/>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其中：投标人出资比例</w:t>
            </w:r>
          </w:p>
        </w:tc>
        <w:tc>
          <w:tcPr>
            <w:tcW w:w="1479"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员工总人数</w:t>
            </w:r>
          </w:p>
        </w:tc>
        <w:tc>
          <w:tcPr>
            <w:tcW w:w="189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2941" w:type="dxa"/>
            <w:gridSpan w:val="3"/>
            <w:tcBorders>
              <w:top w:val="single" w:color="auto" w:sz="4" w:space="0"/>
              <w:left w:val="single" w:color="auto" w:sz="4" w:space="0"/>
              <w:bottom w:val="single" w:color="auto" w:sz="4" w:space="0"/>
              <w:right w:val="single" w:color="auto" w:sz="4" w:space="0"/>
            </w:tcBorders>
            <w:noWrap/>
          </w:tcPr>
          <w:p>
            <w:pPr>
              <w:snapToGrid w:val="0"/>
              <w:spacing w:line="360" w:lineRule="auto"/>
              <w:ind w:left="6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其中：技术人员数</w:t>
            </w:r>
          </w:p>
        </w:tc>
        <w:tc>
          <w:tcPr>
            <w:tcW w:w="1479"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经营期限</w:t>
            </w:r>
          </w:p>
        </w:tc>
        <w:tc>
          <w:tcPr>
            <w:tcW w:w="6315" w:type="dxa"/>
            <w:gridSpan w:val="5"/>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售后服务协议</w:t>
            </w:r>
          </w:p>
        </w:tc>
        <w:tc>
          <w:tcPr>
            <w:tcW w:w="6315" w:type="dxa"/>
            <w:gridSpan w:val="5"/>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售后服务内容</w:t>
            </w:r>
          </w:p>
        </w:tc>
        <w:tc>
          <w:tcPr>
            <w:tcW w:w="6315" w:type="dxa"/>
            <w:gridSpan w:val="5"/>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工作业绩</w:t>
            </w:r>
          </w:p>
        </w:tc>
        <w:tc>
          <w:tcPr>
            <w:tcW w:w="6315" w:type="dxa"/>
            <w:gridSpan w:val="5"/>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服务承诺</w:t>
            </w:r>
          </w:p>
        </w:tc>
        <w:tc>
          <w:tcPr>
            <w:tcW w:w="6315" w:type="dxa"/>
            <w:gridSpan w:val="5"/>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业务咨询电话</w:t>
            </w:r>
          </w:p>
        </w:tc>
        <w:tc>
          <w:tcPr>
            <w:tcW w:w="2118" w:type="dxa"/>
            <w:gridSpan w:val="2"/>
            <w:tcBorders>
              <w:top w:val="single" w:color="auto" w:sz="4" w:space="0"/>
              <w:left w:val="single" w:color="auto" w:sz="4" w:space="0"/>
              <w:bottom w:val="single" w:color="auto" w:sz="4" w:space="0"/>
              <w:right w:val="single" w:color="auto" w:sz="2" w:space="0"/>
            </w:tcBorders>
            <w:noWrap/>
          </w:tcPr>
          <w:p>
            <w:pPr>
              <w:snapToGrid w:val="0"/>
              <w:spacing w:line="360" w:lineRule="auto"/>
              <w:jc w:val="left"/>
              <w:rPr>
                <w:rFonts w:ascii="新宋体" w:hAnsi="新宋体" w:eastAsia="新宋体" w:cs="新宋体"/>
                <w:color w:val="auto"/>
                <w:sz w:val="24"/>
                <w:highlight w:val="none"/>
              </w:rPr>
            </w:pPr>
          </w:p>
        </w:tc>
        <w:tc>
          <w:tcPr>
            <w:tcW w:w="1680" w:type="dxa"/>
            <w:tcBorders>
              <w:top w:val="single" w:color="auto" w:sz="4" w:space="0"/>
              <w:left w:val="single" w:color="auto" w:sz="2" w:space="0"/>
              <w:bottom w:val="single" w:color="auto" w:sz="4" w:space="0"/>
              <w:right w:val="single" w:color="auto" w:sz="2" w:space="0"/>
            </w:tcBorders>
            <w:noWrap/>
            <w:vAlign w:val="center"/>
          </w:tcPr>
          <w:p>
            <w:pPr>
              <w:snapToGrid w:val="0"/>
              <w:spacing w:line="360" w:lineRule="auto"/>
              <w:ind w:firstLine="240" w:firstLineChars="10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传真</w:t>
            </w:r>
          </w:p>
        </w:tc>
        <w:tc>
          <w:tcPr>
            <w:tcW w:w="2517" w:type="dxa"/>
            <w:gridSpan w:val="2"/>
            <w:tcBorders>
              <w:top w:val="single" w:color="auto" w:sz="4" w:space="0"/>
              <w:left w:val="single" w:color="auto" w:sz="2" w:space="0"/>
              <w:bottom w:val="single" w:color="auto" w:sz="4" w:space="0"/>
              <w:right w:val="single" w:color="auto" w:sz="2" w:space="0"/>
            </w:tcBorders>
            <w:noWrap/>
          </w:tcPr>
          <w:p>
            <w:pPr>
              <w:keepNext/>
              <w:keepLines/>
              <w:snapToGrid w:val="0"/>
              <w:spacing w:line="360" w:lineRule="auto"/>
              <w:jc w:val="left"/>
              <w:rPr>
                <w:rFonts w:ascii="新宋体" w:hAnsi="新宋体" w:eastAsia="新宋体" w:cs="新宋体"/>
                <w:b/>
                <w:bCs/>
                <w:color w:val="auto"/>
                <w:sz w:val="24"/>
                <w:highlight w:val="none"/>
              </w:rPr>
            </w:pPr>
          </w:p>
        </w:tc>
        <w:tc>
          <w:tcPr>
            <w:tcW w:w="1632" w:type="dxa"/>
            <w:tcBorders>
              <w:top w:val="single" w:color="auto" w:sz="4" w:space="0"/>
              <w:left w:val="single" w:color="auto" w:sz="2" w:space="0"/>
              <w:bottom w:val="single" w:color="auto" w:sz="4" w:space="0"/>
              <w:right w:val="single" w:color="auto" w:sz="4" w:space="0"/>
            </w:tcBorders>
            <w:noWrap/>
          </w:tcPr>
          <w:p>
            <w:pPr>
              <w:keepNext/>
              <w:keepLines/>
              <w:snapToGrid w:val="0"/>
              <w:spacing w:line="360" w:lineRule="auto"/>
              <w:jc w:val="left"/>
              <w:rPr>
                <w:rFonts w:ascii="新宋体" w:hAnsi="新宋体" w:eastAsia="新宋体" w:cs="新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15" w:type="dxa"/>
            <w:tcBorders>
              <w:top w:val="single" w:color="auto" w:sz="4" w:space="0"/>
              <w:left w:val="single" w:color="auto" w:sz="4" w:space="0"/>
              <w:bottom w:val="single" w:color="auto" w:sz="4" w:space="0"/>
              <w:right w:val="single" w:color="auto" w:sz="4" w:space="0"/>
            </w:tcBorders>
            <w:noWrap/>
          </w:tcPr>
          <w:p>
            <w:pPr>
              <w:snapToGrid w:val="0"/>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负责人</w:t>
            </w:r>
          </w:p>
        </w:tc>
        <w:tc>
          <w:tcPr>
            <w:tcW w:w="2118" w:type="dxa"/>
            <w:gridSpan w:val="2"/>
            <w:tcBorders>
              <w:top w:val="single" w:color="auto" w:sz="4" w:space="0"/>
              <w:left w:val="single" w:color="auto" w:sz="4" w:space="0"/>
              <w:bottom w:val="single" w:color="auto" w:sz="4" w:space="0"/>
              <w:right w:val="single" w:color="auto" w:sz="2" w:space="0"/>
            </w:tcBorders>
            <w:noWrap/>
          </w:tcPr>
          <w:p>
            <w:pPr>
              <w:snapToGrid w:val="0"/>
              <w:spacing w:line="360" w:lineRule="auto"/>
              <w:jc w:val="left"/>
              <w:rPr>
                <w:rFonts w:ascii="新宋体" w:hAnsi="新宋体" w:eastAsia="新宋体" w:cs="新宋体"/>
                <w:color w:val="auto"/>
                <w:sz w:val="24"/>
                <w:highlight w:val="none"/>
              </w:rPr>
            </w:pPr>
          </w:p>
        </w:tc>
        <w:tc>
          <w:tcPr>
            <w:tcW w:w="1680" w:type="dxa"/>
            <w:tcBorders>
              <w:top w:val="single" w:color="auto" w:sz="4" w:space="0"/>
              <w:left w:val="single" w:color="auto" w:sz="2" w:space="0"/>
              <w:bottom w:val="single" w:color="auto" w:sz="4" w:space="0"/>
              <w:right w:val="single" w:color="auto" w:sz="2" w:space="0"/>
            </w:tcBorders>
            <w:noWrap/>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联系电话</w:t>
            </w:r>
          </w:p>
        </w:tc>
        <w:tc>
          <w:tcPr>
            <w:tcW w:w="2517" w:type="dxa"/>
            <w:gridSpan w:val="2"/>
            <w:tcBorders>
              <w:top w:val="single" w:color="auto" w:sz="4" w:space="0"/>
              <w:left w:val="single" w:color="auto" w:sz="2" w:space="0"/>
              <w:bottom w:val="single" w:color="auto" w:sz="4" w:space="0"/>
              <w:right w:val="single" w:color="auto" w:sz="4" w:space="0"/>
            </w:tcBorders>
            <w:noWrap/>
          </w:tcPr>
          <w:p>
            <w:pPr>
              <w:keepNext/>
              <w:keepLines/>
              <w:snapToGrid w:val="0"/>
              <w:spacing w:line="360" w:lineRule="auto"/>
              <w:jc w:val="left"/>
              <w:rPr>
                <w:rFonts w:ascii="新宋体" w:hAnsi="新宋体" w:eastAsia="新宋体" w:cs="新宋体"/>
                <w:b/>
                <w:bCs/>
                <w:color w:val="auto"/>
                <w:sz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pPr>
              <w:keepNext/>
              <w:keepLines/>
              <w:snapToGrid w:val="0"/>
              <w:spacing w:line="360" w:lineRule="auto"/>
              <w:jc w:val="left"/>
              <w:rPr>
                <w:rFonts w:ascii="新宋体" w:hAnsi="新宋体" w:eastAsia="新宋体" w:cs="新宋体"/>
                <w:b/>
                <w:bCs/>
                <w:color w:val="auto"/>
                <w:sz w:val="24"/>
                <w:highlight w:val="none"/>
              </w:rPr>
            </w:pPr>
          </w:p>
        </w:tc>
      </w:tr>
    </w:tbl>
    <w:p>
      <w:pPr>
        <w:snapToGrid w:val="0"/>
        <w:spacing w:line="360" w:lineRule="auto"/>
        <w:rPr>
          <w:rFonts w:ascii="新宋体" w:hAnsi="新宋体" w:eastAsia="新宋体" w:cs="新宋体"/>
          <w:color w:val="auto"/>
          <w:sz w:val="24"/>
          <w:highlight w:val="none"/>
          <w:u w:val="single"/>
        </w:rPr>
      </w:pPr>
      <w:r>
        <w:rPr>
          <w:rFonts w:hint="eastAsia" w:ascii="新宋体" w:hAnsi="新宋体" w:eastAsia="新宋体" w:cs="新宋体"/>
          <w:color w:val="auto"/>
          <w:kern w:val="0"/>
          <w:sz w:val="24"/>
          <w:highlight w:val="none"/>
        </w:rPr>
        <w:t>法定代表人</w:t>
      </w:r>
      <w:r>
        <w:rPr>
          <w:rFonts w:hint="eastAsia" w:hAnsi="宋体"/>
          <w:color w:val="auto"/>
          <w:sz w:val="24"/>
          <w:highlight w:val="none"/>
        </w:rPr>
        <w:t>（或负责人）</w:t>
      </w:r>
      <w:r>
        <w:rPr>
          <w:rFonts w:hint="eastAsia" w:ascii="新宋体" w:hAnsi="新宋体" w:eastAsia="新宋体" w:cs="新宋体"/>
          <w:color w:val="auto"/>
          <w:kern w:val="0"/>
          <w:sz w:val="24"/>
          <w:highlight w:val="none"/>
        </w:rPr>
        <w:t>或其委托代理人（签字）：</w:t>
      </w:r>
      <w:r>
        <w:rPr>
          <w:rFonts w:hint="eastAsia" w:ascii="新宋体" w:hAnsi="新宋体" w:eastAsia="新宋体" w:cs="新宋体"/>
          <w:color w:val="auto"/>
          <w:sz w:val="24"/>
          <w:highlight w:val="none"/>
          <w:u w:val="single"/>
        </w:rPr>
        <w:t>　　　　　</w:t>
      </w:r>
    </w:p>
    <w:p>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投标人公章：　年月　日</w:t>
      </w:r>
    </w:p>
    <w:p>
      <w:pPr>
        <w:snapToGrid w:val="0"/>
        <w:spacing w:line="360" w:lineRule="auto"/>
        <w:ind w:firstLine="482" w:firstLineChars="200"/>
        <w:jc w:val="left"/>
        <w:rPr>
          <w:rFonts w:ascii="新宋体" w:hAnsi="新宋体" w:eastAsia="新宋体" w:cs="新宋体"/>
          <w:b/>
          <w:color w:val="auto"/>
          <w:sz w:val="24"/>
          <w:highlight w:val="none"/>
        </w:rPr>
      </w:pPr>
    </w:p>
    <w:p>
      <w:pPr>
        <w:snapToGrid w:val="0"/>
        <w:spacing w:line="360" w:lineRule="auto"/>
        <w:ind w:firstLine="482" w:firstLineChars="200"/>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3.3.4对本项目总体要求的理解（格式自拟）</w:t>
      </w:r>
    </w:p>
    <w:p>
      <w:pPr>
        <w:snapToGrid w:val="0"/>
        <w:spacing w:line="360" w:lineRule="auto"/>
        <w:ind w:firstLine="482" w:firstLineChars="200"/>
        <w:jc w:val="left"/>
        <w:rPr>
          <w:rFonts w:ascii="新宋体" w:hAnsi="新宋体" w:eastAsia="新宋体" w:cs="新宋体"/>
          <w:b/>
          <w:color w:val="auto"/>
          <w:sz w:val="24"/>
          <w:highlight w:val="none"/>
        </w:rPr>
      </w:pPr>
    </w:p>
    <w:p>
      <w:pPr>
        <w:snapToGrid w:val="0"/>
        <w:spacing w:line="360" w:lineRule="auto"/>
        <w:ind w:firstLine="482" w:firstLineChars="200"/>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3.3.5招标采购需求中要求提供的材料（如技术方案、实施方案等）（格式自拟）；</w:t>
      </w:r>
    </w:p>
    <w:p>
      <w:pPr>
        <w:snapToGrid w:val="0"/>
        <w:spacing w:line="360" w:lineRule="auto"/>
        <w:ind w:firstLine="482" w:firstLineChars="200"/>
        <w:jc w:val="left"/>
        <w:rPr>
          <w:rFonts w:ascii="新宋体" w:hAnsi="新宋体" w:eastAsia="新宋体" w:cs="新宋体"/>
          <w:b/>
          <w:color w:val="auto"/>
          <w:sz w:val="24"/>
          <w:highlight w:val="none"/>
        </w:rPr>
      </w:pPr>
    </w:p>
    <w:p>
      <w:pPr>
        <w:snapToGrid w:val="0"/>
        <w:spacing w:line="360" w:lineRule="auto"/>
        <w:ind w:firstLine="482" w:firstLineChars="200"/>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3.3.6技术服务、技术培训的内容和措施（格式自拟）；</w:t>
      </w:r>
    </w:p>
    <w:p>
      <w:pPr>
        <w:snapToGrid w:val="0"/>
        <w:spacing w:line="360" w:lineRule="auto"/>
        <w:ind w:firstLine="482" w:firstLineChars="200"/>
        <w:jc w:val="left"/>
        <w:rPr>
          <w:rFonts w:ascii="新宋体" w:hAnsi="新宋体" w:eastAsia="新宋体" w:cs="新宋体"/>
          <w:b/>
          <w:color w:val="auto"/>
          <w:sz w:val="24"/>
          <w:highlight w:val="none"/>
        </w:rPr>
      </w:pPr>
    </w:p>
    <w:p>
      <w:pPr>
        <w:snapToGrid w:val="0"/>
        <w:spacing w:line="360" w:lineRule="auto"/>
        <w:ind w:firstLine="482" w:firstLineChars="200"/>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3.3.7投标人对本项目的合理化建议和改进措施（格式自拟）；</w:t>
      </w:r>
    </w:p>
    <w:p>
      <w:pPr>
        <w:snapToGrid w:val="0"/>
        <w:spacing w:line="360" w:lineRule="auto"/>
        <w:ind w:firstLine="482" w:firstLineChars="200"/>
        <w:jc w:val="left"/>
        <w:rPr>
          <w:rFonts w:ascii="新宋体" w:hAnsi="新宋体" w:eastAsia="新宋体" w:cs="新宋体"/>
          <w:b/>
          <w:color w:val="auto"/>
          <w:sz w:val="24"/>
          <w:highlight w:val="none"/>
        </w:rPr>
      </w:pPr>
    </w:p>
    <w:p>
      <w:pPr>
        <w:snapToGrid w:val="0"/>
        <w:spacing w:line="360" w:lineRule="auto"/>
        <w:ind w:firstLine="482" w:firstLineChars="200"/>
        <w:jc w:val="left"/>
        <w:rPr>
          <w:rFonts w:ascii="新宋体" w:hAnsi="新宋体" w:eastAsia="新宋体" w:cs="新宋体"/>
          <w:color w:val="auto"/>
          <w:spacing w:val="20"/>
          <w:sz w:val="24"/>
          <w:highlight w:val="none"/>
          <w:u w:val="single"/>
        </w:rPr>
        <w:sectPr>
          <w:pgSz w:w="11906" w:h="16838"/>
          <w:pgMar w:top="1440" w:right="1080" w:bottom="1440" w:left="1080" w:header="851" w:footer="992" w:gutter="0"/>
          <w:cols w:space="720" w:num="1"/>
          <w:docGrid w:linePitch="312" w:charSpace="0"/>
        </w:sectPr>
      </w:pPr>
      <w:r>
        <w:rPr>
          <w:rFonts w:hint="eastAsia" w:ascii="新宋体" w:hAnsi="新宋体" w:eastAsia="新宋体" w:cs="新宋体"/>
          <w:b/>
          <w:color w:val="auto"/>
          <w:sz w:val="24"/>
          <w:highlight w:val="none"/>
        </w:rPr>
        <w:t>3.3.8投标人需要说明的其他文件和说明（格式自拟）。</w:t>
      </w:r>
    </w:p>
    <w:p>
      <w:pPr>
        <w:snapToGrid w:val="0"/>
        <w:spacing w:line="360" w:lineRule="auto"/>
        <w:jc w:val="left"/>
        <w:rPr>
          <w:rFonts w:ascii="新宋体" w:hAnsi="新宋体" w:eastAsia="新宋体" w:cs="新宋体"/>
          <w:b/>
          <w:color w:val="auto"/>
          <w:sz w:val="24"/>
          <w:highlight w:val="none"/>
        </w:rPr>
      </w:pPr>
      <w:r>
        <w:rPr>
          <w:rFonts w:hint="eastAsia" w:ascii="新宋体" w:hAnsi="新宋体" w:eastAsia="新宋体" w:cs="新宋体"/>
          <w:b/>
          <w:bCs/>
          <w:color w:val="auto"/>
          <w:sz w:val="24"/>
          <w:highlight w:val="none"/>
        </w:rPr>
        <w:t>四、报价部分格式</w:t>
      </w:r>
    </w:p>
    <w:p>
      <w:pPr>
        <w:widowControl/>
        <w:snapToGrid w:val="0"/>
        <w:spacing w:line="360" w:lineRule="auto"/>
        <w:jc w:val="left"/>
        <w:rPr>
          <w:rFonts w:ascii="新宋体" w:hAnsi="新宋体" w:eastAsia="新宋体" w:cs="新宋体"/>
          <w:b/>
          <w:color w:val="auto"/>
          <w:sz w:val="24"/>
          <w:highlight w:val="none"/>
        </w:rPr>
      </w:pPr>
    </w:p>
    <w:p>
      <w:pPr>
        <w:widowControl/>
        <w:snapToGrid w:val="0"/>
        <w:spacing w:line="360" w:lineRule="auto"/>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4.1 报价部分内封面格式：</w:t>
      </w:r>
    </w:p>
    <w:p>
      <w:pPr>
        <w:widowControl/>
        <w:snapToGrid w:val="0"/>
        <w:spacing w:line="360" w:lineRule="auto"/>
        <w:jc w:val="left"/>
        <w:rPr>
          <w:rFonts w:ascii="宋体" w:hAnsi="宋体" w:cs="宋体"/>
          <w:color w:val="auto"/>
          <w:szCs w:val="21"/>
          <w:highlight w:val="none"/>
        </w:rPr>
      </w:pPr>
    </w:p>
    <w:p>
      <w:pPr>
        <w:snapToGrid w:val="0"/>
        <w:spacing w:line="360" w:lineRule="auto"/>
        <w:jc w:val="center"/>
        <w:rPr>
          <w:rFonts w:ascii="宋体" w:hAnsi="宋体" w:cs="宋体"/>
          <w:b/>
          <w:bCs/>
          <w:color w:val="auto"/>
          <w:sz w:val="52"/>
          <w:szCs w:val="52"/>
          <w:highlight w:val="none"/>
        </w:rPr>
      </w:pPr>
    </w:p>
    <w:p>
      <w:pPr>
        <w:snapToGrid w:val="0"/>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报价部分</w:t>
      </w:r>
    </w:p>
    <w:p>
      <w:pPr>
        <w:snapToGrid w:val="0"/>
        <w:spacing w:line="360" w:lineRule="auto"/>
        <w:jc w:val="center"/>
        <w:rPr>
          <w:rFonts w:ascii="宋体" w:hAnsi="宋体" w:cs="宋体"/>
          <w:b/>
          <w:bCs/>
          <w:color w:val="auto"/>
          <w:sz w:val="52"/>
          <w:szCs w:val="52"/>
          <w:highlight w:val="none"/>
        </w:rPr>
      </w:pPr>
    </w:p>
    <w:p>
      <w:pPr>
        <w:snapToGrid w:val="0"/>
        <w:spacing w:line="360" w:lineRule="auto"/>
        <w:ind w:firstLine="934" w:firstLineChars="445"/>
        <w:rPr>
          <w:rFonts w:ascii="宋体" w:hAnsi="宋体" w:cs="宋体"/>
          <w:bCs/>
          <w:color w:val="auto"/>
          <w:szCs w:val="21"/>
          <w:highlight w:val="none"/>
        </w:rPr>
      </w:pPr>
    </w:p>
    <w:p>
      <w:pPr>
        <w:snapToGrid w:val="0"/>
        <w:spacing w:line="360" w:lineRule="auto"/>
        <w:ind w:firstLine="934" w:firstLineChars="445"/>
        <w:rPr>
          <w:rFonts w:ascii="宋体" w:hAnsi="宋体" w:cs="宋体"/>
          <w:bCs/>
          <w:color w:val="auto"/>
          <w:szCs w:val="21"/>
          <w:highlight w:val="none"/>
        </w:rPr>
      </w:pPr>
    </w:p>
    <w:p>
      <w:pPr>
        <w:snapToGrid w:val="0"/>
        <w:spacing w:line="360" w:lineRule="auto"/>
        <w:ind w:firstLine="934" w:firstLineChars="445"/>
        <w:rPr>
          <w:rFonts w:ascii="宋体" w:hAnsi="宋体" w:cs="宋体"/>
          <w:bCs/>
          <w:color w:val="auto"/>
          <w:szCs w:val="21"/>
          <w:highlight w:val="none"/>
        </w:rPr>
      </w:pPr>
    </w:p>
    <w:p>
      <w:pPr>
        <w:snapToGrid w:val="0"/>
        <w:spacing w:line="360" w:lineRule="auto"/>
        <w:ind w:firstLine="934" w:firstLineChars="445"/>
        <w:rPr>
          <w:rFonts w:ascii="宋体" w:hAnsi="宋体" w:cs="宋体"/>
          <w:bCs/>
          <w:color w:val="auto"/>
          <w:szCs w:val="21"/>
          <w:highlight w:val="none"/>
        </w:rPr>
      </w:pP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line="360" w:lineRule="auto"/>
        <w:ind w:firstLine="480" w:firstLineChars="200"/>
        <w:rPr>
          <w:rFonts w:ascii="宋体" w:hAnsi="宋体" w:cs="宋体"/>
          <w:bCs/>
          <w:color w:val="auto"/>
          <w:sz w:val="24"/>
          <w:highlight w:val="none"/>
        </w:rPr>
      </w:pP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line="360" w:lineRule="auto"/>
        <w:ind w:firstLine="1200" w:firstLineChars="500"/>
        <w:rPr>
          <w:rFonts w:ascii="宋体" w:hAnsi="宋体" w:cs="宋体"/>
          <w:bCs/>
          <w:color w:val="auto"/>
          <w:sz w:val="24"/>
          <w:highlight w:val="none"/>
        </w:rPr>
      </w:pPr>
      <w:r>
        <w:rPr>
          <w:rFonts w:hint="eastAsia" w:ascii="宋体" w:hAnsi="宋体" w:cs="宋体"/>
          <w:bCs/>
          <w:color w:val="auto"/>
          <w:sz w:val="24"/>
          <w:highlight w:val="none"/>
        </w:rPr>
        <w:t>法定代表人</w:t>
      </w:r>
      <w:r>
        <w:rPr>
          <w:rFonts w:hint="eastAsia" w:hAnsi="宋体"/>
          <w:color w:val="auto"/>
          <w:sz w:val="24"/>
          <w:highlight w:val="none"/>
        </w:rPr>
        <w:t>（或负责人）</w:t>
      </w:r>
      <w:r>
        <w:rPr>
          <w:rFonts w:hint="eastAsia" w:ascii="宋体" w:hAnsi="宋体" w:cs="宋体"/>
          <w:bCs/>
          <w:color w:val="auto"/>
          <w:sz w:val="24"/>
          <w:highlight w:val="none"/>
        </w:rPr>
        <w:t>或委托代理人（签字）：</w:t>
      </w:r>
    </w:p>
    <w:p>
      <w:pPr>
        <w:snapToGrid w:val="0"/>
        <w:spacing w:line="360" w:lineRule="auto"/>
        <w:ind w:firstLine="1200" w:firstLineChars="500"/>
        <w:rPr>
          <w:rFonts w:ascii="宋体" w:hAnsi="宋体" w:cs="宋体"/>
          <w:bCs/>
          <w:color w:val="auto"/>
          <w:sz w:val="24"/>
          <w:highlight w:val="none"/>
        </w:rPr>
      </w:pPr>
    </w:p>
    <w:p>
      <w:pPr>
        <w:snapToGrid w:val="0"/>
        <w:spacing w:line="360" w:lineRule="auto"/>
        <w:ind w:firstLine="1200" w:firstLineChars="500"/>
        <w:rPr>
          <w:rFonts w:ascii="宋体" w:hAnsi="宋体" w:cs="宋体"/>
          <w:bCs/>
          <w:color w:val="auto"/>
          <w:sz w:val="24"/>
          <w:highlight w:val="none"/>
        </w:rPr>
      </w:pPr>
    </w:p>
    <w:p>
      <w:pPr>
        <w:snapToGrid w:val="0"/>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年月日</w:t>
      </w:r>
    </w:p>
    <w:p>
      <w:pPr>
        <w:snapToGrid w:val="0"/>
        <w:spacing w:line="360" w:lineRule="auto"/>
        <w:rPr>
          <w:rFonts w:ascii="宋体" w:hAnsi="宋体" w:cs="宋体"/>
          <w:bCs/>
          <w:color w:val="auto"/>
          <w:sz w:val="24"/>
          <w:highlight w:val="none"/>
        </w:rPr>
      </w:pPr>
    </w:p>
    <w:p>
      <w:pPr>
        <w:snapToGrid w:val="0"/>
        <w:spacing w:line="360" w:lineRule="auto"/>
        <w:ind w:firstLine="480" w:firstLineChars="200"/>
        <w:rPr>
          <w:rFonts w:ascii="宋体" w:hAnsi="宋体" w:cs="宋体"/>
          <w:bCs/>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 xml:space="preserve">4.2 </w:t>
      </w:r>
      <w:r>
        <w:rPr>
          <w:rFonts w:hint="eastAsia" w:ascii="宋体" w:hAnsi="宋体" w:cs="宋体"/>
          <w:b/>
          <w:bCs/>
          <w:color w:val="auto"/>
          <w:sz w:val="24"/>
          <w:highlight w:val="none"/>
        </w:rPr>
        <w:t>报价部分目录</w:t>
      </w:r>
    </w:p>
    <w:p>
      <w:pPr>
        <w:tabs>
          <w:tab w:val="left" w:pos="3870"/>
          <w:tab w:val="left" w:pos="4085"/>
        </w:tabs>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（1）投标函（格式见第六章）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tabs>
          <w:tab w:val="left" w:pos="3870"/>
          <w:tab w:val="left" w:pos="4085"/>
        </w:tabs>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（2）投标报价表（格式见第六章）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tabs>
          <w:tab w:val="left" w:pos="3870"/>
          <w:tab w:val="left" w:pos="4085"/>
        </w:tabs>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（3）投标人针对报价需要说明的其他文件和材料（格式自拟）；</w:t>
      </w:r>
    </w:p>
    <w:p>
      <w:pPr>
        <w:tabs>
          <w:tab w:val="left" w:pos="3870"/>
          <w:tab w:val="left" w:pos="4085"/>
        </w:tabs>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（4）开标一览表（与投标函、投标保证金银行回执单复印件一起单独用小信封密封，格式见第六章）</w:t>
      </w:r>
      <w:r>
        <w:rPr>
          <w:rFonts w:hint="eastAsia" w:ascii="宋体" w:hAnsi="宋体" w:cs="宋体"/>
          <w:b/>
          <w:bCs/>
          <w:color w:val="auto"/>
          <w:sz w:val="24"/>
          <w:highlight w:val="none"/>
        </w:rPr>
        <w:t>（必须提供）</w:t>
      </w:r>
      <w:r>
        <w:rPr>
          <w:rFonts w:hint="eastAsia" w:ascii="宋体" w:hAnsi="宋体" w:cs="宋体"/>
          <w:color w:val="auto"/>
          <w:sz w:val="24"/>
          <w:highlight w:val="none"/>
        </w:rPr>
        <w:t>；</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4.2.1 投标函格式：</w:t>
      </w:r>
    </w:p>
    <w:p>
      <w:pPr>
        <w:snapToGrid w:val="0"/>
        <w:spacing w:line="360" w:lineRule="auto"/>
        <w:rPr>
          <w:rFonts w:ascii="宋体" w:hAnsi="宋体" w:cs="宋体"/>
          <w:b/>
          <w:color w:val="auto"/>
          <w:sz w:val="24"/>
          <w:highlight w:val="none"/>
        </w:rPr>
      </w:pP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致：（采购代理机构名称）：</w:t>
      </w:r>
    </w:p>
    <w:p>
      <w:pPr>
        <w:snapToGrid w:val="0"/>
        <w:spacing w:line="360" w:lineRule="auto"/>
        <w:ind w:firstLine="480"/>
        <w:rPr>
          <w:rFonts w:ascii="宋体" w:hAnsi="宋体" w:cs="宋体"/>
          <w:color w:val="auto"/>
          <w:sz w:val="24"/>
          <w:highlight w:val="none"/>
        </w:rPr>
      </w:pPr>
    </w:p>
    <w:p>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项目的招标公告（项目编号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（全名）</w:t>
      </w:r>
      <w:r>
        <w:rPr>
          <w:rFonts w:hint="eastAsia" w:ascii="宋体" w:hAnsi="宋体" w:cs="宋体"/>
          <w:color w:val="auto"/>
          <w:sz w:val="24"/>
          <w:highlight w:val="none"/>
        </w:rPr>
        <w:t>经正式授权并代表投标人（投标人名称）提交包含资格部分的正本一份、副本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份、商务及技术部分、报价部分的正本一份、副本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pPr>
        <w:tabs>
          <w:tab w:val="left" w:pos="8080"/>
        </w:tabs>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1、我方愿意以（大写）人民币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元)的投标总报价，</w:t>
      </w:r>
      <w:r>
        <w:rPr>
          <w:rFonts w:hint="eastAsia" w:ascii="新宋体" w:hAnsi="新宋体" w:eastAsia="新宋体" w:cs="新宋体"/>
          <w:color w:val="auto"/>
          <w:kern w:val="0"/>
          <w:sz w:val="24"/>
          <w:highlight w:val="none"/>
        </w:rPr>
        <w:t>交付使用时间</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，提供本项目招标文件第二章“采购需求一览表”中的采购内容。</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2、我方同意自本项目招标文件“投标人须知前附表”第9项规定的投标截止时间（开标时间）起遵循本投标函，并承诺在“投标人须知前附表”第19项规定的投标有效期内不修改、撤销投标文件。</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3、我方在此声明，所递交的投标文件及有关资料内容完整、真实和准确。</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4、我方承诺已经具备《中华人民共和国政府采购法》中规定的参加政府采购活动的供应商应当具备的条件：</w:t>
      </w:r>
    </w:p>
    <w:p>
      <w:pPr>
        <w:numPr>
          <w:ilvl w:val="0"/>
          <w:numId w:val="3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具有独立承担民事责任的能力；</w:t>
      </w:r>
    </w:p>
    <w:p>
      <w:pPr>
        <w:numPr>
          <w:ilvl w:val="0"/>
          <w:numId w:val="3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具有良好的商业信誉和健全的财务会计制度；</w:t>
      </w:r>
    </w:p>
    <w:p>
      <w:pPr>
        <w:numPr>
          <w:ilvl w:val="0"/>
          <w:numId w:val="3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p>
      <w:pPr>
        <w:numPr>
          <w:ilvl w:val="0"/>
          <w:numId w:val="3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p>
      <w:pPr>
        <w:numPr>
          <w:ilvl w:val="0"/>
          <w:numId w:val="3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参加政府采购活动前三年内，在经营活动中没有重大违法记录；</w:t>
      </w:r>
    </w:p>
    <w:p>
      <w:pPr>
        <w:numPr>
          <w:ilvl w:val="0"/>
          <w:numId w:val="3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法律、行政法规规定的其他条件。</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5、如本项目采购内容涉及须符合国家强制规定的，我方承诺我方本次投标（包括资格条件和所投产品）均符合国家有关强制规定。</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6、如我方中标，我方承诺在收到中标通知书后，在中标通知书规定的期限内，根据招标文件、我方的投标文件及有关澄清承诺书的要求按第五章“合同主要条款格式”与采购人订立书面合同，并按照合同约定承担完成合同的责任和义务。</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7、我方已详细审核招标文件，我方知道必须放弃提出含糊不清或误解问题的权利。</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8、我方承诺满足招标采购文件第五章《政府采购合同书》中的条款，承担完成合同的责任和义务。</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9、我方同意应贵方要求提供与本投标有关的任何数据或资料。若贵方需要，我方愿意提供我方作出的一切承诺的证明材料。</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10、我方完全理解贵方不一定接受投标报价最低的投标人为中标供应商的行为。</w:t>
      </w:r>
    </w:p>
    <w:p>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提供虚假材料谋取中标、成交的；</w:t>
      </w:r>
    </w:p>
    <w:p>
      <w:pPr>
        <w:numPr>
          <w:ilvl w:val="0"/>
          <w:numId w:val="3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采取不正当手段诋毁、排挤其他供应商的；</w:t>
      </w:r>
    </w:p>
    <w:p>
      <w:pPr>
        <w:numPr>
          <w:ilvl w:val="0"/>
          <w:numId w:val="3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与采购人、其他供应商或者采购代理机构恶意串通的；</w:t>
      </w:r>
    </w:p>
    <w:p>
      <w:pPr>
        <w:numPr>
          <w:ilvl w:val="0"/>
          <w:numId w:val="3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向采购人、采购代理机构行贿或者提供其他不正当利益的；</w:t>
      </w:r>
    </w:p>
    <w:p>
      <w:pPr>
        <w:numPr>
          <w:ilvl w:val="0"/>
          <w:numId w:val="3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在招标采购过程中与采购人进行协商谈判的；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（6）拒绝有关部门监督检查或提供虚假情况的。</w:t>
      </w:r>
    </w:p>
    <w:p>
      <w:pPr>
        <w:snapToGrid w:val="0"/>
        <w:spacing w:line="360" w:lineRule="auto"/>
        <w:ind w:left="420"/>
        <w:rPr>
          <w:rFonts w:ascii="宋体" w:hAnsi="宋体" w:cs="宋体"/>
          <w:color w:val="auto"/>
          <w:sz w:val="24"/>
          <w:highlight w:val="none"/>
        </w:rPr>
      </w:pPr>
      <w:r>
        <w:rPr>
          <w:rFonts w:hint="eastAsia" w:ascii="宋体" w:hAnsi="宋体" w:cs="宋体"/>
          <w:color w:val="auto"/>
          <w:sz w:val="24"/>
          <w:highlight w:val="none"/>
        </w:rPr>
        <w:t>12、以上事项如有虚假或隐瞒，我方愿意承担一切后果，并不再寻求任何旨在减轻或免除法律责任的辩解。</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w:t>
      </w:r>
      <w:r>
        <w:rPr>
          <w:rFonts w:hint="eastAsia"/>
          <w:color w:val="auto"/>
          <w:sz w:val="24"/>
          <w:highlight w:val="none"/>
        </w:rPr>
        <w:t>我方</w:t>
      </w:r>
      <w:r>
        <w:rPr>
          <w:rFonts w:hint="eastAsia" w:ascii="宋体" w:hAnsi="宋体" w:cs="宋体"/>
          <w:bCs/>
          <w:color w:val="auto"/>
          <w:sz w:val="24"/>
          <w:highlight w:val="none"/>
        </w:rPr>
        <w:t>同意本投标文件中“投标报价表”和中标后签订的采购合同可用于公示，其中所有内容不涉及投标人商业秘密，并承诺可向采购代理机构提供相关电子文档。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14、投标函一式二份，一份随报价部分装订，一份随开标一览表装订。</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15、与本投标有关的一切正式往来信函请寄：</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地址：   邮编：        电话：     </w:t>
      </w:r>
    </w:p>
    <w:p>
      <w:pPr>
        <w:snapToGrid w:val="0"/>
        <w:spacing w:line="360" w:lineRule="auto"/>
        <w:ind w:firstLine="420"/>
        <w:rPr>
          <w:rFonts w:ascii="宋体" w:hAnsi="宋体" w:cs="宋体"/>
          <w:color w:val="auto"/>
          <w:sz w:val="24"/>
          <w:highlight w:val="none"/>
          <w:u w:val="single"/>
        </w:rPr>
      </w:pPr>
      <w:r>
        <w:rPr>
          <w:rFonts w:hint="eastAsia" w:ascii="宋体" w:hAnsi="宋体" w:cs="宋体"/>
          <w:color w:val="auto"/>
          <w:sz w:val="24"/>
          <w:highlight w:val="none"/>
        </w:rPr>
        <w:t>传真：      电子邮箱：      投标人代表姓名：        职务：</w:t>
      </w:r>
    </w:p>
    <w:p>
      <w:pPr>
        <w:snapToGrid w:val="0"/>
        <w:spacing w:line="360" w:lineRule="auto"/>
        <w:ind w:firstLine="420"/>
        <w:rPr>
          <w:rFonts w:ascii="Ђˎ̥" w:eastAsia="Ђˎ̥"/>
          <w:color w:val="auto"/>
          <w:kern w:val="0"/>
          <w:sz w:val="24"/>
          <w:highlight w:val="none"/>
        </w:rPr>
      </w:pPr>
    </w:p>
    <w:p>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投标人：（盖单位公章）</w:t>
      </w:r>
    </w:p>
    <w:p>
      <w:pPr>
        <w:snapToGrid w:val="0"/>
        <w:spacing w:line="360" w:lineRule="auto"/>
        <w:ind w:firstLine="484" w:firstLineChars="202"/>
        <w:rPr>
          <w:rFonts w:ascii="宋体" w:hAnsi="宋体" w:cs="宋体"/>
          <w:color w:val="auto"/>
          <w:sz w:val="24"/>
          <w:highlight w:val="none"/>
          <w:u w:val="single"/>
        </w:rPr>
      </w:pPr>
      <w:r>
        <w:rPr>
          <w:rFonts w:hint="eastAsia" w:ascii="宋体" w:hAnsi="宋体" w:cs="宋体"/>
          <w:color w:val="auto"/>
          <w:sz w:val="24"/>
          <w:highlight w:val="none"/>
        </w:rPr>
        <w:t xml:space="preserve">统一社会信用代码：    </w:t>
      </w:r>
      <w:r>
        <w:rPr>
          <w:rFonts w:ascii="宋体" w:hAnsi="宋体" w:cs="宋体"/>
          <w:color w:val="auto"/>
          <w:sz w:val="24"/>
          <w:highlight w:val="none"/>
          <w:u w:val="single"/>
        </w:rPr>
        <w:t> </w:t>
      </w:r>
    </w:p>
    <w:p>
      <w:pPr>
        <w:snapToGrid w:val="0"/>
        <w:spacing w:line="360" w:lineRule="auto"/>
        <w:ind w:firstLine="484" w:firstLineChars="202"/>
        <w:rPr>
          <w:rFonts w:ascii="宋体" w:hAnsi="宋体" w:cs="宋体"/>
          <w:color w:val="auto"/>
          <w:sz w:val="24"/>
          <w:highlight w:val="none"/>
        </w:rPr>
      </w:pPr>
      <w:r>
        <w:rPr>
          <w:rFonts w:hint="eastAsia"/>
          <w:color w:val="auto"/>
          <w:sz w:val="24"/>
          <w:highlight w:val="none"/>
        </w:rPr>
        <w:t>投标人</w:t>
      </w:r>
      <w:r>
        <w:rPr>
          <w:rFonts w:hint="eastAsia" w:ascii="宋体" w:hAnsi="宋体" w:cs="宋体"/>
          <w:color w:val="auto"/>
          <w:sz w:val="24"/>
          <w:highlight w:val="none"/>
        </w:rPr>
        <w:t>地址：</w:t>
      </w:r>
      <w:r>
        <w:rPr>
          <w:rFonts w:ascii="宋体" w:hAnsi="宋体" w:cs="宋体"/>
          <w:color w:val="auto"/>
          <w:sz w:val="24"/>
          <w:highlight w:val="none"/>
          <w:u w:val="single"/>
        </w:rPr>
        <w:t>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w:t>
      </w:r>
      <w:r>
        <w:rPr>
          <w:rFonts w:ascii="宋体" w:hAnsi="宋体" w:cs="宋体"/>
          <w:color w:val="auto"/>
          <w:sz w:val="24"/>
          <w:highlight w:val="none"/>
          <w:u w:val="single"/>
        </w:rPr>
        <w:t> </w:t>
      </w:r>
    </w:p>
    <w:p>
      <w:pPr>
        <w:snapToGrid w:val="0"/>
        <w:spacing w:line="360" w:lineRule="auto"/>
        <w:ind w:firstLine="484" w:firstLineChars="202"/>
        <w:rPr>
          <w:rFonts w:ascii="宋体" w:hAnsi="宋体" w:cs="宋体"/>
          <w:color w:val="auto"/>
          <w:sz w:val="24"/>
          <w:highlight w:val="none"/>
        </w:rPr>
      </w:pPr>
      <w:r>
        <w:rPr>
          <w:rFonts w:hint="eastAsia"/>
          <w:color w:val="auto"/>
          <w:sz w:val="24"/>
          <w:highlight w:val="none"/>
        </w:rPr>
        <w:t>联系</w:t>
      </w:r>
      <w:r>
        <w:rPr>
          <w:rFonts w:hint="eastAsia" w:ascii="宋体" w:hAnsi="宋体" w:cs="宋体"/>
          <w:color w:val="auto"/>
          <w:sz w:val="24"/>
          <w:highlight w:val="none"/>
        </w:rPr>
        <w:t>电话：       ，电子邮箱：</w:t>
      </w:r>
      <w:r>
        <w:rPr>
          <w:rFonts w:hint="eastAsia" w:ascii="宋体" w:hAnsi="宋体" w:cs="宋体"/>
          <w:color w:val="auto"/>
          <w:sz w:val="24"/>
          <w:highlight w:val="none"/>
          <w:u w:val="single"/>
        </w:rPr>
        <w:t>　</w:t>
      </w:r>
      <w:r>
        <w:rPr>
          <w:rFonts w:ascii="宋体" w:hAnsi="宋体" w:cs="宋体"/>
          <w:color w:val="auto"/>
          <w:sz w:val="24"/>
          <w:highlight w:val="none"/>
          <w:u w:val="single"/>
        </w:rPr>
        <w:t> </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法定代表人</w:t>
      </w:r>
      <w:r>
        <w:rPr>
          <w:rFonts w:hint="eastAsia" w:hAnsi="宋体"/>
          <w:color w:val="auto"/>
          <w:sz w:val="24"/>
          <w:highlight w:val="none"/>
        </w:rPr>
        <w:t>（或负责人）</w:t>
      </w:r>
      <w:r>
        <w:rPr>
          <w:rFonts w:hint="eastAsia" w:ascii="宋体" w:hAnsi="宋体" w:cs="宋体"/>
          <w:color w:val="auto"/>
          <w:sz w:val="24"/>
          <w:highlight w:val="none"/>
        </w:rPr>
        <w:t>姓名：</w:t>
      </w:r>
      <w:r>
        <w:rPr>
          <w:rFonts w:hint="eastAsia" w:ascii="宋体" w:hAnsi="宋体" w:cs="宋体"/>
          <w:color w:val="auto"/>
          <w:sz w:val="24"/>
          <w:highlight w:val="none"/>
          <w:u w:val="single"/>
        </w:rPr>
        <w:t>　　　　　　　　　　</w:t>
      </w:r>
      <w:r>
        <w:rPr>
          <w:rFonts w:ascii="宋体" w:hAnsi="宋体" w:cs="宋体"/>
          <w:color w:val="auto"/>
          <w:sz w:val="24"/>
          <w:highlight w:val="none"/>
          <w:u w:val="single"/>
        </w:rPr>
        <w:t> </w:t>
      </w:r>
    </w:p>
    <w:p>
      <w:pPr>
        <w:snapToGrid w:val="0"/>
        <w:spacing w:line="360" w:lineRule="auto"/>
        <w:ind w:firstLine="484" w:firstLineChars="202"/>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hAnsi="宋体"/>
          <w:color w:val="auto"/>
          <w:sz w:val="24"/>
          <w:highlight w:val="none"/>
        </w:rPr>
        <w:t>（或负责人）</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w:t>
      </w:r>
      <w:r>
        <w:rPr>
          <w:rFonts w:ascii="宋体" w:hAnsi="宋体" w:cs="宋体"/>
          <w:color w:val="auto"/>
          <w:sz w:val="24"/>
          <w:highlight w:val="none"/>
          <w:u w:val="single"/>
        </w:rPr>
        <w:t> </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授权委托代理人姓名：</w:t>
      </w:r>
      <w:r>
        <w:rPr>
          <w:rFonts w:hint="eastAsia" w:ascii="宋体" w:hAnsi="宋体" w:cs="宋体"/>
          <w:color w:val="auto"/>
          <w:sz w:val="24"/>
          <w:highlight w:val="none"/>
          <w:u w:val="single"/>
        </w:rPr>
        <w:t>　　　　　　　　　　</w:t>
      </w:r>
      <w:r>
        <w:rPr>
          <w:rFonts w:ascii="宋体" w:hAnsi="宋体" w:cs="宋体"/>
          <w:color w:val="auto"/>
          <w:sz w:val="24"/>
          <w:highlight w:val="none"/>
          <w:u w:val="single"/>
        </w:rPr>
        <w:t> </w:t>
      </w:r>
    </w:p>
    <w:p>
      <w:pPr>
        <w:snapToGrid w:val="0"/>
        <w:spacing w:line="360" w:lineRule="auto"/>
        <w:ind w:firstLine="484" w:firstLineChars="202"/>
        <w:rPr>
          <w:rFonts w:ascii="宋体" w:hAnsi="宋体" w:cs="宋体"/>
          <w:color w:val="auto"/>
          <w:sz w:val="24"/>
          <w:highlight w:val="none"/>
          <w:u w:val="single"/>
        </w:rPr>
      </w:pPr>
      <w:r>
        <w:rPr>
          <w:rFonts w:hint="eastAsia" w:ascii="宋体" w:hAnsi="宋体" w:cs="宋体"/>
          <w:color w:val="auto"/>
          <w:sz w:val="24"/>
          <w:highlight w:val="none"/>
        </w:rPr>
        <w:t>授权委托代理人身份证号码：</w:t>
      </w:r>
      <w:r>
        <w:rPr>
          <w:rFonts w:hint="eastAsia" w:ascii="宋体" w:hAnsi="宋体" w:cs="宋体"/>
          <w:color w:val="auto"/>
          <w:sz w:val="24"/>
          <w:highlight w:val="none"/>
          <w:u w:val="single"/>
        </w:rPr>
        <w:t>　</w:t>
      </w:r>
      <w:r>
        <w:rPr>
          <w:rFonts w:ascii="宋体" w:hAnsi="宋体" w:cs="宋体"/>
          <w:color w:val="auto"/>
          <w:sz w:val="24"/>
          <w:highlight w:val="none"/>
          <w:u w:val="single"/>
        </w:rPr>
        <w:t> </w:t>
      </w:r>
    </w:p>
    <w:p>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hAnsi="宋体"/>
          <w:color w:val="auto"/>
          <w:sz w:val="24"/>
          <w:highlight w:val="none"/>
        </w:rPr>
        <w:t>（或负责人）</w:t>
      </w:r>
      <w:r>
        <w:rPr>
          <w:rFonts w:hint="eastAsia" w:ascii="宋体" w:hAnsi="宋体" w:cs="宋体"/>
          <w:color w:val="auto"/>
          <w:sz w:val="24"/>
          <w:highlight w:val="none"/>
        </w:rPr>
        <w:t>或其委托代理人：（签字或盖章）</w:t>
      </w:r>
    </w:p>
    <w:p>
      <w:pPr>
        <w:snapToGrid w:val="0"/>
        <w:spacing w:line="360" w:lineRule="auto"/>
        <w:ind w:firstLine="420"/>
        <w:jc w:val="right"/>
        <w:rPr>
          <w:rFonts w:ascii="Ђˎ̥" w:eastAsia="Ђˎ̥"/>
          <w:bCs/>
          <w:color w:val="auto"/>
          <w:kern w:val="0"/>
          <w:sz w:val="24"/>
          <w:highlight w:val="none"/>
          <w:u w:val="single"/>
        </w:rPr>
      </w:pPr>
    </w:p>
    <w:p>
      <w:pPr>
        <w:snapToGrid w:val="0"/>
        <w:spacing w:line="360" w:lineRule="auto"/>
        <w:ind w:firstLine="420"/>
        <w:jc w:val="right"/>
        <w:rPr>
          <w:rFonts w:ascii="Ђˎ̥" w:eastAsia="Ђˎ̥"/>
          <w:bCs/>
          <w:color w:val="auto"/>
          <w:kern w:val="0"/>
          <w:sz w:val="24"/>
          <w:highlight w:val="none"/>
          <w:u w:val="single"/>
        </w:rPr>
      </w:pPr>
    </w:p>
    <w:p>
      <w:pPr>
        <w:snapToGrid w:val="0"/>
        <w:spacing w:line="360" w:lineRule="auto"/>
        <w:ind w:firstLine="4800" w:firstLineChars="2000"/>
        <w:rPr>
          <w:rFonts w:ascii="宋体" w:hAnsi="宋体" w:cs="宋体"/>
          <w:b/>
          <w:color w:val="auto"/>
          <w:sz w:val="24"/>
          <w:highlight w:val="none"/>
        </w:rPr>
      </w:pPr>
      <w:r>
        <w:rPr>
          <w:rFonts w:hint="eastAsia"/>
          <w:bCs/>
          <w:color w:val="auto"/>
          <w:sz w:val="24"/>
          <w:highlight w:val="none"/>
        </w:rPr>
        <w:t>年月日</w:t>
      </w:r>
    </w:p>
    <w:p>
      <w:pPr>
        <w:snapToGrid w:val="0"/>
        <w:spacing w:line="360" w:lineRule="auto"/>
        <w:rPr>
          <w:rFonts w:ascii="宋体" w:hAnsi="宋体" w:cs="宋体"/>
          <w:b/>
          <w:color w:val="auto"/>
          <w:szCs w:val="21"/>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4.2.2 投标报价表格式：</w:t>
      </w:r>
    </w:p>
    <w:p>
      <w:pPr>
        <w:snapToGrid w:val="0"/>
        <w:spacing w:line="360" w:lineRule="auto"/>
        <w:ind w:firstLine="420"/>
        <w:jc w:val="center"/>
        <w:rPr>
          <w:rFonts w:ascii="宋体" w:hAnsi="宋体" w:cs="宋体"/>
          <w:b/>
          <w:bCs/>
          <w:color w:val="auto"/>
          <w:kern w:val="0"/>
          <w:sz w:val="30"/>
          <w:szCs w:val="30"/>
          <w:highlight w:val="none"/>
        </w:rPr>
      </w:pPr>
    </w:p>
    <w:p>
      <w:pPr>
        <w:snapToGrid w:val="0"/>
        <w:spacing w:line="360" w:lineRule="auto"/>
        <w:ind w:firstLine="420"/>
        <w:jc w:val="center"/>
        <w:rPr>
          <w:rFonts w:ascii="宋体" w:hAnsi="宋体" w:cs="宋体"/>
          <w:b/>
          <w:color w:val="auto"/>
          <w:kern w:val="0"/>
          <w:sz w:val="24"/>
          <w:szCs w:val="21"/>
          <w:highlight w:val="none"/>
        </w:rPr>
      </w:pPr>
      <w:r>
        <w:rPr>
          <w:rFonts w:hint="eastAsia" w:ascii="宋体" w:hAnsi="宋体" w:cs="宋体"/>
          <w:b/>
          <w:bCs/>
          <w:color w:val="auto"/>
          <w:kern w:val="0"/>
          <w:sz w:val="30"/>
          <w:szCs w:val="30"/>
          <w:highlight w:val="none"/>
        </w:rPr>
        <w:t>投标报价表</w:t>
      </w:r>
    </w:p>
    <w:tbl>
      <w:tblPr>
        <w:tblStyle w:val="53"/>
        <w:tblW w:w="931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27"/>
        <w:gridCol w:w="1701"/>
        <w:gridCol w:w="1559"/>
        <w:gridCol w:w="1417"/>
        <w:gridCol w:w="1276"/>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59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14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单项合价（元）</w:t>
            </w:r>
          </w:p>
        </w:tc>
        <w:tc>
          <w:tcPr>
            <w:tcW w:w="64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9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64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9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64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9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64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9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c>
          <w:tcPr>
            <w:tcW w:w="64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9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4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64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报价总报价：（大写）人民币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u w:val="single"/>
              </w:rPr>
            </w:pPr>
            <w:r>
              <w:rPr>
                <w:rFonts w:hint="eastAsia" w:ascii="新宋体" w:hAnsi="新宋体" w:eastAsia="新宋体" w:cs="新宋体"/>
                <w:color w:val="auto"/>
                <w:kern w:val="0"/>
                <w:sz w:val="24"/>
                <w:highlight w:val="none"/>
              </w:rPr>
              <w:t>交付使用时间</w:t>
            </w:r>
            <w:r>
              <w:rPr>
                <w:rFonts w:hint="eastAsia" w:ascii="Arial" w:hAnsi="Arial" w:cs="Arial"/>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r>
              <w:rPr>
                <w:rFonts w:hint="eastAsia" w:hAnsi="宋体"/>
                <w:color w:val="auto"/>
                <w:sz w:val="24"/>
                <w:highlight w:val="none"/>
              </w:rPr>
              <w:t>（或负责人）</w:t>
            </w:r>
            <w:r>
              <w:rPr>
                <w:rFonts w:hint="eastAsia" w:ascii="宋体" w:hAnsi="宋体" w:cs="宋体"/>
                <w:color w:val="auto"/>
                <w:sz w:val="24"/>
                <w:highlight w:val="none"/>
              </w:rPr>
              <w:t>或其委托代理人（签字或盖章）：</w:t>
            </w:r>
          </w:p>
        </w:tc>
      </w:tr>
    </w:tbl>
    <w:p>
      <w:pPr>
        <w:snapToGrid w:val="0"/>
        <w:spacing w:line="360" w:lineRule="auto"/>
        <w:ind w:firstLine="5670" w:firstLineChars="2700"/>
        <w:rPr>
          <w:rFonts w:ascii="宋体" w:hAnsi="宋体" w:cs="宋体"/>
          <w:color w:val="auto"/>
          <w:szCs w:val="21"/>
          <w:highlight w:val="none"/>
        </w:rPr>
      </w:pPr>
    </w:p>
    <w:p>
      <w:pPr>
        <w:snapToGrid w:val="0"/>
        <w:spacing w:line="360" w:lineRule="auto"/>
        <w:rPr>
          <w:rFonts w:ascii="宋体" w:hAnsi="宋体" w:cs="宋体"/>
          <w:b/>
          <w:bCs/>
          <w:color w:val="auto"/>
          <w:sz w:val="32"/>
          <w:szCs w:val="32"/>
          <w:highlight w:val="none"/>
        </w:rPr>
        <w:sectPr>
          <w:pgSz w:w="11906" w:h="16838"/>
          <w:pgMar w:top="1440" w:right="1080" w:bottom="1440" w:left="1080" w:header="851" w:footer="992" w:gutter="0"/>
          <w:cols w:space="720" w:num="1"/>
          <w:docGrid w:linePitch="312" w:charSpace="0"/>
        </w:sectPr>
      </w:pPr>
      <w:r>
        <w:rPr>
          <w:rFonts w:hint="eastAsia" w:ascii="宋体" w:hAnsi="宋体" w:eastAsia="Ђˎ̥" w:cs="宋体"/>
          <w:b/>
          <w:bCs/>
          <w:color w:val="auto"/>
          <w:kern w:val="0"/>
          <w:sz w:val="24"/>
          <w:highlight w:val="none"/>
        </w:rPr>
        <w:t>★</w:t>
      </w:r>
      <w:r>
        <w:rPr>
          <w:rFonts w:hint="eastAsia" w:ascii="宋体" w:hAnsi="宋体" w:cs="宋体"/>
          <w:b/>
          <w:bCs/>
          <w:color w:val="auto"/>
          <w:sz w:val="24"/>
          <w:highlight w:val="none"/>
        </w:rPr>
        <w:t>注明：以上报价包含但不限于以下内容（详见附件1服务清单表）</w:t>
      </w:r>
    </w:p>
    <w:p>
      <w:pPr>
        <w:pStyle w:val="2"/>
        <w:spacing w:line="360" w:lineRule="auto"/>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附件1：服务清单表（供货参数不低于设计文件基准）</w:t>
      </w:r>
    </w:p>
    <w:p>
      <w:pPr>
        <w:pStyle w:val="2"/>
        <w:spacing w:line="360" w:lineRule="auto"/>
        <w:jc w:val="both"/>
        <w:rPr>
          <w:rFonts w:hint="eastAsia" w:ascii="宋体" w:hAnsi="宋体" w:cs="宋体"/>
          <w:b/>
          <w:bCs/>
          <w:color w:val="auto"/>
          <w:sz w:val="24"/>
          <w:szCs w:val="24"/>
          <w:highlight w:val="none"/>
        </w:rPr>
      </w:pPr>
    </w:p>
    <w:tbl>
      <w:tblPr>
        <w:tblStyle w:val="53"/>
        <w:tblW w:w="8620" w:type="dxa"/>
        <w:tblInd w:w="0" w:type="dxa"/>
        <w:tblLayout w:type="autofit"/>
        <w:tblCellMar>
          <w:top w:w="0" w:type="dxa"/>
          <w:left w:w="108" w:type="dxa"/>
          <w:bottom w:w="0" w:type="dxa"/>
          <w:right w:w="108" w:type="dxa"/>
        </w:tblCellMar>
      </w:tblPr>
      <w:tblGrid>
        <w:gridCol w:w="450"/>
        <w:gridCol w:w="450"/>
        <w:gridCol w:w="1442"/>
        <w:gridCol w:w="6020"/>
        <w:gridCol w:w="917"/>
        <w:gridCol w:w="683"/>
      </w:tblGrid>
      <w:tr>
        <w:tblPrEx>
          <w:tblCellMar>
            <w:top w:w="0" w:type="dxa"/>
            <w:left w:w="108" w:type="dxa"/>
            <w:bottom w:w="0" w:type="dxa"/>
            <w:right w:w="108" w:type="dxa"/>
          </w:tblCellMar>
        </w:tblPrEx>
        <w:trPr>
          <w:trHeight w:val="300" w:hRule="atLeast"/>
        </w:trPr>
        <w:tc>
          <w:tcPr>
            <w:tcW w:w="2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序号</w:t>
            </w:r>
          </w:p>
        </w:tc>
        <w:tc>
          <w:tcPr>
            <w:tcW w:w="26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服务内容</w:t>
            </w:r>
          </w:p>
        </w:tc>
        <w:tc>
          <w:tcPr>
            <w:tcW w:w="147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设备及软件名称</w:t>
            </w:r>
          </w:p>
        </w:tc>
        <w:tc>
          <w:tcPr>
            <w:tcW w:w="618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主要性能指标</w:t>
            </w:r>
          </w:p>
        </w:tc>
        <w:tc>
          <w:tcPr>
            <w:tcW w:w="234"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数量</w:t>
            </w:r>
          </w:p>
        </w:tc>
        <w:tc>
          <w:tcPr>
            <w:tcW w:w="234"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单位</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000000" w:fill="FDE9D9"/>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一</w:t>
            </w:r>
          </w:p>
        </w:tc>
        <w:tc>
          <w:tcPr>
            <w:tcW w:w="8386" w:type="dxa"/>
            <w:gridSpan w:val="5"/>
            <w:tcBorders>
              <w:top w:val="single" w:color="000000" w:sz="8" w:space="0"/>
              <w:left w:val="nil"/>
              <w:bottom w:val="single" w:color="000000" w:sz="8" w:space="0"/>
              <w:right w:val="single" w:color="000000" w:sz="8" w:space="0"/>
            </w:tcBorders>
            <w:shd w:val="clear" w:color="000000" w:fill="FDE9D9"/>
            <w:noWrap/>
            <w:vAlign w:val="center"/>
          </w:tcPr>
          <w:p>
            <w:pPr>
              <w:widowControl/>
              <w:jc w:val="left"/>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综合管理办公平台服务</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（一）规范管理办公平台服务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OA系统</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原已开发系统，作为子模块融入规范管理板块。现有OA系统集成综合管理办公平台。支持针对系统的单点登录。整体优化相应模块。</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日常管理</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会议安排、日常打卡、后勤接待等日常管理功能。针对日常工作的会议、人员打卡、后勤接待的管理。</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1）会议安排：针对保护区日常会议工作的会议室设定、会议室申请、会议室审批和信息查询统计。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2）日常打卡：针对保护区日常人员登陆管理系统，进行打卡。并进行打卡的查看、信息查询统计。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3）后勤接待：基于后勤管理的日常后勤接待管理，包括接待信息登记、信息查询和统计。生成相应APP，兼容其它主流手机软件程序等。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应急管理</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对于保护区重大事项事前上报、事中核实、事后处置全流程实现电子化管理（如上级交办的重要事项或火灾等突发性事件）。建立应急数据库，通过决策树来进行分析和辅助化决策。应急方案、处置流程、应急物资、应急队伍、应急类型（网络安全、视频监控、治安事件、社区矛盾、维稳、安全生产等），并在应急预案库中提供相关处理方式、法律信息援助等。对于保护区重大事项事前上报、事中核实、事后处置全流程实现电子化管理。</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1）应急事件流程处置：对保护区应急事件登记、上报、核实、处置进行信息管理，提供对应信息编辑、查询和统计。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2）应急处置库：建立应急处置库，包括应急方案、处置流程、应急物资、应急队伍。包括信息维护、信息管理。</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3）应急预案管控：根据应急类型，依托应急处置库提供相关处置应急预案、应急处置信息。生成相应APP，兼容其它主流手机软件程序等。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分析决策</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基础数据的采集和录入，数据采集、系统间数据互联互通、可视化分析及辅助决策，包括管理驾驶舱、项目管理、绩效考核、效益评估、预警分析等。对村庄、人口变化、经济情况进行监测，对辖区经济发展情况、经济存量、重点信息情况等数据进行准确的分析和处理，为管理者提出科学、准确的决策提供有力依据。综合保护区相关业务内容和数据，对保护区的各种数据通过决策模型进行决策信息查询和统计分析。</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9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1）数据驾驶舱：决策统计信息与领导驾驶舱对接，实现信息可视化展示。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2）管理区信息管控：能够对保护区规范管理、科研监测、资源管护、灾害防治、科普宣教、社区服务等信息进行决策查询和统计分析。生成相应APP，兼容其它主流手机软件程序等。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（二）科研监测办公平台服务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野生动植物监测测（含重点兰花检测，红外相机管理系统）</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现有野生动植物监测系统集成综合管理办公平台。支持针对系统的单点登录。</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生态因子检测</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现有生态因子监测系统集成综合管理办公平台。支持针对系统的单点登录。</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科研展示</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现有科研展示集成综合管理办公平台。支持针对系统的单点登录。</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（三）资源管护办公平台服务</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巡护管理（含终端智能巡护与无人机巡护，无人机智能管理接入授权）</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无人机巡护整合到原有巡护管理系统，现有无人机以及后续采购无人机与巡护管理系统实现互联互通，包括实现无人机实时直播、飞行任务远程下发、照片和视频远程查看存储、信息搜索查询、建立影像数据库等功能。基于无人机和地面人员巡护的立体巡检，现有无人机以及后续采购无人机与巡护管理系统实现互联互通。</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1）无人机实时直播：无人机野外巡护的视频查看。</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2）飞行任务管理：对无人机任务进行制定和下发，对任务进行监控。</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3）任务信息：对任务相关照片和视频进行存储和查看。</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4）信息查询：信息搜索查询、建立影像数据查询。</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案件管理</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保护区相关案件处置的信息管理。</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1）案件管理：登记案件信息，并对案件的信息维护，提供信息查询和统计。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2）案件档案：对案件执行过程中的档案进行维护和管理。</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卡口监控（卡口，视频，红外，电子界桩</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利用视频监控系统，通过车牌、车型、人脸、AI分析，对进出保护区的车辆、人员实时监控、预警。自组网无线传感，实现越界进入保护区的人群进行短信、语音（大喇叭）告警，联动视频，进行证据固定；生成相应APP，兼容其它主流手机软件程序等。</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（四）灾害防控办公平台服务</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森林防火</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利用前端监控+平台分析，实现火情识别、智能报警、气象分析、预警预报、应急管理（人员、物资、预案）等。保护区森林防火工作的信息管理。</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1）火情分析：基于火点位置信息进行火情的研判，包含火情所在的行政区划、责任区域、责任人、来源、火点位置。</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2）蔓延分析：可以依据当前的地形地貌、高程、河流等，根据天气、风力、温度、湿度等模拟火势蔓延。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3）态势标绘：火情标绘、救援态势辅助箭头、火情控制（减灾）基本标绘</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4）灾后评估：使用标绘对火情处置后的林地小班进行查询，可以和资产进行关联，进行灾后的评估。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5）统计分析：按照区域对处置火情统计、月维度处置统计、火情等级纬度处置统计、实警虚警年度统计、实警虚警月份统计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实现与区局森林防火系统对接</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自然灾害（地质，冰冻，疫源疫病）</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根据生态因子数据等对保护区发生的自然灾害进行信息管理。</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1）灾害登记：对保护区发生的地质，冰冻，疫源疫病进行信息登记。包括发生地点、时间、类型、灾害发生过程、灾害影响。</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2）灾害分析：针对灾害登记信息进行灾害分析，提供针对灾害发生的信息统计。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（五）科普宣教办公平台服务</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科普宣教</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建立云端虚拟体验平台，依托虚拟现实技术，通过三维可视化、全景等技术，让公众可以在虚拟场景中了解保护区基本情况以及各类兰花生长状态。依托自然教育中心，讲好兰花故事。自然教育基地（影视、VR），制作发布微视频，多角度深化宣传。</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通过建设微信公众号，建立网上预约参观平台，兰花直播平台等，积极与媒体合作，多渠道线上引流，创新研学教育合作机制。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将保护区内所有宣传活动资料进行电子化管理和可视化展示，记录保护区宣教活动力度及进展，更有效的实现对公众保护生态理念的科普，增强全民生态保护意识。</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1）活动登记：对保护区日常科普宣教活动进行登记，包括时间、地点、活动主题、内容、对象。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2）信息查询：对科普宣教活动信息进行查询和统计。生成相应APP，兼容其它主流手机软件程序等。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访客管理</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建立预约参观平台，实现参观旅游网上预约、公众号或其它新媒体预约。对到访人员进行统计，系统提供相应管理方案。访客可线上选择路线，参观方式，介绍人及其它配套服务等。</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对保护区日常发生进行登记、信息查询和统计。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1）访客登记：保护区日常访客登记，包括人员、时间、事由、访问对接人。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2）信息查询：对访客信息进行查询和统计。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000000" w:fill="FFFFFF"/>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（六）现有应用系统接入服务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OA系统</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现有OA系统集成综合管理办公平台。支持针对系统的单点登录。实现业务系统集成及后继扩展功能，可自由卸载和加挂新的业务系统；实现现有系统集成并预留与上级系统的集成接口。</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规范化管理系统</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现有规范化管理系统集成综合管理办公平台。支持针对系统的单点登录。该系统主要用于日常管理等。整合到综合管理平台内对应模块，对原架构内容整合优化，设计相应子模块符合现代化、科学化和精细化管理要求，实现业务系统集成及后继扩展功能，可自由卸载和加挂新的业务系统；实现现有系统集成并预留与上级系统的集成接口。生成相应APP，兼容其它主流手机软件程序等。</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红外相机管理系统</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该系统已经开发使用，主要用于红外相机收集保护区红外相机拍摄素材内容等。需与原开发公司沟通，整合到综合管理平台内对应模块，对原架构内容整合优化，实现数据批量上传、批量处理及自动识别功能。实现业务系统集成及后继扩展功能，可自由卸载和加挂新的业务系统；实现现有系统集成并预留与上级系统的集成接口。生成相应APP，兼容其它主流手机软件程序等。</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智能巡护系统</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该系统已经开发使用，主要用于管理站日常巡护辅助使用。需与原开发公司沟通，整合到综合管理平台内对应模块，对原架构内容整合优化。可导入和查看保护区航拍地图，实现业务系统集成及后继扩展功能，可自由卸载和加挂新的业务系统；实现现有系统集成并预留与上级系统的集成接口。</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电子植株档案管理系统</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现有电子植株档案管理系统集成综合管理办公平台。支持针对系统的单点登录。</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三维可视化系统</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现有三维可视化系统集成综合管理办公平台。支持针对系统的单点登录。</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000000" w:fill="FFFFFF"/>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（七）应用支撑平台服务</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备份设备</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1、要求基于GIS管理的主控中心平台，支持基于地图、多系统集中管控，实时信息采集和展示。能够提供精准区域故障报警功能及系统资源分布情况信息。</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能实现对应用服务器的一体化备份，实现对服务器上隐藏分区、操作系统分区、数据分区等所有分区数据的一体化实时备份；基于磁盘卷变化增量复制，复制系统卷分区大小、属性、权限、加密等要必须完全一致；采用块级复制技术，支持数据的增量备份，系统能实现将包括系统、应用以及数据在内的整机实时备份成虚拟化磁盘格式，可实现数据的秒级同步；支持对备份数据的快照功能，支持保留不同时间版本的备份数据；支持对备份数据的安全删除策略设置，支持对备份数据集阀值设置；支持备份限速；。</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3、支持随时随地对备份数据的一致性及完整性进行全面验证，确保在业务系统环境或数据发生损坏时，可以准确、快速、有效的进行数据恢复，保障业务系统正常运行。</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4、需基于B/S架构，通过浏览器即可进行管理；提供应急客户端自身CPU、内存、网络、存储空间等资源使用情况监控；支持HTTPS加密，管理账户密码支持复杂性及USBKey验证。</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能够监测服务器CPU/内存/网络/IO等性能，对数据库/中间件等其他应用能够监控运行状况；能够模拟用户访问方式对各种应用服务提供运行安全监控，支持用户自定义数据库、应用监控脚本的运行。并提供基于事件的统计报表、生成图表，提供邮件、短信等通知手段。对备份系统各种状况进行统计和报警，并提供各种统计报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能够对混合IT架构下的所有X86业务系统任意多台设备故障提供应急接管能力（随机保障的能力范围指标不少于100台），接管所需时间不超过3分钟（不接受采用预先配置虚拟机双机方式实现应急接管），并且支持跨多VLAN同时接管。能从任意时间点同时启动应急系统，配置接管不可以更改原设备配置，机房任意设备的软硬件故障都能够随时整体接管。应急系统必须支持系统、应用、数据的实时同步。。</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7、支持对应急接管虚机进行硬件配置调整，可以调整CPU、硬盘控制器、显卡、网卡等设备配置；支持将物理USB重定向给应急接管虚机使用，以满足带加密卡或口令卡的业务应急接管需求；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8、应急接管虚机支持配置EFI或BIOS启动方式（提供功能截图等佐证材料）。</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应急灾备系统需要为应急接管的主机系统提供主动防御措施，保证在应急系统接管业务期间的安全性能。具有未知病毒特征分发管理模块，能够自动提取未知病毒特征码，具备漏洞溢出防护能力，能够拦截因系统漏洞引起的溢出攻击行为，能够通过提取程序特征的方式添加敏感程序白名单。</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提供对备份业务系统的整机恢复功能，可直接实现操作系统、应用环境以及生产数据的一体化整体恢复；产品支持对不同品牌不同型号不同配置服务器/PC的本地/远程恢复功能，可直接将故障生产系统整机本地/远程恢复到不同品牌不同型号不同配置的服务器/PC上，恢复数据包括操作系统、应用环境以及生产数据等所有数据，恢复完成之后，开机即可用；支持对备份业务系统的分区恢复功能，可直接进行系统分区或者数据分区的单个分区的数据恢复。</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支持离线快照功能，不允许在生产环境做快照，不能影响源端业务；快照功能须平台内置，不依赖于第三方实现；支持主机备份数据的快照轴结构，便于主机状态的有效管理；支持快照轴上的每个独立快照，可随时做应急接管和演练操作等；快照数量没有限制，并且支持非线性快照及快照自动合并技术。支持Oracle、DB2裸分区复制，支持WINDOWS动态盘和Linux LVM复制迁移。</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须包含应用仿真演练功能模块（投标时提供此模块的计算机软件著作权登记证书复印件并加盖供应商公章）。能够模拟各种业务应用系统除硬件外完全一致的仿真环境。仿真系统必须与原应用保持一致（系统环境及配置，程序软件，分区各种属性，加密环境等完全一致），适用于容灾演练、打补丁、升级测试和实操培训等场景。支持对仿真测试虚机进行硬件配置调整，可以调整CPU、硬盘控制器、显卡、网卡等设备配置；支持将物理USB重定向给仿真测试虚机使用，以满足带加密卡或口令卡的业务系统仿真测试需求；仿真测试虚机支持配置EFI或BIOS启动方式；支持创建虚拟子网，将仿真测试虚机接入到虚拟子网中，实现不同仿真测试虚机间的业务通信，满足有业务依赖关系的主机整体仿真测试。</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13、支持单台主机的任意时间副本同时启动，实现单台主机的自动恢复演练；支持多主机的任意时间副本同时启动，实现多主机的自动恢复演练；启动演练的时间不超过3分钟；支持单台主机的系统安全事件过程追踪，实现单台主机的自动数据验证；支持多主机的系统安全事件过程追踪，实现多主机的自动数据验证；支持一键删除仿真测试环境，自动回收CPU、内存、硬盘、网络等硬件资源配置。（须在投标文件中对该功能实现步骤提供截图证明。截图要体现:A.能任意在任意时间点上生成仿真应用环境，能够随意删除仿真系统；B.仿真系统能任意加载其他设备备份的虚拟硬盘文件用。</w:t>
            </w:r>
            <w:r>
              <w:rPr>
                <w:rFonts w:eastAsia="新宋体" w:cs="宋体"/>
                <w:color w:val="auto"/>
                <w:kern w:val="0"/>
                <w:szCs w:val="21"/>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000000" w:fill="FFFFFF"/>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（八）科普宣教设施服务</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搭建兰花直播平台</w:t>
            </w: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总体需求：满足抖音直播粉丝数限制，满足直播限流推流要求，进行官方认证审核开通直播权限，添加直播摄像头、高清视频信号采集器及直播终端等采编软硬件设备，融合现有高清摄像头进行多画面自动转换轮播直播。1服务工作站，2前端设备、3编码解码、4数据传输、5手机云台5其它配件               </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一、移动演播室基本需求：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1.视频系统：HD &amp; SD，支持HDBaseT技术，实现单根网线连接至摄像机实现无压缩1080P画面、摄像机供电、导播台Tally以及摄像机控制信号的传输</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2.视频格式 1080p 50/59.94/60Hz 1080i 50/59.94/60Hz 720p 50/59.94/60Hz 576i 50Hz 480i 59.94Hz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3.手提式高标清便携式移动演播室系统，支持对3台摄像机的参数和镜头推、拉、摇以及预设点位的设置。</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4.视频输入：3组HDBaseT，1组HDMI信号</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5.支持亮度键抠像和1路画中画</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6.屏幕显示：17.3” HD TFT LED 背光, 1920x1080 像素，可视角度(H) +70/-70°，(V) +60/-60°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7.视频输出：2组HDMI主输出，1组串流信号 (RJ-45)，1组HDBaseT输出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8.串流视讯编码：H.264 / AVC, Main/ High Profile 最高10Mbps比特率</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9.串流通信协议：TS over TCP/UDP、RTSP over HTTP/TCP/UDP、RTMP</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10.音频输入:2 x 平衡式 XLR，1 x 立体声 RCA</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11.设备内置调音台，支持对不同输入音频信号的音量调节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12.录像文件系统：FAT, exFAT, NTFS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13.录像文件格式：MP4</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14.录像、串流设置控制：通过电脑使用网页对系统进行设置和控制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二、云台摄像机基本需求：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具备1/2.8 英吋的CMOS 传感器。分辨率可高达1920 x 1080，影格率则可高达60fps。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低噪讯的CMOS 有效的确保了摄像机视频的高讯噪比。先进的2D/3D 降噪技术也可进一步降低噪讯以确保视频的锐利度。</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音频输入接口，LAN口 HDbaseT接口。</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支援16000, 32000, 44100 及48000 的取样率，并支持AAC, MP3及PCM 音频编码。</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支援H.264/H.265 视频压缩技术。支持AAC, MP3 及PCM 音频压缩技术。可支持高达1920 x 1080 的视频压缩分辨率伴随着高达60fps 的影格率及双通道1920 x1080p 的分辨率伴随着高达30fps影格率的压缩视频。</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支持包含RTSP, RTMP 在内的多种网络串流协议并可易于连接至串流媒体服务器。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三、三脚架基本需求：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 承重：5kg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球碗直径：75mm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俯仰角度：＋90°/-60°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动态平衡：（关）+3档</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阻尼模式：内置</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摄像机托板：快速拆卸式托板</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重量：3.7kg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高度：75-155cm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级数：2级</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四、立体声监听耳机基本要求：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灵敏度: 113dB/mW</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阻抗: 32Ω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频响范围: 16-22000Hz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颜色分类: 黑金色</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佩戴方式: 头戴护耳式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耳机类型: 有线</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五、12路桌面式调音台基本要求：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12通道调音台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话筒：6 频响：+0.5dB/-0.5dB（20Hz-20kHz） 总谐波失真：0.03%@+14dBu（20 Hz-20kHz） 输入通道：12通道：单声道：4；立体声：4 输出通道：STEREO OUT：2；PHONES：1 母线：立体声：1；编组：2，AUX 电平表：2x12 - 点距LED电平表[PEAK，+10，+6，+3，0，-3，-6，-10，-15，-20，-25，-30dB] 幻象电源电压：+48V 功率要求：AC 100-240V，50/60Hz 外观尺寸：308×118×422mm 功耗：22W 操作温度：0-40℃ 净重：2.1kg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六、专业无线领夹套基本要求：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领夹式话筒</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全指向型话筒，金属材质，体积更小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更加平稳的频率响应，自然还原声音</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腰包发射器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全金属外壳，更加耐用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黑色机身，与专业摄像机更加匹配</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采用背景灯液晶屏，在暗处也可清晰观看</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体积更加小巧，更加方便携带</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发射功率可在30mW和5mW之间选择</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工作频段: 758.125 – 781.875MHz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2节5号电池供电，可连续工作8小时（30mW）</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尺寸:63 x 82.5 x 18.7mm (W/H/D)</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带有Mic/LINE切换开关，可选择麦克风与线路输入</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选配1-835-330-11(BMP-XLR转换线)，可以配合有源枪式话筒，如(ECM-674)，一起使用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重量145克（含电池）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便携式接收器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全金属外壳，更加耐用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黑色机身，与专业摄像机更加匹配</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采用背景灯液晶屏，在暗处也可清晰观看</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空间分集接收系统保障稳定的射频接收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天线的角度可调有利于消除信号失落现象，并且安装便利</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使用2节5号电池，可连续工作6个小时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尺寸：63 x 104.5 x 22 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重量205克，包括电池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液晶显示屏可以提供扩展信息如：工作通道编号及其频率，发射器电池状态及累计工作时间等等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七、管理电脑</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 2、CPU ：≥Intel 酷睿Core i7-1165G7 处理器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3、内存：≥16GB DDR4 2666MHz内存,4个内存扩展插槽</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4、硬盘：≥512GSSD PCIe 固态硬盘；</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nil"/>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八、采集合等其它相关配件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tcBorders>
              <w:top w:val="single" w:color="auto" w:sz="8" w:space="0"/>
              <w:left w:val="single" w:color="auto" w:sz="8" w:space="0"/>
              <w:bottom w:val="single" w:color="auto" w:sz="8" w:space="0"/>
              <w:right w:val="single" w:color="auto" w:sz="8" w:space="0"/>
            </w:tcBorders>
            <w:shd w:val="clear" w:color="000000" w:fill="FDE9D9"/>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二</w:t>
            </w:r>
          </w:p>
        </w:tc>
        <w:tc>
          <w:tcPr>
            <w:tcW w:w="8386" w:type="dxa"/>
            <w:gridSpan w:val="5"/>
            <w:tcBorders>
              <w:top w:val="nil"/>
              <w:left w:val="nil"/>
              <w:bottom w:val="single" w:color="000000" w:sz="8" w:space="0"/>
              <w:right w:val="single" w:color="000000" w:sz="8" w:space="0"/>
            </w:tcBorders>
            <w:shd w:val="clear" w:color="000000" w:fill="FDE9D9"/>
            <w:noWrap/>
            <w:vAlign w:val="center"/>
          </w:tcPr>
          <w:p>
            <w:pPr>
              <w:widowControl/>
              <w:jc w:val="left"/>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通信传输网络服务</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000000" w:fill="FFFFFF"/>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（一）通信传输网服务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互联网专线</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互联网专线1条：中心办公楼，带宽≥200M，数据专线3条，带宽≥20M</w:t>
            </w:r>
          </w:p>
        </w:tc>
        <w:tc>
          <w:tcPr>
            <w:tcW w:w="234" w:type="dxa"/>
            <w:tcBorders>
              <w:top w:val="nil"/>
              <w:left w:val="nil"/>
              <w:bottom w:val="nil"/>
              <w:right w:val="single" w:color="000000" w:sz="8" w:space="0"/>
            </w:tcBorders>
            <w:shd w:val="clear" w:color="auto" w:fill="auto"/>
            <w:noWrap/>
            <w:vAlign w:val="center"/>
          </w:tcPr>
          <w:p>
            <w:pPr>
              <w:widowControl/>
              <w:jc w:val="righ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年</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（二）自建传输服务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直埋光缆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GYTA53-12B1.3室外铠装单模12芯，衰减＠20℃（DB/Km）：＠1310≤0.36，＠1550≤0.22；光纤规格：B1.3（9/125μm），直埋传输光缆</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184.5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架空光缆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GYTA53-12B1.3室外铠装单模12芯，衰减＠20℃（DB/Km）：＠1310≤0.36，＠1550≤0.22；光纤规格：B1.3（9/125μm），架空传输光缆，含5米水泥杆和钢丝挂钩等</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221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光缆接续盒</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12芯光缆接续盒D型光纤熔接盘防水</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光纤熔接</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定制，符合施工要求标准。包括熔纤所需的套管等材料,含掏芯接续开天窗</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56</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芯</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光纤跳线</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单模室外防水铠装SC光钎跳线10m</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光缆终端盒</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满配12口SC光纤终端盒</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光纤跳线</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单模室内SC光钎跳线3m</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手孔井</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规格：400*700*700mm</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123</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开沟回填</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线缆开沟回填，规格0.7*0.3*18450m</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387.45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val="0"/>
                <w:bCs w:val="0"/>
                <w:color w:val="auto"/>
                <w:kern w:val="0"/>
                <w:sz w:val="24"/>
                <w:highlight w:val="none"/>
              </w:rPr>
              <w:t>10m3</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000000" w:fill="FFFFFF"/>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（三）供电系统服务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局端供电主设备</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局端户外机柜一个，防雷配电一套，2000W模块1+1台；输入电压范围：90VAC~270VAC；输出电压范围：650~790VDC；输出功率：2000W</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远端逆变模块</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输入电压范围：400VDC-790VDC；输出电压范围：220VAC±3%；输出功率：1000VA700W；防护等级IP55及以上</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直埋电缆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YJV22-0.6/1kv-2*4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73</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架空电缆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YJV22-0.6/1kv-2*4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126</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直埋电缆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YJV22-0.6/1kv-2*4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架空电缆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YJV22-0.6/1kv-2*4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25.5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PVC线管</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PVCΦ25，壁厚≥1.9mm</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73</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（四）通信传输网络服务（基站）</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综合站</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一沟建综合站1个，小型站4个（黄猄洞、拉雅、浪全、二沟）</w:t>
            </w:r>
          </w:p>
        </w:tc>
        <w:tc>
          <w:tcPr>
            <w:tcW w:w="234"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auto" w:sz="8" w:space="0"/>
              <w:bottom w:val="single" w:color="auto" w:sz="8" w:space="0"/>
              <w:right w:val="single" w:color="auto" w:sz="8" w:space="0"/>
            </w:tcBorders>
            <w:shd w:val="clear" w:color="000000" w:fill="FDE9D9"/>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三</w:t>
            </w:r>
          </w:p>
        </w:tc>
        <w:tc>
          <w:tcPr>
            <w:tcW w:w="8386" w:type="dxa"/>
            <w:gridSpan w:val="5"/>
            <w:tcBorders>
              <w:top w:val="single" w:color="auto" w:sz="8" w:space="0"/>
              <w:left w:val="nil"/>
              <w:bottom w:val="single" w:color="auto" w:sz="8" w:space="0"/>
              <w:right w:val="single" w:color="000000" w:sz="8" w:space="0"/>
            </w:tcBorders>
            <w:shd w:val="clear" w:color="000000" w:fill="FDE9D9"/>
            <w:noWrap/>
            <w:vAlign w:val="center"/>
          </w:tcPr>
          <w:p>
            <w:pPr>
              <w:widowControl/>
              <w:jc w:val="left"/>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系统监控服务</w:t>
            </w:r>
          </w:p>
        </w:tc>
      </w:tr>
      <w:tr>
        <w:tblPrEx>
          <w:tblCellMar>
            <w:top w:w="0" w:type="dxa"/>
            <w:left w:w="108" w:type="dxa"/>
            <w:bottom w:w="0" w:type="dxa"/>
            <w:right w:w="108" w:type="dxa"/>
          </w:tblCellMar>
        </w:tblPrEx>
        <w:trPr>
          <w:trHeight w:val="300" w:hRule="atLeast"/>
        </w:trPr>
        <w:tc>
          <w:tcPr>
            <w:tcW w:w="8620" w:type="dxa"/>
            <w:gridSpan w:val="6"/>
            <w:tcBorders>
              <w:top w:val="nil"/>
              <w:left w:val="single" w:color="000000" w:sz="8" w:space="0"/>
              <w:bottom w:val="single" w:color="000000" w:sz="8" w:space="0"/>
              <w:right w:val="single" w:color="000000" w:sz="8" w:space="0"/>
            </w:tcBorders>
            <w:shd w:val="clear" w:color="auto" w:fill="auto"/>
            <w:noWrap/>
            <w:vAlign w:val="center"/>
          </w:tcPr>
          <w:p>
            <w:pPr>
              <w:widowControl/>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（一）</w:t>
            </w:r>
            <w:r>
              <w:rPr>
                <w:rFonts w:hint="eastAsia" w:ascii="新宋体" w:hAnsi="新宋体" w:eastAsia="新宋体" w:cs="宋体"/>
                <w:b/>
                <w:bCs/>
                <w:color w:val="auto"/>
                <w:kern w:val="0"/>
                <w:sz w:val="24"/>
                <w:highlight w:val="none"/>
              </w:rPr>
              <w:t>无人机采集设备服务</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红外监测巡护无人机</w:t>
            </w: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飞行器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尺寸（展开，不包含桨叶）：810×670×430 mm（长×宽×高），（折叠，包含桨叶）：430×420×430 mm（长×宽×高）</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对称电机轴距895 mm；重量（含下置单云台支架），空机重量（不含电池）：3.6 kg，空机重量（含双电池）：6.3 kg；最大载重2.7 kg，最大起飞重量9 kg；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工作频率2.4000-2.4835 GHz,5.725-5.850 GHz，发射功率（EIRP）2.4000-2.4835 GHz：29.5 dBm（FCC）；18.5dBm（CE）18.5 dBm（SRRC）；18.5dBm（MIC）5.725-5.850 GHz：28.5 dBm（FCC）；12.5dBm（CE）28.5 dBm（SRRC）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悬停精度（P-GPS）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垂直：±0.1 m（视觉定位正常工作时），±0.5 m（GPS 正常工作时），±0.1 m（RTK 定位正常工作时）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水平：±0.3 m（视觉定位正常工作时），±1.5 m（GPS 正常工作时），±0.1 m（RTK 定位正常工作时）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RTK 位置精度在 RTK FIX 时：1 cm+1 ppm（水平），1.5 cm + 1 ppm（垂直）</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最大旋转角速度俯仰轴：300°/s，航向轴：100°/s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最大俯仰角度30° （P模式且前视视觉系统启用：25°）</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最大上升速度S 模式：6 m/s，P 模式：5 m/s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最大下降速度（垂直）S 模式：5 m/s，P 模式：4 m/s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最大倾斜下降速度S 模式：7 m/s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7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最大水平飞行速度S 模式：23 m/s，P 模式：17 m/s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最大飞行海拔高度5000 m（2110 桨叶，起飞重量≤7 kg）/ 7000 m（2195 高原静音桨叶，起飞重量≤7 kg）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最大可承受风速15 m/s （7级风）</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最大飞行时间55 min</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支持 DJI 云台：禅思 XT2、禅思 XT S、禅思 Z30、禅思 H20、禅思 H20T、DJI P1、DJI L1</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支持云台安装方式：下置单云台、上置单云台、下置双云台、下置单云台+上置单云台、下置双云台+上置单云台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IP 防护等级：IP45</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GNSS：GPS+GLONASS+BeiDou+Galileo</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工作环境温度-20°C 至 50°C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遥控器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工作频率2.4000-2.4835 GHz，5.725-5.850 GHz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最大信号有效距离（无干扰、无遮挡）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NCC/FCC：15 km，CE/MIC：8 km，SRRC：8 km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等效全向辐射功率（EIRP）</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2.4000-2.4835 GHz：29.5 dBm（FCC）；18.5dBm（CE）18.5 dBm（SRRC）；18.5dBm（MIC）5.725-5.850 GHz：28.5 dBm（FCC）；12.5dBm（CE）20.5 dBm（SRRC）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外置电池容量：≥4920 mAh，电压：7.6 V，电池类型：LiPo，能量：37.39 Wh</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充电时间：70 分钟（15°C 至 45°C）；130 分钟（0°C 至 15°C）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内置电池类型：18650 锂离子电池 （5000 mAh @ 7.2 V），充电方式：使用规格为 12V/2A 的 USB 充电器额定功率：17 W，充电时间：2 小时 15 分钟（使用规格为12V/2A 的 USB 充电器）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续航时间内置电池：约 2.5 小时内置电池+外置电池：约 4.5 小时USB-A 接口供电电压/电流</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 V / 1.5 A</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工作环境温度-20° 至 40° 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视觉系统</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障碍物感知范围前后左右：0.7-40 m，上下：0.6-30 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FOV前后下：65°（H），50°（V），左右上：75°（H），60°（V）</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使用环境表面有丰富纹理，光照条件充足（&gt;15 lux，室内日光灯正常照射环境）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红外感知系统</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障碍物感知范围0.1-8 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FOV30°（±15°）</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使用环境漫反射，大尺寸，高反射率（反射率&gt;10%）障碍物</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上下补光灯</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有效照明距离5 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FPV摄像头</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分辨率960p，FOV145°，帧率30 fps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智能飞行电池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容量≥5935 mAh，电压52.8 V，电池类型LiPo 12S，能量274 Wh，电池整体重量约 1.35 kg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工作环境温度-20℃ 至 50℃，理想存放环境温度22℃ 至 30℃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充电环境温度-20°C 至 40°C（当环境温度低于 5°C时，电池会启动自加热功能，在低温环境下充电有可能会降低电池使用寿命）</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充电时间使用 220 V 电源：完全充满两块 TB60 智能飞行电池约需 60 分钟，从 20% 充到 90% 约需 30 分钟，使用 110 V 电源：完全充满两块 TB60 智能飞行电池约需 70 分钟，从 20% 充到 90% 约需 40 分钟</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智能电池箱</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外形尺寸501×403×252 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空箱重量8.37 kg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输入电压100-120 VAC，50-60 Hz / 220-240 VAC，50-60 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最大输入功率1070 W，输出功率100-120 V：750 W，220-240 V：992 W</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工作环境温度-20℃ 至 40℃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负载相机总体参数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重量：828±5g，尺寸167X135X161mm;防水等级：IP44;工作温度-20°C至50°C；存储温度-20°C至60°C；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云台参数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角度抖动量±0.01°；安装方式：可拆式；可控转动范围：俯仰：-120°至+30°平移：±330°横滚；</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变焦相机参数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传感器：1/1.7″CMOS，有效像素2000万；镜头DFOV：66.6°-4°焦距：6.83-119.94 mm（等效焦距：31.7-556.2 mm）光圈：f/2.8-f/11（正常），f/1.6-f/11（夜景）对焦距离：1 m 至无穷远（广角），8 m 至无穷远（长焦）；对焦模式：MF/AF-C/AF-S；曝光模式：程序自动曝光，手动曝光；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曝光补偿：±3.0 （以1/3为步长）；测光模式：点测光、中央重点测光：测光锁定：支持；电子快门速度：1 ~ 1/8000 s；ISO范围视频：100 - 25600照片：100 - 25600；视频分辨率3840x2160@30fps，1920x1080@30fps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视频格式MP4；视频字幕支持；最大照片尺寸5184 × 3888；照片格式JPEG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广角相机参数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传感器1/2.3" CMOS，有效像素1200万；镜头DFOV：82.9°焦距：4.5 mm（等效焦距：24 mm）光圈：f/2.8对焦距离：1 m至无穷远；曝光模式：程序自动曝光；曝光补偿±3.0 （以1/3为步长）；测光模式：点测光、中央重点测光；支持测光锁定；快门速度：1 ~ 1/8000；ISO范围；视频：100 - 25600照片：100 - 25600；视频分辨率：1920×1080@30fps；视频格式：MP4；支持视频字幕；最大照片尺寸：4056×3040；照片格式：JPEG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热成像相机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热成像传感器类型:非制冷氧化钒（VOx）微测热辐射计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镜头DFOV：40.6°焦距：13.5 mm （ 等效焦距：58 mm）光圈：f/1.0对焦距离：5 m 至无穷远;数字变焦:1x，2x，4x，8x;视频分辨率;640×512 @ 30 Hz;视频格式:MP4:照片分辨率:640×512;照片格式:R-JPEG* (16 bit);像元间距:12 μm;波长范围:8-14 μm;灵敏度（NETD）:≤50 mK @ f/1.0;测温方式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:点测温、区域测温;测温范围:-40℃ 至 150℃（高增益模式）,-40℃ 至 550℃（低增益模式）;支持高温警报;FFC:自动/手动;调色盘:白热/熔岩/铁红/热铁/医疗/北极/彩虹1/彩虹2/描红/黑热</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激光测距仪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波长:905 nm；测量范围:3-1200 m（直径12 m、20%反射率的垂直反射面）</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测量精度:±(0.2m+D×0.15%)其中 D 表示与垂直反射面之间的距离</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其它功能</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混合光学变焦：23×（DFOV：4°，等效焦距：556.2mm）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最大变焦倍数：200×（DFOV：0.5°，等效焦距：4800mm）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联动拍摄：变焦、广角、热成像相机同时拍照/录像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指点对准：用户在广角/热成像相机的画面上双击兴趣点，系统自动转动云台把兴趣点置于变焦相机画面中心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超清矩阵拍照：在广角相机的画面中选取一个区域，系统会使用广角相机拍摄一张照片，并自动转动云台，使用变焦相机使用当前变焦倍数对选取区域拍摄若干张 2000 万像素的照片。所有照片将存储于 SD 卡的一个子文件夹中，并生成一个 HTML 文件，用户可以在电脑上用浏览器打开该 HTML 文件，浏览所有的广角照片和变焦照片。</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夜景模式：支持（变焦相机）；时间戳水印：包含日期、时间、经纬度</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喊话器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无人机专用的长距离扬声，具备超高声压，能清晰传递语音至远处，最大扬声距离超过1000米。声音穿透力强，体积小、重量轻、功耗低，磁屏蔽性能优异。可与飞行平台无缝兼容。允许远程指挥中心进行实时喊话。挂接即用，俯仰角度可调，支持自主选择男声、女声、中音、高音。支持背景音和广播内容同时播放，支持在线文字语音转换。重量＜600g，俯仰控制角度0-90°，功率35W，分贝：80分贝@48米。</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含两组电池组及行业无忧服务（保险）</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巡护无人机</w:t>
            </w: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飞行器</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台</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起飞重量595 g，尺寸折叠：180 × 97 × 77 mm（长 × 宽 × 高），展开：183 × 253 × 77 mm（长 × 宽 × 高）</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对角线轴距302 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最大上升速度6 m/s（运动挡），6 m/s（普通挡），最大下降速度6 m/s（运动挡），6 m/s（普通挡），最大起飞海拔高度5000 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最长飞行时间（无风环境）飞行 31 分钟，最长悬停时间（无风环境），悬停 30 分钟</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最大续航里程（无风环境）18.5 km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最大水平飞行速度19 m/s（运动挡），15 m/s（普通挡），5 m/s（平稳挡）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最大抗风等级5 级风 10.7 m/s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最大可倾斜角度35°（运动挡）前：30°，后：20°，左、右：35°（普通挡）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最大旋转角速度250°/s（运动挡），90°/s（普通挡），60°/s（平稳挡）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工作环境温度0°C 至 40°C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工作频率2.4 GHz，5.8 GHz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发射频率（EIRP）2.4 GHz：FCC：≤30 dBm，CE：≤20 dBm，SRRC：≤20 dBm，MIC：≤20 dBm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5.8 GHz：FCC：≤30 dBm，CE：≤14 dBm，SRRC：≤29 dBm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悬停精度垂直：± 0.1 m（视觉定位正常工作时），± 0.5 m（GNSS正常工作时）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水平：± 0.1 m（视觉定位正常工作时），± 1.5 m（GNSS正常工作时）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桨：快拆、静音、折叠桨;机臂折叠:上下折叠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GNSS:GPS + GLONASS + GALILEO</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指南针:单;IMU:单;机载内存8 GB</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电池容量3500 mAh,标称电压11.55 V,充电限制电压13.2 V,电池类型LiPo 3S,能量40.42 Wh</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重量198 g,充电环境温度5℃ 至 40℃（41° 至 104°F），最大充电功率38 W</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相机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影像传感器一英寸 CMOS 影像传感器；2000 万像素；2.4μm 像素尺寸</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镜头视角：88°35mm 等效焦距：22 mm,光圈：f/2.8，焦点范围：0.6 m 至无穷远</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ISO 范围</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视频：100 至 3200（自动）100 至 6400（手动）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视频 - 10bit：100 至 800（自动）100 至 1600（手动）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照片:100 至 3200(自动)100 至 12800(手动)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最大照片尺寸2000 万像素5472 × 3648（3:2），5472 × 3078（16:9）</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照片拍摄模式及格式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单拍：2000 万像素，连拍：2000 万像素，持续连拍</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自动包围曝光（AEB）：2000 万像素，3/5 张@ 0.7EV</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定时拍：2000 万像素，2/3/5/7/10/15/20/30/60 秒</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智能拍照（包含 HDR、夜景）：2000 万像素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HDR全景：竖拍（3 × 1）：宽 3328 × 高 8000，广角（3 × 3）：宽 8000 × 高 6144</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180° 全景（3 × 7）：宽 8192 × 高 3500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球形全景（3 × 8+1）：宽 8192 × 高 4096</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JPEG / DNG（RAW）</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录像分辨率及格式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5.4K: 5472 × 3078 24/25/30 fps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4K Ultra HD：3840 × 2160 24/25/30/48/50/60 fps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2.7K：2688 × 1512 24/25/30/48/50/60 fps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FHD：1920 × 1080 24/25/30/48/50/60/120 fps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MP4 / MOV（H.264/MPEG-4 AVC、H.265/HEVC）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视频最大码率150 Mbps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支持文件系统FAT32/exFAT,最大支持 256GB SD卡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数字变焦</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各模式按最大 3 倍上采样计算数字变焦范围（详见下方），10bit 视频和 120fps下不支持变焦,4K/30fps：4倍；2.7K/60fps：4倍；2.7K/30fps：6倍；1080p/60fps：6倍；1080p/30fps：8倍</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云台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轴数:机械 3 轴</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结构设计范围，俯仰：-135° 至 45°，横滚：-45° 至 45°，偏航：-100° 至 100°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可控角度俯仰：-90° 至 0°（默认设置） -90° 至 24°（扩展）</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最大控制转速（俯仰）100°/s,角度抖动量±0.01°</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感知</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前视精确测距范围：0.38 至 23.8 m,有效避障速度：飞行速度 ≤ 15 m/s,视角（FOV）：水平 72°，垂直 58°</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后视精确测距范围：0.37 至 23.4 m,有效避障速度：飞行速度 ≤12 m/s,视角（FOV）：水平 57°，垂直 44°</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下视定位:ToF 有效测量高度：0.1 - 8 m,精确悬停范围：0.5 - 30 m，视觉悬停范围：0.5 - 60 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上视精确测距范围：0.34 至 28.6 m,视角（FOV）：水平 63°，垂直 78°</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下视补光灯单颗 LED</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图传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图传方案O3 图传 2.4 GHz/5.8 GHz 自动切换，向下兼容 OcuSync 2.0,4 天线 两发四收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距离12 km (FCC), 8 km (CE),8 km (SRRC), 8 km (MIC)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图传规格图传延时飞机+标配遥控器 1080p/30fps@12Mbps 120ms,飞机+DJI 带屏遥控器 1080p/30fps@12Mbps 130ms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图传最大下载码率44 Mbps（素材下载）,16 Mbps（实时图传）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工作频段2.4 GHz，5.8 GHz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遥控器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支持带屏遥控器，遥控器图传OcuSync 2.0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续航：未给移动设备充电情况下：6 小时；给移动设备充电情况下：4 小时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支持接口类型：Lightning，Micro USB，USB-C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支持的最大移动设备尺寸：180 × 86 × 10 mm (长 × 宽 × 高)</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工作环境温度：0° 至 40°C (14° 至 104°F)</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发射功率（EIRP）</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2.4 GHz：FCC：≤26 dBm，CE：≤20 dBm，SRRC：≤20 dBm，MIC：≤20 dBm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5.8 GHz：FCC：≤26 dBm，CE：≤14 dBm，SRRC：≤26 dBm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充电器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输入100-240V，50/60 Hz，1.3 A，输出电池接口：13.2 V </w:t>
            </w:r>
            <w:r>
              <w:rPr>
                <w:rFonts w:ascii="Cambria" w:hAnsi="Cambria" w:eastAsia="新宋体" w:cs="Cambria"/>
                <w:color w:val="auto"/>
                <w:kern w:val="0"/>
                <w:sz w:val="24"/>
                <w:highlight w:val="none"/>
              </w:rPr>
              <w:t>⎓</w:t>
            </w:r>
            <w:r>
              <w:rPr>
                <w:rFonts w:hint="eastAsia" w:ascii="新宋体" w:hAnsi="新宋体" w:eastAsia="新宋体" w:cs="宋体"/>
                <w:color w:val="auto"/>
                <w:kern w:val="0"/>
                <w:sz w:val="24"/>
                <w:highlight w:val="none"/>
              </w:rPr>
              <w:t xml:space="preserve"> 2.82 A</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USB 接口：5 V </w:t>
            </w:r>
            <w:r>
              <w:rPr>
                <w:rFonts w:ascii="Cambria" w:hAnsi="Cambria" w:eastAsia="新宋体" w:cs="Cambria"/>
                <w:color w:val="auto"/>
                <w:kern w:val="0"/>
                <w:sz w:val="24"/>
                <w:highlight w:val="none"/>
              </w:rPr>
              <w:t>⎓</w:t>
            </w:r>
            <w:r>
              <w:rPr>
                <w:rFonts w:hint="eastAsia" w:ascii="新宋体" w:hAnsi="新宋体" w:eastAsia="新宋体" w:cs="宋体"/>
                <w:color w:val="auto"/>
                <w:kern w:val="0"/>
                <w:sz w:val="24"/>
                <w:highlight w:val="none"/>
              </w:rPr>
              <w:t xml:space="preserve"> 2 A，电压13.2 V，额定功率38 W</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含两组电池组及行业无忧服务（保险）</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语音无人机</w:t>
            </w: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飞行器</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台</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起飞重量（无配件）约909g，最大起飞重量1100g</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尺寸（长×宽×高）</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折叠： 214×91×84mm，展开： 322×242×84mm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展开+探照灯：322×242×114mm，展开+夜航灯：322×242×101mm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展开+喊话器：322×242×140mm，展开+RTK模块：322x242x125mm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对角线轴距354 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最大上升速度：6 m/s（S 模式），5 m/s（P 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 m/s（S 模式 带配件），4 m/s（P 模式 带配件）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最大下降速度：</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垂直下降5 m/s（S 模式），4 m/s（P 模式），俯冲下降7 m/s（S 模式），4 m/s（P 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最大水平飞行速度：</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72km/h（S模式，海平面附近无风环境)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50km/h（P模式，海平面附近无风环境）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最大飞行海拔高度：6000 米</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最长飞行时间：</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31 分钟（无风环境25km/h匀速飞行），28分钟（使用RTK模块），29分钟（打开夜航灯）30分钟（关闭夜航灯），24分钟（打开探照灯）28分钟（关闭探照灯），27分钟（打开喊话器）28分钟（关闭喊话器）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最大可抗风速：5级风</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最大可倾斜角度：35°（S模式，需搭配遥控器），25°（P模式）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最大旋转角速度：200°/s（S模式），100°/s（P模式）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工作环境温度：-10°C 至 40°C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GNSS：GPS+GLONASS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悬停精度</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垂直：± 0.1 m（RTK正常工作时），± 0.1 m（视觉定位正常工作时），± 0.5 m（GPS正常工作时）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水平：± 0.1 m（RTK正常工作时），± 0.3 m（视觉定位正常工作时），± 1.5 m（GPS正常工作时）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工作频率：2.400-2.4835 GHz;5.725-5.850 GHz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发射功率（EIRP）2.400 - 2.4835 GHz，FCC：≤26 dBm；CE：≤20 dBm；SRRC：≤20 dBm；MIC：≤20 dBm，5.725 - 5.850 GHz，FCC：≤26 dBm；CE：≤14 dBm；SRRC：≤26 dBm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机载内存：24GB</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红外相机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传感器：非制冷氧化钒微测辐射热计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镜头焦距：约9mm，等效焦距：约38mm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传感器分辨率：640×512 @30Hz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红外测温精度：±2℃或±2%，取较大值</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测温范围：-40℃ 至 150℃（高增益模式），-40℃ 至 550℃（低增益模式）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数字变焦：16x；像元间距12 μm；波长范围：8-14 μm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照片格式R-JPEG；视频格式：MP4；测温方式：点测温，区域测温</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FFC：自动/手动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可见光相机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影像传感器：1/2英寸CMOS；有效像素4800万</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镜头：视角：84°；等效焦距：24 mm；光圈：f/2.8；对焦点：1 m 至无穷远</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ISO范围：视频：100-12800（自动）；照片：100-1600（自动）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数字变焦：32x</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最大照片尺寸8000×6000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照片拍摄模式：单张拍摄；定时拍摄：2/3/5/7/10/15/20/30/60 s；全景：球形拍摄</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录像分辨率3840x2160@30fps，1920x1080@30fps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图片格式JPEG，视频格式MP4</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云台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结构设计范围：俯仰：-135°- +45°，平移：-100°- +100°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可转动范围：俯仰：-90°- +30°，平移：-75°- +75°</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稳定系统：3 轴机械云台（俯仰、横滚、平移）</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最大控制转速：120°/s，角度抖动量±0.005°</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感知系统</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感知系统类型</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全向感知系统</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前方：精确测距范围：0.5至20 m，可探测范围：20至40 m，有效避障速度：飞行速度 ≤ 14m/s角（FOV）：水平40°，垂直70°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后方：精确测距范围：0.5至16 m，可探测范围：16至32 m，有效避障速度：飞行速度 ≤ 12m/s，视角（FOV）：水平60°，垂直77°</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上方：精确测距范围：0.1至8 m，下方：有效测量高度：0.5 -11m，可探测范围：11至22 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左右：可探测范围：0.5至10 m，有效避障速度：飞行速度 ≤ 8m/s，视角（FOV）：水平80°，垂直65°</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有效使用环境：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前方，后方，左右：表面有丰富纹理，光照条件充足（ &gt;15 lux，室内日光灯正常照射环境）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上方：表面为漫反射材质且反射率&gt;20%（如墙面，树木，人等）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下方：地面有丰富纹理，光照条件充足（ &gt; 15 lux，室内日光灯正常照射环境）表面为漫反射材质且反射率&gt;20%（如墙面，树木，人等）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遥控器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工作频率：2.400 - 2.483 GHz;5.725 - 5.850 GHz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最大信号有效距离（无干扰、无遮挡）：2.400 - 2.483 GHz; 5.725 - 5.850 GHz，FCC: 10000m，CE: 6000m，SRRC: 6000m，MIC: 6000m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等效全向辐射功率（EIRP）：2.400-2.4835 GHz：25.5 dBm（FCC）；18.5 dBm（CE）19 dBm（SRRC）；18.5 dBm（MIC）；5.725-5.850 GHz：25.5 dBm（FCC）；12.5 dBm（CE）18.5 dBm（SRRC）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存储空间：ROM 16GB + microSD 可扩展存储空间</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视频输出接口：HDMI 接口</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内置电池类型：18650 锂离子电池 （5000 mAh @ 7.2 V），充电方式：使用规格为 12V/2A 的 USB 充电器，额定功率：15 W，充电时间：2 小时（使用规格为12V/2A 的USB 充电器）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工作电流/电压，1800mA </w:t>
            </w:r>
            <w:r>
              <w:rPr>
                <w:rFonts w:ascii="Cambria" w:hAnsi="Cambria" w:eastAsia="新宋体" w:cs="Cambria"/>
                <w:color w:val="auto"/>
                <w:kern w:val="0"/>
                <w:sz w:val="24"/>
                <w:highlight w:val="none"/>
              </w:rPr>
              <w:t>⎓</w:t>
            </w:r>
            <w:r>
              <w:rPr>
                <w:rFonts w:hint="eastAsia" w:ascii="新宋体" w:hAnsi="新宋体" w:eastAsia="新宋体" w:cs="宋体"/>
                <w:color w:val="auto"/>
                <w:kern w:val="0"/>
                <w:sz w:val="24"/>
                <w:highlight w:val="none"/>
              </w:rPr>
              <w:t xml:space="preserve"> 3.83V；续航时间内置电池：约2.5小时；工作环境温度-20° C至 40° 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尺寸177.5 x 121.3 x 40 mm（天线折叠，且未安装摇杆），177.5 x 181 x 60 mm（天线展开，且已安装摇杆）</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重量约630 g；智能飞行电池主路: 17.6V </w:t>
            </w:r>
            <w:r>
              <w:rPr>
                <w:rFonts w:ascii="Cambria" w:hAnsi="Cambria" w:eastAsia="新宋体" w:cs="Cambria"/>
                <w:color w:val="auto"/>
                <w:kern w:val="0"/>
                <w:sz w:val="24"/>
                <w:highlight w:val="none"/>
              </w:rPr>
              <w:t>⎓</w:t>
            </w:r>
            <w:r>
              <w:rPr>
                <w:rFonts w:hint="eastAsia" w:ascii="新宋体" w:hAnsi="新宋体" w:eastAsia="新宋体" w:cs="宋体"/>
                <w:color w:val="auto"/>
                <w:kern w:val="0"/>
                <w:sz w:val="24"/>
                <w:highlight w:val="none"/>
              </w:rPr>
              <w:t xml:space="preserve"> 3.41A 或 17.0V</w:t>
            </w:r>
            <w:r>
              <w:rPr>
                <w:rFonts w:ascii="Cambria" w:hAnsi="Cambria" w:eastAsia="新宋体" w:cs="Cambria"/>
                <w:color w:val="auto"/>
                <w:kern w:val="0"/>
                <w:sz w:val="24"/>
                <w:highlight w:val="none"/>
              </w:rPr>
              <w:t>⎓</w:t>
            </w:r>
            <w:r>
              <w:rPr>
                <w:rFonts w:hint="eastAsia" w:ascii="新宋体" w:hAnsi="新宋体" w:eastAsia="新宋体" w:cs="宋体"/>
                <w:color w:val="auto"/>
                <w:kern w:val="0"/>
                <w:sz w:val="24"/>
                <w:highlight w:val="none"/>
              </w:rPr>
              <w:t xml:space="preserve">3.53A，USB: 5.0 V </w:t>
            </w:r>
            <w:r>
              <w:rPr>
                <w:rFonts w:ascii="Cambria" w:hAnsi="Cambria" w:eastAsia="新宋体" w:cs="Cambria"/>
                <w:color w:val="auto"/>
                <w:kern w:val="0"/>
                <w:sz w:val="24"/>
                <w:highlight w:val="none"/>
              </w:rPr>
              <w:t>⎓</w:t>
            </w:r>
            <w:r>
              <w:rPr>
                <w:rFonts w:hint="eastAsia" w:ascii="新宋体" w:hAnsi="新宋体" w:eastAsia="新宋体" w:cs="宋体"/>
                <w:color w:val="auto"/>
                <w:kern w:val="0"/>
                <w:sz w:val="24"/>
                <w:highlight w:val="none"/>
              </w:rPr>
              <w:t xml:space="preserve"> 2.0 A</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智能飞行电池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容量3850 mAh，典型电压15.4V，满充电压17.6V，电池类型LiPo，能量59.29 Wh，重量约297g，充电环境温度5℃ - 40℃，工作温度-10℃到40℃，加热方式：手动加热；自动加热</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加热温度-20℃到6℃，加热时间500秒（最长时间），加热功率55W（最大），充电时间90分钟，最大充电功率80W</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RTK 模块</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外形尺寸69 x 69 x 59 mm，接口USB Micro-B，功率约3w，RTK 位置精度在 RTK FIX 时1cm+1ppm （水平），1.5cm+1 ppm（垂直）</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探照灯</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外形尺寸68×60×41mm，接口USB Micro-B，工作范围30 m，功率最大 26W，照度</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FOV17°，最大值：11lux @ 30米直射</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夜航灯</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外形尺寸68mm×40mm×27.8mm，接口USB Micro-B，功率平均 1.6W，工作范围5000 米</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发光强度最小方向：55cd；上半球平均发光强度：157cd</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喊话器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外形尺寸68×55×65 mm，接口USB Micro-B，功率最大 10W，分贝（国际标准）100dB @ 1m 以内，码流16kbps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APP / 图传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图传方案OcuSync 2.0，移动设备 App，DJI PILOT（安卓版），实时图传质量720p@30fps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实时图传最大码率40Mbps，延时120 - 130 ms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存储卡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支持存储卡类型microSD卡，最大支持128GB容量，传输速度达到UHS-I Speed Grade 3评级的Micro SD卡</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含两组电池组及行业无忧服务（保险）</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（二）</w:t>
            </w:r>
            <w:r>
              <w:rPr>
                <w:rFonts w:hint="eastAsia" w:ascii="新宋体" w:hAnsi="新宋体" w:eastAsia="新宋体" w:cs="宋体"/>
                <w:b/>
                <w:bCs/>
                <w:color w:val="auto"/>
                <w:kern w:val="0"/>
                <w:sz w:val="24"/>
                <w:highlight w:val="none"/>
              </w:rPr>
              <w:t>森林防火视频监控设备服务</w:t>
            </w:r>
          </w:p>
        </w:tc>
      </w:tr>
      <w:tr>
        <w:tblPrEx>
          <w:tblCellMar>
            <w:top w:w="0" w:type="dxa"/>
            <w:left w:w="108" w:type="dxa"/>
            <w:bottom w:w="0" w:type="dxa"/>
            <w:right w:w="108" w:type="dxa"/>
          </w:tblCellMar>
        </w:tblPrEx>
        <w:trPr>
          <w:trHeight w:val="300"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双光谱重载云台摄像机</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热成像双光谱重载云台摄像机：</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400万像素1/1.8"云台网络摄像机；12.5~1000mm电动变焦；音频1入1出，告警7入2出，1路RS485，100M/1000M SFP单模光口(FC)（光口需定制支持）+10M/100M/1000M自适应以太网电口；0.003lux (F2.1，AGC ON)，0lux (开启红外)；宽动态范围：120dB；激光补光3KM；60FPS（2688*1520）；支持5种智能模式切换：混行检测、人脸检测、深度周界、人脸比对、人数统计；混行检测：支持机动车、非机动车、行人分类检测抓拍；人脸检测：支持人脸、人体检测抓拍及属性提取，并实现人脸、人体关联；支持人脸检测，可同时实现40张人脸并发检测；支持前端人脸识别，16个人脸库，共10K库容；深度周界：支持越界检测、进入区域、离开区域、区域入侵4种布防模式，可对机、非、人分类检测布防；人脸比对：支持前端人脸识别比对，支持黑名单比对；人数统计：支持绊线人数统计和区域人数统计，适应多场景使用需求；支持抓拍优选，自动筛选出抓拍质量最优的图片；供电方式：DC 48V±20%、DC-48V±20%；工作温湿度：-40℃~70℃，≤95%RH；功耗：206W MAX；防护等级：IP66；含重载云台一体机电源。</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激光球机参数：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400万像素1/1.8"球型网络摄像机；5.7~216.6mm电动变焦；音频1入1出，告警2入1出，1路RS485，10M/100M自适应网口，100M/1000M SFP单模光口；0.0005lux(F1.3，AGC ON)；0lux(开启红外)；宽动态范围：120dB；激光补光；60FPS（2560*1440）；支持WiFi嗅探，支持电子罗盘方位标定，支持GPS/北斗定位，支持陀螺仪防抖，支持雨刷；支持5种智能模式切换：混行检测、人脸检测、深度周界、人脸比对、人数统计；混行检测：支持机动车、非机动车、行人分类检测抓拍及属性提取；人脸检测：支持人脸、人体检测抓拍及属性提取，并实现人脸、人体关联；支持人脸检测，可同时实现40张人脸并发检测；支持前端人脸识别，16个人脸库，共10K库容；深度周界：支持越界检测、进入区域、离开区域、区域入侵4种布防模式，可对机、非、人分类检测布防；人脸比对：支持前端人脸识别比对，支持黑名单比对；人数统计：支持绊线人数统计和区域人数统计，适应多场景使用需求；支持抓拍优选，自动筛选出抓拍质量最优的图片；供电方式：DC24V（±25%)、AC24V±25%；工作温湿度：-40℃~70℃，≤95%RH；功耗： 69W MAX；防护等级：IP66；含通用型抱杆支架。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入侵球机：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焦距5.9-135.7mm，23倍光学变倍，预置点300个；巡航扫描8条，每条可添加32个预置点；花样扫描4条，每条路径记录时间大于10分钟；守望功能预置点/花样扫描/巡航扫描/自动扫描/垂直扫描/随机扫描/帧扫描/全景扫描；支持比例变倍，支持方位角信息显示定时；任务预置点/花样扫描/巡航扫描/自动扫描/垂直扫描/随机扫描/帧扫描/全景扫描/球机重启/球机校验/辅助输出；系统集成：3D定位支持；报警7进2出；网络接口内置RJ45网口（支持10M/100M网络数据）；支持FC光纤接口；音频1进1出；RS485控制接口采用半双工模式，支持自适应HIKVISION，PELCO-P和PELCO-D(可添加)协议；同时预览视频数最多20路</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一般规范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防爆标志Ex d ⅡC T6 Gb/ExtD A21 IP68 T80℃；外壳材质304不锈钢；温度与湿度-40℃~60℃, 湿度小于95%RH（无凝结）；电源AC100-240V，60W Max；尺寸Φ255×405mm；重量13.2kg；摄像机传感器类型1/1.8" Progressive Scan CMOS；有效像素400万像素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智能功能</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Smart跟踪手动跟踪、自动跟踪、全景跟踪、事件跟踪；支持多场景巡航跟踪；Smart编码低码率、ROI、SVC；支持最大256G的 Micro SD/Micro SDHC/Micro SDXC卡存储；支持海康SDK、ONVIF、ISAPI、GB/T28181、ISUP和萤石接入；防雷、防浪涌、防突波，IP66防护等级，支持玻璃加热除雾，含安装环境立杆，确保入侵球机能全方位查看林火监控位置画面。</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管理平台：配备相应管理运维平台，对林火监控进行管理</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不间断电源：支持整套设备正常运行时间＞4小时</w:t>
            </w:r>
            <w:r>
              <w:rPr>
                <w:rFonts w:eastAsia="新宋体" w:cs="宋体"/>
                <w:color w:val="auto"/>
                <w:kern w:val="0"/>
                <w:szCs w:val="21"/>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摄像机安装支架</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配套</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（三）</w:t>
            </w:r>
            <w:r>
              <w:rPr>
                <w:rFonts w:hint="eastAsia" w:ascii="新宋体" w:hAnsi="新宋体" w:eastAsia="新宋体" w:cs="宋体"/>
                <w:b/>
                <w:bCs/>
                <w:color w:val="auto"/>
                <w:kern w:val="0"/>
                <w:sz w:val="24"/>
                <w:highlight w:val="none"/>
              </w:rPr>
              <w:t>交通卡口视频监控设备服务</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多目标多摄网络摄像机</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全结构化微卡口/智慧监控单元，包含摄像机、高清镜头、室外防护罩(4518护罩)、LED下挂灯、风扇、电源适配器、安装万向节等，像素：800W，分辨率：最大支持 3840 × 2160帧率：25fps感光器件：1/1.2" CMOS最小照度：彩色:0.001 Lux @(F1.2，AGC ON)视频压缩标准：H.264/H.265/MJPEG图片格式：JPEG输出：电平量信号，通讯接口：1个RS-485接口，1个RS-232接口，1个RJ45 10 M/100 M/1000 M自适应以太网口，触发输入：1个触发/报警输入，触发输出：2路F+ F-输出接口，可作为补光灯输出控制，存储支持：支持TF卡,USB存储设备，支持协议：ISAPI，GB28181，海康SDK自动光圈镜头：支持ICR：支持防护等级：IP65智能识别：全结构化视频分析模式：车辆（车牌识别、车身颜色识别、车型识别、车辆主子品牌识别）；非机动车（车型识别、特征识别）；行人（人体识别、人脸识别、特征识别）等。</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32</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台</w:t>
            </w: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配备相应管理运维平台，对所有监控进行管理</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LED常亮灯</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光源类型：原装进口大功率LED，三车道补光，可通过RS485实现可调亮度，发光角度：40°，最佳补光距离：16米-25米，触发方式：光敏控制防护等级：IP66</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室外摄像机防雷</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信号、电源二合一避雷器</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六类网络跳线</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10米网络跳线</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六类非屏蔽线缆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UTP6，低烟无卤</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杆件及基础</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L型八角立杆高≥6米,材质：Q235碳素结构钢，横杆2米。主杆壁厚≥5.5mm，横臂壁厚≥3.5mm。整体涂抹防锈漆。含地笼，避雷针，接地地极，含壁挂箱配套含防雷器，配套空开漏电保护器、6位国标排插</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监控提示牌</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尺寸：600*800mm，使用不低于二级（微棱镜）反光膜，标志符合GB5768-2009《道路标志和标线》的要求</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8口全千兆交换机</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8个 10/100/1000Base-T 电口，2个1000Base-X SFP 光口；交换容量：24Gbps，包转发率：18Mpps，交换方式：存储转发，缓存：4M，MAC地址表：8K；防雷：6KV 执行标准：IEC61000-4-5；输入电压：12~57V DC，功耗：＜20W；提供基于Web的2层网络管理，支持端口管理、VLAN、QoS、SNMP等网络功能</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台</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SFP光模块</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全双工光收发一体模块，符合SFP MSA、IEEE 802.3z标准，速率≥1Gbps，单模光纤传输≥20KM</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原有卡口配件更换</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电源6个输入100-240V，50/60Hz 0.6A。输出12V  2.0A6个输入220vac 50Hz 400ma。输出24VAC  72w6个输入100-240V，50/60Hz 1.6A。输出12V  2.0A3个输入100-240V，50/60Hz 1.7A。输出12V  5.0A，闪光，补光，工业级交换机</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全千兆SFP光纤收发器（工业级）</w:t>
            </w:r>
            <w:r>
              <w:rPr>
                <w:rFonts w:eastAsia="新宋体" w:cs="宋体"/>
                <w:color w:val="auto"/>
                <w:kern w:val="0"/>
                <w:szCs w:val="21"/>
                <w:highlight w:val="none"/>
              </w:rPr>
              <w:t> </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个10/100/1000Base-T(X)电口，1个1000Base-FX光口（SC/ST/FC/LC接口可选）；电接口（RJ45接口）支持10/100/1000M自适应、全/半双工方式、MDI/MDI-X自动侦测；光接口支持多模双纤、单模双纤、单模单纤三种光纤传输模式；支持宽范围直流输入，冗余双电源输入；无风扇高效散热，降低修复时间、IP40外壳；宽温型：工作温度-40℃~ +85℃；超强防雷功能：采用防雷器件防雷击；通过危险环境认证并符合FCC、CE标准。</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光纤跳线</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单模室内SC光钎跳线3m</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ODF光纤配线架</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抽拉式24口LC满配48芯</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网络配线架</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1U24口六类带模块</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15</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OM3万兆多模光缆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48芯室内OM3万兆多模光缆</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0.04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16</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六类非屏蔽线缆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UTP6，低烟无卤</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0.8</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17</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熔纤</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定制，符合施工要求标准。包括熔纤所需的套管等材料</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96</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点</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（四）</w:t>
            </w:r>
            <w:r>
              <w:rPr>
                <w:rFonts w:hint="eastAsia" w:ascii="新宋体" w:hAnsi="新宋体" w:eastAsia="新宋体" w:cs="宋体"/>
                <w:b/>
                <w:bCs/>
                <w:color w:val="auto"/>
                <w:kern w:val="0"/>
                <w:sz w:val="24"/>
                <w:highlight w:val="none"/>
              </w:rPr>
              <w:t>电子界桩设备服务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界桩防护一体机</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支持通过雷达检测周界事件，支持雷达区域入侵、雷达越界侦测检测，可获取探测物体的距离、方向、角度等信息，支持目标定位，轨迹跟踪，具备快速标定功能，联动球机进行跟踪，跟踪过程中抓拍目标的人脸、人体或车辆图片，并进行关联输出；具备二次复核功能：雷达检测到目标后，联动球机进行复核，通过融合算法进行判断，确认是入侵目标后，输出事件报警。传感器类型: 1/1.8＂ progressive scan CMOS；最低照度: 彩色：0.0005Lux @ (F1.2,AGC ON);黑白：0.0001Lux @ (F1.2 ,AGC ON) ;0 Lux with IR；焦距: 6.0-240mm，40倍光学变倍，水平范围: 360°垂直范围: -20°-90°(自动翻转)，水平速度: 水平键控速度：0.1°-210°/s,速度可设;水平预置点速度：280°/s，垂直速度: 垂直键控速度：0.1°-150°/s,速度可设;垂直预置点速度：250°/s，主码流帧率分辨率 50Hz:50fps(2560×1440)；60Hz:60fps(2560×1440)视频压缩标准: H.265,H.264,MJPEG红外照射距离: 200m；报警灯: 100m；防护: IP67；雷达参数: 工作频率: 24.05~24.25GHz；探测距离: 人：100米；车：120米；水平角度: ±45°；垂直角度: ±14°；最大探测目标数: 32个</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设备支架</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铂晶灰/铝合金</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智慧音柱</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有源30W音柱，带定压输入端口，可结合监控摄像机实现语音报警功能。</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室外摄像机防雷</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信号、电源二合一避雷器</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六类网络跳线</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10米网络跳线</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六类非屏蔽线缆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UTP6，低烟无卤</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100m</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室外球机立杆</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不锈钢5米高；含地笼，避雷针，接地地极，含壁挂箱配套含防雷器，配套空开漏电保护器、6位国标排插</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根</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边界提示牌</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尺寸：600*800mm，使用不低于二级（微棱镜）反光膜，标志符合GB5768-2009《道路标志和标线》的要求</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8口全千兆交换机</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8个 10/100/1000Base-T 电口，2个000Base-X SFP 光口；交换容量：24Gbps，包转发率：18Mpps，交换方式：存储转发，缓存：4M，MAC地址表：8K；防雷：6KV 执行标准：IEC61000-4-5；输入电压：12~57V DC，功耗：＜20W；提供基于Web的2层网络管理，支持端口管理、VLAN、QoS、SNMP等网络功能</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台</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SFP光模块</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全双工光收发一体模块，符合SFP MSA、IEEE 802.3z标准</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速率≥1Gbps，单模光纤传输≥20KM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摄像机电源</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12V2A</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个</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全千兆SFP光纤收发器</w:t>
            </w:r>
            <w:r>
              <w:rPr>
                <w:rFonts w:eastAsia="新宋体" w:cs="宋体"/>
                <w:color w:val="auto"/>
                <w:kern w:val="0"/>
                <w:szCs w:val="21"/>
                <w:highlight w:val="none"/>
              </w:rPr>
              <w:t> </w:t>
            </w:r>
            <w:r>
              <w:rPr>
                <w:rFonts w:hint="eastAsia" w:ascii="新宋体" w:hAnsi="新宋体" w:eastAsia="新宋体" w:cs="宋体"/>
                <w:color w:val="auto"/>
                <w:kern w:val="0"/>
                <w:sz w:val="24"/>
                <w:highlight w:val="none"/>
              </w:rPr>
              <w:t>（工业级）</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个10/100/1000Base-T(X)电口，1个1000Base-FX光口（SC/ST/FC/LC接口可选）；电接口（RJ45接口）支持10/100/1000M自适应、全/半双工方式、MDI/MDI-X自动侦测；光接口支持多模双纤、单模双纤、单模单纤三种光纤传输模式；支持宽范围直流输入，冗余双电源输入；无风扇高效散热，降低修复时间、IP40外壳；宽温型：工作温度-40℃~ +85℃；超强防雷功能：采用防雷器件防雷击；通过危险环境认证并符合FCC、CE标准。</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光纤跳线</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单模室内SC光钎跳线3m</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条</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000000" w:fill="FFFFFF"/>
            <w:noWrap/>
            <w:vAlign w:val="center"/>
          </w:tcPr>
          <w:p>
            <w:pPr>
              <w:widowControl/>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（五）</w:t>
            </w:r>
            <w:r>
              <w:rPr>
                <w:rFonts w:hint="eastAsia" w:ascii="新宋体" w:hAnsi="新宋体" w:eastAsia="新宋体" w:cs="宋体"/>
                <w:b/>
                <w:bCs/>
                <w:color w:val="auto"/>
                <w:kern w:val="0"/>
                <w:sz w:val="24"/>
                <w:highlight w:val="none"/>
              </w:rPr>
              <w:t>森林生态环境监测系统服务</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科研级无线传输自动气象站</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配置包括：</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 数据采集器：1套</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 传感器：包括风速、风向、空气温度、相对湿度、土壤温度、太阳辐射、降雨量、光合有效辐射、日照时数、大气压强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 2米高三脚架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 密封箱：1个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 软件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技术参数：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 风速：范围0.1 m/s - 60 m/s；准确度± 3% @0~ 40 m/s, ± 5% @40~ 60 m/s；分辨率0.01 m/s</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 风向：范围0 ~ 359°；准确度± 3°@0~ 40 m/s, ± 5°@40~ 60 m/s；分辨率：1°</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 大气压强：范围300 ~ 1100 hPa；准确度± 0.5 hPa @ 25℃；分辨率：0.1 hPa</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 空气温度：范围-40 ~ 70℃；准确度± 0.3℃ @ 20℃；分辨率0.1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 相对湿度：范围0-100% RH；准确度± 2% @ 20℃ (10%-90% RH)；分辨率1% RH</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 露点温度：范围-40 ~ 70℃；准确度± 0.3℃ @ 20℃；分辨率0.1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 降雨量：光学；范围0-＞300mm/hr；分辨率：0.2mm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 太阳总辐射：绝对误差最大±5%（典型±3%）；敏感性0.2kWm-2mV-1；感光波长400~1100nm；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 土壤温度：范围-35 ~ 50℃；线性误差＜± 0.5℃ @--35 ~ 50℃；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 光合有效辐射：绝对精度± 5%；响应时间小于1µs； 方位角误差在45°仰角时，360°方位角范围内的误差小于± 1%；</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微型气象站</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配置包括：</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1、数据采集器：1个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2、土壤水分温度电导率传感器：1个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3、空气温湿度传感器：1个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4、太阳辐射传感器：1个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5、降雨量传感器：1个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6、风速风向传感器：1个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技术参数：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数据采集器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1、通道数：6通道；</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2、内存：8M内存，能够存储40000-80000记录；</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3、电源：碱性电池或镍氢电池</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4、测量速度/间隔：5分钟-12小时</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土壤水分温度电导率传感器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4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5、准确度：水分±0.03m3/m3，特殊校准±  0.01-0.02m3/m3；温度±0.5℃@</w:t>
            </w:r>
            <w:r>
              <w:rPr>
                <w:rFonts w:hint="eastAsia" w:ascii="微软雅黑" w:hAnsi="微软雅黑" w:eastAsia="微软雅黑" w:cs="宋体"/>
                <w:color w:val="auto"/>
                <w:kern w:val="0"/>
                <w:sz w:val="24"/>
                <w:highlight w:val="none"/>
              </w:rPr>
              <w:t>−</w:t>
            </w:r>
            <w:r>
              <w:rPr>
                <w:rFonts w:hint="eastAsia" w:ascii="新宋体" w:hAnsi="新宋体" w:eastAsia="新宋体" w:cs="宋体"/>
                <w:color w:val="auto"/>
                <w:kern w:val="0"/>
                <w:sz w:val="24"/>
                <w:highlight w:val="none"/>
              </w:rPr>
              <w:t>40 ~ 0℃；±0.3℃@0~60℃；电导率±(5%+0.01 dS/m)@0~10dS/m，±8%@10~20 dS/m；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6、运行频率：70MHz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7、测量范围：矿质土校准：0.00~0.70 m3/m3，非土壤介质校准：0.0~1.0m3/m3，-40~60℃,0-20dS/m；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空气温湿度传感器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8、空气相对湿度测量范围：0-100%；分辨率：0.1%RH；长期漂移：典型±0.25% RH/年；</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9、空气温度测量范围：-40～80℃；分辨率：0.1℃；</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长期漂移：典型&lt;0.03℃/年；</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10、水汽压测量范围：0-47kPa；分辨率：0.01 kPa；</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太阳辐射传感器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11、准确度：±5%</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 测量范围：0到1,750W m-2 (0-350mV)</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13、 工作温度：-40°C到 60°C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 电缆长度：5米</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降雨量传感器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15、精度：0.2mm</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16、 传感器类型：双翻斗式脉冲</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17、 工作温度：0~60°C</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风速风向传感器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18、风速范围：0~30 m/s；分辨率：0.01m/s；准确度：0.30 m/s 或&lt; 3%</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19、风向范围：0 ~ 359°；分辨率1°；准确度：±5°</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20、工作温度：-40 ~ 50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000000" w:fill="FFFFFF"/>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（六）巡护终端设备服务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巡护终端设备</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搭载麒麟985、990或9000 芯片或高通870及以上芯片，</w:t>
            </w:r>
            <w:r>
              <w:rPr>
                <w:rFonts w:eastAsia="新宋体" w:cs="宋体"/>
                <w:color w:val="auto"/>
                <w:kern w:val="0"/>
                <w:szCs w:val="21"/>
                <w:highlight w:val="none"/>
              </w:rPr>
              <w:t> </w:t>
            </w:r>
            <w:r>
              <w:rPr>
                <w:rFonts w:hint="eastAsia" w:ascii="新宋体" w:hAnsi="新宋体" w:eastAsia="新宋体" w:cs="宋体"/>
                <w:color w:val="auto"/>
                <w:kern w:val="0"/>
                <w:sz w:val="24"/>
                <w:highlight w:val="none"/>
              </w:rPr>
              <w:t>配备四摄，支持超高清夜摄、超高速摄影等电影级摄影功能。支持双卡双待，运行内存≥8GB，机身内存≥256GB，配备 40-66W 超级快充，27W 无线超级快充，配备移动充电装置＞10000mAh。</w:t>
            </w:r>
          </w:p>
        </w:tc>
        <w:tc>
          <w:tcPr>
            <w:tcW w:w="234"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130</w:t>
            </w:r>
          </w:p>
        </w:tc>
        <w:tc>
          <w:tcPr>
            <w:tcW w:w="234"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台</w:t>
            </w:r>
          </w:p>
        </w:tc>
      </w:tr>
      <w:tr>
        <w:tblPrEx>
          <w:tblCellMar>
            <w:top w:w="0" w:type="dxa"/>
            <w:left w:w="108" w:type="dxa"/>
            <w:bottom w:w="0" w:type="dxa"/>
            <w:right w:w="108" w:type="dxa"/>
          </w:tblCellMar>
        </w:tblPrEx>
        <w:trPr>
          <w:trHeight w:val="300" w:hRule="atLeast"/>
        </w:trPr>
        <w:tc>
          <w:tcPr>
            <w:tcW w:w="234" w:type="dxa"/>
            <w:tcBorders>
              <w:top w:val="nil"/>
              <w:left w:val="single" w:color="auto" w:sz="8" w:space="0"/>
              <w:bottom w:val="single" w:color="auto" w:sz="8" w:space="0"/>
              <w:right w:val="single" w:color="auto" w:sz="8" w:space="0"/>
            </w:tcBorders>
            <w:shd w:val="clear" w:color="000000" w:fill="FDE9D9"/>
            <w:noWrap/>
            <w:vAlign w:val="center"/>
          </w:tcPr>
          <w:p>
            <w:pPr>
              <w:widowControl/>
              <w:jc w:val="center"/>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四</w:t>
            </w:r>
          </w:p>
        </w:tc>
        <w:tc>
          <w:tcPr>
            <w:tcW w:w="8386" w:type="dxa"/>
            <w:gridSpan w:val="5"/>
            <w:tcBorders>
              <w:top w:val="single" w:color="auto" w:sz="8" w:space="0"/>
              <w:left w:val="nil"/>
              <w:bottom w:val="single" w:color="auto" w:sz="8" w:space="0"/>
              <w:right w:val="single" w:color="000000" w:sz="8" w:space="0"/>
            </w:tcBorders>
            <w:shd w:val="clear" w:color="000000" w:fill="FDE9D9"/>
            <w:noWrap/>
            <w:vAlign w:val="center"/>
          </w:tcPr>
          <w:p>
            <w:pPr>
              <w:widowControl/>
              <w:jc w:val="left"/>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数据中心服务</w:t>
            </w: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000000" w:fill="FFFFFF"/>
            <w:noWrap/>
            <w:vAlign w:val="center"/>
          </w:tcPr>
          <w:p>
            <w:pPr>
              <w:widowControl/>
              <w:rPr>
                <w:rFonts w:hint="eastAsia" w:ascii="新宋体" w:hAnsi="新宋体" w:eastAsia="新宋体" w:cs="宋体"/>
                <w:b/>
                <w:bCs/>
                <w:color w:val="auto"/>
                <w:kern w:val="0"/>
                <w:sz w:val="24"/>
                <w:highlight w:val="none"/>
              </w:rPr>
            </w:pPr>
            <w:r>
              <w:rPr>
                <w:rFonts w:hint="eastAsia" w:ascii="新宋体" w:hAnsi="新宋体" w:eastAsia="新宋体" w:cs="宋体"/>
                <w:b/>
                <w:bCs/>
                <w:color w:val="auto"/>
                <w:kern w:val="0"/>
                <w:sz w:val="24"/>
                <w:highlight w:val="none"/>
              </w:rPr>
              <w:t>（一）办公楼综合布线服务（数据存储与安全服务）</w:t>
            </w: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中心办公楼综合布线</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对管理中心办公楼互联网重新布线，优化传输方式，减少传输节点。2对管理中心办公楼办公设备供电线路布线优化。3调整设备位置，使布线、操作、使用更合理规范，优化音、视频线、电源线路。优化视频会议线路设备，优化监控线路。</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会议室语音设备</w:t>
            </w: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一、功放基本要求：                                                                                                                                          1、采用高能效的D类功放技术和开关电源技术，常规使用下的效率超过80%</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2、1U机箱高度，体积小、重量轻</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3、节能环保，节约运营费用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4、多种工作模式：立体声、单声道、桥接模式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5、功率：8 Ω，800 W×2</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6、通过背面板开关切换工作模式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7、放大器增益可选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8、配有卡侬头音频输入接口和Speakon音频输出接口</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9、输入信号通过卡农公座可环出到下一台功放</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10、削波限幅器：放置功放输出削波损坏喇叭</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11、功放输出直流保护：放置输出端输出次声信号</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12、独特的短路保护机制，提供不间断声音输出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13、温度功率控制，过温保护，电源欠压保护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二、线阵列音柱基本要求：                                                                                                                                             1、专业级线阵列音柱，声场覆盖均匀，传声增益更高而不易啸叫，解决有建声缺陷环境的扩声需求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2、箱体表面按国际防护等级标准IEC529IP-54设计，经过防尘防水防喷溅处理，适合户外应</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3、16个2.5英寸全频扬声器单元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4、频率响应（-10dB）:80Hz~18kHz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5、覆盖角度:水平方向±150°垂直方向:窄角度±15°,宽角度±40°</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6、标称阻抗:8Ω</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7、功率（8Ω）:400W</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8、灵敏度:96dB</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9、最大声压级：129dB（人声模式）：126dB（音乐模式）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三、调音台基本要求：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1、12个MIC单声道输入和LINE线路输入，以及断点插入；</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2、精细、提供大动态范围的 GB30 话筒前置放大器；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3、为电容话筒提供专业的 +48V 幻象电源；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4、为外部信号提供插入点；</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5、2个AUX辅助输出，全部可切换到推子前或推子后；</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6、2轨RCA播放和2轨RCA立体声录音输出；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7、三段参量均衡，包含一段中频扫频功能；</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8、2路立体声输入；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9、频率响应：20Hz-20kHz（±0.5dB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10、总谐波失真和噪声：-30dBu 输入到混音，话筒增益30dB&lt;0.007%；</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四、音频处理器基本要求：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1、高性能浮点DSP处理芯片；</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2、8通道平衡输入音频通道</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3、所有输入通道支持MIC输入，所有输入通道支持48V幻象供电</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4、8个平衡音频输出通道</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5、每个通道独立的自适应反馈抑制器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6、8通道自动混音</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7、ADCCS5368114dB动态，ACCS4385114dB动态</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8、输入每通道：前级放大、噪声门、压缩器、16段参量均衡、延时器、自动混音台</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8、输出每通道：16段参量均衡、分频器、高低通滤波器、限幅器、延时器</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9、内置信号发生器：正弦波信号、粉红噪声、白噪声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五、全数字化会议系统主机基本要求：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主要技术参数：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1、“环形手拉手”连接技术，一台分机的故障或更换不会影响到系统中其它分机的工作， 分机间出现一处连线故障也不会影响到系统工作，从而使系统具有更高可靠性</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2、音频信号采用专用的高性能 DSP 进行处理，支持 48 kHz 和32 kHz 音频采样频率</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3、每支麦克风可以独立调节增益和均衡（5 段） ，可针对不同的发言者声音特点调节不同的音量和频响，直至达到完美效果</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4、可以显示音频信号频谱，便于寻找啸叫点，从而通过调整均衡器参数以抑制啸叫</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5、2 路音频线路输入或 1 路音频线路输入+1 路麦克风输入，可独立调节各路增益和均衡。 其中麦克风输入能够提供+24 V 幻像电源，可直接连接电容麦克风</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6、数字音频处理及传输技术，完全数字化的会议控制主机</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7、每个会议单元具备全球唯一的 ID 号， 可方便安装并避免 ID 号重复</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8、可将任一台代表发言单元设定为 VIP 单元， 只要整个会议系统中已开启的话筒总数不超过 6 台（包括主席/代表/VIP 单元） ，VIP代表发言单元就可以自由开启</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9、带背光的 256×32 LCD 显示屏可显示操作模式、语种等信息，并提供简/繁体中文、英文等多种语言的系统设置菜单</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10、内置内部通话功能</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11、可接入其它电容麦克风或动圈麦克风，为用户提供更多的选择</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12、具有报警信号输入接口，当公共广播报警系统启动时，可自动暂停会议，并向与会单元发送报警信息</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13、2 路会议单元输出端口</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14、通过连接多台扩展主机，可连接 4096 台发言或者表决单元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15、配合摄像机、视频切换台，使用电脑预设后，可进行摄像自动跟踪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16、具备发言人数限制功能（1/2/3/4），可为发言代表设定发言时间限制（1~240分钟）</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17、具备5种会议模式：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1)、“OPEN”模式，达到开机数量后有请求发言登记功能</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2）、“OVERRIDE”模式，达到开机数量后可将正在发言的话筒越权关闭</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3）、“VOICE”（声控）模式，灵敏度连续可调，自动关闭时间可调，内置“Flash-on”技术，声音启控更快速</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4）、“APPLY”模式，由系统中具有控制功能的主席单元批准或否决代表发言申请</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5）、“PTT” (Push To Talk) 模式， 代表按着话筒开关键开启话筒发言，松开后话筒即关闭</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19、系统主机可设 IP 地址，与控制电脑之间采用先进的 TCP/IP 连接控制方式，可以实现会议系统的远程控制、远程诊断和远程升级</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19、具备双机热备份功能， 可将一台会议控制主机设置为备份主机并连接到系统中，当会议控制主机出现意外时，备份主机会自动启用，保证会议无间断顺利进行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20、具有 USB 接口，可用于系统升级和系统设置参数备份，便于管理</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21、内置会议单元测试功能， 可在会前对各会议单元的麦克风、 按键、扬声器及 LED 指示灯进行检测</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22、系统具有自动修复功能，支持线路的“热插拔”</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23、在 PC 机万一产生故障时， 会议控制主机自动退回到独立控制状态，实现基本的会议管理控制，保证会议的继续进行</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24、具备 2 个 RS-232 接口，分别用于连接中控系统及系统诊断</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25、频率响应：30 ~ 20000 Hz；总谐波失真：&lt;0.05％；动态范围：&gt;94dB；通道隔离度：&gt;85dB；信噪比：&gt;96dBA；</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六、全数字会议主席单元基本要求：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主要技术参数：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1、“环形手拉手”连接技术，一台分机的故障或更换不会影响到系统中其它分机的工作，分机间出现一处连线故障也不会影响到系统工作，从而使系统具有更高可靠性</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2、支持48 kHz 音频采样频率，频率响应均可达30 Hz~20 kHz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3、精致典雅的台面式结构，符合人体工程学，极具现代气息具</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4、采用MCA-STREAM 数字音频处理及传输技术</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cs="宋体"/>
                <w:color w:val="auto"/>
                <w:kern w:val="0"/>
                <w:szCs w:val="21"/>
                <w:highlight w:val="none"/>
              </w:rPr>
            </w:pPr>
            <w:r>
              <w:rPr>
                <w:rFonts w:cs="宋体"/>
                <w:color w:val="auto"/>
                <w:kern w:val="0"/>
                <w:szCs w:val="21"/>
                <w:highlight w:val="none"/>
              </w:rPr>
              <w:t> </w:t>
            </w:r>
            <w:r>
              <w:rPr>
                <w:rFonts w:hint="eastAsia" w:ascii="新宋体" w:hAnsi="新宋体" w:eastAsia="新宋体" w:cs="宋体"/>
                <w:color w:val="auto"/>
                <w:kern w:val="0"/>
                <w:sz w:val="24"/>
                <w:highlight w:val="none"/>
              </w:rPr>
              <w:t>5、全数字音频技术，内置高性能CPU，处理速度更快，音质更佳</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6、可以独立调节增益和均衡（5 段），可针对不同的发言者声音特点调节不同的音量和频响，直至达到完美效果</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7、内置高通滤波器（低切开关），方便在需要时切去声音中的低频成分</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8、系统具有自动修复功能，支持线路的“热插拔”</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9、驻极体心形指向性麦克风，并带有双色开启指示灯圈</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10、全金属方柱形话筒，俯仰角度可调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11、超强抗手机干扰能力</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12、具有话筒开关键</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13、每个会议单元具备全球唯一的ID 号，可方便安装并避免ID 号重复</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14、脱离电脑使用时，作为一套基本的会议系统，可实现以下功能：发言人数限制功能，可以设置同时开启的代表发言单元；具有OPEN/OVERRIDE/VOICE/APPLY/PTT 发言模式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15、配合摄像机、视频切换台，使用电脑预设后，可进行摄像机自动跟踪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16、1个Ø 3.5 mm 的立体声耳机插口可连接耳机，且音量可调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17、主席功能：具备批准发言按键，可批准代表发言请求，按下话筒开关键可直接开关话筒，具有优先权按键，（VIP单元除外），具有批准/否决代表发言请求的功能</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18、频率响应：30 ~ 20000 Hz；总谐波失真：&lt;0.05％；灵敏度：-46 dBV/Pa；</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cs="宋体"/>
                <w:color w:val="auto"/>
                <w:kern w:val="0"/>
                <w:szCs w:val="21"/>
                <w:highlight w:val="none"/>
              </w:rPr>
            </w:pPr>
            <w:r>
              <w:rPr>
                <w:rFonts w:cs="宋体"/>
                <w:color w:val="auto"/>
                <w:kern w:val="0"/>
                <w:szCs w:val="21"/>
                <w:highlight w:val="none"/>
              </w:rPr>
              <w:t>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七、全数字会议代表单元基本要求：</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xml:space="preserve">主要技术参数： </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1、“环形手拉手”连接技术，一台分机的故障或更换不会影响到系统中其它分机的工作，分机间出现一处连线故障也不会影响到系统工作，从而使系统具有更高可靠性</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2、支持48 kHz 音频采样频率，频率响应均可达30 Hz~20 kHz</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3、精致典雅的台面式结构，符合人体工程学，极具现代气息具</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4、采用MCA-STREAM 数字音频处理及传输技术</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cs="宋体"/>
                <w:color w:val="auto"/>
                <w:kern w:val="0"/>
                <w:szCs w:val="21"/>
                <w:highlight w:val="none"/>
              </w:rPr>
            </w:pPr>
            <w:r>
              <w:rPr>
                <w:rFonts w:cs="宋体"/>
                <w:color w:val="auto"/>
                <w:kern w:val="0"/>
                <w:szCs w:val="21"/>
                <w:highlight w:val="none"/>
              </w:rPr>
              <w:t> </w:t>
            </w:r>
            <w:r>
              <w:rPr>
                <w:rFonts w:hint="eastAsia" w:ascii="新宋体" w:hAnsi="新宋体" w:eastAsia="新宋体" w:cs="宋体"/>
                <w:color w:val="auto"/>
                <w:kern w:val="0"/>
                <w:sz w:val="24"/>
                <w:highlight w:val="none"/>
              </w:rPr>
              <w:t>5、全数字音频技术，内置高性能CPU，处理速度更快，音质更佳</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6、可以独立调节增益和均衡（5 段），可针对不同的发言者声音特点调节不同的音量和频响，直至达到完美效果</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7、内置高通滤波器（低切开关），方便在需要时切去声音中的低频成分</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8、系统具有自动修复功能，支持线路的“热插拔”</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9、驻极体心形指向性麦克风，并带有双色开启指示灯圈</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10、全金属方柱形话筒，俯仰角度可调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11、超强抗手机干扰能力</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12、具有话筒开关键</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13、每个会议单元具备全球唯一的ID 号，可方便安装并避免ID 号重复</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14、脱离电脑使用时，作为一套基本的会议系统，可实现以下功能：发言人数限制功能，可以设置同时开启的代表发言单元；具有OPEN/OVERRIDE/VOICE/APPLY/PTT 发言模式</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15、配合摄像机、视频切换台，使用电脑预设后，可进行摄像机自动跟踪</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16、1个Ø 3.5 mm 的立体声耳机插口可连接耳机，且音量可调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17、代表功能：可以通过应用软件将代表单元设置为VIP 单元，最多可以设置32 台VIP 单元</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18、频率响应：30 ~ 20000 Hz；总谐波失真：&lt;0.05％；灵敏度：-46 dBV/Pa；</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000000" w:fill="FFFFFF"/>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八、专用线缆 、地座、机柜、配件等符合国内标准，正规合格厂家生产</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w:t>
            </w: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各管理站综合布线</w:t>
            </w: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包含监控布线，电话语音布线，互联网布线，无线覆盖布线及无线设备安装调试等</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w:t>
            </w:r>
          </w:p>
        </w:tc>
        <w:tc>
          <w:tcPr>
            <w:tcW w:w="234"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光纤设备</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熔纤机：</w:t>
            </w:r>
            <w:r>
              <w:rPr>
                <w:rFonts w:hint="eastAsia" w:ascii="新宋体" w:hAnsi="新宋体" w:eastAsia="新宋体" w:cs="宋体"/>
                <w:b/>
                <w:bCs/>
                <w:color w:val="auto"/>
                <w:kern w:val="0"/>
                <w:sz w:val="24"/>
                <w:highlight w:val="none"/>
              </w:rPr>
              <w:t>至少4马达。工程范围40KM。光纤对准方式：活动V型槽包层对准。适用光纤种类：蝶形/圆形皮线光缆; 2mm/3mm外径尾纤/跳线; 250um裸光纤和600um/900um包覆光纤;隐形光纤。适用光纤类型：SMF(G.652), MMF(G.651), DSF(G.653), NZDSF(G.655), BIF(G.657。包层直径：125</w:t>
            </w:r>
            <w:r>
              <w:rPr>
                <w:rFonts w:hint="eastAsia" w:ascii="MS Gothic" w:hAnsi="MS Gothic" w:eastAsia="MS Gothic" w:cs="MS Gothic"/>
                <w:b/>
                <w:bCs/>
                <w:color w:val="auto"/>
                <w:kern w:val="0"/>
                <w:sz w:val="24"/>
                <w:highlight w:val="none"/>
              </w:rPr>
              <w:t>㎛</w:t>
            </w:r>
            <w:r>
              <w:rPr>
                <w:rFonts w:hint="eastAsia" w:ascii="新宋体" w:hAnsi="新宋体" w:eastAsia="新宋体" w:cs="新宋体"/>
                <w:b/>
                <w:bCs/>
                <w:color w:val="auto"/>
                <w:kern w:val="0"/>
                <w:sz w:val="24"/>
                <w:highlight w:val="none"/>
              </w:rPr>
              <w:t>，除覆层直径：</w:t>
            </w:r>
            <w:r>
              <w:rPr>
                <w:rFonts w:hint="eastAsia" w:ascii="新宋体" w:hAnsi="新宋体" w:eastAsia="新宋体" w:cs="宋体"/>
                <w:b/>
                <w:bCs/>
                <w:color w:val="auto"/>
                <w:kern w:val="0"/>
                <w:sz w:val="24"/>
                <w:highlight w:val="none"/>
              </w:rPr>
              <w:t>100</w:t>
            </w:r>
            <w:r>
              <w:rPr>
                <w:rFonts w:hint="eastAsia" w:ascii="MS Gothic" w:hAnsi="MS Gothic" w:eastAsia="MS Gothic" w:cs="MS Gothic"/>
                <w:b/>
                <w:bCs/>
                <w:color w:val="auto"/>
                <w:kern w:val="0"/>
                <w:sz w:val="24"/>
                <w:highlight w:val="none"/>
              </w:rPr>
              <w:t>㎛</w:t>
            </w:r>
            <w:r>
              <w:rPr>
                <w:rFonts w:hint="eastAsia" w:ascii="新宋体" w:hAnsi="新宋体" w:eastAsia="新宋体" w:cs="新宋体"/>
                <w:b/>
                <w:bCs/>
                <w:color w:val="auto"/>
                <w:kern w:val="0"/>
                <w:sz w:val="24"/>
                <w:highlight w:val="none"/>
              </w:rPr>
              <w:t>至</w:t>
            </w:r>
            <w:r>
              <w:rPr>
                <w:rFonts w:hint="eastAsia" w:ascii="新宋体" w:hAnsi="新宋体" w:eastAsia="新宋体" w:cs="宋体"/>
                <w:b/>
                <w:bCs/>
                <w:color w:val="auto"/>
                <w:kern w:val="0"/>
                <w:sz w:val="24"/>
                <w:highlight w:val="none"/>
              </w:rPr>
              <w:t>3mm (多功能护套压板,无需更换夹具)。光纤切割长度：5-16mm。熔接/加热模式：总共100个熔接模式和30个加热模式。实际平均熔接损耗：0.02 db (SM)， 0.01 db (MM)， 0.04 db (DS)， 0.04 db (NZDS)。熔接时间：SM FAST模式: 6秒, SM AUTO模式: 9秒。回波损耗：&gt;&gt;60dB。加热时间：250</w:t>
            </w:r>
            <w:r>
              <w:rPr>
                <w:rFonts w:hint="eastAsia" w:ascii="MS Gothic" w:hAnsi="MS Gothic" w:eastAsia="MS Gothic" w:cs="MS Gothic"/>
                <w:b/>
                <w:bCs/>
                <w:color w:val="auto"/>
                <w:kern w:val="0"/>
                <w:sz w:val="24"/>
                <w:highlight w:val="none"/>
              </w:rPr>
              <w:t>㎛</w:t>
            </w:r>
            <w:r>
              <w:rPr>
                <w:rFonts w:hint="eastAsia" w:ascii="新宋体" w:hAnsi="新宋体" w:eastAsia="新宋体" w:cs="新宋体"/>
                <w:b/>
                <w:bCs/>
                <w:color w:val="auto"/>
                <w:kern w:val="0"/>
                <w:sz w:val="24"/>
                <w:highlight w:val="none"/>
              </w:rPr>
              <w:t>涂直径</w:t>
            </w:r>
            <w:r>
              <w:rPr>
                <w:rFonts w:hint="eastAsia" w:ascii="新宋体" w:hAnsi="新宋体" w:eastAsia="新宋体" w:cs="宋体"/>
                <w:b/>
                <w:bCs/>
                <w:color w:val="auto"/>
                <w:kern w:val="0"/>
                <w:sz w:val="24"/>
                <w:highlight w:val="none"/>
              </w:rPr>
              <w:t>, FP-03套管: 24秒，250</w:t>
            </w:r>
            <w:r>
              <w:rPr>
                <w:rFonts w:hint="eastAsia" w:ascii="MS Gothic" w:hAnsi="MS Gothic" w:eastAsia="MS Gothic" w:cs="MS Gothic"/>
                <w:b/>
                <w:bCs/>
                <w:color w:val="auto"/>
                <w:kern w:val="0"/>
                <w:sz w:val="24"/>
                <w:highlight w:val="none"/>
              </w:rPr>
              <w:t>㎛</w:t>
            </w:r>
            <w:r>
              <w:rPr>
                <w:rFonts w:hint="eastAsia" w:ascii="新宋体" w:hAnsi="新宋体" w:eastAsia="新宋体" w:cs="新宋体"/>
                <w:b/>
                <w:bCs/>
                <w:color w:val="auto"/>
                <w:kern w:val="0"/>
                <w:sz w:val="24"/>
                <w:highlight w:val="none"/>
              </w:rPr>
              <w:t>涂覆直径</w:t>
            </w:r>
            <w:r>
              <w:rPr>
                <w:rFonts w:hint="eastAsia" w:ascii="新宋体" w:hAnsi="新宋体" w:eastAsia="新宋体" w:cs="宋体"/>
                <w:b/>
                <w:bCs/>
                <w:color w:val="auto"/>
                <w:kern w:val="0"/>
                <w:sz w:val="24"/>
                <w:highlight w:val="none"/>
              </w:rPr>
              <w:t>, slim40mm套管: 16秒。溶接结果存储：10000个最新熔接记录, 100个最新熔接图像。光纤显示和放大倍数：X/Y单独或同时显示; 300倍/200倍。光纤观察方式：双轴观测; 5.0英寸彩色LCD触摸屏。拉力试验：1.96-2.25N</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套</w:t>
            </w: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otdr光纤测试仪：</w:t>
            </w:r>
            <w:r>
              <w:rPr>
                <w:rFonts w:hint="eastAsia" w:ascii="新宋体" w:hAnsi="新宋体" w:eastAsia="新宋体" w:cs="宋体"/>
                <w:b/>
                <w:bCs/>
                <w:color w:val="auto"/>
                <w:kern w:val="0"/>
                <w:sz w:val="24"/>
                <w:highlight w:val="none"/>
              </w:rPr>
              <w:t>检测仪光纤断点寻障仪odtr光缆测试仪otdr光时域反射仪寻故障带光测试ottr查测光纤断点仪器:光纤类型：G.652单模光纤，波长：1310nm/1550nm,最大动态范围：26dB/24dB,事件盲区：2.5m,衰减盲区：8m,测试量程：500m~100km,测试脉宽：3ns~20</w:t>
            </w:r>
            <w:r>
              <w:rPr>
                <w:rFonts w:hint="eastAsia" w:ascii="MS Gothic" w:hAnsi="MS Gothic" w:eastAsia="MS Gothic" w:cs="MS Gothic"/>
                <w:b/>
                <w:bCs/>
                <w:color w:val="auto"/>
                <w:kern w:val="0"/>
                <w:sz w:val="24"/>
                <w:highlight w:val="none"/>
              </w:rPr>
              <w:t>㎛</w:t>
            </w:r>
            <w:r>
              <w:rPr>
                <w:rFonts w:hint="eastAsia" w:ascii="新宋体" w:hAnsi="新宋体" w:eastAsia="新宋体" w:cs="宋体"/>
                <w:b/>
                <w:bCs/>
                <w:color w:val="auto"/>
                <w:kern w:val="0"/>
                <w:sz w:val="24"/>
                <w:highlight w:val="none"/>
              </w:rPr>
              <w:t>,测试精度：正负1m,+取样间隔*测试距离，线性度：≤0.05dB/dB,采样点数：16k~128k,采样分辨率：0.05m~8m,折射率：1.00000~2.00000,反射精度：±3dB,损耗测量模式：4点法/5点法，激光安全等级Class 2级，光连接器：FC/UPC(可互换SC/ST)，实时刷新速率：3Hz(典型值），多任务处理：支持，包含光功率计，红光笔</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8620" w:type="dxa"/>
            <w:gridSpan w:val="6"/>
            <w:tcBorders>
              <w:top w:val="single" w:color="000000" w:sz="8" w:space="0"/>
              <w:left w:val="single" w:color="000000" w:sz="8" w:space="0"/>
              <w:bottom w:val="single" w:color="000000" w:sz="8" w:space="0"/>
              <w:right w:val="single" w:color="000000" w:sz="8" w:space="0"/>
            </w:tcBorders>
            <w:shd w:val="clear" w:color="000000" w:fill="FFFFFF"/>
            <w:noWrap/>
            <w:vAlign w:val="center"/>
          </w:tcPr>
          <w:p>
            <w:pPr>
              <w:widowControl/>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（二）</w:t>
            </w:r>
            <w:r>
              <w:rPr>
                <w:rFonts w:hint="eastAsia" w:ascii="新宋体" w:hAnsi="新宋体" w:eastAsia="新宋体" w:cs="宋体"/>
                <w:b/>
                <w:bCs/>
                <w:color w:val="auto"/>
                <w:kern w:val="0"/>
                <w:sz w:val="24"/>
                <w:highlight w:val="none"/>
              </w:rPr>
              <w:t>科普宣教设施服务</w:t>
            </w:r>
          </w:p>
        </w:tc>
      </w:tr>
      <w:tr>
        <w:tblPrEx>
          <w:tblCellMar>
            <w:top w:w="0" w:type="dxa"/>
            <w:left w:w="108" w:type="dxa"/>
            <w:bottom w:w="0" w:type="dxa"/>
            <w:right w:w="108" w:type="dxa"/>
          </w:tblCellMar>
        </w:tblPrEx>
        <w:trPr>
          <w:trHeight w:val="285" w:hRule="atLeast"/>
        </w:trPr>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w:t>
            </w: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电子沙盘升级</w:t>
            </w: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根据脚本需求及解说词等，拍摄、制作电子沙盘展示脚本，并融合成L幕播放效果。基于三位GIS技术底层架构，集成分辨率立体投影现实技术、裸眼视觉计算技术、沉浸式互动漫游等交等技术，体现整体视效感受。</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w:t>
            </w:r>
          </w:p>
        </w:tc>
        <w:tc>
          <w:tcPr>
            <w:tcW w:w="234"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项</w:t>
            </w: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脚本内容根据需求进行整体或者分屏展现，结合“多视角透视+折面融合技术”，实现墻幕与地幕“双屏合一”的全三维立体展示，达到一种惟妙惟肖、变化多姿的动态视觉效果。内容展示可实现无缝放大缩小，充分展示规划脚本的各个板块和角度。</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在内容变化时，不需对载体进行拆除，只需更新软件即可。预留端口，可随时根据需求进行内容的增补删减，提高展项延伸性。充分利用原有硬件设备以及映像数据。</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脚本：</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1雅长保护区地形地势（45秒）</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2雅长保护区主要兰科植物分布（45秒）</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3雅长保护区特色自然景观分布（45秒）</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4雅长保护区基本概况（50秒）</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nil"/>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nil"/>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5雅长保护区管理站基本概况（30秒）</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r>
        <w:tblPrEx>
          <w:tblCellMar>
            <w:top w:w="0" w:type="dxa"/>
            <w:left w:w="108" w:type="dxa"/>
            <w:bottom w:w="0" w:type="dxa"/>
            <w:right w:w="108" w:type="dxa"/>
          </w:tblCellMar>
        </w:tblPrEx>
        <w:trPr>
          <w:trHeight w:val="300" w:hRule="atLeast"/>
        </w:trPr>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6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　</w:t>
            </w:r>
          </w:p>
        </w:tc>
        <w:tc>
          <w:tcPr>
            <w:tcW w:w="1476"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6181" w:type="dxa"/>
            <w:tcBorders>
              <w:top w:val="nil"/>
              <w:left w:val="nil"/>
              <w:bottom w:val="single" w:color="000000" w:sz="8" w:space="0"/>
              <w:right w:val="single" w:color="000000" w:sz="8" w:space="0"/>
            </w:tcBorders>
            <w:shd w:val="clear" w:color="auto" w:fill="auto"/>
            <w:noWrap/>
            <w:vAlign w:val="center"/>
          </w:tcPr>
          <w:p>
            <w:pPr>
              <w:widowControl/>
              <w:jc w:val="left"/>
              <w:rPr>
                <w:rFonts w:hint="eastAsia"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6雅长保护区辖区及巡护路线（30秒）</w:t>
            </w: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c>
          <w:tcPr>
            <w:tcW w:w="234" w:type="dxa"/>
            <w:vMerge w:val="continue"/>
            <w:tcBorders>
              <w:top w:val="nil"/>
              <w:left w:val="single" w:color="000000" w:sz="8" w:space="0"/>
              <w:bottom w:val="single" w:color="000000" w:sz="8" w:space="0"/>
              <w:right w:val="single" w:color="000000" w:sz="8" w:space="0"/>
            </w:tcBorders>
            <w:vAlign w:val="center"/>
          </w:tcPr>
          <w:p>
            <w:pPr>
              <w:widowControl/>
              <w:jc w:val="left"/>
              <w:rPr>
                <w:rFonts w:ascii="新宋体" w:hAnsi="新宋体" w:eastAsia="新宋体" w:cs="宋体"/>
                <w:color w:val="auto"/>
                <w:kern w:val="0"/>
                <w:sz w:val="24"/>
                <w:highlight w:val="none"/>
              </w:rPr>
            </w:pPr>
          </w:p>
        </w:tc>
      </w:tr>
    </w:tbl>
    <w:p>
      <w:pPr>
        <w:pStyle w:val="2"/>
        <w:spacing w:line="360" w:lineRule="auto"/>
        <w:rPr>
          <w:rFonts w:ascii="宋体" w:hAnsi="宋体" w:cs="宋体"/>
          <w:b/>
          <w:bCs/>
          <w:color w:val="auto"/>
          <w:sz w:val="24"/>
          <w:szCs w:val="24"/>
          <w:highlight w:val="none"/>
        </w:rPr>
        <w:sectPr>
          <w:pgSz w:w="11906" w:h="16838"/>
          <w:pgMar w:top="1440" w:right="1080" w:bottom="1440" w:left="1080" w:header="851" w:footer="992" w:gutter="0"/>
          <w:cols w:space="720" w:num="1"/>
          <w:docGrid w:linePitch="312" w:charSpace="0"/>
        </w:sect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4.2.3投标人针对报价需要说明的其他文件和说明（格式自拟）</w:t>
      </w: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4.2.4 小信封</w:t>
      </w:r>
      <w:r>
        <w:rPr>
          <w:rFonts w:hint="eastAsia" w:ascii="宋体" w:hAnsi="宋体" w:cs="宋体"/>
          <w:bCs/>
          <w:color w:val="auto"/>
          <w:sz w:val="24"/>
          <w:highlight w:val="none"/>
        </w:rPr>
        <w:t>（内装开标一览表、投标保证金银行回执单复印件、投标函）</w:t>
      </w:r>
      <w:r>
        <w:rPr>
          <w:rFonts w:hint="eastAsia" w:ascii="宋体" w:hAnsi="宋体" w:cs="宋体"/>
          <w:b/>
          <w:color w:val="auto"/>
          <w:sz w:val="24"/>
          <w:highlight w:val="none"/>
        </w:rPr>
        <w:t>封面格式（可以手写，密封）：</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b/>
          <w:color w:val="auto"/>
          <w:kern w:val="0"/>
          <w:sz w:val="24"/>
          <w:highlight w:val="none"/>
        </w:rPr>
      </w:pPr>
      <w:r>
        <w:rPr>
          <w:rFonts w:hint="eastAsia" w:ascii="宋体" w:hAnsi="宋体" w:eastAsia="Ђˎ̥" w:cs="宋体"/>
          <w:color w:val="auto"/>
          <w:kern w:val="0"/>
          <w:sz w:val="24"/>
          <w:highlight w:val="none"/>
        </w:rPr>
        <w:t>★</w:t>
      </w:r>
      <w:r>
        <w:rPr>
          <w:rFonts w:hint="eastAsia" w:ascii="宋体" w:hAnsi="宋体" w:cs="宋体"/>
          <w:b/>
          <w:bCs/>
          <w:color w:val="auto"/>
          <w:kern w:val="0"/>
          <w:sz w:val="24"/>
          <w:highlight w:val="none"/>
        </w:rPr>
        <w:t>必须注明投标人名称、投标人地址、投标项目名称、项目编号、</w:t>
      </w:r>
      <w:r>
        <w:rPr>
          <w:rFonts w:ascii="Times New Roman" w:hAnsi="Times New Roman" w:eastAsia="Ђˎ̥"/>
          <w:b/>
          <w:bCs/>
          <w:color w:val="auto"/>
          <w:kern w:val="0"/>
          <w:sz w:val="24"/>
          <w:highlight w:val="none"/>
        </w:rPr>
        <w:t>“</w:t>
      </w:r>
      <w:r>
        <w:rPr>
          <w:rFonts w:hint="eastAsia" w:ascii="宋体" w:hAnsi="宋体" w:cs="宋体"/>
          <w:b/>
          <w:bCs/>
          <w:color w:val="auto"/>
          <w:kern w:val="0"/>
          <w:sz w:val="24"/>
          <w:highlight w:val="none"/>
        </w:rPr>
        <w:t>开标时启封</w:t>
      </w:r>
      <w:r>
        <w:rPr>
          <w:rFonts w:ascii="Times New Roman" w:hAnsi="Times New Roman" w:eastAsia="Ђˎ̥"/>
          <w:b/>
          <w:bCs/>
          <w:color w:val="auto"/>
          <w:kern w:val="0"/>
          <w:sz w:val="24"/>
          <w:highlight w:val="none"/>
        </w:rPr>
        <w:t>”</w:t>
      </w:r>
      <w:r>
        <w:rPr>
          <w:rFonts w:hint="eastAsia" w:ascii="宋体" w:hAnsi="宋体" w:cs="宋体"/>
          <w:b/>
          <w:bCs/>
          <w:color w:val="auto"/>
          <w:kern w:val="0"/>
          <w:sz w:val="24"/>
          <w:highlight w:val="none"/>
        </w:rPr>
        <w:t>字样及</w:t>
      </w:r>
      <w:r>
        <w:rPr>
          <w:rFonts w:hint="eastAsia" w:ascii="宋体" w:hAnsi="宋体" w:cs="宋体"/>
          <w:b/>
          <w:color w:val="auto"/>
          <w:sz w:val="24"/>
          <w:highlight w:val="none"/>
        </w:rPr>
        <w:t>开标一览表、投标函、投标保证金银行回执单复印件”字样</w:t>
      </w:r>
      <w:r>
        <w:rPr>
          <w:rFonts w:hint="eastAsia" w:ascii="宋体" w:hAnsi="宋体" w:cs="宋体"/>
          <w:b/>
          <w:bCs/>
          <w:color w:val="auto"/>
          <w:kern w:val="0"/>
          <w:sz w:val="24"/>
          <w:highlight w:val="none"/>
        </w:rPr>
        <w:t>，并加盖投标人公章。</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4.2.5 开标一览表、投标保证金银行回执单复印件、投标函</w:t>
      </w: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4.2.5-1开标一览表格式</w:t>
      </w:r>
    </w:p>
    <w:p>
      <w:pPr>
        <w:snapToGrid w:val="0"/>
        <w:spacing w:line="360" w:lineRule="auto"/>
        <w:rPr>
          <w:rFonts w:ascii="宋体" w:hAnsi="宋体" w:cs="宋体"/>
          <w:b/>
          <w:color w:val="auto"/>
          <w:szCs w:val="21"/>
          <w:highlight w:val="none"/>
        </w:rPr>
      </w:pP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开标一览表</w:t>
      </w:r>
    </w:p>
    <w:p>
      <w:pPr>
        <w:snapToGrid w:val="0"/>
        <w:spacing w:line="360" w:lineRule="auto"/>
        <w:jc w:val="center"/>
        <w:rPr>
          <w:rFonts w:ascii="宋体" w:hAnsi="宋体" w:cs="宋体"/>
          <w:b/>
          <w:color w:val="auto"/>
          <w:sz w:val="28"/>
          <w:szCs w:val="28"/>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项目名称：项目编号：。</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w:t>
      </w:r>
    </w:p>
    <w:p>
      <w:pPr>
        <w:snapToGrid w:val="0"/>
        <w:spacing w:line="360" w:lineRule="auto"/>
        <w:rPr>
          <w:rFonts w:ascii="宋体" w:hAnsi="宋体" w:cs="宋体"/>
          <w:color w:val="auto"/>
          <w:sz w:val="24"/>
          <w:highlight w:val="none"/>
        </w:rPr>
      </w:pPr>
    </w:p>
    <w:tbl>
      <w:tblPr>
        <w:tblStyle w:val="53"/>
        <w:tblW w:w="57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7" w:hRule="atLeast"/>
          <w:jc w:val="center"/>
        </w:trPr>
        <w:tc>
          <w:tcPr>
            <w:tcW w:w="5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大写：（人民币）小写： ¥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服务期限：                      </w:t>
            </w:r>
          </w:p>
        </w:tc>
      </w:tr>
    </w:tbl>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 1、报价一经涂改，应在涂改处加盖单位公章或者由法定代表人</w:t>
      </w:r>
      <w:r>
        <w:rPr>
          <w:rFonts w:hint="eastAsia" w:hAnsi="宋体"/>
          <w:color w:val="auto"/>
          <w:sz w:val="24"/>
          <w:highlight w:val="none"/>
        </w:rPr>
        <w:t>（或负责人）</w:t>
      </w:r>
      <w:r>
        <w:rPr>
          <w:rFonts w:hint="eastAsia" w:ascii="宋体" w:hAnsi="宋体" w:cs="宋体"/>
          <w:color w:val="auto"/>
          <w:sz w:val="24"/>
          <w:highlight w:val="none"/>
        </w:rPr>
        <w:t>或授权委托人签字或盖章，否则其投标作无效标处理。</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2、以上报价应与“投标报价表”中的“投标总报价”相一致。</w:t>
      </w:r>
    </w:p>
    <w:p>
      <w:pPr>
        <w:snapToGrid w:val="0"/>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3、此表必须与“投标函”、“投标保证金银行回执单复印件”一起单独用一个小信封密封及递交，信封封面请注明项目名称、项目编号、投标人名称、</w:t>
      </w:r>
      <w:r>
        <w:rPr>
          <w:rFonts w:hint="eastAsia" w:ascii="宋体" w:hAnsi="宋体" w:cs="宋体"/>
          <w:b/>
          <w:bCs/>
          <w:color w:val="auto"/>
          <w:kern w:val="0"/>
          <w:sz w:val="24"/>
          <w:highlight w:val="none"/>
        </w:rPr>
        <w:t>投标人地址、</w:t>
      </w:r>
      <w:r>
        <w:rPr>
          <w:rFonts w:hint="eastAsia" w:ascii="宋体" w:hAnsi="宋体" w:cs="宋体"/>
          <w:b/>
          <w:bCs/>
          <w:color w:val="auto"/>
          <w:sz w:val="24"/>
          <w:highlight w:val="none"/>
        </w:rPr>
        <w:t>“开标时启封”字样</w:t>
      </w:r>
      <w:r>
        <w:rPr>
          <w:rFonts w:hint="eastAsia" w:ascii="宋体" w:hAnsi="宋体" w:cs="宋体"/>
          <w:b/>
          <w:color w:val="auto"/>
          <w:sz w:val="24"/>
          <w:highlight w:val="none"/>
        </w:rPr>
        <w:t>及“开标一览表、投标函、投标保证金银行回执单复印件”字样，否则不予接收</w:t>
      </w:r>
      <w:r>
        <w:rPr>
          <w:rFonts w:hint="eastAsia" w:ascii="宋体" w:hAnsi="宋体" w:cs="宋体"/>
          <w:color w:val="auto"/>
          <w:sz w:val="24"/>
          <w:highlight w:val="none"/>
        </w:rPr>
        <w:t>。</w:t>
      </w:r>
    </w:p>
    <w:p>
      <w:pPr>
        <w:snapToGrid w:val="0"/>
        <w:spacing w:line="360" w:lineRule="auto"/>
        <w:ind w:firstLine="240" w:firstLineChars="100"/>
        <w:rPr>
          <w:rFonts w:ascii="宋体" w:hAnsi="宋体" w:cs="宋体"/>
          <w:color w:val="auto"/>
          <w:sz w:val="24"/>
          <w:highlight w:val="none"/>
        </w:rPr>
      </w:pPr>
    </w:p>
    <w:p>
      <w:pPr>
        <w:snapToGrid w:val="0"/>
        <w:spacing w:line="360" w:lineRule="auto"/>
        <w:ind w:left="-2" w:leftChars="-1" w:right="-817" w:rightChars="-389"/>
        <w:rPr>
          <w:rFonts w:ascii="宋体" w:hAnsi="宋体" w:cs="宋体"/>
          <w:color w:val="auto"/>
          <w:sz w:val="24"/>
          <w:highlight w:val="none"/>
        </w:rPr>
      </w:pPr>
    </w:p>
    <w:p>
      <w:pPr>
        <w:snapToGrid w:val="0"/>
        <w:spacing w:line="360" w:lineRule="auto"/>
        <w:ind w:left="-2" w:leftChars="-1" w:right="-817" w:rightChars="-389"/>
        <w:rPr>
          <w:rFonts w:ascii="宋体" w:hAnsi="宋体" w:cs="宋体"/>
          <w:color w:val="auto"/>
          <w:sz w:val="24"/>
          <w:highlight w:val="none"/>
        </w:rPr>
      </w:pPr>
      <w:r>
        <w:rPr>
          <w:rFonts w:hint="eastAsia" w:ascii="宋体" w:cs="宋体"/>
          <w:color w:val="auto"/>
          <w:kern w:val="0"/>
          <w:sz w:val="24"/>
          <w:highlight w:val="none"/>
        </w:rPr>
        <w:t>法定代表人</w:t>
      </w:r>
      <w:r>
        <w:rPr>
          <w:rFonts w:hint="eastAsia" w:hAnsi="宋体"/>
          <w:color w:val="auto"/>
          <w:sz w:val="24"/>
          <w:highlight w:val="none"/>
        </w:rPr>
        <w:t>（或负责人）</w:t>
      </w:r>
      <w:r>
        <w:rPr>
          <w:rFonts w:hint="eastAsia" w:ascii="宋体" w:cs="宋体"/>
          <w:color w:val="auto"/>
          <w:kern w:val="0"/>
          <w:sz w:val="24"/>
          <w:highlight w:val="none"/>
        </w:rPr>
        <w:t>或其委托代理人</w:t>
      </w:r>
      <w:r>
        <w:rPr>
          <w:rFonts w:hint="eastAsia" w:ascii="宋体" w:hAnsi="宋体" w:cs="宋体"/>
          <w:color w:val="auto"/>
          <w:sz w:val="24"/>
          <w:highlight w:val="none"/>
        </w:rPr>
        <w:t>（签字）：</w:t>
      </w:r>
    </w:p>
    <w:p>
      <w:pPr>
        <w:snapToGrid w:val="0"/>
        <w:spacing w:line="360" w:lineRule="auto"/>
        <w:ind w:left="-2" w:leftChars="-1" w:right="-817" w:rightChars="-389"/>
        <w:rPr>
          <w:rFonts w:ascii="宋体" w:hAnsi="宋体" w:cs="宋体"/>
          <w:color w:val="auto"/>
          <w:sz w:val="24"/>
          <w:highlight w:val="none"/>
        </w:rPr>
      </w:pPr>
    </w:p>
    <w:p>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投标人名称（盖章）：</w:t>
      </w:r>
    </w:p>
    <w:p>
      <w:pPr>
        <w:snapToGrid w:val="0"/>
        <w:spacing w:line="360" w:lineRule="auto"/>
        <w:ind w:left="-3" w:leftChars="-15" w:right="-817" w:rightChars="-389" w:hanging="28" w:hangingChars="12"/>
        <w:rPr>
          <w:rFonts w:ascii="宋体" w:hAnsi="宋体" w:cs="宋体"/>
          <w:color w:val="auto"/>
          <w:sz w:val="24"/>
          <w:highlight w:val="none"/>
        </w:rPr>
      </w:pPr>
    </w:p>
    <w:p>
      <w:pPr>
        <w:snapToGrid w:val="0"/>
        <w:spacing w:line="360" w:lineRule="auto"/>
        <w:ind w:right="-817" w:rightChars="-389"/>
        <w:rPr>
          <w:rFonts w:ascii="宋体" w:hAnsi="宋体" w:cs="宋体"/>
          <w:color w:val="auto"/>
          <w:sz w:val="24"/>
          <w:highlight w:val="none"/>
        </w:rPr>
      </w:pPr>
      <w:r>
        <w:rPr>
          <w:rFonts w:hint="eastAsia" w:ascii="宋体" w:hAnsi="宋体" w:cs="宋体"/>
          <w:color w:val="auto"/>
          <w:sz w:val="24"/>
          <w:highlight w:val="none"/>
        </w:rPr>
        <w:t>日期：年月日</w:t>
      </w:r>
    </w:p>
    <w:p>
      <w:pPr>
        <w:snapToGrid w:val="0"/>
        <w:spacing w:line="360" w:lineRule="auto"/>
        <w:ind w:left="-3" w:leftChars="-15" w:right="-817" w:rightChars="-389" w:hanging="28" w:hangingChars="12"/>
        <w:rPr>
          <w:rFonts w:ascii="宋体" w:hAnsi="宋体" w:cs="宋体"/>
          <w:color w:val="auto"/>
          <w:sz w:val="24"/>
          <w:highlight w:val="none"/>
        </w:rPr>
      </w:pPr>
    </w:p>
    <w:p>
      <w:pPr>
        <w:snapToGrid w:val="0"/>
        <w:spacing w:line="360" w:lineRule="auto"/>
        <w:jc w:val="center"/>
        <w:rPr>
          <w:rFonts w:ascii="宋体" w:hAnsi="宋体" w:cs="宋体"/>
          <w:b/>
          <w:color w:val="auto"/>
          <w:sz w:val="24"/>
          <w:highlight w:val="none"/>
        </w:rPr>
      </w:pPr>
    </w:p>
    <w:p>
      <w:pPr>
        <w:snapToGrid w:val="0"/>
        <w:spacing w:line="360" w:lineRule="auto"/>
        <w:jc w:val="center"/>
        <w:rPr>
          <w:rFonts w:ascii="宋体" w:hAnsi="宋体" w:cs="宋体"/>
          <w:b/>
          <w:color w:val="auto"/>
          <w:sz w:val="24"/>
          <w:highlight w:val="none"/>
        </w:rPr>
      </w:pPr>
    </w:p>
    <w:p>
      <w:pPr>
        <w:snapToGrid w:val="0"/>
        <w:spacing w:line="360" w:lineRule="auto"/>
        <w:jc w:val="center"/>
        <w:rPr>
          <w:rFonts w:ascii="宋体" w:hAnsi="宋体" w:cs="宋体"/>
          <w:b/>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4.2.5-2 投标保证金银行回执单复印件</w:t>
      </w: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4.2.5-3投标函（格式略，格式与第4.2.1条相同）</w:t>
      </w:r>
    </w:p>
    <w:p>
      <w:pPr>
        <w:snapToGrid w:val="0"/>
        <w:spacing w:line="360" w:lineRule="auto"/>
        <w:rPr>
          <w:rFonts w:ascii="宋体" w:hAnsi="宋体"/>
          <w:b/>
          <w:color w:val="auto"/>
          <w:sz w:val="24"/>
          <w:highlight w:val="none"/>
        </w:rPr>
      </w:pPr>
    </w:p>
    <w:p>
      <w:pPr>
        <w:pStyle w:val="49"/>
        <w:snapToGrid w:val="0"/>
        <w:spacing w:line="360" w:lineRule="auto"/>
        <w:jc w:val="both"/>
        <w:rPr>
          <w:rFonts w:ascii="宋体" w:hAnsi="宋体" w:cs="宋体"/>
          <w:b w:val="0"/>
          <w:color w:val="auto"/>
          <w:sz w:val="28"/>
          <w:szCs w:val="28"/>
          <w:highlight w:val="none"/>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幼圆">
    <w:altName w:val="宋体"/>
    <w:panose1 w:val="02010509060101010101"/>
    <w:charset w:val="86"/>
    <w:family w:val="modern"/>
    <w:pitch w:val="default"/>
    <w:sig w:usb0="00000000" w:usb1="00000000" w:usb2="00000000" w:usb3="00000000" w:csb0="00040000" w:csb1="00000000"/>
  </w:font>
  <w:font w:name="Romantic">
    <w:altName w:val="Segoe Print"/>
    <w:panose1 w:val="00000000000000000000"/>
    <w:charset w:val="02"/>
    <w:family w:val="auto"/>
    <w:pitch w:val="default"/>
    <w:sig w:usb0="00000000" w:usb1="00000000" w:usb2="00000000" w:usb3="00000000" w:csb0="80000000" w:csb1="00000000"/>
  </w:font>
  <w:font w:name="Adobe 黑体 Std R">
    <w:altName w:val="黑体"/>
    <w:panose1 w:val="00000000000000000000"/>
    <w:charset w:val="86"/>
    <w:family w:val="swiss"/>
    <w:pitch w:val="default"/>
    <w:sig w:usb0="00000000" w:usb1="00000000" w:usb2="00000016" w:usb3="00000000" w:csb0="00060007" w:csb1="00000000"/>
  </w:font>
  <w:font w:name="Microsoft YaHei UI">
    <w:panose1 w:val="020B0503020204020204"/>
    <w:charset w:val="86"/>
    <w:family w:val="swiss"/>
    <w:pitch w:val="default"/>
    <w:sig w:usb0="80000287" w:usb1="2ACF3C50" w:usb2="00000016" w:usb3="00000000" w:csb0="0004001F" w:csb1="00000000"/>
  </w:font>
  <w:font w:name="Arial Bold">
    <w:altName w:val="Arial"/>
    <w:panose1 w:val="020B0704020202020204"/>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tabs>
        <w:tab w:val="left" w:pos="6015"/>
      </w:tabs>
      <w:wordWrap w:val="0"/>
      <w:jc w:val="both"/>
      <w:rPr>
        <w:rStyle w:val="62"/>
        <w:rFonts w:eastAsia="Times New Roman"/>
        <w:szCs w:val="21"/>
      </w:rPr>
    </w:pPr>
    <w:r>
      <w:rPr>
        <w:rFonts w:hint="eastAsia" w:ascii="宋体" w:hAnsi="宋体" w:cs="宋体"/>
        <w:bCs/>
        <w:szCs w:val="21"/>
      </w:rPr>
      <w:t xml:space="preserve"> -KLZB</w:t>
    </w:r>
    <w:r>
      <w:rPr>
        <w:rFonts w:hint="eastAsia" w:ascii="宋体" w:hAnsi="宋体" w:eastAsia="宋体"/>
      </w:rPr>
      <w:t>）</w:t>
    </w:r>
  </w:p>
  <w:p/>
  <w:p>
    <w:pPr>
      <w:pStyle w:val="2"/>
      <w:framePr w:wrap="around" w:vAnchor="text" w:hAnchor="margin" w:xAlign="center" w:y="1"/>
      <w:rPr>
        <w:rStyle w:val="59"/>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9"/>
      </w:rPr>
    </w:pPr>
  </w:p>
  <w:p>
    <w:pPr>
      <w:pStyle w:val="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9"/>
      </w:rPr>
    </w:pPr>
    <w:r>
      <w:fldChar w:fldCharType="begin"/>
    </w:r>
    <w:r>
      <w:rPr>
        <w:rStyle w:val="59"/>
      </w:rPr>
      <w:instrText xml:space="preserve">PAGE  </w:instrText>
    </w:r>
    <w:r>
      <w:fldChar w:fldCharType="separate"/>
    </w:r>
    <w:r>
      <w:rPr>
        <w:rStyle w:val="59"/>
      </w:rPr>
      <w:t>0</w:t>
    </w:r>
    <w:r>
      <w:fldChar w:fldCharType="end"/>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9"/>
      </w:rPr>
    </w:pPr>
  </w:p>
  <w:p>
    <w:pPr>
      <w:pStyle w:val="2"/>
      <w:ind w:right="360"/>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9"/>
      </w:rPr>
    </w:pPr>
    <w:r>
      <w:fldChar w:fldCharType="begin"/>
    </w:r>
    <w:r>
      <w:rPr>
        <w:rStyle w:val="59"/>
      </w:rPr>
      <w:instrText xml:space="preserve">PAGE  </w:instrText>
    </w:r>
    <w:r>
      <w:fldChar w:fldCharType="separate"/>
    </w:r>
    <w:r>
      <w:rPr>
        <w:rStyle w:val="59"/>
      </w:rPr>
      <w:t>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tabs>
        <w:tab w:val="left" w:pos="6015"/>
      </w:tabs>
      <w:jc w:val="left"/>
      <w:rPr>
        <w:rFonts w:hint="eastAsia" w:eastAsia="宋体"/>
        <w:sz w:val="22"/>
        <w:szCs w:val="22"/>
        <w:lang w:eastAsia="zh-CN"/>
      </w:rPr>
    </w:pPr>
    <w:r>
      <w:rPr>
        <w:rFonts w:hint="eastAsia" w:ascii="宋体" w:hAnsi="宋体" w:eastAsia="宋体" w:cs="宋体"/>
        <w:sz w:val="22"/>
        <w:szCs w:val="22"/>
      </w:rPr>
      <w:t>项目名称：</w:t>
    </w:r>
    <w:r>
      <w:rPr>
        <w:rFonts w:hint="eastAsia" w:ascii="宋体" w:hAnsi="宋体" w:eastAsia="宋体" w:cs="宋体"/>
        <w:sz w:val="22"/>
        <w:szCs w:val="22"/>
        <w:lang w:eastAsia="zh-CN"/>
      </w:rPr>
      <w:t>广西雅长兰科植物国家级自然保护区智慧管理平台建设（监测与宣教二期）项目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tabs>
        <w:tab w:val="left" w:pos="6015"/>
      </w:tabs>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9A827"/>
    <w:multiLevelType w:val="singleLevel"/>
    <w:tmpl w:val="85F9A827"/>
    <w:lvl w:ilvl="0" w:tentative="0">
      <w:start w:val="3"/>
      <w:numFmt w:val="decimal"/>
      <w:suff w:val="nothing"/>
      <w:lvlText w:val="%1、"/>
      <w:lvlJc w:val="left"/>
    </w:lvl>
  </w:abstractNum>
  <w:abstractNum w:abstractNumId="1">
    <w:nsid w:val="EF1B0B7B"/>
    <w:multiLevelType w:val="multilevel"/>
    <w:tmpl w:val="EF1B0B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15BF7A6"/>
    <w:multiLevelType w:val="singleLevel"/>
    <w:tmpl w:val="F15BF7A6"/>
    <w:lvl w:ilvl="0" w:tentative="0">
      <w:start w:val="1"/>
      <w:numFmt w:val="decimal"/>
      <w:suff w:val="nothing"/>
      <w:lvlText w:val="%1、"/>
      <w:lvlJc w:val="left"/>
    </w:lvl>
  </w:abstractNum>
  <w:abstractNum w:abstractNumId="3">
    <w:nsid w:val="F21F5903"/>
    <w:multiLevelType w:val="singleLevel"/>
    <w:tmpl w:val="F21F5903"/>
    <w:lvl w:ilvl="0" w:tentative="0">
      <w:start w:val="6"/>
      <w:numFmt w:val="chineseCounting"/>
      <w:suff w:val="nothing"/>
      <w:lvlText w:val="%1、"/>
      <w:lvlJc w:val="left"/>
      <w:rPr>
        <w:rFonts w:hint="eastAsia"/>
      </w:rPr>
    </w:lvl>
  </w:abstractNum>
  <w:abstractNum w:abstractNumId="4">
    <w:nsid w:val="F44AC9EE"/>
    <w:multiLevelType w:val="singleLevel"/>
    <w:tmpl w:val="F44AC9EE"/>
    <w:lvl w:ilvl="0" w:tentative="0">
      <w:start w:val="3"/>
      <w:numFmt w:val="decimal"/>
      <w:suff w:val="space"/>
      <w:lvlText w:val="%1."/>
      <w:lvlJc w:val="left"/>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C"/>
    <w:multiLevelType w:val="multilevel"/>
    <w:tmpl w:val="0000000C"/>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2C61255"/>
    <w:multiLevelType w:val="multilevel"/>
    <w:tmpl w:val="02C612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CC6F9B"/>
    <w:multiLevelType w:val="multilevel"/>
    <w:tmpl w:val="06CC6F9B"/>
    <w:lvl w:ilvl="0" w:tentative="0">
      <w:start w:val="1"/>
      <w:numFmt w:val="decimal"/>
      <w:lvlText w:val="%1"/>
      <w:lvlJc w:val="left"/>
      <w:pPr>
        <w:ind w:left="432" w:hanging="432"/>
      </w:pPr>
      <w:rPr>
        <w:rFonts w:cs="Times New Roman"/>
        <w:sz w:val="32"/>
        <w:szCs w:val="32"/>
      </w:rPr>
    </w:lvl>
    <w:lvl w:ilvl="1" w:tentative="0">
      <w:start w:val="1"/>
      <w:numFmt w:val="decimal"/>
      <w:lvlText w:val="%1.%2"/>
      <w:lvlJc w:val="left"/>
      <w:pPr>
        <w:ind w:left="860" w:hanging="576"/>
      </w:pPr>
      <w:rPr>
        <w:rFonts w:hint="default" w:ascii="Times New Roman" w:hAnsi="Times New Roman" w:cs="Times New Roman"/>
      </w:rPr>
    </w:lvl>
    <w:lvl w:ilvl="2" w:tentative="0">
      <w:start w:val="1"/>
      <w:numFmt w:val="decimal"/>
      <w:pStyle w:val="607"/>
      <w:lvlText w:val="（%3）"/>
      <w:lvlJc w:val="left"/>
      <w:pPr>
        <w:ind w:left="4264" w:hanging="720"/>
      </w:pPr>
      <w:rPr>
        <w:rFonts w:hint="eastAsia"/>
        <w:b/>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3132" w:hanging="864"/>
      </w:pPr>
      <w:rPr>
        <w:rFonts w:hint="default" w:ascii="Times New Roman" w:hAnsi="Times New Roman"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9">
    <w:nsid w:val="10F407A4"/>
    <w:multiLevelType w:val="multilevel"/>
    <w:tmpl w:val="10F40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A434D3"/>
    <w:multiLevelType w:val="multilevel"/>
    <w:tmpl w:val="1AA434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4324E9"/>
    <w:multiLevelType w:val="multilevel"/>
    <w:tmpl w:val="1E4324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20B291D"/>
    <w:multiLevelType w:val="multilevel"/>
    <w:tmpl w:val="220B291D"/>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2F3020D"/>
    <w:multiLevelType w:val="multilevel"/>
    <w:tmpl w:val="22F3020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345F42"/>
    <w:multiLevelType w:val="multilevel"/>
    <w:tmpl w:val="29345F4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FC72E2B"/>
    <w:multiLevelType w:val="multilevel"/>
    <w:tmpl w:val="2FC72E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33BEA67"/>
    <w:multiLevelType w:val="multilevel"/>
    <w:tmpl w:val="333BEA67"/>
    <w:lvl w:ilvl="0" w:tentative="0">
      <w:start w:val="1"/>
      <w:numFmt w:val="decimal"/>
      <w:lvlText w:val="%1."/>
      <w:lvlJc w:val="left"/>
      <w:pPr>
        <w:ind w:left="420" w:hanging="42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3E950F65"/>
    <w:multiLevelType w:val="multilevel"/>
    <w:tmpl w:val="3E950F6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40DD19F1"/>
    <w:multiLevelType w:val="multilevel"/>
    <w:tmpl w:val="40DD19F1"/>
    <w:lvl w:ilvl="0" w:tentative="0">
      <w:start w:val="1"/>
      <w:numFmt w:val="chineseCountingThousand"/>
      <w:pStyle w:val="520"/>
      <w:lvlText w:val="%1、"/>
      <w:lvlJc w:val="left"/>
      <w:pPr>
        <w:ind w:left="420" w:hanging="420"/>
      </w:pPr>
      <w:rPr>
        <w:rFonts w:hint="default" w:asciiTheme="minorHAnsi" w:hAnsiTheme="minorHAnsi" w:eastAsiaTheme="minorEastAsia"/>
        <w:snapToGrid w:val="0"/>
        <w:spacing w:val="0"/>
        <w:w w:val="10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17855C6"/>
    <w:multiLevelType w:val="multilevel"/>
    <w:tmpl w:val="417855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380109E"/>
    <w:multiLevelType w:val="multilevel"/>
    <w:tmpl w:val="538010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6F44B8"/>
    <w:multiLevelType w:val="multilevel"/>
    <w:tmpl w:val="596F44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B9F8AE"/>
    <w:multiLevelType w:val="singleLevel"/>
    <w:tmpl w:val="59B9F8AE"/>
    <w:lvl w:ilvl="0" w:tentative="0">
      <w:start w:val="1"/>
      <w:numFmt w:val="decimal"/>
      <w:suff w:val="space"/>
      <w:lvlText w:val="%1."/>
      <w:lvlJc w:val="left"/>
    </w:lvl>
  </w:abstractNum>
  <w:abstractNum w:abstractNumId="23">
    <w:nsid w:val="5A06ACEB"/>
    <w:multiLevelType w:val="singleLevel"/>
    <w:tmpl w:val="5A06ACEB"/>
    <w:lvl w:ilvl="0" w:tentative="0">
      <w:start w:val="1"/>
      <w:numFmt w:val="decimal"/>
      <w:suff w:val="nothing"/>
      <w:lvlText w:val="%1、"/>
      <w:lvlJc w:val="left"/>
    </w:lvl>
  </w:abstractNum>
  <w:abstractNum w:abstractNumId="24">
    <w:nsid w:val="5B261AF7"/>
    <w:multiLevelType w:val="multilevel"/>
    <w:tmpl w:val="5B261A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DE979C8"/>
    <w:multiLevelType w:val="multilevel"/>
    <w:tmpl w:val="5DE979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FF172E4"/>
    <w:multiLevelType w:val="multilevel"/>
    <w:tmpl w:val="5FF172E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058665A"/>
    <w:multiLevelType w:val="multilevel"/>
    <w:tmpl w:val="605866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2872B0B"/>
    <w:multiLevelType w:val="multilevel"/>
    <w:tmpl w:val="62872B0B"/>
    <w:lvl w:ilvl="0" w:tentative="0">
      <w:start w:val="1"/>
      <w:numFmt w:val="decimal"/>
      <w:pStyle w:val="513"/>
      <w:lvlText w:val="%1"/>
      <w:lvlJc w:val="left"/>
      <w:pPr>
        <w:ind w:left="425" w:hanging="425"/>
      </w:pPr>
    </w:lvl>
    <w:lvl w:ilvl="1" w:tentative="0">
      <w:start w:val="1"/>
      <w:numFmt w:val="decimal"/>
      <w:lvlText w:val="%1.%2"/>
      <w:lvlJc w:val="left"/>
      <w:pPr>
        <w:ind w:left="992" w:hanging="567"/>
      </w:pPr>
    </w:lvl>
    <w:lvl w:ilvl="2" w:tentative="0">
      <w:start w:val="1"/>
      <w:numFmt w:val="decimal"/>
      <w:pStyle w:val="514"/>
      <w:lvlText w:val="%1.%2.%3"/>
      <w:lvlJc w:val="left"/>
      <w:pPr>
        <w:ind w:left="1419" w:hanging="567"/>
      </w:pPr>
    </w:lvl>
    <w:lvl w:ilvl="3" w:tentative="0">
      <w:start w:val="1"/>
      <w:numFmt w:val="decimal"/>
      <w:lvlText w:val="%1.%2.%3.%4"/>
      <w:lvlJc w:val="left"/>
      <w:pPr>
        <w:ind w:left="1984" w:hanging="708"/>
      </w:pPr>
      <w:rPr>
        <w:rFonts w:hint="default" w:ascii="Calibri" w:hAnsi="Calibri" w:cs="Calibri"/>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64F1448B"/>
    <w:multiLevelType w:val="multilevel"/>
    <w:tmpl w:val="64F144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682A85"/>
    <w:multiLevelType w:val="multilevel"/>
    <w:tmpl w:val="6C682A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C87D25"/>
    <w:multiLevelType w:val="multilevel"/>
    <w:tmpl w:val="6CC8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8"/>
  </w:num>
  <w:num w:numId="2">
    <w:abstractNumId w:val="18"/>
  </w:num>
  <w:num w:numId="3">
    <w:abstractNumId w:val="8"/>
  </w:num>
  <w:num w:numId="4">
    <w:abstractNumId w:val="3"/>
  </w:num>
  <w:num w:numId="5">
    <w:abstractNumId w:val="0"/>
  </w:num>
  <w:num w:numId="6">
    <w:abstractNumId w:val="2"/>
  </w:num>
  <w:num w:numId="7">
    <w:abstractNumId w:val="15"/>
  </w:num>
  <w:num w:numId="8">
    <w:abstractNumId w:val="24"/>
  </w:num>
  <w:num w:numId="9">
    <w:abstractNumId w:val="26"/>
  </w:num>
  <w:num w:numId="10">
    <w:abstractNumId w:val="25"/>
  </w:num>
  <w:num w:numId="11">
    <w:abstractNumId w:val="21"/>
  </w:num>
  <w:num w:numId="12">
    <w:abstractNumId w:val="7"/>
  </w:num>
  <w:num w:numId="13">
    <w:abstractNumId w:val="14"/>
  </w:num>
  <w:num w:numId="14">
    <w:abstractNumId w:val="29"/>
  </w:num>
  <w:num w:numId="15">
    <w:abstractNumId w:val="27"/>
  </w:num>
  <w:num w:numId="16">
    <w:abstractNumId w:val="9"/>
  </w:num>
  <w:num w:numId="17">
    <w:abstractNumId w:val="30"/>
  </w:num>
  <w:num w:numId="18">
    <w:abstractNumId w:val="19"/>
  </w:num>
  <w:num w:numId="19">
    <w:abstractNumId w:val="12"/>
  </w:num>
  <w:num w:numId="20">
    <w:abstractNumId w:val="11"/>
  </w:num>
  <w:num w:numId="21">
    <w:abstractNumId w:val="10"/>
  </w:num>
  <w:num w:numId="22">
    <w:abstractNumId w:val="13"/>
  </w:num>
  <w:num w:numId="23">
    <w:abstractNumId w:val="17"/>
  </w:num>
  <w:num w:numId="24">
    <w:abstractNumId w:val="20"/>
  </w:num>
  <w:num w:numId="25">
    <w:abstractNumId w:val="1"/>
  </w:num>
  <w:num w:numId="26">
    <w:abstractNumId w:val="31"/>
  </w:num>
  <w:num w:numId="27">
    <w:abstractNumId w:val="16"/>
  </w:num>
  <w:num w:numId="28">
    <w:abstractNumId w:val="23"/>
  </w:num>
  <w:num w:numId="29">
    <w:abstractNumId w:val="4"/>
  </w:num>
  <w:num w:numId="30">
    <w:abstractNumId w:val="22"/>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dit="readOnly" w:enforcement="1" w:cryptProviderType="rsaFull" w:cryptAlgorithmClass="hash" w:cryptAlgorithmType="typeAny" w:cryptAlgorithmSid="4" w:cryptSpinCount="0" w:hash="OL04qn0d38f2hAQngBdiz01OUgs=" w:salt="3D8CZd2VHdBgH5+2ih5kVA=="/>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D9"/>
    <w:rsid w:val="00002086"/>
    <w:rsid w:val="00002156"/>
    <w:rsid w:val="00002985"/>
    <w:rsid w:val="000030E2"/>
    <w:rsid w:val="00003273"/>
    <w:rsid w:val="000037DB"/>
    <w:rsid w:val="0000410A"/>
    <w:rsid w:val="00004D9B"/>
    <w:rsid w:val="0000503E"/>
    <w:rsid w:val="00005D77"/>
    <w:rsid w:val="00006145"/>
    <w:rsid w:val="000069FC"/>
    <w:rsid w:val="00006BD9"/>
    <w:rsid w:val="00006C89"/>
    <w:rsid w:val="00006DBC"/>
    <w:rsid w:val="000077E4"/>
    <w:rsid w:val="00007B86"/>
    <w:rsid w:val="000138E0"/>
    <w:rsid w:val="000149FB"/>
    <w:rsid w:val="00015368"/>
    <w:rsid w:val="0001541A"/>
    <w:rsid w:val="00015777"/>
    <w:rsid w:val="00015870"/>
    <w:rsid w:val="000159CB"/>
    <w:rsid w:val="000174E2"/>
    <w:rsid w:val="000204E8"/>
    <w:rsid w:val="00020F73"/>
    <w:rsid w:val="00021FF7"/>
    <w:rsid w:val="0002267D"/>
    <w:rsid w:val="00022721"/>
    <w:rsid w:val="00023008"/>
    <w:rsid w:val="00024A0A"/>
    <w:rsid w:val="00024C96"/>
    <w:rsid w:val="00025178"/>
    <w:rsid w:val="0002594D"/>
    <w:rsid w:val="00025F4C"/>
    <w:rsid w:val="000267B9"/>
    <w:rsid w:val="00027544"/>
    <w:rsid w:val="00027C16"/>
    <w:rsid w:val="00031C82"/>
    <w:rsid w:val="00032524"/>
    <w:rsid w:val="00033D9F"/>
    <w:rsid w:val="000347F9"/>
    <w:rsid w:val="00036324"/>
    <w:rsid w:val="0003640C"/>
    <w:rsid w:val="00036B5B"/>
    <w:rsid w:val="00037131"/>
    <w:rsid w:val="000409AD"/>
    <w:rsid w:val="00040FA9"/>
    <w:rsid w:val="000416F6"/>
    <w:rsid w:val="00041B29"/>
    <w:rsid w:val="000423CD"/>
    <w:rsid w:val="00042690"/>
    <w:rsid w:val="000433C6"/>
    <w:rsid w:val="000447D7"/>
    <w:rsid w:val="00046891"/>
    <w:rsid w:val="000468BF"/>
    <w:rsid w:val="00046A54"/>
    <w:rsid w:val="00046CC5"/>
    <w:rsid w:val="00047534"/>
    <w:rsid w:val="00047C5E"/>
    <w:rsid w:val="000505B7"/>
    <w:rsid w:val="00052401"/>
    <w:rsid w:val="0005263F"/>
    <w:rsid w:val="00053041"/>
    <w:rsid w:val="000539BB"/>
    <w:rsid w:val="000541BA"/>
    <w:rsid w:val="000556CC"/>
    <w:rsid w:val="0005607C"/>
    <w:rsid w:val="000563AF"/>
    <w:rsid w:val="00056AA5"/>
    <w:rsid w:val="00057A5D"/>
    <w:rsid w:val="0006066C"/>
    <w:rsid w:val="00060BB8"/>
    <w:rsid w:val="00060FC1"/>
    <w:rsid w:val="00061009"/>
    <w:rsid w:val="0006106C"/>
    <w:rsid w:val="00061625"/>
    <w:rsid w:val="00061AFC"/>
    <w:rsid w:val="00061F21"/>
    <w:rsid w:val="00062997"/>
    <w:rsid w:val="00063A2C"/>
    <w:rsid w:val="000647BB"/>
    <w:rsid w:val="000657B5"/>
    <w:rsid w:val="00065C5A"/>
    <w:rsid w:val="00065CF2"/>
    <w:rsid w:val="00070389"/>
    <w:rsid w:val="000731C9"/>
    <w:rsid w:val="00073A19"/>
    <w:rsid w:val="0007475B"/>
    <w:rsid w:val="00077E16"/>
    <w:rsid w:val="00080422"/>
    <w:rsid w:val="00080444"/>
    <w:rsid w:val="000816FE"/>
    <w:rsid w:val="0008210E"/>
    <w:rsid w:val="0008466A"/>
    <w:rsid w:val="00084DC2"/>
    <w:rsid w:val="00085695"/>
    <w:rsid w:val="0008594C"/>
    <w:rsid w:val="00086842"/>
    <w:rsid w:val="00087535"/>
    <w:rsid w:val="000878D3"/>
    <w:rsid w:val="000912F5"/>
    <w:rsid w:val="00091869"/>
    <w:rsid w:val="00092135"/>
    <w:rsid w:val="000938D1"/>
    <w:rsid w:val="00094E94"/>
    <w:rsid w:val="00095049"/>
    <w:rsid w:val="0009575B"/>
    <w:rsid w:val="00096627"/>
    <w:rsid w:val="00096A28"/>
    <w:rsid w:val="000978E3"/>
    <w:rsid w:val="000A0620"/>
    <w:rsid w:val="000A096A"/>
    <w:rsid w:val="000A0A30"/>
    <w:rsid w:val="000A35AD"/>
    <w:rsid w:val="000A5775"/>
    <w:rsid w:val="000A5D65"/>
    <w:rsid w:val="000A6651"/>
    <w:rsid w:val="000A6C64"/>
    <w:rsid w:val="000B0964"/>
    <w:rsid w:val="000B24C1"/>
    <w:rsid w:val="000B2BD5"/>
    <w:rsid w:val="000B3090"/>
    <w:rsid w:val="000B35B4"/>
    <w:rsid w:val="000B36DA"/>
    <w:rsid w:val="000B43C4"/>
    <w:rsid w:val="000B4460"/>
    <w:rsid w:val="000B6082"/>
    <w:rsid w:val="000B61F9"/>
    <w:rsid w:val="000C046B"/>
    <w:rsid w:val="000C2800"/>
    <w:rsid w:val="000C4002"/>
    <w:rsid w:val="000C460E"/>
    <w:rsid w:val="000C77B5"/>
    <w:rsid w:val="000D01F3"/>
    <w:rsid w:val="000D05F7"/>
    <w:rsid w:val="000D0ABE"/>
    <w:rsid w:val="000D34D6"/>
    <w:rsid w:val="000D4A2A"/>
    <w:rsid w:val="000D4D73"/>
    <w:rsid w:val="000D58A0"/>
    <w:rsid w:val="000D5959"/>
    <w:rsid w:val="000D5E07"/>
    <w:rsid w:val="000D74D2"/>
    <w:rsid w:val="000D78E3"/>
    <w:rsid w:val="000D7DE5"/>
    <w:rsid w:val="000E00E4"/>
    <w:rsid w:val="000E013A"/>
    <w:rsid w:val="000E08E4"/>
    <w:rsid w:val="000E0A30"/>
    <w:rsid w:val="000E12F0"/>
    <w:rsid w:val="000E189E"/>
    <w:rsid w:val="000E2552"/>
    <w:rsid w:val="000E3209"/>
    <w:rsid w:val="000E367A"/>
    <w:rsid w:val="000E4281"/>
    <w:rsid w:val="000E4507"/>
    <w:rsid w:val="000E4674"/>
    <w:rsid w:val="000E542F"/>
    <w:rsid w:val="000E6377"/>
    <w:rsid w:val="000E6469"/>
    <w:rsid w:val="000F000C"/>
    <w:rsid w:val="000F091E"/>
    <w:rsid w:val="000F36F2"/>
    <w:rsid w:val="000F4282"/>
    <w:rsid w:val="000F4783"/>
    <w:rsid w:val="000F7D03"/>
    <w:rsid w:val="00100508"/>
    <w:rsid w:val="00101EB2"/>
    <w:rsid w:val="00101EE2"/>
    <w:rsid w:val="0010217E"/>
    <w:rsid w:val="0010366C"/>
    <w:rsid w:val="00103706"/>
    <w:rsid w:val="001039E8"/>
    <w:rsid w:val="001040F8"/>
    <w:rsid w:val="00104514"/>
    <w:rsid w:val="00105BBE"/>
    <w:rsid w:val="00106747"/>
    <w:rsid w:val="00110C68"/>
    <w:rsid w:val="00111703"/>
    <w:rsid w:val="00111F27"/>
    <w:rsid w:val="00112CF8"/>
    <w:rsid w:val="00112E16"/>
    <w:rsid w:val="0011358E"/>
    <w:rsid w:val="00114D34"/>
    <w:rsid w:val="00115FA9"/>
    <w:rsid w:val="001163AA"/>
    <w:rsid w:val="0012049D"/>
    <w:rsid w:val="001216CD"/>
    <w:rsid w:val="001218DD"/>
    <w:rsid w:val="00122064"/>
    <w:rsid w:val="0012256E"/>
    <w:rsid w:val="00122D03"/>
    <w:rsid w:val="0012761B"/>
    <w:rsid w:val="00127DBD"/>
    <w:rsid w:val="001303E7"/>
    <w:rsid w:val="0013085D"/>
    <w:rsid w:val="00131B6E"/>
    <w:rsid w:val="00132184"/>
    <w:rsid w:val="00133538"/>
    <w:rsid w:val="00134888"/>
    <w:rsid w:val="0013567C"/>
    <w:rsid w:val="001369E4"/>
    <w:rsid w:val="00136C21"/>
    <w:rsid w:val="00137002"/>
    <w:rsid w:val="0013721D"/>
    <w:rsid w:val="001406AB"/>
    <w:rsid w:val="00140F78"/>
    <w:rsid w:val="00141838"/>
    <w:rsid w:val="00142991"/>
    <w:rsid w:val="001434F7"/>
    <w:rsid w:val="00143705"/>
    <w:rsid w:val="001441D4"/>
    <w:rsid w:val="0014555E"/>
    <w:rsid w:val="001459AE"/>
    <w:rsid w:val="00147FE6"/>
    <w:rsid w:val="001500C1"/>
    <w:rsid w:val="00153E64"/>
    <w:rsid w:val="0015622B"/>
    <w:rsid w:val="0015704D"/>
    <w:rsid w:val="00157D14"/>
    <w:rsid w:val="00160558"/>
    <w:rsid w:val="00160734"/>
    <w:rsid w:val="00160A26"/>
    <w:rsid w:val="00161AC3"/>
    <w:rsid w:val="00162145"/>
    <w:rsid w:val="00162616"/>
    <w:rsid w:val="001634E5"/>
    <w:rsid w:val="0016410B"/>
    <w:rsid w:val="00165093"/>
    <w:rsid w:val="00165B18"/>
    <w:rsid w:val="001677BB"/>
    <w:rsid w:val="00170A74"/>
    <w:rsid w:val="00170EC8"/>
    <w:rsid w:val="00171576"/>
    <w:rsid w:val="00171B2E"/>
    <w:rsid w:val="001720B0"/>
    <w:rsid w:val="001721E5"/>
    <w:rsid w:val="00172990"/>
    <w:rsid w:val="00172A27"/>
    <w:rsid w:val="00172C35"/>
    <w:rsid w:val="00173534"/>
    <w:rsid w:val="00173EBF"/>
    <w:rsid w:val="00173F53"/>
    <w:rsid w:val="0017656A"/>
    <w:rsid w:val="001767CE"/>
    <w:rsid w:val="00176D05"/>
    <w:rsid w:val="00177350"/>
    <w:rsid w:val="00177586"/>
    <w:rsid w:val="001776D4"/>
    <w:rsid w:val="00180C01"/>
    <w:rsid w:val="00181E4B"/>
    <w:rsid w:val="001826C6"/>
    <w:rsid w:val="00182B9D"/>
    <w:rsid w:val="00182BF0"/>
    <w:rsid w:val="0018414A"/>
    <w:rsid w:val="001841E4"/>
    <w:rsid w:val="00185C3F"/>
    <w:rsid w:val="00185D73"/>
    <w:rsid w:val="00186597"/>
    <w:rsid w:val="00186D34"/>
    <w:rsid w:val="00187633"/>
    <w:rsid w:val="00187B20"/>
    <w:rsid w:val="00187DE8"/>
    <w:rsid w:val="0019000E"/>
    <w:rsid w:val="00190A0E"/>
    <w:rsid w:val="00190BD3"/>
    <w:rsid w:val="00190F33"/>
    <w:rsid w:val="00191018"/>
    <w:rsid w:val="001915B9"/>
    <w:rsid w:val="00191641"/>
    <w:rsid w:val="001918D6"/>
    <w:rsid w:val="00191B30"/>
    <w:rsid w:val="00193A55"/>
    <w:rsid w:val="001941C4"/>
    <w:rsid w:val="0019420F"/>
    <w:rsid w:val="00194E5B"/>
    <w:rsid w:val="001950A1"/>
    <w:rsid w:val="0019539C"/>
    <w:rsid w:val="00195A37"/>
    <w:rsid w:val="00195D4C"/>
    <w:rsid w:val="0019787F"/>
    <w:rsid w:val="00197D1F"/>
    <w:rsid w:val="001A1278"/>
    <w:rsid w:val="001A12D6"/>
    <w:rsid w:val="001A21A9"/>
    <w:rsid w:val="001A23AA"/>
    <w:rsid w:val="001A2AA4"/>
    <w:rsid w:val="001A3718"/>
    <w:rsid w:val="001A3D97"/>
    <w:rsid w:val="001A45D3"/>
    <w:rsid w:val="001A4AE1"/>
    <w:rsid w:val="001A53EA"/>
    <w:rsid w:val="001A6088"/>
    <w:rsid w:val="001A65FD"/>
    <w:rsid w:val="001B1A47"/>
    <w:rsid w:val="001B1CC8"/>
    <w:rsid w:val="001B2868"/>
    <w:rsid w:val="001B4E47"/>
    <w:rsid w:val="001B5814"/>
    <w:rsid w:val="001B6F13"/>
    <w:rsid w:val="001C3AE8"/>
    <w:rsid w:val="001C3FC6"/>
    <w:rsid w:val="001C4040"/>
    <w:rsid w:val="001C4559"/>
    <w:rsid w:val="001C6CDD"/>
    <w:rsid w:val="001C7392"/>
    <w:rsid w:val="001C7B38"/>
    <w:rsid w:val="001C7C1E"/>
    <w:rsid w:val="001C7D02"/>
    <w:rsid w:val="001C7F37"/>
    <w:rsid w:val="001D43FE"/>
    <w:rsid w:val="001D44C0"/>
    <w:rsid w:val="001D4720"/>
    <w:rsid w:val="001D496B"/>
    <w:rsid w:val="001D69E2"/>
    <w:rsid w:val="001D7389"/>
    <w:rsid w:val="001D73C0"/>
    <w:rsid w:val="001D7595"/>
    <w:rsid w:val="001E0B09"/>
    <w:rsid w:val="001E12CE"/>
    <w:rsid w:val="001E2570"/>
    <w:rsid w:val="001E2F97"/>
    <w:rsid w:val="001E3672"/>
    <w:rsid w:val="001E3694"/>
    <w:rsid w:val="001E3D4F"/>
    <w:rsid w:val="001E4A3C"/>
    <w:rsid w:val="001E4D37"/>
    <w:rsid w:val="001E53D1"/>
    <w:rsid w:val="001E5453"/>
    <w:rsid w:val="001E59F3"/>
    <w:rsid w:val="001E5A64"/>
    <w:rsid w:val="001E648F"/>
    <w:rsid w:val="001E6EDF"/>
    <w:rsid w:val="001E7CD5"/>
    <w:rsid w:val="001E7E2E"/>
    <w:rsid w:val="001E7EAD"/>
    <w:rsid w:val="001F01EA"/>
    <w:rsid w:val="001F0881"/>
    <w:rsid w:val="001F1EF9"/>
    <w:rsid w:val="001F1FC2"/>
    <w:rsid w:val="001F22B4"/>
    <w:rsid w:val="001F38DD"/>
    <w:rsid w:val="001F3C5D"/>
    <w:rsid w:val="001F3F51"/>
    <w:rsid w:val="001F4D92"/>
    <w:rsid w:val="001F52F3"/>
    <w:rsid w:val="001F550F"/>
    <w:rsid w:val="001F5F4D"/>
    <w:rsid w:val="001F624F"/>
    <w:rsid w:val="001F6538"/>
    <w:rsid w:val="001F71FC"/>
    <w:rsid w:val="001F7D4C"/>
    <w:rsid w:val="00200E9F"/>
    <w:rsid w:val="002019D6"/>
    <w:rsid w:val="00201B46"/>
    <w:rsid w:val="00203592"/>
    <w:rsid w:val="00203C58"/>
    <w:rsid w:val="00203CDC"/>
    <w:rsid w:val="00204711"/>
    <w:rsid w:val="0020590E"/>
    <w:rsid w:val="00206493"/>
    <w:rsid w:val="00206790"/>
    <w:rsid w:val="0020696E"/>
    <w:rsid w:val="0020714F"/>
    <w:rsid w:val="00211C8F"/>
    <w:rsid w:val="00212B56"/>
    <w:rsid w:val="002147AA"/>
    <w:rsid w:val="002155AD"/>
    <w:rsid w:val="00215C4E"/>
    <w:rsid w:val="00215D8E"/>
    <w:rsid w:val="0022170A"/>
    <w:rsid w:val="00221B70"/>
    <w:rsid w:val="00222517"/>
    <w:rsid w:val="00222EBE"/>
    <w:rsid w:val="00223126"/>
    <w:rsid w:val="00223501"/>
    <w:rsid w:val="00224E0D"/>
    <w:rsid w:val="00226663"/>
    <w:rsid w:val="00226A75"/>
    <w:rsid w:val="00227514"/>
    <w:rsid w:val="00227FAA"/>
    <w:rsid w:val="00232B70"/>
    <w:rsid w:val="00235325"/>
    <w:rsid w:val="0023544D"/>
    <w:rsid w:val="00237A84"/>
    <w:rsid w:val="00241981"/>
    <w:rsid w:val="0024199B"/>
    <w:rsid w:val="00242059"/>
    <w:rsid w:val="002423A1"/>
    <w:rsid w:val="0024261C"/>
    <w:rsid w:val="002427B8"/>
    <w:rsid w:val="00243409"/>
    <w:rsid w:val="00244B2E"/>
    <w:rsid w:val="002450C4"/>
    <w:rsid w:val="002451E3"/>
    <w:rsid w:val="002455E1"/>
    <w:rsid w:val="00246B70"/>
    <w:rsid w:val="00250094"/>
    <w:rsid w:val="00250572"/>
    <w:rsid w:val="00250744"/>
    <w:rsid w:val="002517E8"/>
    <w:rsid w:val="00252352"/>
    <w:rsid w:val="00252796"/>
    <w:rsid w:val="00252D71"/>
    <w:rsid w:val="00253AB9"/>
    <w:rsid w:val="002546D5"/>
    <w:rsid w:val="00254C14"/>
    <w:rsid w:val="002563F8"/>
    <w:rsid w:val="0025735F"/>
    <w:rsid w:val="002574D9"/>
    <w:rsid w:val="0026078D"/>
    <w:rsid w:val="0026138D"/>
    <w:rsid w:val="002615D6"/>
    <w:rsid w:val="002616BF"/>
    <w:rsid w:val="00261F82"/>
    <w:rsid w:val="002635F1"/>
    <w:rsid w:val="00263A3F"/>
    <w:rsid w:val="00263BD9"/>
    <w:rsid w:val="00263C53"/>
    <w:rsid w:val="002652F5"/>
    <w:rsid w:val="0026560A"/>
    <w:rsid w:val="00266AEE"/>
    <w:rsid w:val="00267FAF"/>
    <w:rsid w:val="002716E4"/>
    <w:rsid w:val="00271852"/>
    <w:rsid w:val="002719F4"/>
    <w:rsid w:val="00272356"/>
    <w:rsid w:val="00272450"/>
    <w:rsid w:val="00272E83"/>
    <w:rsid w:val="00272E8D"/>
    <w:rsid w:val="00273F8E"/>
    <w:rsid w:val="00274784"/>
    <w:rsid w:val="00275728"/>
    <w:rsid w:val="00276136"/>
    <w:rsid w:val="00276AC0"/>
    <w:rsid w:val="00277388"/>
    <w:rsid w:val="00277FC0"/>
    <w:rsid w:val="00281388"/>
    <w:rsid w:val="002819C9"/>
    <w:rsid w:val="00281B25"/>
    <w:rsid w:val="002825C6"/>
    <w:rsid w:val="00284B2D"/>
    <w:rsid w:val="00285C73"/>
    <w:rsid w:val="0028614D"/>
    <w:rsid w:val="00286DDA"/>
    <w:rsid w:val="00286DF7"/>
    <w:rsid w:val="002919E0"/>
    <w:rsid w:val="00291A25"/>
    <w:rsid w:val="00291C7D"/>
    <w:rsid w:val="00292556"/>
    <w:rsid w:val="00292613"/>
    <w:rsid w:val="002938AE"/>
    <w:rsid w:val="002940F4"/>
    <w:rsid w:val="00294F83"/>
    <w:rsid w:val="0029683D"/>
    <w:rsid w:val="002A0878"/>
    <w:rsid w:val="002A0888"/>
    <w:rsid w:val="002A0C45"/>
    <w:rsid w:val="002A5D18"/>
    <w:rsid w:val="002A738D"/>
    <w:rsid w:val="002A77A3"/>
    <w:rsid w:val="002B00BF"/>
    <w:rsid w:val="002B05B2"/>
    <w:rsid w:val="002B0C57"/>
    <w:rsid w:val="002B141E"/>
    <w:rsid w:val="002B32DA"/>
    <w:rsid w:val="002B3F72"/>
    <w:rsid w:val="002B6C16"/>
    <w:rsid w:val="002B7119"/>
    <w:rsid w:val="002C3524"/>
    <w:rsid w:val="002C3D6B"/>
    <w:rsid w:val="002C4AB9"/>
    <w:rsid w:val="002C6AE9"/>
    <w:rsid w:val="002C7708"/>
    <w:rsid w:val="002D0240"/>
    <w:rsid w:val="002D04F8"/>
    <w:rsid w:val="002D10D6"/>
    <w:rsid w:val="002D12AC"/>
    <w:rsid w:val="002D179F"/>
    <w:rsid w:val="002D2BB7"/>
    <w:rsid w:val="002D3782"/>
    <w:rsid w:val="002D74FF"/>
    <w:rsid w:val="002D7976"/>
    <w:rsid w:val="002D7FEF"/>
    <w:rsid w:val="002E0267"/>
    <w:rsid w:val="002E05AE"/>
    <w:rsid w:val="002E0DEB"/>
    <w:rsid w:val="002E1B11"/>
    <w:rsid w:val="002E1B5A"/>
    <w:rsid w:val="002E3F8A"/>
    <w:rsid w:val="002E5C2D"/>
    <w:rsid w:val="002E60BB"/>
    <w:rsid w:val="002E62F9"/>
    <w:rsid w:val="002E6CCB"/>
    <w:rsid w:val="002E7830"/>
    <w:rsid w:val="002F065A"/>
    <w:rsid w:val="002F0FA4"/>
    <w:rsid w:val="002F1701"/>
    <w:rsid w:val="002F1FDF"/>
    <w:rsid w:val="002F4776"/>
    <w:rsid w:val="002F4B61"/>
    <w:rsid w:val="002F4B72"/>
    <w:rsid w:val="002F601C"/>
    <w:rsid w:val="002F63E7"/>
    <w:rsid w:val="002F64B1"/>
    <w:rsid w:val="002F7C05"/>
    <w:rsid w:val="003007F1"/>
    <w:rsid w:val="00300C97"/>
    <w:rsid w:val="00301330"/>
    <w:rsid w:val="003014BC"/>
    <w:rsid w:val="00301E95"/>
    <w:rsid w:val="00302AE8"/>
    <w:rsid w:val="00302B4C"/>
    <w:rsid w:val="003041BA"/>
    <w:rsid w:val="0030573B"/>
    <w:rsid w:val="00306D15"/>
    <w:rsid w:val="00306D39"/>
    <w:rsid w:val="00310077"/>
    <w:rsid w:val="003115F4"/>
    <w:rsid w:val="003126C3"/>
    <w:rsid w:val="00312C63"/>
    <w:rsid w:val="0031303A"/>
    <w:rsid w:val="0031454E"/>
    <w:rsid w:val="00314770"/>
    <w:rsid w:val="00314DD6"/>
    <w:rsid w:val="00314E39"/>
    <w:rsid w:val="00315BA7"/>
    <w:rsid w:val="00315ED9"/>
    <w:rsid w:val="003163FA"/>
    <w:rsid w:val="0031663F"/>
    <w:rsid w:val="003173B7"/>
    <w:rsid w:val="00317B06"/>
    <w:rsid w:val="00321554"/>
    <w:rsid w:val="0032219D"/>
    <w:rsid w:val="0032292D"/>
    <w:rsid w:val="003229C3"/>
    <w:rsid w:val="00322EB9"/>
    <w:rsid w:val="0032351D"/>
    <w:rsid w:val="00324013"/>
    <w:rsid w:val="003263AF"/>
    <w:rsid w:val="00327296"/>
    <w:rsid w:val="003275EF"/>
    <w:rsid w:val="00327C11"/>
    <w:rsid w:val="00327F2D"/>
    <w:rsid w:val="003308C9"/>
    <w:rsid w:val="00333BB5"/>
    <w:rsid w:val="00333D23"/>
    <w:rsid w:val="00335493"/>
    <w:rsid w:val="003356EA"/>
    <w:rsid w:val="00335A1E"/>
    <w:rsid w:val="0034034B"/>
    <w:rsid w:val="0034110A"/>
    <w:rsid w:val="00341C3D"/>
    <w:rsid w:val="00342604"/>
    <w:rsid w:val="00342ACF"/>
    <w:rsid w:val="00342C0B"/>
    <w:rsid w:val="003453BF"/>
    <w:rsid w:val="00345BE6"/>
    <w:rsid w:val="00346459"/>
    <w:rsid w:val="00346E6C"/>
    <w:rsid w:val="00347501"/>
    <w:rsid w:val="003503E2"/>
    <w:rsid w:val="00350593"/>
    <w:rsid w:val="00351F55"/>
    <w:rsid w:val="0035284F"/>
    <w:rsid w:val="00352B94"/>
    <w:rsid w:val="00353F98"/>
    <w:rsid w:val="00354135"/>
    <w:rsid w:val="00354D30"/>
    <w:rsid w:val="00356217"/>
    <w:rsid w:val="00356466"/>
    <w:rsid w:val="00357745"/>
    <w:rsid w:val="00360410"/>
    <w:rsid w:val="003608DB"/>
    <w:rsid w:val="003616CF"/>
    <w:rsid w:val="00361C79"/>
    <w:rsid w:val="003633AE"/>
    <w:rsid w:val="0036356B"/>
    <w:rsid w:val="00367DAE"/>
    <w:rsid w:val="00371764"/>
    <w:rsid w:val="00371B56"/>
    <w:rsid w:val="00371DC5"/>
    <w:rsid w:val="003721DC"/>
    <w:rsid w:val="003722D5"/>
    <w:rsid w:val="00372879"/>
    <w:rsid w:val="00374BCA"/>
    <w:rsid w:val="0037558D"/>
    <w:rsid w:val="0037569F"/>
    <w:rsid w:val="00375CA1"/>
    <w:rsid w:val="003760FF"/>
    <w:rsid w:val="0037624E"/>
    <w:rsid w:val="003767BB"/>
    <w:rsid w:val="00380096"/>
    <w:rsid w:val="00380E54"/>
    <w:rsid w:val="00381BA9"/>
    <w:rsid w:val="00381E9E"/>
    <w:rsid w:val="00382293"/>
    <w:rsid w:val="0038242A"/>
    <w:rsid w:val="00382DCF"/>
    <w:rsid w:val="0038398B"/>
    <w:rsid w:val="00383DAC"/>
    <w:rsid w:val="00383E95"/>
    <w:rsid w:val="00383F22"/>
    <w:rsid w:val="0038407A"/>
    <w:rsid w:val="003842EC"/>
    <w:rsid w:val="003855F6"/>
    <w:rsid w:val="00385AC5"/>
    <w:rsid w:val="00386268"/>
    <w:rsid w:val="003862AF"/>
    <w:rsid w:val="0038784A"/>
    <w:rsid w:val="00387C75"/>
    <w:rsid w:val="003903E7"/>
    <w:rsid w:val="00392EA4"/>
    <w:rsid w:val="00394685"/>
    <w:rsid w:val="00394951"/>
    <w:rsid w:val="00395982"/>
    <w:rsid w:val="00397268"/>
    <w:rsid w:val="0039776C"/>
    <w:rsid w:val="003A0A71"/>
    <w:rsid w:val="003A1259"/>
    <w:rsid w:val="003A18FB"/>
    <w:rsid w:val="003A44E6"/>
    <w:rsid w:val="003A4720"/>
    <w:rsid w:val="003A4B84"/>
    <w:rsid w:val="003A4DD5"/>
    <w:rsid w:val="003A510D"/>
    <w:rsid w:val="003A5123"/>
    <w:rsid w:val="003A563C"/>
    <w:rsid w:val="003A6815"/>
    <w:rsid w:val="003B0605"/>
    <w:rsid w:val="003B1107"/>
    <w:rsid w:val="003B13F6"/>
    <w:rsid w:val="003B1DE4"/>
    <w:rsid w:val="003B423B"/>
    <w:rsid w:val="003B5FAB"/>
    <w:rsid w:val="003B6BEB"/>
    <w:rsid w:val="003B6C31"/>
    <w:rsid w:val="003B77BF"/>
    <w:rsid w:val="003C06E0"/>
    <w:rsid w:val="003C1CA9"/>
    <w:rsid w:val="003C22CC"/>
    <w:rsid w:val="003C4234"/>
    <w:rsid w:val="003C4311"/>
    <w:rsid w:val="003C4E0F"/>
    <w:rsid w:val="003C4ECE"/>
    <w:rsid w:val="003C6EAF"/>
    <w:rsid w:val="003C7BD3"/>
    <w:rsid w:val="003D06B8"/>
    <w:rsid w:val="003D23F5"/>
    <w:rsid w:val="003D2686"/>
    <w:rsid w:val="003D308A"/>
    <w:rsid w:val="003D3837"/>
    <w:rsid w:val="003D48FB"/>
    <w:rsid w:val="003D62B6"/>
    <w:rsid w:val="003D7515"/>
    <w:rsid w:val="003E10C5"/>
    <w:rsid w:val="003E159D"/>
    <w:rsid w:val="003E2534"/>
    <w:rsid w:val="003F0E6A"/>
    <w:rsid w:val="003F1779"/>
    <w:rsid w:val="003F17F0"/>
    <w:rsid w:val="003F1C1D"/>
    <w:rsid w:val="003F24C6"/>
    <w:rsid w:val="003F36F5"/>
    <w:rsid w:val="003F3E82"/>
    <w:rsid w:val="003F3EFA"/>
    <w:rsid w:val="003F444C"/>
    <w:rsid w:val="003F4792"/>
    <w:rsid w:val="003F48AC"/>
    <w:rsid w:val="003F5079"/>
    <w:rsid w:val="003F5AE4"/>
    <w:rsid w:val="003F64F9"/>
    <w:rsid w:val="003F6F90"/>
    <w:rsid w:val="003F7280"/>
    <w:rsid w:val="003F75A4"/>
    <w:rsid w:val="003F75F1"/>
    <w:rsid w:val="0040103B"/>
    <w:rsid w:val="00401A47"/>
    <w:rsid w:val="0040264A"/>
    <w:rsid w:val="004031DD"/>
    <w:rsid w:val="00403341"/>
    <w:rsid w:val="004043F5"/>
    <w:rsid w:val="00404DF8"/>
    <w:rsid w:val="00405FCF"/>
    <w:rsid w:val="0040792F"/>
    <w:rsid w:val="004103E7"/>
    <w:rsid w:val="0041193B"/>
    <w:rsid w:val="00411F20"/>
    <w:rsid w:val="00412289"/>
    <w:rsid w:val="00413E05"/>
    <w:rsid w:val="00414EA8"/>
    <w:rsid w:val="00415B8F"/>
    <w:rsid w:val="00417AF1"/>
    <w:rsid w:val="0042099C"/>
    <w:rsid w:val="00420A93"/>
    <w:rsid w:val="00420B01"/>
    <w:rsid w:val="00421681"/>
    <w:rsid w:val="00421F74"/>
    <w:rsid w:val="00422C70"/>
    <w:rsid w:val="004232ED"/>
    <w:rsid w:val="00423C99"/>
    <w:rsid w:val="0042424E"/>
    <w:rsid w:val="00424E60"/>
    <w:rsid w:val="004261C9"/>
    <w:rsid w:val="0042709E"/>
    <w:rsid w:val="00427685"/>
    <w:rsid w:val="0043061A"/>
    <w:rsid w:val="00430B6E"/>
    <w:rsid w:val="00430DC9"/>
    <w:rsid w:val="0043264C"/>
    <w:rsid w:val="00434CC3"/>
    <w:rsid w:val="00434D05"/>
    <w:rsid w:val="00436869"/>
    <w:rsid w:val="00436A9E"/>
    <w:rsid w:val="004375D0"/>
    <w:rsid w:val="004379D9"/>
    <w:rsid w:val="00441647"/>
    <w:rsid w:val="00442A2B"/>
    <w:rsid w:val="00443D18"/>
    <w:rsid w:val="00443F79"/>
    <w:rsid w:val="00444A05"/>
    <w:rsid w:val="00444BBE"/>
    <w:rsid w:val="004450E7"/>
    <w:rsid w:val="004450F8"/>
    <w:rsid w:val="0044714D"/>
    <w:rsid w:val="00450A3C"/>
    <w:rsid w:val="004515B2"/>
    <w:rsid w:val="00451B98"/>
    <w:rsid w:val="004526D5"/>
    <w:rsid w:val="00452C02"/>
    <w:rsid w:val="00453014"/>
    <w:rsid w:val="00454366"/>
    <w:rsid w:val="00454841"/>
    <w:rsid w:val="0045490B"/>
    <w:rsid w:val="00455DAB"/>
    <w:rsid w:val="00456091"/>
    <w:rsid w:val="0045635F"/>
    <w:rsid w:val="00457946"/>
    <w:rsid w:val="004601E3"/>
    <w:rsid w:val="00460316"/>
    <w:rsid w:val="00461425"/>
    <w:rsid w:val="00461C1D"/>
    <w:rsid w:val="00461EA9"/>
    <w:rsid w:val="00461F65"/>
    <w:rsid w:val="00462FE1"/>
    <w:rsid w:val="004631A6"/>
    <w:rsid w:val="00463E07"/>
    <w:rsid w:val="004641D0"/>
    <w:rsid w:val="00464C7B"/>
    <w:rsid w:val="0046612C"/>
    <w:rsid w:val="00470007"/>
    <w:rsid w:val="00470389"/>
    <w:rsid w:val="004706A2"/>
    <w:rsid w:val="00470D92"/>
    <w:rsid w:val="004726BA"/>
    <w:rsid w:val="00472DDD"/>
    <w:rsid w:val="00472FB7"/>
    <w:rsid w:val="00475FA5"/>
    <w:rsid w:val="004761D6"/>
    <w:rsid w:val="00480DBF"/>
    <w:rsid w:val="004815C6"/>
    <w:rsid w:val="00482273"/>
    <w:rsid w:val="00482762"/>
    <w:rsid w:val="00482FB9"/>
    <w:rsid w:val="00483BD0"/>
    <w:rsid w:val="00485916"/>
    <w:rsid w:val="0048593F"/>
    <w:rsid w:val="00485F52"/>
    <w:rsid w:val="0048695F"/>
    <w:rsid w:val="004874A6"/>
    <w:rsid w:val="00487931"/>
    <w:rsid w:val="004900A3"/>
    <w:rsid w:val="004912E5"/>
    <w:rsid w:val="004926BB"/>
    <w:rsid w:val="004939F7"/>
    <w:rsid w:val="00493FE5"/>
    <w:rsid w:val="004940FC"/>
    <w:rsid w:val="0049449E"/>
    <w:rsid w:val="00494A33"/>
    <w:rsid w:val="00496FC4"/>
    <w:rsid w:val="004A0002"/>
    <w:rsid w:val="004A03CA"/>
    <w:rsid w:val="004A1577"/>
    <w:rsid w:val="004A1900"/>
    <w:rsid w:val="004A3D06"/>
    <w:rsid w:val="004A4591"/>
    <w:rsid w:val="004A56CF"/>
    <w:rsid w:val="004A6353"/>
    <w:rsid w:val="004A6884"/>
    <w:rsid w:val="004A6903"/>
    <w:rsid w:val="004A734A"/>
    <w:rsid w:val="004B01FF"/>
    <w:rsid w:val="004B052A"/>
    <w:rsid w:val="004B0F83"/>
    <w:rsid w:val="004B1B37"/>
    <w:rsid w:val="004B4D92"/>
    <w:rsid w:val="004B51E1"/>
    <w:rsid w:val="004B5845"/>
    <w:rsid w:val="004C0859"/>
    <w:rsid w:val="004C0A1D"/>
    <w:rsid w:val="004C0F01"/>
    <w:rsid w:val="004C1271"/>
    <w:rsid w:val="004C1442"/>
    <w:rsid w:val="004C2CBD"/>
    <w:rsid w:val="004C31E2"/>
    <w:rsid w:val="004C41C8"/>
    <w:rsid w:val="004C4768"/>
    <w:rsid w:val="004C5684"/>
    <w:rsid w:val="004C5BBE"/>
    <w:rsid w:val="004C5D3D"/>
    <w:rsid w:val="004C5EB8"/>
    <w:rsid w:val="004C623A"/>
    <w:rsid w:val="004C637E"/>
    <w:rsid w:val="004C6C49"/>
    <w:rsid w:val="004C6DFC"/>
    <w:rsid w:val="004C782B"/>
    <w:rsid w:val="004C7B6B"/>
    <w:rsid w:val="004D2124"/>
    <w:rsid w:val="004D2133"/>
    <w:rsid w:val="004D2996"/>
    <w:rsid w:val="004D31AB"/>
    <w:rsid w:val="004D32FD"/>
    <w:rsid w:val="004D3746"/>
    <w:rsid w:val="004D4384"/>
    <w:rsid w:val="004D4707"/>
    <w:rsid w:val="004D4AC0"/>
    <w:rsid w:val="004D551A"/>
    <w:rsid w:val="004D7392"/>
    <w:rsid w:val="004E0AC5"/>
    <w:rsid w:val="004E10D0"/>
    <w:rsid w:val="004E1D98"/>
    <w:rsid w:val="004E2B8C"/>
    <w:rsid w:val="004E2BDD"/>
    <w:rsid w:val="004E2C4B"/>
    <w:rsid w:val="004E34A1"/>
    <w:rsid w:val="004E4CD2"/>
    <w:rsid w:val="004E5B8F"/>
    <w:rsid w:val="004E65F4"/>
    <w:rsid w:val="004E6770"/>
    <w:rsid w:val="004E6F33"/>
    <w:rsid w:val="004E707B"/>
    <w:rsid w:val="004E70A3"/>
    <w:rsid w:val="004F0C16"/>
    <w:rsid w:val="004F1755"/>
    <w:rsid w:val="004F2F79"/>
    <w:rsid w:val="004F2F92"/>
    <w:rsid w:val="004F37F2"/>
    <w:rsid w:val="004F451D"/>
    <w:rsid w:val="004F498F"/>
    <w:rsid w:val="004F724E"/>
    <w:rsid w:val="004F7360"/>
    <w:rsid w:val="00500C4C"/>
    <w:rsid w:val="00501243"/>
    <w:rsid w:val="0050261E"/>
    <w:rsid w:val="005030BE"/>
    <w:rsid w:val="00503ACD"/>
    <w:rsid w:val="00505415"/>
    <w:rsid w:val="00505A23"/>
    <w:rsid w:val="00507F0A"/>
    <w:rsid w:val="005121B6"/>
    <w:rsid w:val="00512279"/>
    <w:rsid w:val="00512D62"/>
    <w:rsid w:val="00512FF1"/>
    <w:rsid w:val="005153C7"/>
    <w:rsid w:val="00516DD2"/>
    <w:rsid w:val="00516EE8"/>
    <w:rsid w:val="0052078F"/>
    <w:rsid w:val="005213B8"/>
    <w:rsid w:val="00521BBC"/>
    <w:rsid w:val="0052508A"/>
    <w:rsid w:val="0052526F"/>
    <w:rsid w:val="0052550B"/>
    <w:rsid w:val="00526493"/>
    <w:rsid w:val="005264AF"/>
    <w:rsid w:val="005300D0"/>
    <w:rsid w:val="00530223"/>
    <w:rsid w:val="005316CE"/>
    <w:rsid w:val="005329B6"/>
    <w:rsid w:val="00532C0C"/>
    <w:rsid w:val="00533212"/>
    <w:rsid w:val="005338DD"/>
    <w:rsid w:val="00535882"/>
    <w:rsid w:val="00536C80"/>
    <w:rsid w:val="00536ECF"/>
    <w:rsid w:val="00537885"/>
    <w:rsid w:val="0054046C"/>
    <w:rsid w:val="00540AB3"/>
    <w:rsid w:val="00540EB9"/>
    <w:rsid w:val="00540EE2"/>
    <w:rsid w:val="005414AB"/>
    <w:rsid w:val="005416FF"/>
    <w:rsid w:val="0054331D"/>
    <w:rsid w:val="00543B16"/>
    <w:rsid w:val="0054486B"/>
    <w:rsid w:val="0054632C"/>
    <w:rsid w:val="00550161"/>
    <w:rsid w:val="00550574"/>
    <w:rsid w:val="00550958"/>
    <w:rsid w:val="00554AF7"/>
    <w:rsid w:val="005551AF"/>
    <w:rsid w:val="0055585D"/>
    <w:rsid w:val="00555AE8"/>
    <w:rsid w:val="00555CD3"/>
    <w:rsid w:val="00556EBC"/>
    <w:rsid w:val="00556EFD"/>
    <w:rsid w:val="00557505"/>
    <w:rsid w:val="005575C3"/>
    <w:rsid w:val="00557908"/>
    <w:rsid w:val="00561290"/>
    <w:rsid w:val="0056152A"/>
    <w:rsid w:val="00561EDE"/>
    <w:rsid w:val="005621EB"/>
    <w:rsid w:val="00563787"/>
    <w:rsid w:val="005643A0"/>
    <w:rsid w:val="00564E9D"/>
    <w:rsid w:val="00565411"/>
    <w:rsid w:val="00565497"/>
    <w:rsid w:val="005659E7"/>
    <w:rsid w:val="005673E2"/>
    <w:rsid w:val="00567519"/>
    <w:rsid w:val="00567711"/>
    <w:rsid w:val="005679B0"/>
    <w:rsid w:val="00570143"/>
    <w:rsid w:val="00570166"/>
    <w:rsid w:val="00571319"/>
    <w:rsid w:val="00571817"/>
    <w:rsid w:val="0057237B"/>
    <w:rsid w:val="005725A1"/>
    <w:rsid w:val="00573005"/>
    <w:rsid w:val="00574FE7"/>
    <w:rsid w:val="00576A1D"/>
    <w:rsid w:val="00576F18"/>
    <w:rsid w:val="005777E3"/>
    <w:rsid w:val="0058004C"/>
    <w:rsid w:val="00581C93"/>
    <w:rsid w:val="00581D29"/>
    <w:rsid w:val="00581E73"/>
    <w:rsid w:val="00582354"/>
    <w:rsid w:val="00582D5F"/>
    <w:rsid w:val="0058406E"/>
    <w:rsid w:val="00584A9A"/>
    <w:rsid w:val="00584E4F"/>
    <w:rsid w:val="005859AD"/>
    <w:rsid w:val="0059010F"/>
    <w:rsid w:val="00591C69"/>
    <w:rsid w:val="005923A9"/>
    <w:rsid w:val="00592481"/>
    <w:rsid w:val="00593967"/>
    <w:rsid w:val="00593E25"/>
    <w:rsid w:val="005944B9"/>
    <w:rsid w:val="00596491"/>
    <w:rsid w:val="00597C1B"/>
    <w:rsid w:val="005A1F6C"/>
    <w:rsid w:val="005A3834"/>
    <w:rsid w:val="005A3C3A"/>
    <w:rsid w:val="005A3CF3"/>
    <w:rsid w:val="005A40E5"/>
    <w:rsid w:val="005A4175"/>
    <w:rsid w:val="005A4401"/>
    <w:rsid w:val="005A6659"/>
    <w:rsid w:val="005A6C39"/>
    <w:rsid w:val="005A7242"/>
    <w:rsid w:val="005A7961"/>
    <w:rsid w:val="005B0ECB"/>
    <w:rsid w:val="005B12F6"/>
    <w:rsid w:val="005B14A6"/>
    <w:rsid w:val="005B18E4"/>
    <w:rsid w:val="005B19B4"/>
    <w:rsid w:val="005B2BCB"/>
    <w:rsid w:val="005B2EB5"/>
    <w:rsid w:val="005B46C5"/>
    <w:rsid w:val="005B730D"/>
    <w:rsid w:val="005B750A"/>
    <w:rsid w:val="005B7773"/>
    <w:rsid w:val="005B7C87"/>
    <w:rsid w:val="005C1E71"/>
    <w:rsid w:val="005C272E"/>
    <w:rsid w:val="005C2921"/>
    <w:rsid w:val="005C39E8"/>
    <w:rsid w:val="005C3EA5"/>
    <w:rsid w:val="005C4E99"/>
    <w:rsid w:val="005C7375"/>
    <w:rsid w:val="005D016F"/>
    <w:rsid w:val="005D1F6E"/>
    <w:rsid w:val="005D38F1"/>
    <w:rsid w:val="005D3C5B"/>
    <w:rsid w:val="005D4519"/>
    <w:rsid w:val="005D5111"/>
    <w:rsid w:val="005D73DF"/>
    <w:rsid w:val="005E0A95"/>
    <w:rsid w:val="005E2A14"/>
    <w:rsid w:val="005E37D3"/>
    <w:rsid w:val="005E4539"/>
    <w:rsid w:val="005E48E0"/>
    <w:rsid w:val="005E4B02"/>
    <w:rsid w:val="005E526F"/>
    <w:rsid w:val="005E5AB6"/>
    <w:rsid w:val="005E6429"/>
    <w:rsid w:val="005E6C23"/>
    <w:rsid w:val="005E79D7"/>
    <w:rsid w:val="005F0604"/>
    <w:rsid w:val="005F088D"/>
    <w:rsid w:val="005F0CB3"/>
    <w:rsid w:val="005F0DDE"/>
    <w:rsid w:val="005F1473"/>
    <w:rsid w:val="005F27B9"/>
    <w:rsid w:val="005F360D"/>
    <w:rsid w:val="005F361D"/>
    <w:rsid w:val="005F477C"/>
    <w:rsid w:val="005F4ECC"/>
    <w:rsid w:val="00600510"/>
    <w:rsid w:val="006022FD"/>
    <w:rsid w:val="00603C71"/>
    <w:rsid w:val="0060508E"/>
    <w:rsid w:val="00605F71"/>
    <w:rsid w:val="00606378"/>
    <w:rsid w:val="00606457"/>
    <w:rsid w:val="00607631"/>
    <w:rsid w:val="0061099C"/>
    <w:rsid w:val="00610C44"/>
    <w:rsid w:val="006125B3"/>
    <w:rsid w:val="0061265A"/>
    <w:rsid w:val="006146BA"/>
    <w:rsid w:val="00615549"/>
    <w:rsid w:val="006157BA"/>
    <w:rsid w:val="0061719D"/>
    <w:rsid w:val="0061723C"/>
    <w:rsid w:val="00617DAC"/>
    <w:rsid w:val="00621ABC"/>
    <w:rsid w:val="00622D00"/>
    <w:rsid w:val="00623BAC"/>
    <w:rsid w:val="0062426E"/>
    <w:rsid w:val="00625A84"/>
    <w:rsid w:val="00626174"/>
    <w:rsid w:val="006262AE"/>
    <w:rsid w:val="0062645F"/>
    <w:rsid w:val="006301DB"/>
    <w:rsid w:val="00630699"/>
    <w:rsid w:val="0063118E"/>
    <w:rsid w:val="00631583"/>
    <w:rsid w:val="006320B4"/>
    <w:rsid w:val="00632F71"/>
    <w:rsid w:val="006332C6"/>
    <w:rsid w:val="00633867"/>
    <w:rsid w:val="006341E5"/>
    <w:rsid w:val="006347D3"/>
    <w:rsid w:val="00634A7D"/>
    <w:rsid w:val="00635A00"/>
    <w:rsid w:val="006363A2"/>
    <w:rsid w:val="0063666B"/>
    <w:rsid w:val="006366A9"/>
    <w:rsid w:val="006367D7"/>
    <w:rsid w:val="00637166"/>
    <w:rsid w:val="00637939"/>
    <w:rsid w:val="00637F1F"/>
    <w:rsid w:val="00640142"/>
    <w:rsid w:val="00640CD0"/>
    <w:rsid w:val="006411A2"/>
    <w:rsid w:val="00641A39"/>
    <w:rsid w:val="00641E8E"/>
    <w:rsid w:val="00642A04"/>
    <w:rsid w:val="00642A4A"/>
    <w:rsid w:val="00642CC0"/>
    <w:rsid w:val="00642E88"/>
    <w:rsid w:val="0064453A"/>
    <w:rsid w:val="00644786"/>
    <w:rsid w:val="00645186"/>
    <w:rsid w:val="0064584E"/>
    <w:rsid w:val="006459CB"/>
    <w:rsid w:val="00645BF3"/>
    <w:rsid w:val="006462E2"/>
    <w:rsid w:val="00651370"/>
    <w:rsid w:val="006513F5"/>
    <w:rsid w:val="00653A73"/>
    <w:rsid w:val="0065421F"/>
    <w:rsid w:val="00655A1C"/>
    <w:rsid w:val="00655D28"/>
    <w:rsid w:val="00655F31"/>
    <w:rsid w:val="00656257"/>
    <w:rsid w:val="006563F2"/>
    <w:rsid w:val="00656474"/>
    <w:rsid w:val="00656B0F"/>
    <w:rsid w:val="00660F44"/>
    <w:rsid w:val="00662520"/>
    <w:rsid w:val="006641F4"/>
    <w:rsid w:val="00666366"/>
    <w:rsid w:val="00666895"/>
    <w:rsid w:val="0066692F"/>
    <w:rsid w:val="0067054D"/>
    <w:rsid w:val="00670BAD"/>
    <w:rsid w:val="00670E05"/>
    <w:rsid w:val="0067127D"/>
    <w:rsid w:val="006714AF"/>
    <w:rsid w:val="00672740"/>
    <w:rsid w:val="00672CF0"/>
    <w:rsid w:val="0067378D"/>
    <w:rsid w:val="00673C3C"/>
    <w:rsid w:val="00673DBF"/>
    <w:rsid w:val="00674B49"/>
    <w:rsid w:val="00676635"/>
    <w:rsid w:val="00676D41"/>
    <w:rsid w:val="006772EC"/>
    <w:rsid w:val="006808F1"/>
    <w:rsid w:val="006808FA"/>
    <w:rsid w:val="00680B3C"/>
    <w:rsid w:val="0068169F"/>
    <w:rsid w:val="00681C96"/>
    <w:rsid w:val="00682955"/>
    <w:rsid w:val="006829E0"/>
    <w:rsid w:val="006840B3"/>
    <w:rsid w:val="0068623D"/>
    <w:rsid w:val="0068681D"/>
    <w:rsid w:val="006877DA"/>
    <w:rsid w:val="00687817"/>
    <w:rsid w:val="00687A1F"/>
    <w:rsid w:val="006903EE"/>
    <w:rsid w:val="0069040A"/>
    <w:rsid w:val="00690552"/>
    <w:rsid w:val="00690DF7"/>
    <w:rsid w:val="006916F1"/>
    <w:rsid w:val="0069189E"/>
    <w:rsid w:val="00691BD0"/>
    <w:rsid w:val="00694454"/>
    <w:rsid w:val="00694E9E"/>
    <w:rsid w:val="00695F74"/>
    <w:rsid w:val="006964C5"/>
    <w:rsid w:val="0069655B"/>
    <w:rsid w:val="00696A50"/>
    <w:rsid w:val="00696BFC"/>
    <w:rsid w:val="006A01D5"/>
    <w:rsid w:val="006A15C0"/>
    <w:rsid w:val="006A1711"/>
    <w:rsid w:val="006A1D40"/>
    <w:rsid w:val="006A3F12"/>
    <w:rsid w:val="006A622E"/>
    <w:rsid w:val="006A66EB"/>
    <w:rsid w:val="006A6F55"/>
    <w:rsid w:val="006B055F"/>
    <w:rsid w:val="006B1820"/>
    <w:rsid w:val="006B1FB9"/>
    <w:rsid w:val="006B1FDC"/>
    <w:rsid w:val="006B34E5"/>
    <w:rsid w:val="006B3D9E"/>
    <w:rsid w:val="006B4823"/>
    <w:rsid w:val="006B4EBB"/>
    <w:rsid w:val="006B577E"/>
    <w:rsid w:val="006B6A9F"/>
    <w:rsid w:val="006B70F4"/>
    <w:rsid w:val="006B7A06"/>
    <w:rsid w:val="006B7A31"/>
    <w:rsid w:val="006C109A"/>
    <w:rsid w:val="006C18E5"/>
    <w:rsid w:val="006C1B88"/>
    <w:rsid w:val="006C28EC"/>
    <w:rsid w:val="006C3961"/>
    <w:rsid w:val="006C4CD0"/>
    <w:rsid w:val="006C4D6E"/>
    <w:rsid w:val="006C6B00"/>
    <w:rsid w:val="006D0244"/>
    <w:rsid w:val="006D0E8D"/>
    <w:rsid w:val="006D1DEC"/>
    <w:rsid w:val="006D275A"/>
    <w:rsid w:val="006D2EA9"/>
    <w:rsid w:val="006D3194"/>
    <w:rsid w:val="006D48EC"/>
    <w:rsid w:val="006D74D3"/>
    <w:rsid w:val="006D7AE3"/>
    <w:rsid w:val="006D7C4D"/>
    <w:rsid w:val="006E04B8"/>
    <w:rsid w:val="006E13A1"/>
    <w:rsid w:val="006E16AA"/>
    <w:rsid w:val="006E1FB7"/>
    <w:rsid w:val="006E2ED0"/>
    <w:rsid w:val="006E3033"/>
    <w:rsid w:val="006E3379"/>
    <w:rsid w:val="006E365B"/>
    <w:rsid w:val="006E3852"/>
    <w:rsid w:val="006E45E7"/>
    <w:rsid w:val="006E46C5"/>
    <w:rsid w:val="006E5320"/>
    <w:rsid w:val="006E5ED4"/>
    <w:rsid w:val="006E635F"/>
    <w:rsid w:val="006E6736"/>
    <w:rsid w:val="006E76C9"/>
    <w:rsid w:val="006E7D1E"/>
    <w:rsid w:val="006F017D"/>
    <w:rsid w:val="006F1E3D"/>
    <w:rsid w:val="006F2819"/>
    <w:rsid w:val="006F2AC4"/>
    <w:rsid w:val="006F35FF"/>
    <w:rsid w:val="006F3896"/>
    <w:rsid w:val="006F39B0"/>
    <w:rsid w:val="006F3E03"/>
    <w:rsid w:val="006F481E"/>
    <w:rsid w:val="006F54F0"/>
    <w:rsid w:val="006F59CE"/>
    <w:rsid w:val="006F6201"/>
    <w:rsid w:val="006F728E"/>
    <w:rsid w:val="007007E5"/>
    <w:rsid w:val="00700ECB"/>
    <w:rsid w:val="00701873"/>
    <w:rsid w:val="00702D8B"/>
    <w:rsid w:val="0070338F"/>
    <w:rsid w:val="007035B3"/>
    <w:rsid w:val="007056D4"/>
    <w:rsid w:val="00705E82"/>
    <w:rsid w:val="007060A0"/>
    <w:rsid w:val="007066BC"/>
    <w:rsid w:val="00706A1F"/>
    <w:rsid w:val="0070745A"/>
    <w:rsid w:val="00707F15"/>
    <w:rsid w:val="00711B31"/>
    <w:rsid w:val="00712D2B"/>
    <w:rsid w:val="00713B20"/>
    <w:rsid w:val="00715B38"/>
    <w:rsid w:val="007165BC"/>
    <w:rsid w:val="00716BE9"/>
    <w:rsid w:val="00717BED"/>
    <w:rsid w:val="00720465"/>
    <w:rsid w:val="0072074B"/>
    <w:rsid w:val="00722615"/>
    <w:rsid w:val="00724B6E"/>
    <w:rsid w:val="0072590E"/>
    <w:rsid w:val="00725F86"/>
    <w:rsid w:val="0072619A"/>
    <w:rsid w:val="0072739F"/>
    <w:rsid w:val="007278B2"/>
    <w:rsid w:val="00727B3B"/>
    <w:rsid w:val="00727BF6"/>
    <w:rsid w:val="007303CD"/>
    <w:rsid w:val="0073052A"/>
    <w:rsid w:val="0073125E"/>
    <w:rsid w:val="00731811"/>
    <w:rsid w:val="00732789"/>
    <w:rsid w:val="007331DE"/>
    <w:rsid w:val="00734414"/>
    <w:rsid w:val="00735F21"/>
    <w:rsid w:val="00736CA2"/>
    <w:rsid w:val="007379FE"/>
    <w:rsid w:val="00737EB6"/>
    <w:rsid w:val="00740100"/>
    <w:rsid w:val="0074074F"/>
    <w:rsid w:val="007413C5"/>
    <w:rsid w:val="007417A5"/>
    <w:rsid w:val="00742066"/>
    <w:rsid w:val="00742505"/>
    <w:rsid w:val="007428F1"/>
    <w:rsid w:val="0074292F"/>
    <w:rsid w:val="00742C4F"/>
    <w:rsid w:val="00742F00"/>
    <w:rsid w:val="00743406"/>
    <w:rsid w:val="00743B42"/>
    <w:rsid w:val="007441B0"/>
    <w:rsid w:val="00744E22"/>
    <w:rsid w:val="00746B01"/>
    <w:rsid w:val="00746F7D"/>
    <w:rsid w:val="00747E36"/>
    <w:rsid w:val="00747FF1"/>
    <w:rsid w:val="007500C3"/>
    <w:rsid w:val="007507F7"/>
    <w:rsid w:val="00752347"/>
    <w:rsid w:val="00754130"/>
    <w:rsid w:val="00756834"/>
    <w:rsid w:val="00757951"/>
    <w:rsid w:val="007605F5"/>
    <w:rsid w:val="007609A9"/>
    <w:rsid w:val="007611D9"/>
    <w:rsid w:val="00761E3C"/>
    <w:rsid w:val="007633BA"/>
    <w:rsid w:val="0076452B"/>
    <w:rsid w:val="00765AF0"/>
    <w:rsid w:val="0076694A"/>
    <w:rsid w:val="00766AD3"/>
    <w:rsid w:val="00767099"/>
    <w:rsid w:val="0076751E"/>
    <w:rsid w:val="00767E0C"/>
    <w:rsid w:val="0077022F"/>
    <w:rsid w:val="007705BB"/>
    <w:rsid w:val="00771E01"/>
    <w:rsid w:val="00772B9C"/>
    <w:rsid w:val="00773124"/>
    <w:rsid w:val="007750B0"/>
    <w:rsid w:val="00775A05"/>
    <w:rsid w:val="007760A1"/>
    <w:rsid w:val="00776417"/>
    <w:rsid w:val="007765FA"/>
    <w:rsid w:val="007767E6"/>
    <w:rsid w:val="00776826"/>
    <w:rsid w:val="00776861"/>
    <w:rsid w:val="00777336"/>
    <w:rsid w:val="0077780C"/>
    <w:rsid w:val="007778F4"/>
    <w:rsid w:val="00777A72"/>
    <w:rsid w:val="00777B5B"/>
    <w:rsid w:val="00781D53"/>
    <w:rsid w:val="00782090"/>
    <w:rsid w:val="007826BD"/>
    <w:rsid w:val="00784505"/>
    <w:rsid w:val="00785D83"/>
    <w:rsid w:val="00785DE9"/>
    <w:rsid w:val="0078662D"/>
    <w:rsid w:val="00786DD5"/>
    <w:rsid w:val="00786E1E"/>
    <w:rsid w:val="007870FC"/>
    <w:rsid w:val="00790077"/>
    <w:rsid w:val="00790507"/>
    <w:rsid w:val="0079117E"/>
    <w:rsid w:val="00791283"/>
    <w:rsid w:val="007920C3"/>
    <w:rsid w:val="0079298A"/>
    <w:rsid w:val="00792F5A"/>
    <w:rsid w:val="00793753"/>
    <w:rsid w:val="007951E4"/>
    <w:rsid w:val="00795B53"/>
    <w:rsid w:val="00795D76"/>
    <w:rsid w:val="0079636B"/>
    <w:rsid w:val="007963D2"/>
    <w:rsid w:val="00796D91"/>
    <w:rsid w:val="00797AE4"/>
    <w:rsid w:val="007A0331"/>
    <w:rsid w:val="007A05DD"/>
    <w:rsid w:val="007A1E78"/>
    <w:rsid w:val="007A1EB4"/>
    <w:rsid w:val="007A2681"/>
    <w:rsid w:val="007A2ECB"/>
    <w:rsid w:val="007A31DB"/>
    <w:rsid w:val="007A32F0"/>
    <w:rsid w:val="007A39BA"/>
    <w:rsid w:val="007A3D66"/>
    <w:rsid w:val="007A581E"/>
    <w:rsid w:val="007A5D34"/>
    <w:rsid w:val="007A6525"/>
    <w:rsid w:val="007A65DE"/>
    <w:rsid w:val="007A718D"/>
    <w:rsid w:val="007B0365"/>
    <w:rsid w:val="007B0DAD"/>
    <w:rsid w:val="007B19B7"/>
    <w:rsid w:val="007B1A8D"/>
    <w:rsid w:val="007B23C2"/>
    <w:rsid w:val="007B3360"/>
    <w:rsid w:val="007B5CFC"/>
    <w:rsid w:val="007B78E5"/>
    <w:rsid w:val="007B7C30"/>
    <w:rsid w:val="007B7CE5"/>
    <w:rsid w:val="007C082B"/>
    <w:rsid w:val="007C0F29"/>
    <w:rsid w:val="007C22B9"/>
    <w:rsid w:val="007C275E"/>
    <w:rsid w:val="007C2DC0"/>
    <w:rsid w:val="007C4507"/>
    <w:rsid w:val="007C6185"/>
    <w:rsid w:val="007C658A"/>
    <w:rsid w:val="007C66EC"/>
    <w:rsid w:val="007C7642"/>
    <w:rsid w:val="007D085F"/>
    <w:rsid w:val="007D16E6"/>
    <w:rsid w:val="007D25FC"/>
    <w:rsid w:val="007D39AD"/>
    <w:rsid w:val="007D55FF"/>
    <w:rsid w:val="007E0639"/>
    <w:rsid w:val="007E17BC"/>
    <w:rsid w:val="007E2E10"/>
    <w:rsid w:val="007E5175"/>
    <w:rsid w:val="007E54DE"/>
    <w:rsid w:val="007E646E"/>
    <w:rsid w:val="007E664E"/>
    <w:rsid w:val="007E762A"/>
    <w:rsid w:val="007E7D07"/>
    <w:rsid w:val="007F0A53"/>
    <w:rsid w:val="007F1BA8"/>
    <w:rsid w:val="007F34B9"/>
    <w:rsid w:val="007F3C83"/>
    <w:rsid w:val="007F3DCB"/>
    <w:rsid w:val="007F4787"/>
    <w:rsid w:val="007F4CE2"/>
    <w:rsid w:val="007F54DA"/>
    <w:rsid w:val="007F6F9D"/>
    <w:rsid w:val="00800524"/>
    <w:rsid w:val="00801025"/>
    <w:rsid w:val="00802056"/>
    <w:rsid w:val="00802871"/>
    <w:rsid w:val="00802985"/>
    <w:rsid w:val="00802B8B"/>
    <w:rsid w:val="0080418A"/>
    <w:rsid w:val="00804E8D"/>
    <w:rsid w:val="00804F1C"/>
    <w:rsid w:val="00805667"/>
    <w:rsid w:val="00806373"/>
    <w:rsid w:val="00806F73"/>
    <w:rsid w:val="008073EF"/>
    <w:rsid w:val="0081061B"/>
    <w:rsid w:val="008110EA"/>
    <w:rsid w:val="008130AD"/>
    <w:rsid w:val="00813266"/>
    <w:rsid w:val="008136D7"/>
    <w:rsid w:val="00813AEF"/>
    <w:rsid w:val="00813CF9"/>
    <w:rsid w:val="00813D0C"/>
    <w:rsid w:val="00815539"/>
    <w:rsid w:val="00816BA2"/>
    <w:rsid w:val="00820102"/>
    <w:rsid w:val="00820EB6"/>
    <w:rsid w:val="00823022"/>
    <w:rsid w:val="00823085"/>
    <w:rsid w:val="0082382B"/>
    <w:rsid w:val="00823A7C"/>
    <w:rsid w:val="00823EEE"/>
    <w:rsid w:val="008254F8"/>
    <w:rsid w:val="008255C6"/>
    <w:rsid w:val="00825F4E"/>
    <w:rsid w:val="00826090"/>
    <w:rsid w:val="00826342"/>
    <w:rsid w:val="008265A8"/>
    <w:rsid w:val="0082719C"/>
    <w:rsid w:val="00827255"/>
    <w:rsid w:val="00827B06"/>
    <w:rsid w:val="00831D8A"/>
    <w:rsid w:val="0083201C"/>
    <w:rsid w:val="0083366C"/>
    <w:rsid w:val="008340A2"/>
    <w:rsid w:val="0083496E"/>
    <w:rsid w:val="0083517A"/>
    <w:rsid w:val="0083658F"/>
    <w:rsid w:val="00836F01"/>
    <w:rsid w:val="00842C25"/>
    <w:rsid w:val="00844300"/>
    <w:rsid w:val="00844E8E"/>
    <w:rsid w:val="00846572"/>
    <w:rsid w:val="00847FA4"/>
    <w:rsid w:val="00853180"/>
    <w:rsid w:val="00853D2B"/>
    <w:rsid w:val="00853E11"/>
    <w:rsid w:val="008544C5"/>
    <w:rsid w:val="00854EC2"/>
    <w:rsid w:val="00855782"/>
    <w:rsid w:val="00856732"/>
    <w:rsid w:val="008569A6"/>
    <w:rsid w:val="00856BD1"/>
    <w:rsid w:val="008575FF"/>
    <w:rsid w:val="0085767C"/>
    <w:rsid w:val="00857B92"/>
    <w:rsid w:val="00857C1A"/>
    <w:rsid w:val="00860BA0"/>
    <w:rsid w:val="00861B29"/>
    <w:rsid w:val="00861B5A"/>
    <w:rsid w:val="008627D7"/>
    <w:rsid w:val="00862E5D"/>
    <w:rsid w:val="008631DF"/>
    <w:rsid w:val="00863750"/>
    <w:rsid w:val="00863C3F"/>
    <w:rsid w:val="00864090"/>
    <w:rsid w:val="0086441D"/>
    <w:rsid w:val="00864635"/>
    <w:rsid w:val="00864B41"/>
    <w:rsid w:val="00865035"/>
    <w:rsid w:val="00865854"/>
    <w:rsid w:val="0086747A"/>
    <w:rsid w:val="00867502"/>
    <w:rsid w:val="00870167"/>
    <w:rsid w:val="00870B2B"/>
    <w:rsid w:val="008717F8"/>
    <w:rsid w:val="008729D5"/>
    <w:rsid w:val="00872A09"/>
    <w:rsid w:val="00872D28"/>
    <w:rsid w:val="008738AF"/>
    <w:rsid w:val="00874022"/>
    <w:rsid w:val="00874B99"/>
    <w:rsid w:val="00874BBA"/>
    <w:rsid w:val="00876A93"/>
    <w:rsid w:val="00877414"/>
    <w:rsid w:val="00877623"/>
    <w:rsid w:val="00877822"/>
    <w:rsid w:val="008804E9"/>
    <w:rsid w:val="00881FEF"/>
    <w:rsid w:val="0088297A"/>
    <w:rsid w:val="0088373A"/>
    <w:rsid w:val="00884020"/>
    <w:rsid w:val="008841BE"/>
    <w:rsid w:val="00884BC7"/>
    <w:rsid w:val="008856DA"/>
    <w:rsid w:val="008900AB"/>
    <w:rsid w:val="00890AEB"/>
    <w:rsid w:val="00892341"/>
    <w:rsid w:val="008925BD"/>
    <w:rsid w:val="00893172"/>
    <w:rsid w:val="0089354A"/>
    <w:rsid w:val="00894286"/>
    <w:rsid w:val="008964AB"/>
    <w:rsid w:val="00897D07"/>
    <w:rsid w:val="008A2303"/>
    <w:rsid w:val="008A25D3"/>
    <w:rsid w:val="008A2F09"/>
    <w:rsid w:val="008A38D4"/>
    <w:rsid w:val="008A58BC"/>
    <w:rsid w:val="008A6830"/>
    <w:rsid w:val="008A7E66"/>
    <w:rsid w:val="008B02E8"/>
    <w:rsid w:val="008B0908"/>
    <w:rsid w:val="008B166C"/>
    <w:rsid w:val="008B183A"/>
    <w:rsid w:val="008B283F"/>
    <w:rsid w:val="008B2D8A"/>
    <w:rsid w:val="008B35F5"/>
    <w:rsid w:val="008B44BA"/>
    <w:rsid w:val="008B6A5C"/>
    <w:rsid w:val="008B7DE5"/>
    <w:rsid w:val="008C1C14"/>
    <w:rsid w:val="008C1F24"/>
    <w:rsid w:val="008C22C5"/>
    <w:rsid w:val="008C25ED"/>
    <w:rsid w:val="008C27CD"/>
    <w:rsid w:val="008C30FD"/>
    <w:rsid w:val="008C3A6D"/>
    <w:rsid w:val="008C3C2A"/>
    <w:rsid w:val="008C4AD4"/>
    <w:rsid w:val="008C5E4E"/>
    <w:rsid w:val="008C645C"/>
    <w:rsid w:val="008C65F3"/>
    <w:rsid w:val="008C70DD"/>
    <w:rsid w:val="008C73DA"/>
    <w:rsid w:val="008D0EE3"/>
    <w:rsid w:val="008D11E2"/>
    <w:rsid w:val="008D27F4"/>
    <w:rsid w:val="008D382F"/>
    <w:rsid w:val="008D3B11"/>
    <w:rsid w:val="008D4D9A"/>
    <w:rsid w:val="008D663E"/>
    <w:rsid w:val="008D66FC"/>
    <w:rsid w:val="008D743D"/>
    <w:rsid w:val="008E0A52"/>
    <w:rsid w:val="008E1BD7"/>
    <w:rsid w:val="008E37BA"/>
    <w:rsid w:val="008E3D8F"/>
    <w:rsid w:val="008E435D"/>
    <w:rsid w:val="008E4508"/>
    <w:rsid w:val="008E4ECE"/>
    <w:rsid w:val="008E5692"/>
    <w:rsid w:val="008E60AE"/>
    <w:rsid w:val="008E636E"/>
    <w:rsid w:val="008E665F"/>
    <w:rsid w:val="008F03ED"/>
    <w:rsid w:val="008F083A"/>
    <w:rsid w:val="008F0C7A"/>
    <w:rsid w:val="008F1A48"/>
    <w:rsid w:val="008F1CEA"/>
    <w:rsid w:val="008F216A"/>
    <w:rsid w:val="008F24B5"/>
    <w:rsid w:val="008F2740"/>
    <w:rsid w:val="008F2A21"/>
    <w:rsid w:val="008F3D78"/>
    <w:rsid w:val="008F502A"/>
    <w:rsid w:val="008F5281"/>
    <w:rsid w:val="008F56F4"/>
    <w:rsid w:val="008F623F"/>
    <w:rsid w:val="008F6962"/>
    <w:rsid w:val="009023FF"/>
    <w:rsid w:val="00905112"/>
    <w:rsid w:val="009070E9"/>
    <w:rsid w:val="0090737F"/>
    <w:rsid w:val="0090763D"/>
    <w:rsid w:val="00907CBC"/>
    <w:rsid w:val="00911323"/>
    <w:rsid w:val="00912297"/>
    <w:rsid w:val="009150DF"/>
    <w:rsid w:val="00915FA1"/>
    <w:rsid w:val="0091714B"/>
    <w:rsid w:val="009178B5"/>
    <w:rsid w:val="009178BD"/>
    <w:rsid w:val="00917C6B"/>
    <w:rsid w:val="0092005D"/>
    <w:rsid w:val="00921620"/>
    <w:rsid w:val="00921DF7"/>
    <w:rsid w:val="009220F0"/>
    <w:rsid w:val="0092225D"/>
    <w:rsid w:val="00922986"/>
    <w:rsid w:val="00925108"/>
    <w:rsid w:val="009253F3"/>
    <w:rsid w:val="009258F8"/>
    <w:rsid w:val="0092708D"/>
    <w:rsid w:val="009273B0"/>
    <w:rsid w:val="00931881"/>
    <w:rsid w:val="00931C4E"/>
    <w:rsid w:val="00931DD7"/>
    <w:rsid w:val="00934059"/>
    <w:rsid w:val="0093454D"/>
    <w:rsid w:val="00934835"/>
    <w:rsid w:val="0093514B"/>
    <w:rsid w:val="00935242"/>
    <w:rsid w:val="00935882"/>
    <w:rsid w:val="0093658F"/>
    <w:rsid w:val="00936C6B"/>
    <w:rsid w:val="009420E4"/>
    <w:rsid w:val="00942BD9"/>
    <w:rsid w:val="00943A8F"/>
    <w:rsid w:val="00944B42"/>
    <w:rsid w:val="0094596E"/>
    <w:rsid w:val="00947BDF"/>
    <w:rsid w:val="00947D1E"/>
    <w:rsid w:val="00951C5F"/>
    <w:rsid w:val="00954548"/>
    <w:rsid w:val="00954C99"/>
    <w:rsid w:val="0095574A"/>
    <w:rsid w:val="009569EC"/>
    <w:rsid w:val="00957A51"/>
    <w:rsid w:val="00960B7A"/>
    <w:rsid w:val="00961482"/>
    <w:rsid w:val="00962773"/>
    <w:rsid w:val="009629B2"/>
    <w:rsid w:val="00963D9D"/>
    <w:rsid w:val="00963EB2"/>
    <w:rsid w:val="00965C5A"/>
    <w:rsid w:val="00966CDC"/>
    <w:rsid w:val="009700D9"/>
    <w:rsid w:val="00970140"/>
    <w:rsid w:val="0097031E"/>
    <w:rsid w:val="009707B5"/>
    <w:rsid w:val="00970DD2"/>
    <w:rsid w:val="009718E9"/>
    <w:rsid w:val="00971B0D"/>
    <w:rsid w:val="00972BE3"/>
    <w:rsid w:val="009739B0"/>
    <w:rsid w:val="00974BA8"/>
    <w:rsid w:val="00974F68"/>
    <w:rsid w:val="00975BE0"/>
    <w:rsid w:val="009765C4"/>
    <w:rsid w:val="00976E8B"/>
    <w:rsid w:val="009800A0"/>
    <w:rsid w:val="00980275"/>
    <w:rsid w:val="00980667"/>
    <w:rsid w:val="009807F5"/>
    <w:rsid w:val="00980909"/>
    <w:rsid w:val="00981860"/>
    <w:rsid w:val="009844AB"/>
    <w:rsid w:val="00984759"/>
    <w:rsid w:val="00984D48"/>
    <w:rsid w:val="0098503E"/>
    <w:rsid w:val="0099183A"/>
    <w:rsid w:val="00991A69"/>
    <w:rsid w:val="009930B4"/>
    <w:rsid w:val="00993C13"/>
    <w:rsid w:val="0099459C"/>
    <w:rsid w:val="00995344"/>
    <w:rsid w:val="00996239"/>
    <w:rsid w:val="009977BD"/>
    <w:rsid w:val="009A0714"/>
    <w:rsid w:val="009A12FA"/>
    <w:rsid w:val="009A15B5"/>
    <w:rsid w:val="009A2672"/>
    <w:rsid w:val="009A275A"/>
    <w:rsid w:val="009A344F"/>
    <w:rsid w:val="009A48CE"/>
    <w:rsid w:val="009A509F"/>
    <w:rsid w:val="009A61B7"/>
    <w:rsid w:val="009A6A71"/>
    <w:rsid w:val="009A7100"/>
    <w:rsid w:val="009A75B6"/>
    <w:rsid w:val="009B0090"/>
    <w:rsid w:val="009B0658"/>
    <w:rsid w:val="009B14E8"/>
    <w:rsid w:val="009B19C5"/>
    <w:rsid w:val="009B1DED"/>
    <w:rsid w:val="009B238E"/>
    <w:rsid w:val="009B2872"/>
    <w:rsid w:val="009B2932"/>
    <w:rsid w:val="009B38C4"/>
    <w:rsid w:val="009B5082"/>
    <w:rsid w:val="009B6BEA"/>
    <w:rsid w:val="009B6E85"/>
    <w:rsid w:val="009C0132"/>
    <w:rsid w:val="009C09C2"/>
    <w:rsid w:val="009C0C83"/>
    <w:rsid w:val="009C10B4"/>
    <w:rsid w:val="009C1480"/>
    <w:rsid w:val="009C1E4D"/>
    <w:rsid w:val="009C2928"/>
    <w:rsid w:val="009C3140"/>
    <w:rsid w:val="009C5D34"/>
    <w:rsid w:val="009C61B1"/>
    <w:rsid w:val="009C7275"/>
    <w:rsid w:val="009C7B07"/>
    <w:rsid w:val="009C7DF3"/>
    <w:rsid w:val="009D02C5"/>
    <w:rsid w:val="009D060B"/>
    <w:rsid w:val="009D1201"/>
    <w:rsid w:val="009D1326"/>
    <w:rsid w:val="009D1497"/>
    <w:rsid w:val="009D2CEB"/>
    <w:rsid w:val="009D317C"/>
    <w:rsid w:val="009D3533"/>
    <w:rsid w:val="009D354D"/>
    <w:rsid w:val="009D39AE"/>
    <w:rsid w:val="009D41C3"/>
    <w:rsid w:val="009D445A"/>
    <w:rsid w:val="009D46FC"/>
    <w:rsid w:val="009D4899"/>
    <w:rsid w:val="009D4F02"/>
    <w:rsid w:val="009D6088"/>
    <w:rsid w:val="009D60E0"/>
    <w:rsid w:val="009D64E0"/>
    <w:rsid w:val="009D6A91"/>
    <w:rsid w:val="009D6ABE"/>
    <w:rsid w:val="009D7603"/>
    <w:rsid w:val="009E1377"/>
    <w:rsid w:val="009E177E"/>
    <w:rsid w:val="009E2128"/>
    <w:rsid w:val="009E4220"/>
    <w:rsid w:val="009E4C3F"/>
    <w:rsid w:val="009E54E3"/>
    <w:rsid w:val="009E60D5"/>
    <w:rsid w:val="009E640B"/>
    <w:rsid w:val="009E7B46"/>
    <w:rsid w:val="009F028C"/>
    <w:rsid w:val="009F11A7"/>
    <w:rsid w:val="009F2365"/>
    <w:rsid w:val="009F2587"/>
    <w:rsid w:val="009F3764"/>
    <w:rsid w:val="009F403D"/>
    <w:rsid w:val="009F5319"/>
    <w:rsid w:val="009F6844"/>
    <w:rsid w:val="00A009E1"/>
    <w:rsid w:val="00A03258"/>
    <w:rsid w:val="00A04777"/>
    <w:rsid w:val="00A061CF"/>
    <w:rsid w:val="00A065D5"/>
    <w:rsid w:val="00A06B8B"/>
    <w:rsid w:val="00A06E38"/>
    <w:rsid w:val="00A07C76"/>
    <w:rsid w:val="00A108C7"/>
    <w:rsid w:val="00A1113C"/>
    <w:rsid w:val="00A115FB"/>
    <w:rsid w:val="00A11C57"/>
    <w:rsid w:val="00A13064"/>
    <w:rsid w:val="00A13892"/>
    <w:rsid w:val="00A13DA8"/>
    <w:rsid w:val="00A14DBF"/>
    <w:rsid w:val="00A152D7"/>
    <w:rsid w:val="00A15737"/>
    <w:rsid w:val="00A16720"/>
    <w:rsid w:val="00A21935"/>
    <w:rsid w:val="00A22257"/>
    <w:rsid w:val="00A22AC6"/>
    <w:rsid w:val="00A22FFE"/>
    <w:rsid w:val="00A235E1"/>
    <w:rsid w:val="00A24141"/>
    <w:rsid w:val="00A241B1"/>
    <w:rsid w:val="00A24B3B"/>
    <w:rsid w:val="00A31CC3"/>
    <w:rsid w:val="00A33480"/>
    <w:rsid w:val="00A36550"/>
    <w:rsid w:val="00A3663F"/>
    <w:rsid w:val="00A36B88"/>
    <w:rsid w:val="00A36BEA"/>
    <w:rsid w:val="00A36C54"/>
    <w:rsid w:val="00A36D12"/>
    <w:rsid w:val="00A378ED"/>
    <w:rsid w:val="00A401A7"/>
    <w:rsid w:val="00A40BE1"/>
    <w:rsid w:val="00A40CE8"/>
    <w:rsid w:val="00A40D05"/>
    <w:rsid w:val="00A42A04"/>
    <w:rsid w:val="00A42AA6"/>
    <w:rsid w:val="00A438EA"/>
    <w:rsid w:val="00A43A8B"/>
    <w:rsid w:val="00A44BF5"/>
    <w:rsid w:val="00A4785D"/>
    <w:rsid w:val="00A47C68"/>
    <w:rsid w:val="00A50048"/>
    <w:rsid w:val="00A51322"/>
    <w:rsid w:val="00A51D8F"/>
    <w:rsid w:val="00A51DB5"/>
    <w:rsid w:val="00A52B49"/>
    <w:rsid w:val="00A52D67"/>
    <w:rsid w:val="00A52FFB"/>
    <w:rsid w:val="00A53ACA"/>
    <w:rsid w:val="00A54482"/>
    <w:rsid w:val="00A544AC"/>
    <w:rsid w:val="00A54F53"/>
    <w:rsid w:val="00A56039"/>
    <w:rsid w:val="00A5751A"/>
    <w:rsid w:val="00A57D4D"/>
    <w:rsid w:val="00A60015"/>
    <w:rsid w:val="00A60676"/>
    <w:rsid w:val="00A61165"/>
    <w:rsid w:val="00A61233"/>
    <w:rsid w:val="00A62272"/>
    <w:rsid w:val="00A649DE"/>
    <w:rsid w:val="00A658D6"/>
    <w:rsid w:val="00A65EF1"/>
    <w:rsid w:val="00A70C63"/>
    <w:rsid w:val="00A71A75"/>
    <w:rsid w:val="00A72CF4"/>
    <w:rsid w:val="00A74303"/>
    <w:rsid w:val="00A743CB"/>
    <w:rsid w:val="00A748F4"/>
    <w:rsid w:val="00A76760"/>
    <w:rsid w:val="00A76A27"/>
    <w:rsid w:val="00A773C5"/>
    <w:rsid w:val="00A77F01"/>
    <w:rsid w:val="00A77F63"/>
    <w:rsid w:val="00A77F9B"/>
    <w:rsid w:val="00A804AF"/>
    <w:rsid w:val="00A81147"/>
    <w:rsid w:val="00A82563"/>
    <w:rsid w:val="00A83535"/>
    <w:rsid w:val="00A83C6F"/>
    <w:rsid w:val="00A84B6B"/>
    <w:rsid w:val="00A84F92"/>
    <w:rsid w:val="00A85060"/>
    <w:rsid w:val="00A850F7"/>
    <w:rsid w:val="00A8550F"/>
    <w:rsid w:val="00A85F93"/>
    <w:rsid w:val="00A87236"/>
    <w:rsid w:val="00A877F1"/>
    <w:rsid w:val="00A901A4"/>
    <w:rsid w:val="00A9110F"/>
    <w:rsid w:val="00A919B6"/>
    <w:rsid w:val="00A91D5B"/>
    <w:rsid w:val="00A923C2"/>
    <w:rsid w:val="00A92438"/>
    <w:rsid w:val="00A92476"/>
    <w:rsid w:val="00A93968"/>
    <w:rsid w:val="00A94E90"/>
    <w:rsid w:val="00A955A9"/>
    <w:rsid w:val="00A96C67"/>
    <w:rsid w:val="00A97147"/>
    <w:rsid w:val="00A973AE"/>
    <w:rsid w:val="00A974D2"/>
    <w:rsid w:val="00A978D1"/>
    <w:rsid w:val="00AA0CD9"/>
    <w:rsid w:val="00AA10B2"/>
    <w:rsid w:val="00AA1445"/>
    <w:rsid w:val="00AA1454"/>
    <w:rsid w:val="00AA2405"/>
    <w:rsid w:val="00AA2431"/>
    <w:rsid w:val="00AA281C"/>
    <w:rsid w:val="00AA3B91"/>
    <w:rsid w:val="00AA4050"/>
    <w:rsid w:val="00AA4CF8"/>
    <w:rsid w:val="00AA4EB6"/>
    <w:rsid w:val="00AA5AEB"/>
    <w:rsid w:val="00AA6A30"/>
    <w:rsid w:val="00AA6A31"/>
    <w:rsid w:val="00AB1014"/>
    <w:rsid w:val="00AB1070"/>
    <w:rsid w:val="00AB1BCB"/>
    <w:rsid w:val="00AB22E0"/>
    <w:rsid w:val="00AB23FB"/>
    <w:rsid w:val="00AB254F"/>
    <w:rsid w:val="00AB36B3"/>
    <w:rsid w:val="00AB3B8B"/>
    <w:rsid w:val="00AB4AE6"/>
    <w:rsid w:val="00AB5339"/>
    <w:rsid w:val="00AB603B"/>
    <w:rsid w:val="00AB637A"/>
    <w:rsid w:val="00AB7872"/>
    <w:rsid w:val="00AB7ED6"/>
    <w:rsid w:val="00AC12BF"/>
    <w:rsid w:val="00AC1716"/>
    <w:rsid w:val="00AC277B"/>
    <w:rsid w:val="00AC4218"/>
    <w:rsid w:val="00AC42D8"/>
    <w:rsid w:val="00AC4F27"/>
    <w:rsid w:val="00AC6C99"/>
    <w:rsid w:val="00AD2A1B"/>
    <w:rsid w:val="00AD325B"/>
    <w:rsid w:val="00AD3345"/>
    <w:rsid w:val="00AD3DC2"/>
    <w:rsid w:val="00AD66C3"/>
    <w:rsid w:val="00AE0063"/>
    <w:rsid w:val="00AE05E7"/>
    <w:rsid w:val="00AE0D38"/>
    <w:rsid w:val="00AE2C86"/>
    <w:rsid w:val="00AE32A9"/>
    <w:rsid w:val="00AE50AF"/>
    <w:rsid w:val="00AE5B73"/>
    <w:rsid w:val="00AE5F65"/>
    <w:rsid w:val="00AE5F99"/>
    <w:rsid w:val="00AE7EBF"/>
    <w:rsid w:val="00AF001B"/>
    <w:rsid w:val="00AF09B2"/>
    <w:rsid w:val="00AF1747"/>
    <w:rsid w:val="00AF2AA0"/>
    <w:rsid w:val="00AF3C67"/>
    <w:rsid w:val="00AF4259"/>
    <w:rsid w:val="00AF4E08"/>
    <w:rsid w:val="00AF51B6"/>
    <w:rsid w:val="00AF7DB6"/>
    <w:rsid w:val="00AF7F0B"/>
    <w:rsid w:val="00B007BA"/>
    <w:rsid w:val="00B00820"/>
    <w:rsid w:val="00B0163F"/>
    <w:rsid w:val="00B02F55"/>
    <w:rsid w:val="00B0359A"/>
    <w:rsid w:val="00B040F7"/>
    <w:rsid w:val="00B04B34"/>
    <w:rsid w:val="00B050C1"/>
    <w:rsid w:val="00B06BFA"/>
    <w:rsid w:val="00B10D9F"/>
    <w:rsid w:val="00B117F3"/>
    <w:rsid w:val="00B119B8"/>
    <w:rsid w:val="00B11B27"/>
    <w:rsid w:val="00B15D43"/>
    <w:rsid w:val="00B16236"/>
    <w:rsid w:val="00B16244"/>
    <w:rsid w:val="00B166DF"/>
    <w:rsid w:val="00B16BDB"/>
    <w:rsid w:val="00B17078"/>
    <w:rsid w:val="00B17368"/>
    <w:rsid w:val="00B17BFA"/>
    <w:rsid w:val="00B20041"/>
    <w:rsid w:val="00B20D39"/>
    <w:rsid w:val="00B21E59"/>
    <w:rsid w:val="00B22AE1"/>
    <w:rsid w:val="00B22D1E"/>
    <w:rsid w:val="00B2362E"/>
    <w:rsid w:val="00B23CC9"/>
    <w:rsid w:val="00B248D0"/>
    <w:rsid w:val="00B24EB7"/>
    <w:rsid w:val="00B2611F"/>
    <w:rsid w:val="00B2632F"/>
    <w:rsid w:val="00B263FD"/>
    <w:rsid w:val="00B306EF"/>
    <w:rsid w:val="00B309AD"/>
    <w:rsid w:val="00B31749"/>
    <w:rsid w:val="00B319F5"/>
    <w:rsid w:val="00B31BC2"/>
    <w:rsid w:val="00B32F92"/>
    <w:rsid w:val="00B33197"/>
    <w:rsid w:val="00B335BD"/>
    <w:rsid w:val="00B33CE8"/>
    <w:rsid w:val="00B33FF4"/>
    <w:rsid w:val="00B349E3"/>
    <w:rsid w:val="00B35F49"/>
    <w:rsid w:val="00B361B2"/>
    <w:rsid w:val="00B40288"/>
    <w:rsid w:val="00B42519"/>
    <w:rsid w:val="00B42A2D"/>
    <w:rsid w:val="00B42ED1"/>
    <w:rsid w:val="00B43642"/>
    <w:rsid w:val="00B4446F"/>
    <w:rsid w:val="00B447A6"/>
    <w:rsid w:val="00B44D17"/>
    <w:rsid w:val="00B44DBE"/>
    <w:rsid w:val="00B451C2"/>
    <w:rsid w:val="00B45569"/>
    <w:rsid w:val="00B503A8"/>
    <w:rsid w:val="00B506C4"/>
    <w:rsid w:val="00B50D07"/>
    <w:rsid w:val="00B51930"/>
    <w:rsid w:val="00B52B47"/>
    <w:rsid w:val="00B52BEA"/>
    <w:rsid w:val="00B53AF3"/>
    <w:rsid w:val="00B546AE"/>
    <w:rsid w:val="00B54A9C"/>
    <w:rsid w:val="00B54E72"/>
    <w:rsid w:val="00B55071"/>
    <w:rsid w:val="00B5703C"/>
    <w:rsid w:val="00B57340"/>
    <w:rsid w:val="00B60D36"/>
    <w:rsid w:val="00B617B2"/>
    <w:rsid w:val="00B61807"/>
    <w:rsid w:val="00B61BF0"/>
    <w:rsid w:val="00B61C48"/>
    <w:rsid w:val="00B6334D"/>
    <w:rsid w:val="00B63486"/>
    <w:rsid w:val="00B636E7"/>
    <w:rsid w:val="00B6412D"/>
    <w:rsid w:val="00B65D9E"/>
    <w:rsid w:val="00B67FA6"/>
    <w:rsid w:val="00B70EAE"/>
    <w:rsid w:val="00B70F8E"/>
    <w:rsid w:val="00B71D39"/>
    <w:rsid w:val="00B75367"/>
    <w:rsid w:val="00B757B2"/>
    <w:rsid w:val="00B7586D"/>
    <w:rsid w:val="00B77101"/>
    <w:rsid w:val="00B77135"/>
    <w:rsid w:val="00B7745F"/>
    <w:rsid w:val="00B77682"/>
    <w:rsid w:val="00B77B2E"/>
    <w:rsid w:val="00B80995"/>
    <w:rsid w:val="00B82403"/>
    <w:rsid w:val="00B829C2"/>
    <w:rsid w:val="00B82B9D"/>
    <w:rsid w:val="00B8412D"/>
    <w:rsid w:val="00B84450"/>
    <w:rsid w:val="00B84DBE"/>
    <w:rsid w:val="00B86815"/>
    <w:rsid w:val="00B86C63"/>
    <w:rsid w:val="00B86E39"/>
    <w:rsid w:val="00B870ED"/>
    <w:rsid w:val="00B90DE5"/>
    <w:rsid w:val="00B92CDE"/>
    <w:rsid w:val="00B93333"/>
    <w:rsid w:val="00B93599"/>
    <w:rsid w:val="00B94AD0"/>
    <w:rsid w:val="00B95E87"/>
    <w:rsid w:val="00B970CF"/>
    <w:rsid w:val="00B97C0A"/>
    <w:rsid w:val="00B97E87"/>
    <w:rsid w:val="00BA107F"/>
    <w:rsid w:val="00BA1375"/>
    <w:rsid w:val="00BA1583"/>
    <w:rsid w:val="00BA1620"/>
    <w:rsid w:val="00BA2FCD"/>
    <w:rsid w:val="00BA5FCB"/>
    <w:rsid w:val="00BA7776"/>
    <w:rsid w:val="00BA79B4"/>
    <w:rsid w:val="00BB0CAD"/>
    <w:rsid w:val="00BB1260"/>
    <w:rsid w:val="00BB3229"/>
    <w:rsid w:val="00BB4FF1"/>
    <w:rsid w:val="00BB5572"/>
    <w:rsid w:val="00BB7529"/>
    <w:rsid w:val="00BC1C42"/>
    <w:rsid w:val="00BC25AD"/>
    <w:rsid w:val="00BC266F"/>
    <w:rsid w:val="00BC298E"/>
    <w:rsid w:val="00BC441D"/>
    <w:rsid w:val="00BC47F3"/>
    <w:rsid w:val="00BC519B"/>
    <w:rsid w:val="00BC5390"/>
    <w:rsid w:val="00BC5948"/>
    <w:rsid w:val="00BC5C16"/>
    <w:rsid w:val="00BC6183"/>
    <w:rsid w:val="00BD082E"/>
    <w:rsid w:val="00BD0D5B"/>
    <w:rsid w:val="00BD17E5"/>
    <w:rsid w:val="00BD213B"/>
    <w:rsid w:val="00BD24D7"/>
    <w:rsid w:val="00BD46CE"/>
    <w:rsid w:val="00BD4AA2"/>
    <w:rsid w:val="00BD61AF"/>
    <w:rsid w:val="00BD6CA6"/>
    <w:rsid w:val="00BD791A"/>
    <w:rsid w:val="00BE09A3"/>
    <w:rsid w:val="00BE0C37"/>
    <w:rsid w:val="00BE2711"/>
    <w:rsid w:val="00BE2A7B"/>
    <w:rsid w:val="00BE3D40"/>
    <w:rsid w:val="00BE477B"/>
    <w:rsid w:val="00BE5318"/>
    <w:rsid w:val="00BE5B1A"/>
    <w:rsid w:val="00BE63EE"/>
    <w:rsid w:val="00BF02BA"/>
    <w:rsid w:val="00BF0351"/>
    <w:rsid w:val="00BF0A72"/>
    <w:rsid w:val="00BF2496"/>
    <w:rsid w:val="00BF257F"/>
    <w:rsid w:val="00BF2603"/>
    <w:rsid w:val="00BF36BE"/>
    <w:rsid w:val="00BF3985"/>
    <w:rsid w:val="00BF39DC"/>
    <w:rsid w:val="00BF6057"/>
    <w:rsid w:val="00BF619B"/>
    <w:rsid w:val="00BF695E"/>
    <w:rsid w:val="00BF6A0A"/>
    <w:rsid w:val="00BF73C7"/>
    <w:rsid w:val="00C003D7"/>
    <w:rsid w:val="00C00408"/>
    <w:rsid w:val="00C00D4B"/>
    <w:rsid w:val="00C01903"/>
    <w:rsid w:val="00C01DE6"/>
    <w:rsid w:val="00C02BFB"/>
    <w:rsid w:val="00C04F49"/>
    <w:rsid w:val="00C050CA"/>
    <w:rsid w:val="00C05665"/>
    <w:rsid w:val="00C05AB9"/>
    <w:rsid w:val="00C068D2"/>
    <w:rsid w:val="00C077AC"/>
    <w:rsid w:val="00C100DE"/>
    <w:rsid w:val="00C102A9"/>
    <w:rsid w:val="00C106C2"/>
    <w:rsid w:val="00C109C3"/>
    <w:rsid w:val="00C109F1"/>
    <w:rsid w:val="00C122EE"/>
    <w:rsid w:val="00C1347B"/>
    <w:rsid w:val="00C13C80"/>
    <w:rsid w:val="00C13E83"/>
    <w:rsid w:val="00C174CF"/>
    <w:rsid w:val="00C20BD7"/>
    <w:rsid w:val="00C23774"/>
    <w:rsid w:val="00C247B2"/>
    <w:rsid w:val="00C24CA0"/>
    <w:rsid w:val="00C250AD"/>
    <w:rsid w:val="00C26D8E"/>
    <w:rsid w:val="00C27063"/>
    <w:rsid w:val="00C27374"/>
    <w:rsid w:val="00C2750D"/>
    <w:rsid w:val="00C301AF"/>
    <w:rsid w:val="00C30A3B"/>
    <w:rsid w:val="00C30C2D"/>
    <w:rsid w:val="00C3102D"/>
    <w:rsid w:val="00C319CE"/>
    <w:rsid w:val="00C3223A"/>
    <w:rsid w:val="00C327EF"/>
    <w:rsid w:val="00C34092"/>
    <w:rsid w:val="00C340C7"/>
    <w:rsid w:val="00C34A0B"/>
    <w:rsid w:val="00C35E39"/>
    <w:rsid w:val="00C371D6"/>
    <w:rsid w:val="00C41717"/>
    <w:rsid w:val="00C4206B"/>
    <w:rsid w:val="00C4218B"/>
    <w:rsid w:val="00C438EB"/>
    <w:rsid w:val="00C43A2C"/>
    <w:rsid w:val="00C44B36"/>
    <w:rsid w:val="00C460BD"/>
    <w:rsid w:val="00C47679"/>
    <w:rsid w:val="00C50551"/>
    <w:rsid w:val="00C519C5"/>
    <w:rsid w:val="00C523A8"/>
    <w:rsid w:val="00C52815"/>
    <w:rsid w:val="00C531DE"/>
    <w:rsid w:val="00C54D66"/>
    <w:rsid w:val="00C54EAA"/>
    <w:rsid w:val="00C55906"/>
    <w:rsid w:val="00C56497"/>
    <w:rsid w:val="00C6026B"/>
    <w:rsid w:val="00C61AA5"/>
    <w:rsid w:val="00C620BD"/>
    <w:rsid w:val="00C62EF6"/>
    <w:rsid w:val="00C63036"/>
    <w:rsid w:val="00C63541"/>
    <w:rsid w:val="00C6561A"/>
    <w:rsid w:val="00C67882"/>
    <w:rsid w:val="00C67B38"/>
    <w:rsid w:val="00C70308"/>
    <w:rsid w:val="00C71390"/>
    <w:rsid w:val="00C71FD5"/>
    <w:rsid w:val="00C72F23"/>
    <w:rsid w:val="00C7497B"/>
    <w:rsid w:val="00C763C8"/>
    <w:rsid w:val="00C80024"/>
    <w:rsid w:val="00C803A8"/>
    <w:rsid w:val="00C8176F"/>
    <w:rsid w:val="00C81920"/>
    <w:rsid w:val="00C8222F"/>
    <w:rsid w:val="00C835E2"/>
    <w:rsid w:val="00C85027"/>
    <w:rsid w:val="00C859EC"/>
    <w:rsid w:val="00C87F76"/>
    <w:rsid w:val="00C9084A"/>
    <w:rsid w:val="00C91021"/>
    <w:rsid w:val="00C92CAD"/>
    <w:rsid w:val="00C93E73"/>
    <w:rsid w:val="00C94514"/>
    <w:rsid w:val="00C94855"/>
    <w:rsid w:val="00C963AC"/>
    <w:rsid w:val="00C96E5C"/>
    <w:rsid w:val="00C976C4"/>
    <w:rsid w:val="00C97E9F"/>
    <w:rsid w:val="00CA021E"/>
    <w:rsid w:val="00CA14C7"/>
    <w:rsid w:val="00CA1604"/>
    <w:rsid w:val="00CA2599"/>
    <w:rsid w:val="00CA3099"/>
    <w:rsid w:val="00CA4D10"/>
    <w:rsid w:val="00CA647F"/>
    <w:rsid w:val="00CA71BD"/>
    <w:rsid w:val="00CA7B1A"/>
    <w:rsid w:val="00CA7B1F"/>
    <w:rsid w:val="00CA7B35"/>
    <w:rsid w:val="00CB026D"/>
    <w:rsid w:val="00CB21D7"/>
    <w:rsid w:val="00CB284B"/>
    <w:rsid w:val="00CB2C07"/>
    <w:rsid w:val="00CB2FC8"/>
    <w:rsid w:val="00CB33F4"/>
    <w:rsid w:val="00CB54ED"/>
    <w:rsid w:val="00CB624A"/>
    <w:rsid w:val="00CC07D4"/>
    <w:rsid w:val="00CC07E2"/>
    <w:rsid w:val="00CC0FC6"/>
    <w:rsid w:val="00CC1586"/>
    <w:rsid w:val="00CC227A"/>
    <w:rsid w:val="00CC416C"/>
    <w:rsid w:val="00CC4C53"/>
    <w:rsid w:val="00CC4CBE"/>
    <w:rsid w:val="00CC4DBA"/>
    <w:rsid w:val="00CC4EF2"/>
    <w:rsid w:val="00CC5086"/>
    <w:rsid w:val="00CC70FF"/>
    <w:rsid w:val="00CC7566"/>
    <w:rsid w:val="00CD0902"/>
    <w:rsid w:val="00CD11F0"/>
    <w:rsid w:val="00CD1442"/>
    <w:rsid w:val="00CD159E"/>
    <w:rsid w:val="00CD16AD"/>
    <w:rsid w:val="00CD1BC2"/>
    <w:rsid w:val="00CD2412"/>
    <w:rsid w:val="00CD27C8"/>
    <w:rsid w:val="00CD2F4E"/>
    <w:rsid w:val="00CD6471"/>
    <w:rsid w:val="00CD6EBE"/>
    <w:rsid w:val="00CD71B8"/>
    <w:rsid w:val="00CD7388"/>
    <w:rsid w:val="00CD7723"/>
    <w:rsid w:val="00CE1DF9"/>
    <w:rsid w:val="00CE2E34"/>
    <w:rsid w:val="00CE32A3"/>
    <w:rsid w:val="00CE39C1"/>
    <w:rsid w:val="00CE7A7C"/>
    <w:rsid w:val="00CE7D9D"/>
    <w:rsid w:val="00CF03C5"/>
    <w:rsid w:val="00CF125F"/>
    <w:rsid w:val="00CF16F1"/>
    <w:rsid w:val="00CF20B7"/>
    <w:rsid w:val="00CF2452"/>
    <w:rsid w:val="00CF25CF"/>
    <w:rsid w:val="00D02655"/>
    <w:rsid w:val="00D029C2"/>
    <w:rsid w:val="00D02D3E"/>
    <w:rsid w:val="00D03504"/>
    <w:rsid w:val="00D041BE"/>
    <w:rsid w:val="00D1084B"/>
    <w:rsid w:val="00D11926"/>
    <w:rsid w:val="00D12331"/>
    <w:rsid w:val="00D13274"/>
    <w:rsid w:val="00D1393C"/>
    <w:rsid w:val="00D14DB8"/>
    <w:rsid w:val="00D16A5D"/>
    <w:rsid w:val="00D17A83"/>
    <w:rsid w:val="00D21100"/>
    <w:rsid w:val="00D21771"/>
    <w:rsid w:val="00D23840"/>
    <w:rsid w:val="00D24649"/>
    <w:rsid w:val="00D24D9D"/>
    <w:rsid w:val="00D25F48"/>
    <w:rsid w:val="00D27133"/>
    <w:rsid w:val="00D27779"/>
    <w:rsid w:val="00D303FD"/>
    <w:rsid w:val="00D308D8"/>
    <w:rsid w:val="00D3142B"/>
    <w:rsid w:val="00D32662"/>
    <w:rsid w:val="00D33794"/>
    <w:rsid w:val="00D33E42"/>
    <w:rsid w:val="00D3443C"/>
    <w:rsid w:val="00D34607"/>
    <w:rsid w:val="00D3537A"/>
    <w:rsid w:val="00D37856"/>
    <w:rsid w:val="00D40D2A"/>
    <w:rsid w:val="00D41529"/>
    <w:rsid w:val="00D41BC5"/>
    <w:rsid w:val="00D425DE"/>
    <w:rsid w:val="00D42832"/>
    <w:rsid w:val="00D4338F"/>
    <w:rsid w:val="00D4394E"/>
    <w:rsid w:val="00D43F3D"/>
    <w:rsid w:val="00D45116"/>
    <w:rsid w:val="00D451BB"/>
    <w:rsid w:val="00D45FB7"/>
    <w:rsid w:val="00D50323"/>
    <w:rsid w:val="00D510C7"/>
    <w:rsid w:val="00D524AA"/>
    <w:rsid w:val="00D5288D"/>
    <w:rsid w:val="00D5425C"/>
    <w:rsid w:val="00D54553"/>
    <w:rsid w:val="00D549D5"/>
    <w:rsid w:val="00D54C8F"/>
    <w:rsid w:val="00D55046"/>
    <w:rsid w:val="00D55475"/>
    <w:rsid w:val="00D567CB"/>
    <w:rsid w:val="00D56816"/>
    <w:rsid w:val="00D56CFB"/>
    <w:rsid w:val="00D56F63"/>
    <w:rsid w:val="00D6071F"/>
    <w:rsid w:val="00D6357E"/>
    <w:rsid w:val="00D63A36"/>
    <w:rsid w:val="00D64190"/>
    <w:rsid w:val="00D641FE"/>
    <w:rsid w:val="00D644E5"/>
    <w:rsid w:val="00D6519F"/>
    <w:rsid w:val="00D6619F"/>
    <w:rsid w:val="00D70197"/>
    <w:rsid w:val="00D71184"/>
    <w:rsid w:val="00D716E9"/>
    <w:rsid w:val="00D7334B"/>
    <w:rsid w:val="00D736CA"/>
    <w:rsid w:val="00D737DC"/>
    <w:rsid w:val="00D75DEE"/>
    <w:rsid w:val="00D7778B"/>
    <w:rsid w:val="00D80448"/>
    <w:rsid w:val="00D80DA4"/>
    <w:rsid w:val="00D8411C"/>
    <w:rsid w:val="00D84F68"/>
    <w:rsid w:val="00D85449"/>
    <w:rsid w:val="00D856D8"/>
    <w:rsid w:val="00D85DB1"/>
    <w:rsid w:val="00D8775B"/>
    <w:rsid w:val="00D87EC4"/>
    <w:rsid w:val="00D9162E"/>
    <w:rsid w:val="00D9177C"/>
    <w:rsid w:val="00D928DC"/>
    <w:rsid w:val="00D93BBA"/>
    <w:rsid w:val="00D943CA"/>
    <w:rsid w:val="00D94CEE"/>
    <w:rsid w:val="00D94FF3"/>
    <w:rsid w:val="00D95954"/>
    <w:rsid w:val="00D96358"/>
    <w:rsid w:val="00D974FD"/>
    <w:rsid w:val="00D975B5"/>
    <w:rsid w:val="00DA151D"/>
    <w:rsid w:val="00DA20D3"/>
    <w:rsid w:val="00DA2391"/>
    <w:rsid w:val="00DA47A4"/>
    <w:rsid w:val="00DA7537"/>
    <w:rsid w:val="00DB10CD"/>
    <w:rsid w:val="00DB112D"/>
    <w:rsid w:val="00DB3227"/>
    <w:rsid w:val="00DB349A"/>
    <w:rsid w:val="00DB550D"/>
    <w:rsid w:val="00DB5590"/>
    <w:rsid w:val="00DB5A26"/>
    <w:rsid w:val="00DB658B"/>
    <w:rsid w:val="00DB67EF"/>
    <w:rsid w:val="00DB7060"/>
    <w:rsid w:val="00DC0527"/>
    <w:rsid w:val="00DC0D61"/>
    <w:rsid w:val="00DC2B74"/>
    <w:rsid w:val="00DC33FD"/>
    <w:rsid w:val="00DC3501"/>
    <w:rsid w:val="00DC37E2"/>
    <w:rsid w:val="00DC5682"/>
    <w:rsid w:val="00DC5692"/>
    <w:rsid w:val="00DC5891"/>
    <w:rsid w:val="00DC6215"/>
    <w:rsid w:val="00DC62C4"/>
    <w:rsid w:val="00DD1A48"/>
    <w:rsid w:val="00DD23F8"/>
    <w:rsid w:val="00DD3775"/>
    <w:rsid w:val="00DD4DAB"/>
    <w:rsid w:val="00DD5402"/>
    <w:rsid w:val="00DD5B4A"/>
    <w:rsid w:val="00DD5D5C"/>
    <w:rsid w:val="00DE0A4A"/>
    <w:rsid w:val="00DE1318"/>
    <w:rsid w:val="00DE2B1D"/>
    <w:rsid w:val="00DE3B9E"/>
    <w:rsid w:val="00DE3FF9"/>
    <w:rsid w:val="00DE48F2"/>
    <w:rsid w:val="00DE5B04"/>
    <w:rsid w:val="00DE5FB2"/>
    <w:rsid w:val="00DE6EF1"/>
    <w:rsid w:val="00DF015C"/>
    <w:rsid w:val="00DF0928"/>
    <w:rsid w:val="00DF10BC"/>
    <w:rsid w:val="00DF1669"/>
    <w:rsid w:val="00DF1C95"/>
    <w:rsid w:val="00DF2A2F"/>
    <w:rsid w:val="00DF2FC0"/>
    <w:rsid w:val="00DF3BA2"/>
    <w:rsid w:val="00DF4A92"/>
    <w:rsid w:val="00DF538E"/>
    <w:rsid w:val="00DF586B"/>
    <w:rsid w:val="00DF69DF"/>
    <w:rsid w:val="00E000CE"/>
    <w:rsid w:val="00E010CA"/>
    <w:rsid w:val="00E0199F"/>
    <w:rsid w:val="00E01AB7"/>
    <w:rsid w:val="00E0266E"/>
    <w:rsid w:val="00E02AF3"/>
    <w:rsid w:val="00E03E0C"/>
    <w:rsid w:val="00E05394"/>
    <w:rsid w:val="00E05CDE"/>
    <w:rsid w:val="00E0658A"/>
    <w:rsid w:val="00E068D8"/>
    <w:rsid w:val="00E06C54"/>
    <w:rsid w:val="00E072B4"/>
    <w:rsid w:val="00E07D91"/>
    <w:rsid w:val="00E1019C"/>
    <w:rsid w:val="00E108A6"/>
    <w:rsid w:val="00E13791"/>
    <w:rsid w:val="00E1381C"/>
    <w:rsid w:val="00E13D84"/>
    <w:rsid w:val="00E16A2A"/>
    <w:rsid w:val="00E16AEA"/>
    <w:rsid w:val="00E1730F"/>
    <w:rsid w:val="00E2240C"/>
    <w:rsid w:val="00E22BE1"/>
    <w:rsid w:val="00E22CFB"/>
    <w:rsid w:val="00E2493D"/>
    <w:rsid w:val="00E25521"/>
    <w:rsid w:val="00E26F42"/>
    <w:rsid w:val="00E27F48"/>
    <w:rsid w:val="00E306CF"/>
    <w:rsid w:val="00E3139C"/>
    <w:rsid w:val="00E31835"/>
    <w:rsid w:val="00E31A96"/>
    <w:rsid w:val="00E324C1"/>
    <w:rsid w:val="00E3295D"/>
    <w:rsid w:val="00E33F78"/>
    <w:rsid w:val="00E344A3"/>
    <w:rsid w:val="00E35454"/>
    <w:rsid w:val="00E3612B"/>
    <w:rsid w:val="00E365A9"/>
    <w:rsid w:val="00E365CE"/>
    <w:rsid w:val="00E37030"/>
    <w:rsid w:val="00E375DF"/>
    <w:rsid w:val="00E40B53"/>
    <w:rsid w:val="00E445A6"/>
    <w:rsid w:val="00E452BF"/>
    <w:rsid w:val="00E45726"/>
    <w:rsid w:val="00E4583A"/>
    <w:rsid w:val="00E46C77"/>
    <w:rsid w:val="00E46D61"/>
    <w:rsid w:val="00E47259"/>
    <w:rsid w:val="00E477E3"/>
    <w:rsid w:val="00E47B27"/>
    <w:rsid w:val="00E5095F"/>
    <w:rsid w:val="00E5130A"/>
    <w:rsid w:val="00E51811"/>
    <w:rsid w:val="00E54909"/>
    <w:rsid w:val="00E555EB"/>
    <w:rsid w:val="00E57749"/>
    <w:rsid w:val="00E57C60"/>
    <w:rsid w:val="00E61284"/>
    <w:rsid w:val="00E62CCE"/>
    <w:rsid w:val="00E65386"/>
    <w:rsid w:val="00E65C79"/>
    <w:rsid w:val="00E667FB"/>
    <w:rsid w:val="00E71C1A"/>
    <w:rsid w:val="00E73A7C"/>
    <w:rsid w:val="00E747B5"/>
    <w:rsid w:val="00E75154"/>
    <w:rsid w:val="00E75F60"/>
    <w:rsid w:val="00E76194"/>
    <w:rsid w:val="00E76C8D"/>
    <w:rsid w:val="00E76DA3"/>
    <w:rsid w:val="00E77038"/>
    <w:rsid w:val="00E776BE"/>
    <w:rsid w:val="00E80892"/>
    <w:rsid w:val="00E80B9B"/>
    <w:rsid w:val="00E80E81"/>
    <w:rsid w:val="00E8180C"/>
    <w:rsid w:val="00E81DCC"/>
    <w:rsid w:val="00E81E47"/>
    <w:rsid w:val="00E823D1"/>
    <w:rsid w:val="00E829DD"/>
    <w:rsid w:val="00E83167"/>
    <w:rsid w:val="00E83943"/>
    <w:rsid w:val="00E83CEA"/>
    <w:rsid w:val="00E8494E"/>
    <w:rsid w:val="00E85971"/>
    <w:rsid w:val="00E85B39"/>
    <w:rsid w:val="00E8632A"/>
    <w:rsid w:val="00E867BA"/>
    <w:rsid w:val="00E86C90"/>
    <w:rsid w:val="00E87743"/>
    <w:rsid w:val="00E911D7"/>
    <w:rsid w:val="00E91383"/>
    <w:rsid w:val="00E93A3B"/>
    <w:rsid w:val="00E93DB7"/>
    <w:rsid w:val="00E94962"/>
    <w:rsid w:val="00E96684"/>
    <w:rsid w:val="00E96D41"/>
    <w:rsid w:val="00E96FD2"/>
    <w:rsid w:val="00E97192"/>
    <w:rsid w:val="00E977D6"/>
    <w:rsid w:val="00EA02E4"/>
    <w:rsid w:val="00EA0C63"/>
    <w:rsid w:val="00EA0D4F"/>
    <w:rsid w:val="00EA1E12"/>
    <w:rsid w:val="00EA2341"/>
    <w:rsid w:val="00EA2F51"/>
    <w:rsid w:val="00EA34BE"/>
    <w:rsid w:val="00EA3998"/>
    <w:rsid w:val="00EA3F2B"/>
    <w:rsid w:val="00EA4903"/>
    <w:rsid w:val="00EA58DF"/>
    <w:rsid w:val="00EA5A4F"/>
    <w:rsid w:val="00EA7CBE"/>
    <w:rsid w:val="00EB0D57"/>
    <w:rsid w:val="00EB0FAC"/>
    <w:rsid w:val="00EB1235"/>
    <w:rsid w:val="00EB12FE"/>
    <w:rsid w:val="00EB1AD8"/>
    <w:rsid w:val="00EB2B81"/>
    <w:rsid w:val="00EB3197"/>
    <w:rsid w:val="00EB41F8"/>
    <w:rsid w:val="00EB6113"/>
    <w:rsid w:val="00EB69EE"/>
    <w:rsid w:val="00EB6E28"/>
    <w:rsid w:val="00EC1877"/>
    <w:rsid w:val="00EC296D"/>
    <w:rsid w:val="00EC2B0E"/>
    <w:rsid w:val="00EC2C2A"/>
    <w:rsid w:val="00EC34DE"/>
    <w:rsid w:val="00EC3A4F"/>
    <w:rsid w:val="00EC4CF5"/>
    <w:rsid w:val="00EC5B5E"/>
    <w:rsid w:val="00EC5D0E"/>
    <w:rsid w:val="00EC6663"/>
    <w:rsid w:val="00EC7CA7"/>
    <w:rsid w:val="00ED078C"/>
    <w:rsid w:val="00ED13AF"/>
    <w:rsid w:val="00ED1738"/>
    <w:rsid w:val="00ED17C0"/>
    <w:rsid w:val="00ED29AB"/>
    <w:rsid w:val="00ED2C39"/>
    <w:rsid w:val="00ED38E2"/>
    <w:rsid w:val="00ED49EB"/>
    <w:rsid w:val="00ED5405"/>
    <w:rsid w:val="00ED5462"/>
    <w:rsid w:val="00ED5513"/>
    <w:rsid w:val="00ED7C43"/>
    <w:rsid w:val="00EE2AD0"/>
    <w:rsid w:val="00EE3B7F"/>
    <w:rsid w:val="00EE3DC6"/>
    <w:rsid w:val="00EE4EDB"/>
    <w:rsid w:val="00EE6BAD"/>
    <w:rsid w:val="00EE7C99"/>
    <w:rsid w:val="00EF0AB5"/>
    <w:rsid w:val="00EF1575"/>
    <w:rsid w:val="00EF181D"/>
    <w:rsid w:val="00EF2011"/>
    <w:rsid w:val="00EF2540"/>
    <w:rsid w:val="00EF41E8"/>
    <w:rsid w:val="00EF4C4B"/>
    <w:rsid w:val="00EF5F0F"/>
    <w:rsid w:val="00EF5F9B"/>
    <w:rsid w:val="00EF6891"/>
    <w:rsid w:val="00EF7823"/>
    <w:rsid w:val="00EF7B49"/>
    <w:rsid w:val="00EF7EAA"/>
    <w:rsid w:val="00F03760"/>
    <w:rsid w:val="00F037B6"/>
    <w:rsid w:val="00F038C4"/>
    <w:rsid w:val="00F03975"/>
    <w:rsid w:val="00F04B32"/>
    <w:rsid w:val="00F05358"/>
    <w:rsid w:val="00F06217"/>
    <w:rsid w:val="00F06ACF"/>
    <w:rsid w:val="00F06FC0"/>
    <w:rsid w:val="00F07583"/>
    <w:rsid w:val="00F07710"/>
    <w:rsid w:val="00F07AEF"/>
    <w:rsid w:val="00F11307"/>
    <w:rsid w:val="00F11C23"/>
    <w:rsid w:val="00F12016"/>
    <w:rsid w:val="00F12BF3"/>
    <w:rsid w:val="00F131A1"/>
    <w:rsid w:val="00F137A3"/>
    <w:rsid w:val="00F1609E"/>
    <w:rsid w:val="00F1738A"/>
    <w:rsid w:val="00F22E16"/>
    <w:rsid w:val="00F24295"/>
    <w:rsid w:val="00F24778"/>
    <w:rsid w:val="00F2638B"/>
    <w:rsid w:val="00F264D3"/>
    <w:rsid w:val="00F26E76"/>
    <w:rsid w:val="00F30A5E"/>
    <w:rsid w:val="00F31044"/>
    <w:rsid w:val="00F31D68"/>
    <w:rsid w:val="00F3229D"/>
    <w:rsid w:val="00F33C10"/>
    <w:rsid w:val="00F3407A"/>
    <w:rsid w:val="00F34E51"/>
    <w:rsid w:val="00F3572A"/>
    <w:rsid w:val="00F35F49"/>
    <w:rsid w:val="00F37628"/>
    <w:rsid w:val="00F37AC3"/>
    <w:rsid w:val="00F37D02"/>
    <w:rsid w:val="00F41241"/>
    <w:rsid w:val="00F41937"/>
    <w:rsid w:val="00F429AC"/>
    <w:rsid w:val="00F43A08"/>
    <w:rsid w:val="00F448C8"/>
    <w:rsid w:val="00F44D1B"/>
    <w:rsid w:val="00F4501E"/>
    <w:rsid w:val="00F45623"/>
    <w:rsid w:val="00F46473"/>
    <w:rsid w:val="00F472DA"/>
    <w:rsid w:val="00F47B9B"/>
    <w:rsid w:val="00F502D7"/>
    <w:rsid w:val="00F50F64"/>
    <w:rsid w:val="00F5284A"/>
    <w:rsid w:val="00F5312F"/>
    <w:rsid w:val="00F53A16"/>
    <w:rsid w:val="00F540BB"/>
    <w:rsid w:val="00F541A4"/>
    <w:rsid w:val="00F55CEB"/>
    <w:rsid w:val="00F55EAD"/>
    <w:rsid w:val="00F57C00"/>
    <w:rsid w:val="00F60144"/>
    <w:rsid w:val="00F601A5"/>
    <w:rsid w:val="00F601CD"/>
    <w:rsid w:val="00F61BB2"/>
    <w:rsid w:val="00F6230A"/>
    <w:rsid w:val="00F638C8"/>
    <w:rsid w:val="00F63E5B"/>
    <w:rsid w:val="00F648AE"/>
    <w:rsid w:val="00F659B8"/>
    <w:rsid w:val="00F67734"/>
    <w:rsid w:val="00F678D3"/>
    <w:rsid w:val="00F67AC4"/>
    <w:rsid w:val="00F71115"/>
    <w:rsid w:val="00F72F1C"/>
    <w:rsid w:val="00F7476F"/>
    <w:rsid w:val="00F758A3"/>
    <w:rsid w:val="00F75E0B"/>
    <w:rsid w:val="00F761EB"/>
    <w:rsid w:val="00F76CD0"/>
    <w:rsid w:val="00F7749C"/>
    <w:rsid w:val="00F82195"/>
    <w:rsid w:val="00F82279"/>
    <w:rsid w:val="00F83B92"/>
    <w:rsid w:val="00F83F3A"/>
    <w:rsid w:val="00F83F68"/>
    <w:rsid w:val="00F8539C"/>
    <w:rsid w:val="00F857D5"/>
    <w:rsid w:val="00F86E0F"/>
    <w:rsid w:val="00F870A0"/>
    <w:rsid w:val="00F873A6"/>
    <w:rsid w:val="00F87BA9"/>
    <w:rsid w:val="00F9031D"/>
    <w:rsid w:val="00F91242"/>
    <w:rsid w:val="00F918A2"/>
    <w:rsid w:val="00F9210E"/>
    <w:rsid w:val="00F92C6F"/>
    <w:rsid w:val="00F938C3"/>
    <w:rsid w:val="00F93A80"/>
    <w:rsid w:val="00F93B9A"/>
    <w:rsid w:val="00F93CA1"/>
    <w:rsid w:val="00F970E9"/>
    <w:rsid w:val="00FA1C7A"/>
    <w:rsid w:val="00FA2580"/>
    <w:rsid w:val="00FA3553"/>
    <w:rsid w:val="00FA3A77"/>
    <w:rsid w:val="00FA41D7"/>
    <w:rsid w:val="00FA6A20"/>
    <w:rsid w:val="00FA7271"/>
    <w:rsid w:val="00FB0142"/>
    <w:rsid w:val="00FB19BF"/>
    <w:rsid w:val="00FB1DB9"/>
    <w:rsid w:val="00FB3B55"/>
    <w:rsid w:val="00FB4622"/>
    <w:rsid w:val="00FB7722"/>
    <w:rsid w:val="00FB78D2"/>
    <w:rsid w:val="00FB7A7D"/>
    <w:rsid w:val="00FB7B6F"/>
    <w:rsid w:val="00FB7DC9"/>
    <w:rsid w:val="00FC2BFF"/>
    <w:rsid w:val="00FC46D0"/>
    <w:rsid w:val="00FC4AB6"/>
    <w:rsid w:val="00FD0257"/>
    <w:rsid w:val="00FD0D2D"/>
    <w:rsid w:val="00FD16F4"/>
    <w:rsid w:val="00FD3DB8"/>
    <w:rsid w:val="00FD4161"/>
    <w:rsid w:val="00FD5A7F"/>
    <w:rsid w:val="00FD5B38"/>
    <w:rsid w:val="00FD5E6E"/>
    <w:rsid w:val="00FD6313"/>
    <w:rsid w:val="00FD6CA2"/>
    <w:rsid w:val="00FD76E2"/>
    <w:rsid w:val="00FD77BA"/>
    <w:rsid w:val="00FE1457"/>
    <w:rsid w:val="00FE16E9"/>
    <w:rsid w:val="00FE2139"/>
    <w:rsid w:val="00FE3455"/>
    <w:rsid w:val="00FE4DC9"/>
    <w:rsid w:val="00FE5EF3"/>
    <w:rsid w:val="00FE627C"/>
    <w:rsid w:val="00FE631E"/>
    <w:rsid w:val="00FE7E60"/>
    <w:rsid w:val="00FF281E"/>
    <w:rsid w:val="00FF2EAC"/>
    <w:rsid w:val="00FF347B"/>
    <w:rsid w:val="00FF394B"/>
    <w:rsid w:val="00FF417A"/>
    <w:rsid w:val="00FF55F6"/>
    <w:rsid w:val="011356E5"/>
    <w:rsid w:val="011D097E"/>
    <w:rsid w:val="014339FC"/>
    <w:rsid w:val="016012A3"/>
    <w:rsid w:val="01734C9A"/>
    <w:rsid w:val="017F00BE"/>
    <w:rsid w:val="019313F3"/>
    <w:rsid w:val="01AD407B"/>
    <w:rsid w:val="01EE0E65"/>
    <w:rsid w:val="02086644"/>
    <w:rsid w:val="02171351"/>
    <w:rsid w:val="02520939"/>
    <w:rsid w:val="025949CF"/>
    <w:rsid w:val="02D3318B"/>
    <w:rsid w:val="03091AF6"/>
    <w:rsid w:val="03183AFB"/>
    <w:rsid w:val="03624C71"/>
    <w:rsid w:val="03741107"/>
    <w:rsid w:val="03B16233"/>
    <w:rsid w:val="03CB0E76"/>
    <w:rsid w:val="03E76638"/>
    <w:rsid w:val="04252ACA"/>
    <w:rsid w:val="04514414"/>
    <w:rsid w:val="045821A5"/>
    <w:rsid w:val="046A4B2B"/>
    <w:rsid w:val="04E22225"/>
    <w:rsid w:val="050F3CA1"/>
    <w:rsid w:val="051A60E2"/>
    <w:rsid w:val="05477CE2"/>
    <w:rsid w:val="05631E2F"/>
    <w:rsid w:val="0566445F"/>
    <w:rsid w:val="05AF0BB2"/>
    <w:rsid w:val="05B61C08"/>
    <w:rsid w:val="05D128CC"/>
    <w:rsid w:val="05D9140C"/>
    <w:rsid w:val="05E05AE6"/>
    <w:rsid w:val="061943FF"/>
    <w:rsid w:val="06377F42"/>
    <w:rsid w:val="065E51AF"/>
    <w:rsid w:val="06617320"/>
    <w:rsid w:val="06830D80"/>
    <w:rsid w:val="06990A33"/>
    <w:rsid w:val="06D43163"/>
    <w:rsid w:val="06E12000"/>
    <w:rsid w:val="07122436"/>
    <w:rsid w:val="07241BDC"/>
    <w:rsid w:val="07B74166"/>
    <w:rsid w:val="07B815CF"/>
    <w:rsid w:val="07BE2D2A"/>
    <w:rsid w:val="08275501"/>
    <w:rsid w:val="086343B7"/>
    <w:rsid w:val="08814E1C"/>
    <w:rsid w:val="088E44EF"/>
    <w:rsid w:val="08DD1CD2"/>
    <w:rsid w:val="08F834A4"/>
    <w:rsid w:val="08FB4209"/>
    <w:rsid w:val="09111754"/>
    <w:rsid w:val="09146CF6"/>
    <w:rsid w:val="09634A80"/>
    <w:rsid w:val="096E5640"/>
    <w:rsid w:val="097777D8"/>
    <w:rsid w:val="09A9733D"/>
    <w:rsid w:val="09DB178B"/>
    <w:rsid w:val="0A327AF6"/>
    <w:rsid w:val="0A8E2D79"/>
    <w:rsid w:val="0AF11267"/>
    <w:rsid w:val="0AF828A8"/>
    <w:rsid w:val="0B237956"/>
    <w:rsid w:val="0B2D60C8"/>
    <w:rsid w:val="0B547D8A"/>
    <w:rsid w:val="0BAC4E76"/>
    <w:rsid w:val="0BBF6DE6"/>
    <w:rsid w:val="0BC37B46"/>
    <w:rsid w:val="0BCE19EA"/>
    <w:rsid w:val="0BD74118"/>
    <w:rsid w:val="0BDE601C"/>
    <w:rsid w:val="0BFC70B6"/>
    <w:rsid w:val="0C2457C3"/>
    <w:rsid w:val="0C2E2837"/>
    <w:rsid w:val="0C5527FF"/>
    <w:rsid w:val="0C787851"/>
    <w:rsid w:val="0CBA3CCA"/>
    <w:rsid w:val="0CF447C9"/>
    <w:rsid w:val="0D242C46"/>
    <w:rsid w:val="0D385BF4"/>
    <w:rsid w:val="0D412E52"/>
    <w:rsid w:val="0D673207"/>
    <w:rsid w:val="0D8577AE"/>
    <w:rsid w:val="0DAA5ABE"/>
    <w:rsid w:val="0DAA7F3D"/>
    <w:rsid w:val="0DF70424"/>
    <w:rsid w:val="0E363658"/>
    <w:rsid w:val="0E4D12B0"/>
    <w:rsid w:val="0E5F29B9"/>
    <w:rsid w:val="0E7413F1"/>
    <w:rsid w:val="0EB23642"/>
    <w:rsid w:val="0EDC0FD2"/>
    <w:rsid w:val="0EED7773"/>
    <w:rsid w:val="0F3A6325"/>
    <w:rsid w:val="0F6429F4"/>
    <w:rsid w:val="10425015"/>
    <w:rsid w:val="10545C66"/>
    <w:rsid w:val="108F2DF2"/>
    <w:rsid w:val="10AB3E62"/>
    <w:rsid w:val="10B93C4A"/>
    <w:rsid w:val="10C60BC6"/>
    <w:rsid w:val="10CF12E3"/>
    <w:rsid w:val="10E756D1"/>
    <w:rsid w:val="11921F12"/>
    <w:rsid w:val="11A83297"/>
    <w:rsid w:val="11B3147D"/>
    <w:rsid w:val="11FB4A79"/>
    <w:rsid w:val="12035AC8"/>
    <w:rsid w:val="12331888"/>
    <w:rsid w:val="123E03BF"/>
    <w:rsid w:val="12494646"/>
    <w:rsid w:val="12D82672"/>
    <w:rsid w:val="12EC6629"/>
    <w:rsid w:val="130C6501"/>
    <w:rsid w:val="1346394B"/>
    <w:rsid w:val="137E5EDD"/>
    <w:rsid w:val="139D5C42"/>
    <w:rsid w:val="13C62B7F"/>
    <w:rsid w:val="14071BE6"/>
    <w:rsid w:val="140F4B8A"/>
    <w:rsid w:val="1490128E"/>
    <w:rsid w:val="14F62E1F"/>
    <w:rsid w:val="15057BE3"/>
    <w:rsid w:val="15390943"/>
    <w:rsid w:val="154528E5"/>
    <w:rsid w:val="15690415"/>
    <w:rsid w:val="159652A1"/>
    <w:rsid w:val="15A42EF9"/>
    <w:rsid w:val="15D44842"/>
    <w:rsid w:val="15DA5B35"/>
    <w:rsid w:val="15EC321A"/>
    <w:rsid w:val="16020877"/>
    <w:rsid w:val="16052F16"/>
    <w:rsid w:val="160C5586"/>
    <w:rsid w:val="163F094D"/>
    <w:rsid w:val="16D73551"/>
    <w:rsid w:val="16F07C39"/>
    <w:rsid w:val="17424B9E"/>
    <w:rsid w:val="174A6136"/>
    <w:rsid w:val="174B0F09"/>
    <w:rsid w:val="179E1623"/>
    <w:rsid w:val="17FF32FE"/>
    <w:rsid w:val="18465112"/>
    <w:rsid w:val="18E22FE6"/>
    <w:rsid w:val="18F52793"/>
    <w:rsid w:val="193F01F4"/>
    <w:rsid w:val="196A4A58"/>
    <w:rsid w:val="196B728C"/>
    <w:rsid w:val="198A74EC"/>
    <w:rsid w:val="1992459C"/>
    <w:rsid w:val="19D4192B"/>
    <w:rsid w:val="19F72165"/>
    <w:rsid w:val="19FC771B"/>
    <w:rsid w:val="1A16112A"/>
    <w:rsid w:val="1A1F7F5A"/>
    <w:rsid w:val="1A447B86"/>
    <w:rsid w:val="1A8C745C"/>
    <w:rsid w:val="1ACD6EFA"/>
    <w:rsid w:val="1AE973D9"/>
    <w:rsid w:val="1B1568A6"/>
    <w:rsid w:val="1BAE580A"/>
    <w:rsid w:val="1BED457E"/>
    <w:rsid w:val="1C8B331C"/>
    <w:rsid w:val="1C96542B"/>
    <w:rsid w:val="1CF04A25"/>
    <w:rsid w:val="1D643EE2"/>
    <w:rsid w:val="1D9E3F16"/>
    <w:rsid w:val="1DA635B4"/>
    <w:rsid w:val="1DFC3C50"/>
    <w:rsid w:val="1E087A9E"/>
    <w:rsid w:val="1E483175"/>
    <w:rsid w:val="1E631750"/>
    <w:rsid w:val="1E765F58"/>
    <w:rsid w:val="1F2409F2"/>
    <w:rsid w:val="1F39041E"/>
    <w:rsid w:val="1F513FF5"/>
    <w:rsid w:val="1FC40F09"/>
    <w:rsid w:val="1FCE7EE8"/>
    <w:rsid w:val="201B6242"/>
    <w:rsid w:val="202444A6"/>
    <w:rsid w:val="203C65AB"/>
    <w:rsid w:val="20E20454"/>
    <w:rsid w:val="20EA5E13"/>
    <w:rsid w:val="214F4E03"/>
    <w:rsid w:val="218D5129"/>
    <w:rsid w:val="220F27A9"/>
    <w:rsid w:val="22A10070"/>
    <w:rsid w:val="22A21DDD"/>
    <w:rsid w:val="22C21AE5"/>
    <w:rsid w:val="22C2643B"/>
    <w:rsid w:val="230124BE"/>
    <w:rsid w:val="23C152D8"/>
    <w:rsid w:val="23CC3299"/>
    <w:rsid w:val="23D33A01"/>
    <w:rsid w:val="23EF7E98"/>
    <w:rsid w:val="241378D4"/>
    <w:rsid w:val="241A5F8A"/>
    <w:rsid w:val="2422186C"/>
    <w:rsid w:val="246A1708"/>
    <w:rsid w:val="24BA689B"/>
    <w:rsid w:val="24DB005F"/>
    <w:rsid w:val="24DD5ED0"/>
    <w:rsid w:val="250E2E7E"/>
    <w:rsid w:val="25137B96"/>
    <w:rsid w:val="25F34B7A"/>
    <w:rsid w:val="26401B11"/>
    <w:rsid w:val="264B529E"/>
    <w:rsid w:val="26B64D18"/>
    <w:rsid w:val="26EB3090"/>
    <w:rsid w:val="26F504C1"/>
    <w:rsid w:val="26FF5642"/>
    <w:rsid w:val="27033603"/>
    <w:rsid w:val="27193F9A"/>
    <w:rsid w:val="27494841"/>
    <w:rsid w:val="27572064"/>
    <w:rsid w:val="276D6886"/>
    <w:rsid w:val="278B5CA0"/>
    <w:rsid w:val="27F72BB0"/>
    <w:rsid w:val="28B56C9F"/>
    <w:rsid w:val="28BF7F9E"/>
    <w:rsid w:val="28EE381A"/>
    <w:rsid w:val="291A329E"/>
    <w:rsid w:val="291C2D57"/>
    <w:rsid w:val="292235D5"/>
    <w:rsid w:val="29473967"/>
    <w:rsid w:val="294E02E9"/>
    <w:rsid w:val="29793DA0"/>
    <w:rsid w:val="298A3D18"/>
    <w:rsid w:val="29DB1330"/>
    <w:rsid w:val="29ED1FC6"/>
    <w:rsid w:val="2A180331"/>
    <w:rsid w:val="2A364245"/>
    <w:rsid w:val="2AAF458B"/>
    <w:rsid w:val="2ADB206E"/>
    <w:rsid w:val="2AF528AC"/>
    <w:rsid w:val="2B382EE8"/>
    <w:rsid w:val="2B4C0EA1"/>
    <w:rsid w:val="2B984636"/>
    <w:rsid w:val="2BFD285D"/>
    <w:rsid w:val="2C083AB1"/>
    <w:rsid w:val="2C2125DA"/>
    <w:rsid w:val="2C4A30B0"/>
    <w:rsid w:val="2C504577"/>
    <w:rsid w:val="2C647B32"/>
    <w:rsid w:val="2C777AD4"/>
    <w:rsid w:val="2CA320FD"/>
    <w:rsid w:val="2CC17F55"/>
    <w:rsid w:val="2CD05EA2"/>
    <w:rsid w:val="2D162BA0"/>
    <w:rsid w:val="2D657AA5"/>
    <w:rsid w:val="2D9512E1"/>
    <w:rsid w:val="2DB148DD"/>
    <w:rsid w:val="2E240406"/>
    <w:rsid w:val="2E685C10"/>
    <w:rsid w:val="2E7A32E2"/>
    <w:rsid w:val="2E814B7A"/>
    <w:rsid w:val="2EB02E2C"/>
    <w:rsid w:val="2EE82CC0"/>
    <w:rsid w:val="2F7F109D"/>
    <w:rsid w:val="2FAF202D"/>
    <w:rsid w:val="304815BA"/>
    <w:rsid w:val="304F13E9"/>
    <w:rsid w:val="306D35A1"/>
    <w:rsid w:val="3084182E"/>
    <w:rsid w:val="30E05A0E"/>
    <w:rsid w:val="312807D8"/>
    <w:rsid w:val="319B4E33"/>
    <w:rsid w:val="31AC45F5"/>
    <w:rsid w:val="31C34DB5"/>
    <w:rsid w:val="31C822C8"/>
    <w:rsid w:val="320774F9"/>
    <w:rsid w:val="32217B84"/>
    <w:rsid w:val="322411F9"/>
    <w:rsid w:val="32370691"/>
    <w:rsid w:val="32701B88"/>
    <w:rsid w:val="32C129FF"/>
    <w:rsid w:val="32D32D15"/>
    <w:rsid w:val="32F523FF"/>
    <w:rsid w:val="33335C72"/>
    <w:rsid w:val="33522BDB"/>
    <w:rsid w:val="33875522"/>
    <w:rsid w:val="3392065F"/>
    <w:rsid w:val="33D452C4"/>
    <w:rsid w:val="341244F5"/>
    <w:rsid w:val="34723DA6"/>
    <w:rsid w:val="349E101F"/>
    <w:rsid w:val="35036D94"/>
    <w:rsid w:val="35662D4A"/>
    <w:rsid w:val="35705EC7"/>
    <w:rsid w:val="35F41654"/>
    <w:rsid w:val="366038C9"/>
    <w:rsid w:val="36EC4625"/>
    <w:rsid w:val="378E6EF8"/>
    <w:rsid w:val="37997ABA"/>
    <w:rsid w:val="38384DF7"/>
    <w:rsid w:val="38617E74"/>
    <w:rsid w:val="38713745"/>
    <w:rsid w:val="387F639C"/>
    <w:rsid w:val="38B365E1"/>
    <w:rsid w:val="38CB2430"/>
    <w:rsid w:val="38D97BAB"/>
    <w:rsid w:val="39612298"/>
    <w:rsid w:val="39770B16"/>
    <w:rsid w:val="39F51671"/>
    <w:rsid w:val="3A01227B"/>
    <w:rsid w:val="3A990FC9"/>
    <w:rsid w:val="3A995F30"/>
    <w:rsid w:val="3AD71848"/>
    <w:rsid w:val="3B1402EC"/>
    <w:rsid w:val="3B3A47FB"/>
    <w:rsid w:val="3B524E4D"/>
    <w:rsid w:val="3B7857F3"/>
    <w:rsid w:val="3BA86FC4"/>
    <w:rsid w:val="3BBA632F"/>
    <w:rsid w:val="3BC25921"/>
    <w:rsid w:val="3BE6299C"/>
    <w:rsid w:val="3C41643C"/>
    <w:rsid w:val="3CC4032F"/>
    <w:rsid w:val="3CCB4AEE"/>
    <w:rsid w:val="3CD65228"/>
    <w:rsid w:val="3D9C45CC"/>
    <w:rsid w:val="3DFF5E03"/>
    <w:rsid w:val="3E23271A"/>
    <w:rsid w:val="3E4F686D"/>
    <w:rsid w:val="3E6F5C9C"/>
    <w:rsid w:val="3EC81022"/>
    <w:rsid w:val="3EE57EDA"/>
    <w:rsid w:val="3F783A6D"/>
    <w:rsid w:val="3FC10692"/>
    <w:rsid w:val="3FF73E65"/>
    <w:rsid w:val="40380032"/>
    <w:rsid w:val="40467261"/>
    <w:rsid w:val="406C04E1"/>
    <w:rsid w:val="407143FB"/>
    <w:rsid w:val="408510B1"/>
    <w:rsid w:val="409A5C4F"/>
    <w:rsid w:val="40EB790F"/>
    <w:rsid w:val="411C4A96"/>
    <w:rsid w:val="4203240B"/>
    <w:rsid w:val="425501B8"/>
    <w:rsid w:val="425D6927"/>
    <w:rsid w:val="42D64297"/>
    <w:rsid w:val="432156F9"/>
    <w:rsid w:val="435A187C"/>
    <w:rsid w:val="43694385"/>
    <w:rsid w:val="441D3268"/>
    <w:rsid w:val="44844259"/>
    <w:rsid w:val="44DD49C5"/>
    <w:rsid w:val="45544A97"/>
    <w:rsid w:val="459557B0"/>
    <w:rsid w:val="45957433"/>
    <w:rsid w:val="45CE52AC"/>
    <w:rsid w:val="45E6134F"/>
    <w:rsid w:val="460D2EC2"/>
    <w:rsid w:val="46402594"/>
    <w:rsid w:val="465A3A2C"/>
    <w:rsid w:val="467B5B6C"/>
    <w:rsid w:val="468F43F1"/>
    <w:rsid w:val="4743554F"/>
    <w:rsid w:val="47501B15"/>
    <w:rsid w:val="47604AB6"/>
    <w:rsid w:val="47E8036D"/>
    <w:rsid w:val="47E83FD6"/>
    <w:rsid w:val="48694F0F"/>
    <w:rsid w:val="487051A5"/>
    <w:rsid w:val="48CA34DC"/>
    <w:rsid w:val="48DF319F"/>
    <w:rsid w:val="49121F93"/>
    <w:rsid w:val="495D75A4"/>
    <w:rsid w:val="498A0EB9"/>
    <w:rsid w:val="49C74FDF"/>
    <w:rsid w:val="49CD527C"/>
    <w:rsid w:val="49F0563E"/>
    <w:rsid w:val="49F86D12"/>
    <w:rsid w:val="4A1B40F3"/>
    <w:rsid w:val="4A3606EF"/>
    <w:rsid w:val="4A464007"/>
    <w:rsid w:val="4A574C1F"/>
    <w:rsid w:val="4A6D768E"/>
    <w:rsid w:val="4A8744E5"/>
    <w:rsid w:val="4AAC6752"/>
    <w:rsid w:val="4B1E7F49"/>
    <w:rsid w:val="4B383143"/>
    <w:rsid w:val="4B4E6728"/>
    <w:rsid w:val="4B5B1847"/>
    <w:rsid w:val="4B612AD9"/>
    <w:rsid w:val="4B667FDB"/>
    <w:rsid w:val="4BC33D92"/>
    <w:rsid w:val="4BCA33E5"/>
    <w:rsid w:val="4BDC6550"/>
    <w:rsid w:val="4BE93299"/>
    <w:rsid w:val="4BF84791"/>
    <w:rsid w:val="4C162436"/>
    <w:rsid w:val="4C2017A0"/>
    <w:rsid w:val="4CFC3636"/>
    <w:rsid w:val="4CFE3E6C"/>
    <w:rsid w:val="4D0F6935"/>
    <w:rsid w:val="4D6C0729"/>
    <w:rsid w:val="4DA967F8"/>
    <w:rsid w:val="4DCC33BB"/>
    <w:rsid w:val="4DD27B38"/>
    <w:rsid w:val="4DD33694"/>
    <w:rsid w:val="4DD60462"/>
    <w:rsid w:val="4DFB063F"/>
    <w:rsid w:val="4E47242F"/>
    <w:rsid w:val="4E504D2E"/>
    <w:rsid w:val="4E6A1BC9"/>
    <w:rsid w:val="4E96022D"/>
    <w:rsid w:val="4EDC5074"/>
    <w:rsid w:val="4EEA1341"/>
    <w:rsid w:val="4FA02BF8"/>
    <w:rsid w:val="4FBD6AFD"/>
    <w:rsid w:val="4FC76CA3"/>
    <w:rsid w:val="4FD55B76"/>
    <w:rsid w:val="4FEF2A4D"/>
    <w:rsid w:val="4FF65115"/>
    <w:rsid w:val="504A2D54"/>
    <w:rsid w:val="505F2677"/>
    <w:rsid w:val="50710BB9"/>
    <w:rsid w:val="50846E2F"/>
    <w:rsid w:val="508E3F60"/>
    <w:rsid w:val="509F7F64"/>
    <w:rsid w:val="50CB2D22"/>
    <w:rsid w:val="512F78AB"/>
    <w:rsid w:val="51456EFD"/>
    <w:rsid w:val="514C7B33"/>
    <w:rsid w:val="517976DB"/>
    <w:rsid w:val="51E23040"/>
    <w:rsid w:val="51EA08BB"/>
    <w:rsid w:val="52263B05"/>
    <w:rsid w:val="528F62CA"/>
    <w:rsid w:val="52902756"/>
    <w:rsid w:val="52AC1412"/>
    <w:rsid w:val="52E83972"/>
    <w:rsid w:val="53460A27"/>
    <w:rsid w:val="53497DC9"/>
    <w:rsid w:val="53736E33"/>
    <w:rsid w:val="537E73E6"/>
    <w:rsid w:val="5408311F"/>
    <w:rsid w:val="54484B7E"/>
    <w:rsid w:val="547724B3"/>
    <w:rsid w:val="54A14FB0"/>
    <w:rsid w:val="54C56CBE"/>
    <w:rsid w:val="5512481E"/>
    <w:rsid w:val="55235EF6"/>
    <w:rsid w:val="554E7327"/>
    <w:rsid w:val="5597112E"/>
    <w:rsid w:val="55AC2F2C"/>
    <w:rsid w:val="55D14054"/>
    <w:rsid w:val="560335AB"/>
    <w:rsid w:val="5615346E"/>
    <w:rsid w:val="56841388"/>
    <w:rsid w:val="568463BA"/>
    <w:rsid w:val="56B262C2"/>
    <w:rsid w:val="56DF5DB8"/>
    <w:rsid w:val="56FC462B"/>
    <w:rsid w:val="57316B41"/>
    <w:rsid w:val="57575876"/>
    <w:rsid w:val="58744FB0"/>
    <w:rsid w:val="58FB6CF7"/>
    <w:rsid w:val="591F56AA"/>
    <w:rsid w:val="598877DB"/>
    <w:rsid w:val="59B878BF"/>
    <w:rsid w:val="5A1E620A"/>
    <w:rsid w:val="5A5A364A"/>
    <w:rsid w:val="5A9048EE"/>
    <w:rsid w:val="5AC420FE"/>
    <w:rsid w:val="5ACA312A"/>
    <w:rsid w:val="5ACC2AA7"/>
    <w:rsid w:val="5AE75D1D"/>
    <w:rsid w:val="5B6050A4"/>
    <w:rsid w:val="5B663F94"/>
    <w:rsid w:val="5B7D19D2"/>
    <w:rsid w:val="5B892FCB"/>
    <w:rsid w:val="5BD008E5"/>
    <w:rsid w:val="5C555415"/>
    <w:rsid w:val="5CA00BE0"/>
    <w:rsid w:val="5CA050EE"/>
    <w:rsid w:val="5D5302CE"/>
    <w:rsid w:val="5D7C1384"/>
    <w:rsid w:val="5D9B58C7"/>
    <w:rsid w:val="5DB36050"/>
    <w:rsid w:val="5DC45579"/>
    <w:rsid w:val="5E1E0F08"/>
    <w:rsid w:val="5E3B55DB"/>
    <w:rsid w:val="5E956751"/>
    <w:rsid w:val="5EA124A7"/>
    <w:rsid w:val="5EAE040B"/>
    <w:rsid w:val="5EAE1576"/>
    <w:rsid w:val="5EBE1DC1"/>
    <w:rsid w:val="5EFC1DB3"/>
    <w:rsid w:val="5F07411B"/>
    <w:rsid w:val="5F2E0671"/>
    <w:rsid w:val="5FB32AE8"/>
    <w:rsid w:val="5FD2395B"/>
    <w:rsid w:val="5FEF6643"/>
    <w:rsid w:val="600A58EC"/>
    <w:rsid w:val="60131593"/>
    <w:rsid w:val="60486E7A"/>
    <w:rsid w:val="6063071F"/>
    <w:rsid w:val="6065790C"/>
    <w:rsid w:val="6139129A"/>
    <w:rsid w:val="613A39BD"/>
    <w:rsid w:val="613C0936"/>
    <w:rsid w:val="619E68B5"/>
    <w:rsid w:val="61D8197D"/>
    <w:rsid w:val="6215303F"/>
    <w:rsid w:val="62523A69"/>
    <w:rsid w:val="625D59E9"/>
    <w:rsid w:val="625F5830"/>
    <w:rsid w:val="627F51A4"/>
    <w:rsid w:val="6291689C"/>
    <w:rsid w:val="62A20A8A"/>
    <w:rsid w:val="62BE1B90"/>
    <w:rsid w:val="62DC2832"/>
    <w:rsid w:val="62F22D17"/>
    <w:rsid w:val="63853D9B"/>
    <w:rsid w:val="641E2404"/>
    <w:rsid w:val="646537A0"/>
    <w:rsid w:val="65020D62"/>
    <w:rsid w:val="65276A19"/>
    <w:rsid w:val="653B7B22"/>
    <w:rsid w:val="65664E0F"/>
    <w:rsid w:val="65710991"/>
    <w:rsid w:val="65A677B1"/>
    <w:rsid w:val="65BC513E"/>
    <w:rsid w:val="65CC4EA0"/>
    <w:rsid w:val="65D037B9"/>
    <w:rsid w:val="66291AED"/>
    <w:rsid w:val="664464E2"/>
    <w:rsid w:val="66483E33"/>
    <w:rsid w:val="664C4D45"/>
    <w:rsid w:val="66C57320"/>
    <w:rsid w:val="66CF6985"/>
    <w:rsid w:val="66D131A6"/>
    <w:rsid w:val="66DA5FC9"/>
    <w:rsid w:val="676C4621"/>
    <w:rsid w:val="679D1158"/>
    <w:rsid w:val="683D73E2"/>
    <w:rsid w:val="68475FEE"/>
    <w:rsid w:val="68597114"/>
    <w:rsid w:val="68BB08D0"/>
    <w:rsid w:val="68DC0A39"/>
    <w:rsid w:val="68E53B89"/>
    <w:rsid w:val="69507955"/>
    <w:rsid w:val="69A40FAD"/>
    <w:rsid w:val="69AD776B"/>
    <w:rsid w:val="69D949B4"/>
    <w:rsid w:val="69DB66AC"/>
    <w:rsid w:val="6A221A1C"/>
    <w:rsid w:val="6A257DB7"/>
    <w:rsid w:val="6A5F6D69"/>
    <w:rsid w:val="6A772BC9"/>
    <w:rsid w:val="6AB30D7E"/>
    <w:rsid w:val="6AC10AB5"/>
    <w:rsid w:val="6ADD5FAF"/>
    <w:rsid w:val="6AE2767B"/>
    <w:rsid w:val="6B253859"/>
    <w:rsid w:val="6B847E1C"/>
    <w:rsid w:val="6C400363"/>
    <w:rsid w:val="6C52665D"/>
    <w:rsid w:val="6C9D6C64"/>
    <w:rsid w:val="6CC611C8"/>
    <w:rsid w:val="6D6326C9"/>
    <w:rsid w:val="6DF91BC1"/>
    <w:rsid w:val="6E6B1C17"/>
    <w:rsid w:val="6E8F35A0"/>
    <w:rsid w:val="6E974870"/>
    <w:rsid w:val="70043671"/>
    <w:rsid w:val="70347C57"/>
    <w:rsid w:val="70534BD6"/>
    <w:rsid w:val="7104427E"/>
    <w:rsid w:val="71164DE2"/>
    <w:rsid w:val="723B4440"/>
    <w:rsid w:val="72C04B86"/>
    <w:rsid w:val="7308067B"/>
    <w:rsid w:val="73714BE9"/>
    <w:rsid w:val="73B16466"/>
    <w:rsid w:val="741C0822"/>
    <w:rsid w:val="743C1895"/>
    <w:rsid w:val="74612310"/>
    <w:rsid w:val="746250C6"/>
    <w:rsid w:val="74B101DE"/>
    <w:rsid w:val="74EC2048"/>
    <w:rsid w:val="75002F32"/>
    <w:rsid w:val="75120887"/>
    <w:rsid w:val="7532590C"/>
    <w:rsid w:val="753C382F"/>
    <w:rsid w:val="75A962A8"/>
    <w:rsid w:val="76032FB5"/>
    <w:rsid w:val="768A4D12"/>
    <w:rsid w:val="76E237AF"/>
    <w:rsid w:val="77185973"/>
    <w:rsid w:val="77313A7F"/>
    <w:rsid w:val="77416FAA"/>
    <w:rsid w:val="777961FB"/>
    <w:rsid w:val="77A04F42"/>
    <w:rsid w:val="77D06D26"/>
    <w:rsid w:val="77ED6798"/>
    <w:rsid w:val="781A7BF6"/>
    <w:rsid w:val="782F2AC1"/>
    <w:rsid w:val="785C2BEC"/>
    <w:rsid w:val="786909D4"/>
    <w:rsid w:val="78800AB3"/>
    <w:rsid w:val="789C449D"/>
    <w:rsid w:val="78C71DCE"/>
    <w:rsid w:val="78F732BF"/>
    <w:rsid w:val="78FF46AB"/>
    <w:rsid w:val="795C4324"/>
    <w:rsid w:val="79FB4629"/>
    <w:rsid w:val="7A004058"/>
    <w:rsid w:val="7A110368"/>
    <w:rsid w:val="7A331523"/>
    <w:rsid w:val="7A473B3E"/>
    <w:rsid w:val="7AA161CE"/>
    <w:rsid w:val="7AAC539D"/>
    <w:rsid w:val="7AEE33D5"/>
    <w:rsid w:val="7AF01A9D"/>
    <w:rsid w:val="7AFF46C9"/>
    <w:rsid w:val="7B017A69"/>
    <w:rsid w:val="7B340D68"/>
    <w:rsid w:val="7B74410A"/>
    <w:rsid w:val="7B9D23EF"/>
    <w:rsid w:val="7BB875B9"/>
    <w:rsid w:val="7BFB3290"/>
    <w:rsid w:val="7C254B7F"/>
    <w:rsid w:val="7C2B5C1A"/>
    <w:rsid w:val="7C2E3A95"/>
    <w:rsid w:val="7C3846F3"/>
    <w:rsid w:val="7C843FA2"/>
    <w:rsid w:val="7C8C217E"/>
    <w:rsid w:val="7CE12C5B"/>
    <w:rsid w:val="7CFE671C"/>
    <w:rsid w:val="7D2B7E95"/>
    <w:rsid w:val="7D36407D"/>
    <w:rsid w:val="7D514DB6"/>
    <w:rsid w:val="7D7B4815"/>
    <w:rsid w:val="7DBE2536"/>
    <w:rsid w:val="7DC43A10"/>
    <w:rsid w:val="7DDF751C"/>
    <w:rsid w:val="7E026F5F"/>
    <w:rsid w:val="7E593472"/>
    <w:rsid w:val="7EAC2E54"/>
    <w:rsid w:val="7EB035D9"/>
    <w:rsid w:val="7EC41FAE"/>
    <w:rsid w:val="7ED54C53"/>
    <w:rsid w:val="7EEC5C7E"/>
    <w:rsid w:val="7F021A8C"/>
    <w:rsid w:val="7F6D337F"/>
    <w:rsid w:val="7F932DC8"/>
    <w:rsid w:val="7FAF62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qFormat="1" w:unhideWhenUsed="0" w:uiPriority="0"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34"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34"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Verdana" w:hAnsi="Verdana" w:eastAsia="宋体" w:cs="Times New Roman"/>
      <w:kern w:val="2"/>
      <w:sz w:val="21"/>
      <w:szCs w:val="24"/>
      <w:lang w:val="en-US" w:eastAsia="zh-CN" w:bidi="ar-SA"/>
    </w:rPr>
  </w:style>
  <w:style w:type="paragraph" w:styleId="3">
    <w:name w:val="heading 1"/>
    <w:basedOn w:val="1"/>
    <w:next w:val="1"/>
    <w:link w:val="73"/>
    <w:qFormat/>
    <w:uiPriority w:val="99"/>
    <w:pPr>
      <w:keepNext/>
      <w:keepLines/>
      <w:spacing w:line="578" w:lineRule="auto"/>
      <w:outlineLvl w:val="0"/>
    </w:pPr>
    <w:rPr>
      <w:rFonts w:eastAsia="Ђˎ̥"/>
      <w:b/>
      <w:bCs/>
      <w:kern w:val="44"/>
      <w:sz w:val="44"/>
      <w:szCs w:val="44"/>
    </w:rPr>
  </w:style>
  <w:style w:type="paragraph" w:styleId="4">
    <w:name w:val="heading 2"/>
    <w:basedOn w:val="1"/>
    <w:next w:val="1"/>
    <w:link w:val="74"/>
    <w:qFormat/>
    <w:uiPriority w:val="99"/>
    <w:pPr>
      <w:keepNext/>
      <w:keepLines/>
      <w:spacing w:line="416" w:lineRule="auto"/>
      <w:outlineLvl w:val="1"/>
    </w:pPr>
    <w:rPr>
      <w:rFonts w:eastAsia="Ђˎ̥"/>
      <w:b/>
      <w:bCs/>
      <w:kern w:val="0"/>
      <w:sz w:val="32"/>
      <w:szCs w:val="32"/>
    </w:rPr>
  </w:style>
  <w:style w:type="paragraph" w:styleId="5">
    <w:name w:val="heading 3"/>
    <w:basedOn w:val="1"/>
    <w:next w:val="1"/>
    <w:link w:val="75"/>
    <w:qFormat/>
    <w:uiPriority w:val="99"/>
    <w:pPr>
      <w:keepNext/>
      <w:keepLines/>
      <w:spacing w:line="416" w:lineRule="auto"/>
      <w:outlineLvl w:val="2"/>
    </w:pPr>
    <w:rPr>
      <w:rFonts w:eastAsia="Ђˎ̥"/>
      <w:b/>
      <w:bCs/>
      <w:kern w:val="0"/>
      <w:sz w:val="32"/>
      <w:szCs w:val="32"/>
    </w:rPr>
  </w:style>
  <w:style w:type="paragraph" w:styleId="6">
    <w:name w:val="heading 4"/>
    <w:basedOn w:val="1"/>
    <w:next w:val="1"/>
    <w:link w:val="76"/>
    <w:qFormat/>
    <w:uiPriority w:val="99"/>
    <w:pPr>
      <w:keepNext/>
      <w:keepLines/>
      <w:widowControl/>
      <w:spacing w:line="360" w:lineRule="auto"/>
      <w:jc w:val="center"/>
      <w:outlineLvl w:val="3"/>
    </w:pPr>
    <w:rPr>
      <w:rFonts w:eastAsia="Ђˎ̥"/>
      <w:kern w:val="0"/>
      <w:sz w:val="28"/>
      <w:szCs w:val="20"/>
    </w:rPr>
  </w:style>
  <w:style w:type="paragraph" w:styleId="7">
    <w:name w:val="heading 5"/>
    <w:basedOn w:val="1"/>
    <w:next w:val="8"/>
    <w:link w:val="78"/>
    <w:qFormat/>
    <w:uiPriority w:val="99"/>
    <w:pPr>
      <w:keepNext/>
      <w:keepLines/>
      <w:spacing w:line="376" w:lineRule="auto"/>
      <w:outlineLvl w:val="4"/>
    </w:pPr>
    <w:rPr>
      <w:rFonts w:eastAsia="Courier New"/>
      <w:b/>
      <w:sz w:val="28"/>
    </w:rPr>
  </w:style>
  <w:style w:type="paragraph" w:styleId="9">
    <w:name w:val="heading 6"/>
    <w:basedOn w:val="1"/>
    <w:next w:val="8"/>
    <w:link w:val="79"/>
    <w:qFormat/>
    <w:uiPriority w:val="99"/>
    <w:pPr>
      <w:keepNext/>
      <w:keepLines/>
      <w:spacing w:line="320" w:lineRule="auto"/>
      <w:outlineLvl w:val="5"/>
    </w:pPr>
    <w:rPr>
      <w:b/>
      <w:sz w:val="24"/>
    </w:rPr>
  </w:style>
  <w:style w:type="paragraph" w:styleId="10">
    <w:name w:val="heading 7"/>
    <w:basedOn w:val="1"/>
    <w:next w:val="8"/>
    <w:link w:val="80"/>
    <w:qFormat/>
    <w:uiPriority w:val="0"/>
    <w:pPr>
      <w:keepNext/>
      <w:keepLines/>
      <w:spacing w:line="320" w:lineRule="auto"/>
      <w:outlineLvl w:val="6"/>
    </w:pPr>
    <w:rPr>
      <w:rFonts w:eastAsia="Courier New"/>
      <w:b/>
      <w:sz w:val="24"/>
    </w:rPr>
  </w:style>
  <w:style w:type="paragraph" w:styleId="11">
    <w:name w:val="heading 8"/>
    <w:basedOn w:val="1"/>
    <w:next w:val="8"/>
    <w:link w:val="81"/>
    <w:qFormat/>
    <w:uiPriority w:val="0"/>
    <w:pPr>
      <w:keepNext/>
      <w:keepLines/>
      <w:spacing w:line="320" w:lineRule="auto"/>
      <w:outlineLvl w:val="7"/>
    </w:pPr>
    <w:rPr>
      <w:sz w:val="24"/>
    </w:rPr>
  </w:style>
  <w:style w:type="paragraph" w:styleId="12">
    <w:name w:val="heading 9"/>
    <w:basedOn w:val="1"/>
    <w:next w:val="8"/>
    <w:link w:val="82"/>
    <w:qFormat/>
    <w:uiPriority w:val="0"/>
    <w:pPr>
      <w:keepNext/>
      <w:keepLines/>
      <w:spacing w:line="320" w:lineRule="auto"/>
      <w:outlineLvl w:val="8"/>
    </w:p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3"/>
    <w:qFormat/>
    <w:uiPriority w:val="99"/>
    <w:pPr>
      <w:tabs>
        <w:tab w:val="center" w:pos="4153"/>
        <w:tab w:val="right" w:pos="8306"/>
      </w:tabs>
      <w:snapToGrid w:val="0"/>
      <w:jc w:val="left"/>
    </w:pPr>
    <w:rPr>
      <w:rFonts w:eastAsia="Ђˎ̥"/>
      <w:kern w:val="0"/>
      <w:sz w:val="18"/>
      <w:szCs w:val="18"/>
    </w:rPr>
  </w:style>
  <w:style w:type="paragraph" w:styleId="8">
    <w:name w:val="Normal Indent"/>
    <w:basedOn w:val="1"/>
    <w:link w:val="77"/>
    <w:qFormat/>
    <w:uiPriority w:val="0"/>
    <w:pPr>
      <w:ind w:firstLine="420"/>
    </w:pPr>
    <w:rPr>
      <w:szCs w:val="20"/>
    </w:rPr>
  </w:style>
  <w:style w:type="paragraph" w:styleId="13">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83"/>
    <w:qFormat/>
    <w:uiPriority w:val="99"/>
    <w:rPr>
      <w:rFonts w:eastAsia="Ђˎ̥"/>
      <w:sz w:val="20"/>
      <w:szCs w:val="20"/>
    </w:rPr>
  </w:style>
  <w:style w:type="paragraph" w:styleId="17">
    <w:name w:val="List Bullet"/>
    <w:basedOn w:val="1"/>
    <w:qFormat/>
    <w:uiPriority w:val="0"/>
    <w:pPr>
      <w:tabs>
        <w:tab w:val="left" w:pos="748"/>
      </w:tabs>
      <w:spacing w:line="360" w:lineRule="auto"/>
      <w:ind w:left="748" w:hanging="374"/>
    </w:pPr>
    <w:rPr>
      <w:rFonts w:ascii="Times New Roman" w:hAnsi="Times New Roman"/>
    </w:rPr>
  </w:style>
  <w:style w:type="paragraph" w:styleId="18">
    <w:name w:val="Document Map"/>
    <w:basedOn w:val="1"/>
    <w:link w:val="84"/>
    <w:qFormat/>
    <w:uiPriority w:val="0"/>
    <w:rPr>
      <w:rFonts w:ascii="宋体"/>
      <w:sz w:val="18"/>
      <w:szCs w:val="18"/>
    </w:rPr>
  </w:style>
  <w:style w:type="paragraph" w:styleId="19">
    <w:name w:val="annotation text"/>
    <w:basedOn w:val="1"/>
    <w:link w:val="85"/>
    <w:qFormat/>
    <w:uiPriority w:val="0"/>
    <w:pPr>
      <w:adjustRightInd w:val="0"/>
      <w:spacing w:line="360" w:lineRule="atLeast"/>
      <w:jc w:val="left"/>
      <w:textAlignment w:val="baseline"/>
    </w:pPr>
    <w:rPr>
      <w:rFonts w:eastAsia="Ђˎ̥"/>
      <w:kern w:val="0"/>
      <w:sz w:val="24"/>
      <w:szCs w:val="20"/>
    </w:rPr>
  </w:style>
  <w:style w:type="paragraph" w:styleId="20">
    <w:name w:val="Body Text 3"/>
    <w:basedOn w:val="1"/>
    <w:link w:val="86"/>
    <w:qFormat/>
    <w:uiPriority w:val="0"/>
    <w:pPr>
      <w:spacing w:line="500" w:lineRule="exact"/>
    </w:pPr>
    <w:rPr>
      <w:rFonts w:eastAsia="Ђˎ̥"/>
      <w:b/>
      <w:bCs/>
      <w:kern w:val="0"/>
      <w:sz w:val="24"/>
    </w:rPr>
  </w:style>
  <w:style w:type="paragraph" w:styleId="21">
    <w:name w:val="Body Text"/>
    <w:basedOn w:val="1"/>
    <w:next w:val="1"/>
    <w:link w:val="87"/>
    <w:qFormat/>
    <w:uiPriority w:val="0"/>
    <w:pPr>
      <w:spacing w:line="380" w:lineRule="exact"/>
    </w:pPr>
    <w:rPr>
      <w:rFonts w:eastAsia="Ђˎ̥"/>
      <w:kern w:val="0"/>
      <w:sz w:val="24"/>
    </w:rPr>
  </w:style>
  <w:style w:type="paragraph" w:styleId="22">
    <w:name w:val="Body Text Indent"/>
    <w:basedOn w:val="1"/>
    <w:link w:val="88"/>
    <w:qFormat/>
    <w:uiPriority w:val="0"/>
    <w:pPr>
      <w:ind w:firstLine="830" w:firstLineChars="352"/>
    </w:pPr>
    <w:rPr>
      <w:rFonts w:ascii="Ђˎ̥" w:eastAsia="Ђˎ̥"/>
      <w:kern w:val="0"/>
      <w:sz w:val="32"/>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List Bullet 2"/>
    <w:basedOn w:val="1"/>
    <w:qFormat/>
    <w:uiPriority w:val="0"/>
    <w:pPr>
      <w:tabs>
        <w:tab w:val="left" w:pos="840"/>
      </w:tabs>
      <w:spacing w:line="360" w:lineRule="auto"/>
      <w:ind w:left="840" w:hanging="420"/>
    </w:pPr>
    <w:rPr>
      <w:rFonts w:ascii="Times New Roman" w:hAnsi="Times New Roman"/>
    </w:rPr>
  </w:style>
  <w:style w:type="paragraph" w:styleId="27">
    <w:name w:val="HTML Address"/>
    <w:basedOn w:val="1"/>
    <w:link w:val="564"/>
    <w:qFormat/>
    <w:uiPriority w:val="0"/>
    <w:pPr>
      <w:widowControl/>
      <w:jc w:val="left"/>
    </w:pPr>
    <w:rPr>
      <w:rFonts w:ascii="宋体" w:hAnsi="宋体"/>
      <w:i/>
      <w:iCs/>
      <w:kern w:val="0"/>
      <w:sz w:val="24"/>
    </w:rPr>
  </w:style>
  <w:style w:type="paragraph" w:styleId="28">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9">
    <w:name w:val="toc 3"/>
    <w:basedOn w:val="1"/>
    <w:next w:val="1"/>
    <w:qFormat/>
    <w:uiPriority w:val="39"/>
    <w:pPr>
      <w:ind w:left="840" w:leftChars="400"/>
    </w:pPr>
  </w:style>
  <w:style w:type="paragraph" w:styleId="30">
    <w:name w:val="Plain Text"/>
    <w:basedOn w:val="1"/>
    <w:next w:val="14"/>
    <w:link w:val="89"/>
    <w:qFormat/>
    <w:uiPriority w:val="99"/>
    <w:rPr>
      <w:rFonts w:ascii="Ђˎ̥" w:eastAsia="Ђˎ̥"/>
      <w:kern w:val="0"/>
      <w:sz w:val="20"/>
      <w:szCs w:val="21"/>
    </w:rPr>
  </w:style>
  <w:style w:type="paragraph" w:styleId="31">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32">
    <w:name w:val="Date"/>
    <w:basedOn w:val="1"/>
    <w:next w:val="1"/>
    <w:link w:val="90"/>
    <w:qFormat/>
    <w:uiPriority w:val="0"/>
    <w:pPr>
      <w:ind w:left="100" w:leftChars="2500"/>
    </w:pPr>
    <w:rPr>
      <w:rFonts w:ascii="Ђˎ̥" w:eastAsia="Ђˎ̥"/>
      <w:kern w:val="0"/>
      <w:sz w:val="20"/>
      <w:szCs w:val="21"/>
    </w:rPr>
  </w:style>
  <w:style w:type="paragraph" w:styleId="33">
    <w:name w:val="Body Text Indent 2"/>
    <w:basedOn w:val="1"/>
    <w:link w:val="91"/>
    <w:qFormat/>
    <w:uiPriority w:val="0"/>
    <w:pPr>
      <w:ind w:firstLine="630"/>
    </w:pPr>
    <w:rPr>
      <w:rFonts w:eastAsia="Ђˎ̥"/>
      <w:kern w:val="0"/>
      <w:sz w:val="32"/>
      <w:szCs w:val="20"/>
    </w:rPr>
  </w:style>
  <w:style w:type="paragraph" w:styleId="34">
    <w:name w:val="Balloon Text"/>
    <w:basedOn w:val="1"/>
    <w:link w:val="92"/>
    <w:qFormat/>
    <w:uiPriority w:val="0"/>
    <w:rPr>
      <w:rFonts w:eastAsia="Ђˎ̥"/>
      <w:kern w:val="0"/>
      <w:sz w:val="18"/>
      <w:szCs w:val="18"/>
    </w:rPr>
  </w:style>
  <w:style w:type="paragraph" w:styleId="35">
    <w:name w:val="header"/>
    <w:basedOn w:val="1"/>
    <w:link w:val="94"/>
    <w:qFormat/>
    <w:uiPriority w:val="99"/>
    <w:pPr>
      <w:pBdr>
        <w:bottom w:val="single" w:color="auto" w:sz="6" w:space="1"/>
      </w:pBdr>
      <w:tabs>
        <w:tab w:val="center" w:pos="4153"/>
        <w:tab w:val="right" w:pos="8306"/>
      </w:tabs>
      <w:snapToGrid w:val="0"/>
      <w:jc w:val="center"/>
    </w:pPr>
    <w:rPr>
      <w:rFonts w:ascii="Times New Roman" w:hAnsi="Times New Roman" w:eastAsia="Ђˎ̥"/>
      <w:sz w:val="18"/>
      <w:szCs w:val="18"/>
      <w:u w:val="single"/>
    </w:rPr>
  </w:style>
  <w:style w:type="paragraph" w:styleId="36">
    <w:name w:val="toc 1"/>
    <w:basedOn w:val="1"/>
    <w:next w:val="1"/>
    <w:qFormat/>
    <w:uiPriority w:val="39"/>
    <w:pPr>
      <w:tabs>
        <w:tab w:val="right" w:leader="dot" w:pos="9870"/>
      </w:tabs>
      <w:spacing w:line="480" w:lineRule="auto"/>
      <w:jc w:val="center"/>
    </w:pPr>
    <w:rPr>
      <w:rFonts w:ascii="Ђˎ̥" w:hAnsi="Ђˎ̥" w:eastAsia="Ђˎ̥" w:cs="Verdana"/>
      <w:bCs/>
      <w:caps/>
      <w:szCs w:val="21"/>
    </w:rPr>
  </w:style>
  <w:style w:type="paragraph" w:styleId="37">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8">
    <w:name w:val="Subtitle"/>
    <w:basedOn w:val="1"/>
    <w:next w:val="1"/>
    <w:link w:val="95"/>
    <w:qFormat/>
    <w:uiPriority w:val="0"/>
    <w:pPr>
      <w:spacing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41">
    <w:name w:val="List 5"/>
    <w:basedOn w:val="1"/>
    <w:qFormat/>
    <w:uiPriority w:val="0"/>
    <w:pPr>
      <w:ind w:left="2100" w:hanging="420"/>
    </w:pPr>
    <w:rPr>
      <w:szCs w:val="20"/>
    </w:rPr>
  </w:style>
  <w:style w:type="paragraph" w:styleId="42">
    <w:name w:val="Body Text Indent 3"/>
    <w:basedOn w:val="1"/>
    <w:link w:val="96"/>
    <w:qFormat/>
    <w:uiPriority w:val="0"/>
    <w:pPr>
      <w:ind w:left="420" w:leftChars="200"/>
    </w:pPr>
    <w:rPr>
      <w:rFonts w:eastAsia="Ђˎ̥"/>
      <w:kern w:val="0"/>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5">
    <w:name w:val="Body Text 2"/>
    <w:basedOn w:val="1"/>
    <w:link w:val="97"/>
    <w:qFormat/>
    <w:uiPriority w:val="0"/>
    <w:pPr>
      <w:spacing w:line="480" w:lineRule="auto"/>
    </w:pPr>
    <w:rPr>
      <w:rFonts w:eastAsia="Ђˎ̥"/>
      <w:kern w:val="0"/>
      <w:sz w:val="20"/>
    </w:rPr>
  </w:style>
  <w:style w:type="paragraph" w:styleId="46">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47">
    <w:name w:val="Normal (Web)"/>
    <w:basedOn w:val="1"/>
    <w:qFormat/>
    <w:uiPriority w:val="0"/>
    <w:pPr>
      <w:widowControl/>
      <w:spacing w:beforeAutospacing="1" w:afterAutospacing="1"/>
      <w:jc w:val="left"/>
    </w:pPr>
    <w:rPr>
      <w:rFonts w:ascii="Ђˎ̥" w:hAnsi="Ђˎ̥"/>
      <w:kern w:val="0"/>
      <w:sz w:val="24"/>
    </w:rPr>
  </w:style>
  <w:style w:type="paragraph" w:styleId="48">
    <w:name w:val="index 1"/>
    <w:basedOn w:val="1"/>
    <w:next w:val="1"/>
    <w:qFormat/>
    <w:uiPriority w:val="0"/>
    <w:pPr>
      <w:spacing w:line="400" w:lineRule="exact"/>
      <w:ind w:firstLine="420" w:firstLineChars="200"/>
    </w:pPr>
    <w:rPr>
      <w:rFonts w:ascii="Ђˎ̥"/>
      <w:b/>
      <w:szCs w:val="20"/>
    </w:rPr>
  </w:style>
  <w:style w:type="paragraph" w:styleId="49">
    <w:name w:val="Title"/>
    <w:basedOn w:val="1"/>
    <w:next w:val="1"/>
    <w:link w:val="99"/>
    <w:qFormat/>
    <w:uiPriority w:val="0"/>
    <w:pPr>
      <w:jc w:val="center"/>
      <w:outlineLvl w:val="0"/>
    </w:pPr>
    <w:rPr>
      <w:rFonts w:cs="Verdana"/>
      <w:b/>
      <w:bCs/>
      <w:sz w:val="32"/>
      <w:szCs w:val="32"/>
    </w:rPr>
  </w:style>
  <w:style w:type="paragraph" w:styleId="50">
    <w:name w:val="annotation subject"/>
    <w:basedOn w:val="19"/>
    <w:next w:val="19"/>
    <w:link w:val="100"/>
    <w:qFormat/>
    <w:uiPriority w:val="0"/>
    <w:pPr>
      <w:adjustRightInd/>
      <w:spacing w:line="240" w:lineRule="auto"/>
      <w:textAlignment w:val="auto"/>
    </w:pPr>
    <w:rPr>
      <w:rFonts w:cs="Verdana"/>
      <w:b/>
      <w:bCs/>
      <w:kern w:val="2"/>
      <w:sz w:val="21"/>
      <w:szCs w:val="24"/>
    </w:rPr>
  </w:style>
  <w:style w:type="paragraph" w:styleId="51">
    <w:name w:val="Body Text First Indent"/>
    <w:basedOn w:val="21"/>
    <w:next w:val="1"/>
    <w:link w:val="101"/>
    <w:qFormat/>
    <w:uiPriority w:val="0"/>
    <w:pPr>
      <w:spacing w:line="300" w:lineRule="auto"/>
      <w:ind w:firstLine="482"/>
    </w:pPr>
    <w:rPr>
      <w:rFonts w:ascii="宋体"/>
      <w:kern w:val="2"/>
      <w:sz w:val="21"/>
    </w:rPr>
  </w:style>
  <w:style w:type="paragraph" w:styleId="52">
    <w:name w:val="Body Text First Indent 2"/>
    <w:basedOn w:val="22"/>
    <w:link w:val="102"/>
    <w:qFormat/>
    <w:uiPriority w:val="0"/>
    <w:pPr>
      <w:ind w:left="420" w:leftChars="200" w:firstLine="420" w:firstLineChars="200"/>
    </w:pPr>
    <w:rPr>
      <w:rFonts w:ascii="Verdana" w:hAnsi="宋体" w:eastAsia="宋体"/>
      <w:kern w:val="2"/>
      <w:sz w:val="21"/>
      <w:szCs w:val="24"/>
    </w:rPr>
  </w:style>
  <w:style w:type="table" w:styleId="54">
    <w:name w:val="Table Grid"/>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5">
    <w:name w:val="Light Grid Accent 3"/>
    <w:basedOn w:val="53"/>
    <w:qFormat/>
    <w:uiPriority w:val="34"/>
    <w:rPr>
      <w:kern w:val="2"/>
      <w:sz w:val="21"/>
      <w:szCs w:val="22"/>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pPr>
        <w:spacing w:before="0" w:after="0" w:line="240" w:lineRule="auto"/>
      </w:pPr>
      <w:rPr>
        <w:b/>
        <w:bCs/>
      </w:rPr>
      <w:tblPr/>
      <w:tcPr>
        <w:tcBorders>
          <w:top w:val="single" w:color="9BBB59" w:sz="8" w:space="0"/>
          <w:left w:val="single" w:color="9BBB59" w:sz="18" w:space="0"/>
          <w:bottom w:val="single" w:color="9BBB59" w:sz="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56">
    <w:name w:val="Medium Grid 1 Accent 2"/>
    <w:basedOn w:val="53"/>
    <w:qFormat/>
    <w:uiPriority w:val="34"/>
    <w:rPr>
      <w:kern w:val="2"/>
      <w:sz w:val="21"/>
      <w:szCs w:val="22"/>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DF2F8"/>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8">
    <w:name w:val="Strong"/>
    <w:basedOn w:val="57"/>
    <w:qFormat/>
    <w:uiPriority w:val="0"/>
    <w:rPr>
      <w:b/>
      <w:bCs/>
    </w:rPr>
  </w:style>
  <w:style w:type="character" w:styleId="59">
    <w:name w:val="page number"/>
    <w:basedOn w:val="57"/>
    <w:qFormat/>
    <w:uiPriority w:val="0"/>
  </w:style>
  <w:style w:type="character" w:styleId="60">
    <w:name w:val="FollowedHyperlink"/>
    <w:qFormat/>
    <w:uiPriority w:val="99"/>
    <w:rPr>
      <w:color w:val="000000"/>
      <w:sz w:val="14"/>
      <w:szCs w:val="14"/>
      <w:u w:val="none"/>
    </w:rPr>
  </w:style>
  <w:style w:type="character" w:styleId="61">
    <w:name w:val="Emphasis"/>
    <w:qFormat/>
    <w:uiPriority w:val="20"/>
    <w:rPr>
      <w:color w:val="CC0000"/>
    </w:rPr>
  </w:style>
  <w:style w:type="character" w:styleId="62">
    <w:name w:val="line number"/>
    <w:basedOn w:val="57"/>
    <w:qFormat/>
    <w:uiPriority w:val="0"/>
  </w:style>
  <w:style w:type="character" w:styleId="63">
    <w:name w:val="HTML Definition"/>
    <w:basedOn w:val="57"/>
    <w:semiHidden/>
    <w:unhideWhenUsed/>
    <w:qFormat/>
    <w:uiPriority w:val="99"/>
  </w:style>
  <w:style w:type="character" w:styleId="64">
    <w:name w:val="HTML Typewriter"/>
    <w:basedOn w:val="57"/>
    <w:semiHidden/>
    <w:unhideWhenUsed/>
    <w:qFormat/>
    <w:uiPriority w:val="99"/>
    <w:rPr>
      <w:rFonts w:ascii="monospace" w:hAnsi="monospace" w:eastAsia="monospace" w:cs="monospace"/>
      <w:sz w:val="20"/>
    </w:rPr>
  </w:style>
  <w:style w:type="character" w:styleId="65">
    <w:name w:val="HTML Acronym"/>
    <w:basedOn w:val="57"/>
    <w:semiHidden/>
    <w:unhideWhenUsed/>
    <w:qFormat/>
    <w:uiPriority w:val="99"/>
  </w:style>
  <w:style w:type="character" w:styleId="66">
    <w:name w:val="HTML Variable"/>
    <w:basedOn w:val="57"/>
    <w:semiHidden/>
    <w:unhideWhenUsed/>
    <w:qFormat/>
    <w:uiPriority w:val="99"/>
  </w:style>
  <w:style w:type="character" w:styleId="67">
    <w:name w:val="Hyperlink"/>
    <w:basedOn w:val="57"/>
    <w:qFormat/>
    <w:uiPriority w:val="99"/>
    <w:rPr>
      <w:color w:val="000000"/>
      <w:sz w:val="14"/>
      <w:szCs w:val="14"/>
      <w:u w:val="none"/>
    </w:rPr>
  </w:style>
  <w:style w:type="character" w:styleId="68">
    <w:name w:val="HTML Code"/>
    <w:basedOn w:val="57"/>
    <w:semiHidden/>
    <w:unhideWhenUsed/>
    <w:qFormat/>
    <w:uiPriority w:val="99"/>
    <w:rPr>
      <w:rFonts w:hint="default" w:ascii="serif" w:hAnsi="serif" w:eastAsia="serif" w:cs="serif"/>
      <w:sz w:val="21"/>
      <w:szCs w:val="21"/>
    </w:rPr>
  </w:style>
  <w:style w:type="character" w:styleId="69">
    <w:name w:val="annotation reference"/>
    <w:qFormat/>
    <w:uiPriority w:val="99"/>
    <w:rPr>
      <w:sz w:val="21"/>
      <w:szCs w:val="21"/>
    </w:rPr>
  </w:style>
  <w:style w:type="character" w:styleId="70">
    <w:name w:val="HTML Cite"/>
    <w:basedOn w:val="57"/>
    <w:semiHidden/>
    <w:unhideWhenUsed/>
    <w:qFormat/>
    <w:uiPriority w:val="99"/>
  </w:style>
  <w:style w:type="character" w:styleId="71">
    <w:name w:val="HTML Keyboard"/>
    <w:basedOn w:val="57"/>
    <w:semiHidden/>
    <w:unhideWhenUsed/>
    <w:qFormat/>
    <w:uiPriority w:val="99"/>
    <w:rPr>
      <w:rFonts w:hint="default" w:ascii="serif" w:hAnsi="serif" w:eastAsia="serif" w:cs="serif"/>
      <w:sz w:val="21"/>
      <w:szCs w:val="21"/>
    </w:rPr>
  </w:style>
  <w:style w:type="character" w:styleId="72">
    <w:name w:val="HTML Sample"/>
    <w:basedOn w:val="57"/>
    <w:semiHidden/>
    <w:unhideWhenUsed/>
    <w:qFormat/>
    <w:uiPriority w:val="99"/>
    <w:rPr>
      <w:rFonts w:ascii="serif" w:hAnsi="serif" w:eastAsia="serif" w:cs="serif"/>
      <w:sz w:val="21"/>
      <w:szCs w:val="21"/>
    </w:rPr>
  </w:style>
  <w:style w:type="character" w:customStyle="1" w:styleId="73">
    <w:name w:val="标题 1 字符1"/>
    <w:link w:val="3"/>
    <w:qFormat/>
    <w:uiPriority w:val="0"/>
    <w:rPr>
      <w:rFonts w:ascii="Verdana" w:hAnsi="Verdana" w:eastAsia="Ђˎ̥" w:cs="Verdana"/>
      <w:b/>
      <w:bCs/>
      <w:kern w:val="44"/>
      <w:sz w:val="44"/>
      <w:szCs w:val="44"/>
    </w:rPr>
  </w:style>
  <w:style w:type="character" w:customStyle="1" w:styleId="74">
    <w:name w:val="标题 2 字符1"/>
    <w:link w:val="4"/>
    <w:qFormat/>
    <w:uiPriority w:val="99"/>
    <w:rPr>
      <w:rFonts w:ascii="Verdana" w:hAnsi="Verdana" w:eastAsia="Ђˎ̥" w:cs="Verdana"/>
      <w:b/>
      <w:bCs/>
      <w:sz w:val="32"/>
      <w:szCs w:val="32"/>
    </w:rPr>
  </w:style>
  <w:style w:type="character" w:customStyle="1" w:styleId="75">
    <w:name w:val="标题 3 字符1"/>
    <w:link w:val="5"/>
    <w:qFormat/>
    <w:uiPriority w:val="99"/>
    <w:rPr>
      <w:rFonts w:ascii="Verdana" w:hAnsi="Verdana" w:eastAsia="Ђˎ̥" w:cs="Verdana"/>
      <w:b/>
      <w:bCs/>
      <w:sz w:val="32"/>
      <w:szCs w:val="32"/>
    </w:rPr>
  </w:style>
  <w:style w:type="character" w:customStyle="1" w:styleId="76">
    <w:name w:val="标题 4 字符1"/>
    <w:link w:val="6"/>
    <w:qFormat/>
    <w:uiPriority w:val="99"/>
    <w:rPr>
      <w:rFonts w:ascii="Verdana" w:hAnsi="Verdana" w:eastAsia="Ђˎ̥" w:cs="Verdana"/>
      <w:kern w:val="0"/>
      <w:sz w:val="28"/>
      <w:szCs w:val="20"/>
    </w:rPr>
  </w:style>
  <w:style w:type="character" w:customStyle="1" w:styleId="77">
    <w:name w:val="正文缩进 字符1"/>
    <w:link w:val="8"/>
    <w:qFormat/>
    <w:uiPriority w:val="0"/>
    <w:rPr>
      <w:rFonts w:ascii="Verdana" w:hAnsi="Verdana"/>
      <w:kern w:val="2"/>
      <w:sz w:val="21"/>
    </w:rPr>
  </w:style>
  <w:style w:type="character" w:customStyle="1" w:styleId="78">
    <w:name w:val="标题 5 字符1"/>
    <w:link w:val="7"/>
    <w:qFormat/>
    <w:uiPriority w:val="99"/>
    <w:rPr>
      <w:rFonts w:ascii="Verdana" w:hAnsi="Verdana" w:eastAsia="Courier New"/>
      <w:b/>
      <w:kern w:val="2"/>
      <w:sz w:val="28"/>
      <w:szCs w:val="24"/>
    </w:rPr>
  </w:style>
  <w:style w:type="character" w:customStyle="1" w:styleId="79">
    <w:name w:val="标题 6 字符1"/>
    <w:link w:val="9"/>
    <w:qFormat/>
    <w:uiPriority w:val="99"/>
    <w:rPr>
      <w:rFonts w:ascii="Verdana" w:hAnsi="Verdana"/>
      <w:b/>
      <w:kern w:val="2"/>
      <w:sz w:val="24"/>
      <w:szCs w:val="24"/>
    </w:rPr>
  </w:style>
  <w:style w:type="character" w:customStyle="1" w:styleId="80">
    <w:name w:val="标题 7 字符1"/>
    <w:link w:val="10"/>
    <w:qFormat/>
    <w:uiPriority w:val="0"/>
    <w:rPr>
      <w:rFonts w:ascii="Verdana" w:hAnsi="Verdana" w:eastAsia="Courier New"/>
      <w:b/>
      <w:kern w:val="2"/>
      <w:sz w:val="24"/>
      <w:szCs w:val="24"/>
    </w:rPr>
  </w:style>
  <w:style w:type="character" w:customStyle="1" w:styleId="81">
    <w:name w:val="标题 8 字符1"/>
    <w:link w:val="11"/>
    <w:qFormat/>
    <w:uiPriority w:val="0"/>
    <w:rPr>
      <w:rFonts w:ascii="Verdana" w:hAnsi="Verdana"/>
      <w:kern w:val="2"/>
      <w:sz w:val="24"/>
      <w:szCs w:val="24"/>
    </w:rPr>
  </w:style>
  <w:style w:type="character" w:customStyle="1" w:styleId="82">
    <w:name w:val="标题 9 字符1"/>
    <w:link w:val="12"/>
    <w:qFormat/>
    <w:uiPriority w:val="0"/>
    <w:rPr>
      <w:rFonts w:ascii="Verdana" w:hAnsi="Verdana"/>
      <w:kern w:val="2"/>
      <w:sz w:val="21"/>
      <w:szCs w:val="24"/>
    </w:rPr>
  </w:style>
  <w:style w:type="character" w:customStyle="1" w:styleId="83">
    <w:name w:val="题注 字符1"/>
    <w:link w:val="16"/>
    <w:qFormat/>
    <w:uiPriority w:val="0"/>
    <w:rPr>
      <w:rFonts w:ascii="Verdana" w:hAnsi="Verdana" w:eastAsia="Ђˎ̥" w:cs="Verdana"/>
      <w:kern w:val="2"/>
    </w:rPr>
  </w:style>
  <w:style w:type="character" w:customStyle="1" w:styleId="84">
    <w:name w:val="文档结构图 字符1"/>
    <w:link w:val="18"/>
    <w:qFormat/>
    <w:uiPriority w:val="0"/>
    <w:rPr>
      <w:rFonts w:ascii="宋体" w:hAnsi="Verdana"/>
      <w:kern w:val="2"/>
      <w:sz w:val="18"/>
      <w:szCs w:val="18"/>
    </w:rPr>
  </w:style>
  <w:style w:type="character" w:customStyle="1" w:styleId="85">
    <w:name w:val="批注文字 字符1"/>
    <w:link w:val="19"/>
    <w:qFormat/>
    <w:uiPriority w:val="99"/>
    <w:rPr>
      <w:rFonts w:ascii="Verdana" w:hAnsi="Verdana" w:eastAsia="Ђˎ̥"/>
      <w:sz w:val="24"/>
    </w:rPr>
  </w:style>
  <w:style w:type="character" w:customStyle="1" w:styleId="86">
    <w:name w:val="正文文本 3 字符1"/>
    <w:link w:val="20"/>
    <w:qFormat/>
    <w:uiPriority w:val="0"/>
    <w:rPr>
      <w:rFonts w:ascii="Verdana" w:hAnsi="Verdana" w:eastAsia="Ђˎ̥" w:cs="Verdana"/>
      <w:b/>
      <w:bCs/>
      <w:sz w:val="24"/>
      <w:szCs w:val="24"/>
    </w:rPr>
  </w:style>
  <w:style w:type="character" w:customStyle="1" w:styleId="87">
    <w:name w:val="正文文本 字符1"/>
    <w:link w:val="21"/>
    <w:qFormat/>
    <w:uiPriority w:val="0"/>
    <w:rPr>
      <w:rFonts w:ascii="Verdana" w:hAnsi="Verdana" w:eastAsia="Ђˎ̥" w:cs="Verdana"/>
      <w:sz w:val="24"/>
      <w:szCs w:val="24"/>
    </w:rPr>
  </w:style>
  <w:style w:type="character" w:customStyle="1" w:styleId="88">
    <w:name w:val="正文文本缩进 字符1"/>
    <w:link w:val="22"/>
    <w:qFormat/>
    <w:uiPriority w:val="0"/>
    <w:rPr>
      <w:rFonts w:ascii="Ђˎ̥" w:hAnsi="Verdana" w:eastAsia="Ђˎ̥" w:cs="Verdana"/>
      <w:sz w:val="32"/>
      <w:szCs w:val="20"/>
    </w:rPr>
  </w:style>
  <w:style w:type="character" w:customStyle="1" w:styleId="89">
    <w:name w:val="纯文本 字符2"/>
    <w:link w:val="30"/>
    <w:qFormat/>
    <w:uiPriority w:val="0"/>
    <w:rPr>
      <w:rFonts w:ascii="Ђˎ̥" w:hAnsi="Verdana" w:eastAsia="Ђˎ̥" w:cs="Verdana"/>
      <w:szCs w:val="21"/>
    </w:rPr>
  </w:style>
  <w:style w:type="character" w:customStyle="1" w:styleId="90">
    <w:name w:val="日期 字符1"/>
    <w:link w:val="32"/>
    <w:qFormat/>
    <w:uiPriority w:val="0"/>
    <w:rPr>
      <w:rFonts w:ascii="Ђˎ̥" w:hAnsi="Verdana" w:eastAsia="Ђˎ̥" w:cs="Verdana"/>
      <w:szCs w:val="21"/>
    </w:rPr>
  </w:style>
  <w:style w:type="character" w:customStyle="1" w:styleId="91">
    <w:name w:val="正文文本缩进 2 字符1"/>
    <w:link w:val="33"/>
    <w:qFormat/>
    <w:uiPriority w:val="0"/>
    <w:rPr>
      <w:rFonts w:ascii="Verdana" w:hAnsi="Verdana" w:eastAsia="Ђˎ̥" w:cs="Verdana"/>
      <w:sz w:val="32"/>
      <w:szCs w:val="20"/>
    </w:rPr>
  </w:style>
  <w:style w:type="character" w:customStyle="1" w:styleId="92">
    <w:name w:val="批注框文本 字符1"/>
    <w:link w:val="34"/>
    <w:qFormat/>
    <w:uiPriority w:val="0"/>
    <w:rPr>
      <w:rFonts w:ascii="Verdana" w:hAnsi="Verdana" w:eastAsia="Ђˎ̥" w:cs="Verdana"/>
      <w:sz w:val="18"/>
      <w:szCs w:val="18"/>
    </w:rPr>
  </w:style>
  <w:style w:type="character" w:customStyle="1" w:styleId="93">
    <w:name w:val="页脚 字符2"/>
    <w:link w:val="2"/>
    <w:qFormat/>
    <w:uiPriority w:val="99"/>
    <w:rPr>
      <w:rFonts w:ascii="Verdana" w:hAnsi="Verdana" w:eastAsia="Ђˎ̥" w:cs="Verdana"/>
      <w:sz w:val="18"/>
      <w:szCs w:val="18"/>
    </w:rPr>
  </w:style>
  <w:style w:type="character" w:customStyle="1" w:styleId="94">
    <w:name w:val="页眉 字符1"/>
    <w:link w:val="35"/>
    <w:qFormat/>
    <w:uiPriority w:val="99"/>
    <w:rPr>
      <w:rFonts w:eastAsia="Ђˎ̥"/>
      <w:kern w:val="2"/>
      <w:sz w:val="18"/>
      <w:szCs w:val="18"/>
      <w:u w:val="single"/>
      <w:lang w:val="en-US" w:eastAsia="zh-CN" w:bidi="ar-SA"/>
    </w:rPr>
  </w:style>
  <w:style w:type="character" w:customStyle="1" w:styleId="95">
    <w:name w:val="副标题 字符1"/>
    <w:link w:val="38"/>
    <w:qFormat/>
    <w:uiPriority w:val="0"/>
    <w:rPr>
      <w:rFonts w:ascii="Cambria" w:hAnsi="Cambria"/>
      <w:b/>
      <w:bCs/>
      <w:kern w:val="28"/>
      <w:sz w:val="32"/>
      <w:szCs w:val="32"/>
      <w:lang w:bidi="ar-SA"/>
    </w:rPr>
  </w:style>
  <w:style w:type="character" w:customStyle="1" w:styleId="96">
    <w:name w:val="正文文本缩进 3 字符1"/>
    <w:link w:val="42"/>
    <w:qFormat/>
    <w:uiPriority w:val="0"/>
    <w:rPr>
      <w:rFonts w:ascii="Verdana" w:hAnsi="Verdana" w:eastAsia="Ђˎ̥" w:cs="Verdana"/>
      <w:sz w:val="16"/>
      <w:szCs w:val="16"/>
    </w:rPr>
  </w:style>
  <w:style w:type="character" w:customStyle="1" w:styleId="97">
    <w:name w:val="正文文本 2 字符1"/>
    <w:link w:val="45"/>
    <w:qFormat/>
    <w:uiPriority w:val="0"/>
    <w:rPr>
      <w:rFonts w:ascii="Verdana" w:hAnsi="Verdana" w:eastAsia="Ђˎ̥" w:cs="Verdana"/>
      <w:szCs w:val="24"/>
    </w:rPr>
  </w:style>
  <w:style w:type="character" w:customStyle="1" w:styleId="98">
    <w:name w:val="HTML 预设格式 字符1"/>
    <w:link w:val="46"/>
    <w:qFormat/>
    <w:uiPriority w:val="0"/>
    <w:rPr>
      <w:rFonts w:ascii="Verdana" w:hAnsi="Verdana" w:cs="Verdana"/>
      <w:sz w:val="24"/>
      <w:szCs w:val="24"/>
    </w:rPr>
  </w:style>
  <w:style w:type="character" w:customStyle="1" w:styleId="99">
    <w:name w:val="标题 字符1"/>
    <w:link w:val="49"/>
    <w:qFormat/>
    <w:uiPriority w:val="0"/>
    <w:rPr>
      <w:rFonts w:ascii="Verdana" w:hAnsi="Verdana" w:eastAsia="宋体" w:cs="Verdana"/>
      <w:b/>
      <w:bCs/>
      <w:kern w:val="2"/>
      <w:sz w:val="32"/>
      <w:szCs w:val="32"/>
      <w:lang w:val="en-US" w:eastAsia="zh-CN" w:bidi="ar-SA"/>
    </w:rPr>
  </w:style>
  <w:style w:type="character" w:customStyle="1" w:styleId="100">
    <w:name w:val="批注主题 字符1"/>
    <w:link w:val="50"/>
    <w:qFormat/>
    <w:uiPriority w:val="0"/>
    <w:rPr>
      <w:rFonts w:ascii="Verdana" w:hAnsi="Verdana" w:eastAsia="Ђˎ̥" w:cs="Verdana"/>
      <w:b/>
      <w:bCs/>
      <w:kern w:val="2"/>
      <w:sz w:val="21"/>
      <w:szCs w:val="24"/>
      <w:lang w:val="en-US" w:eastAsia="zh-CN" w:bidi="ar-SA"/>
    </w:rPr>
  </w:style>
  <w:style w:type="character" w:customStyle="1" w:styleId="101">
    <w:name w:val="正文文本首行缩进 字符1"/>
    <w:link w:val="51"/>
    <w:qFormat/>
    <w:uiPriority w:val="0"/>
    <w:rPr>
      <w:rFonts w:ascii="宋体" w:hAnsi="Verdana" w:eastAsia="Ђˎ̥" w:cs="Verdana"/>
      <w:kern w:val="2"/>
      <w:sz w:val="21"/>
      <w:szCs w:val="24"/>
    </w:rPr>
  </w:style>
  <w:style w:type="character" w:customStyle="1" w:styleId="102">
    <w:name w:val="正文文本首行缩进 2 字符"/>
    <w:link w:val="52"/>
    <w:qFormat/>
    <w:uiPriority w:val="0"/>
    <w:rPr>
      <w:rFonts w:ascii="Verdana" w:hAnsi="宋体"/>
      <w:kern w:val="2"/>
      <w:sz w:val="21"/>
      <w:szCs w:val="24"/>
    </w:rPr>
  </w:style>
  <w:style w:type="paragraph" w:customStyle="1" w:styleId="103">
    <w:name w:val="表头加粗居中"/>
    <w:basedOn w:val="1"/>
    <w:qFormat/>
    <w:uiPriority w:val="0"/>
    <w:pPr>
      <w:jc w:val="center"/>
    </w:pPr>
    <w:rPr>
      <w:rFonts w:ascii="Calibri" w:hAnsi="Calibri" w:cs="宋体"/>
      <w:b/>
      <w:bCs/>
      <w:szCs w:val="20"/>
    </w:rPr>
  </w:style>
  <w:style w:type="paragraph" w:customStyle="1" w:styleId="104">
    <w:name w:val="xl79"/>
    <w:basedOn w:val="1"/>
    <w:qFormat/>
    <w:uiPriority w:val="0"/>
    <w:pPr>
      <w:widowControl/>
      <w:pBdr>
        <w:bottom w:val="single" w:color="auto" w:sz="8" w:space="0"/>
        <w:right w:val="single" w:color="auto" w:sz="8" w:space="0"/>
      </w:pBdr>
      <w:spacing w:beforeAutospacing="1" w:afterAutospacing="1"/>
    </w:pPr>
    <w:rPr>
      <w:rFonts w:ascii="Times New Roman" w:hAnsi="Times New Roman"/>
      <w:kern w:val="0"/>
      <w:sz w:val="20"/>
      <w:szCs w:val="20"/>
    </w:rPr>
  </w:style>
  <w:style w:type="paragraph" w:customStyle="1" w:styleId="105">
    <w:name w:val="Char1 Char Char Char1"/>
    <w:basedOn w:val="1"/>
    <w:qFormat/>
    <w:uiPriority w:val="0"/>
    <w:rPr>
      <w:rFonts w:ascii="Courier New" w:hAnsi="Courier New" w:cs="Courier New"/>
    </w:rPr>
  </w:style>
  <w:style w:type="paragraph" w:customStyle="1" w:styleId="106">
    <w:name w:val="Char Char17 Char Char Char Char Char Char"/>
    <w:basedOn w:val="1"/>
    <w:qFormat/>
    <w:uiPriority w:val="0"/>
    <w:pPr>
      <w:adjustRightInd w:val="0"/>
      <w:spacing w:line="360" w:lineRule="auto"/>
    </w:pPr>
    <w:rPr>
      <w:rFonts w:ascii="Segoe UI Symbol" w:hAnsi="Segoe UI Symbol" w:eastAsia="Segoe UI Symbol" w:cs="Segoe UI Symbol"/>
    </w:rPr>
  </w:style>
  <w:style w:type="paragraph" w:customStyle="1" w:styleId="107">
    <w:name w:val="List Paragraph1"/>
    <w:basedOn w:val="1"/>
    <w:qFormat/>
    <w:uiPriority w:val="0"/>
    <w:pPr>
      <w:ind w:firstLine="420" w:firstLineChars="200"/>
    </w:pPr>
    <w:rPr>
      <w:rFonts w:ascii="Calibri" w:hAnsi="Calibri"/>
      <w:szCs w:val="22"/>
    </w:rPr>
  </w:style>
  <w:style w:type="paragraph" w:customStyle="1" w:styleId="108">
    <w:name w:val="样式 标题 2 + Times New Roman 四号 非加粗 段前: 5 磅 段后: 0 磅 行距: 固定值 20..."/>
    <w:basedOn w:val="4"/>
    <w:qFormat/>
    <w:uiPriority w:val="0"/>
    <w:pPr>
      <w:spacing w:line="400" w:lineRule="exact"/>
    </w:pPr>
    <w:rPr>
      <w:rFonts w:cs="Ђˎ̥"/>
      <w:b w:val="0"/>
      <w:bCs w:val="0"/>
      <w:sz w:val="28"/>
      <w:szCs w:val="20"/>
    </w:rPr>
  </w:style>
  <w:style w:type="paragraph" w:customStyle="1" w:styleId="109">
    <w:name w:val="列出段落3"/>
    <w:basedOn w:val="1"/>
    <w:qFormat/>
    <w:uiPriority w:val="0"/>
    <w:pPr>
      <w:ind w:firstLine="420" w:firstLineChars="200"/>
    </w:pPr>
  </w:style>
  <w:style w:type="paragraph" w:customStyle="1" w:styleId="110">
    <w:name w:val="_Style 218"/>
    <w:next w:val="1"/>
    <w:qFormat/>
    <w:uiPriority w:val="99"/>
    <w:pPr>
      <w:widowControl w:val="0"/>
      <w:jc w:val="both"/>
    </w:pPr>
    <w:rPr>
      <w:rFonts w:ascii="Verdana" w:hAnsi="Verdana" w:eastAsia="宋体" w:cs="Times New Roman"/>
      <w:kern w:val="2"/>
      <w:sz w:val="21"/>
      <w:szCs w:val="24"/>
      <w:lang w:val="en-US" w:eastAsia="zh-CN" w:bidi="ar-SA"/>
    </w:rPr>
  </w:style>
  <w:style w:type="paragraph" w:customStyle="1" w:styleId="111">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112">
    <w:name w:val="2ji"/>
    <w:basedOn w:val="4"/>
    <w:qFormat/>
    <w:uiPriority w:val="0"/>
    <w:pPr>
      <w:adjustRightInd w:val="0"/>
      <w:spacing w:line="360" w:lineRule="auto"/>
      <w:textAlignment w:val="baseline"/>
    </w:pPr>
    <w:rPr>
      <w:rFonts w:ascii="Ђˎ̥" w:hAnsi="Ђˎ̥"/>
      <w:sz w:val="21"/>
      <w:szCs w:val="21"/>
    </w:rPr>
  </w:style>
  <w:style w:type="paragraph" w:customStyle="1" w:styleId="113">
    <w:name w:val="Char3"/>
    <w:basedOn w:val="1"/>
    <w:qFormat/>
    <w:uiPriority w:val="0"/>
    <w:pPr>
      <w:widowControl/>
      <w:spacing w:line="240" w:lineRule="exact"/>
      <w:jc w:val="left"/>
    </w:pPr>
    <w:rPr>
      <w:rFonts w:ascii="Ђˎ̥" w:hAnsi="Ђˎ̥"/>
      <w:kern w:val="0"/>
      <w:szCs w:val="20"/>
      <w:lang w:eastAsia="en-US"/>
    </w:rPr>
  </w:style>
  <w:style w:type="paragraph" w:customStyle="1" w:styleId="114">
    <w:name w:val="Default"/>
    <w:qFormat/>
    <w:uiPriority w:val="0"/>
    <w:pPr>
      <w:widowControl w:val="0"/>
      <w:autoSpaceDE w:val="0"/>
      <w:autoSpaceDN w:val="0"/>
      <w:adjustRightInd w:val="0"/>
    </w:pPr>
    <w:rPr>
      <w:rFonts w:ascii="Courier New" w:hAnsi="Ђˎ̥" w:eastAsia="宋体" w:cs="Courier New"/>
      <w:color w:val="000000"/>
      <w:sz w:val="24"/>
      <w:szCs w:val="24"/>
      <w:lang w:val="en-US" w:eastAsia="zh-CN" w:bidi="ar-SA"/>
    </w:rPr>
  </w:style>
  <w:style w:type="paragraph" w:customStyle="1" w:styleId="115">
    <w:name w:val="X正"/>
    <w:basedOn w:val="1"/>
    <w:link w:val="116"/>
    <w:qFormat/>
    <w:uiPriority w:val="0"/>
    <w:pPr>
      <w:widowControl/>
      <w:spacing w:line="560" w:lineRule="exact"/>
      <w:ind w:firstLine="200" w:firstLineChars="200"/>
    </w:pPr>
    <w:rPr>
      <w:rFonts w:ascii="Times New Roman" w:hAnsi="Times New Roman" w:eastAsia="仿宋_GB2312"/>
      <w:color w:val="000000"/>
      <w:kern w:val="0"/>
      <w:sz w:val="32"/>
      <w:szCs w:val="32"/>
    </w:rPr>
  </w:style>
  <w:style w:type="character" w:customStyle="1" w:styleId="116">
    <w:name w:val="X正 Char"/>
    <w:link w:val="115"/>
    <w:qFormat/>
    <w:locked/>
    <w:uiPriority w:val="0"/>
    <w:rPr>
      <w:rFonts w:eastAsia="仿宋_GB2312"/>
      <w:color w:val="000000"/>
      <w:sz w:val="32"/>
      <w:szCs w:val="32"/>
    </w:rPr>
  </w:style>
  <w:style w:type="paragraph" w:customStyle="1" w:styleId="117">
    <w:name w:val="网格表 33"/>
    <w:basedOn w:val="3"/>
    <w:next w:val="1"/>
    <w:qFormat/>
    <w:uiPriority w:val="39"/>
    <w:pPr>
      <w:widowControl/>
      <w:tabs>
        <w:tab w:val="left" w:pos="432"/>
      </w:tabs>
      <w:spacing w:before="480" w:line="276" w:lineRule="auto"/>
      <w:jc w:val="left"/>
      <w:outlineLvl w:val="9"/>
    </w:pPr>
    <w:rPr>
      <w:rFonts w:ascii="Cambria" w:hAnsi="Cambria" w:eastAsia="宋体"/>
      <w:color w:val="365F91"/>
      <w:kern w:val="0"/>
      <w:sz w:val="28"/>
      <w:szCs w:val="28"/>
    </w:rPr>
  </w:style>
  <w:style w:type="paragraph" w:customStyle="1" w:styleId="118">
    <w:name w:val="样式"/>
    <w:qFormat/>
    <w:uiPriority w:val="0"/>
    <w:pPr>
      <w:widowControl w:val="0"/>
      <w:autoSpaceDE w:val="0"/>
      <w:autoSpaceDN w:val="0"/>
      <w:adjustRightInd w:val="0"/>
    </w:pPr>
    <w:rPr>
      <w:rFonts w:ascii="Times New Roman" w:hAnsi="Times New Roman" w:eastAsia="宋体" w:cs="Ђˎ̥"/>
      <w:sz w:val="24"/>
      <w:szCs w:val="24"/>
      <w:lang w:val="en-US" w:eastAsia="zh-CN" w:bidi="ar-SA"/>
    </w:rPr>
  </w:style>
  <w:style w:type="paragraph" w:customStyle="1" w:styleId="119">
    <w:name w:val="样式1"/>
    <w:basedOn w:val="1"/>
    <w:qFormat/>
    <w:uiPriority w:val="0"/>
    <w:pPr>
      <w:spacing w:line="300" w:lineRule="auto"/>
    </w:pPr>
    <w:rPr>
      <w:rFonts w:ascii="Ђˎ̥" w:hAnsi="Ђˎ̥"/>
      <w:b/>
      <w:sz w:val="24"/>
      <w:szCs w:val="20"/>
    </w:rPr>
  </w:style>
  <w:style w:type="paragraph" w:customStyle="1" w:styleId="120">
    <w:name w:val="表格字体"/>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pPr>
    <w:rPr>
      <w:rFonts w:ascii="宋体" w:hAnsi="宋体" w:cs="宋体"/>
      <w:kern w:val="0"/>
      <w:sz w:val="24"/>
      <w:szCs w:val="20"/>
    </w:rPr>
  </w:style>
  <w:style w:type="paragraph" w:customStyle="1" w:styleId="121">
    <w:name w:val="样式 标题 1tzy1 + 楷体_GB2312 小三 两端对齐"/>
    <w:basedOn w:val="3"/>
    <w:qFormat/>
    <w:uiPriority w:val="0"/>
    <w:pPr>
      <w:tabs>
        <w:tab w:val="left" w:pos="360"/>
      </w:tabs>
      <w:spacing w:after="120" w:line="440" w:lineRule="exact"/>
      <w:ind w:left="360" w:hanging="360"/>
    </w:pPr>
    <w:rPr>
      <w:rFonts w:ascii="Times New Roman" w:hAnsi="楷体_GB2312" w:eastAsia="宋体"/>
      <w:b w:val="0"/>
      <w:sz w:val="30"/>
      <w:szCs w:val="20"/>
    </w:rPr>
  </w:style>
  <w:style w:type="paragraph" w:customStyle="1" w:styleId="122">
    <w:name w:val="pa-10"/>
    <w:basedOn w:val="1"/>
    <w:qFormat/>
    <w:uiPriority w:val="0"/>
    <w:pPr>
      <w:widowControl/>
      <w:jc w:val="left"/>
    </w:pPr>
    <w:rPr>
      <w:rFonts w:ascii="Courier New" w:hAnsi="Courier New" w:cs="Courier New"/>
      <w:kern w:val="0"/>
      <w:sz w:val="24"/>
    </w:rPr>
  </w:style>
  <w:style w:type="paragraph" w:customStyle="1" w:styleId="123">
    <w:name w:val="_Style 11"/>
    <w:basedOn w:val="1"/>
    <w:qFormat/>
    <w:uiPriority w:val="0"/>
    <w:pPr>
      <w:adjustRightInd w:val="0"/>
      <w:spacing w:line="360" w:lineRule="auto"/>
    </w:pPr>
    <w:rPr>
      <w:rFonts w:ascii="Courier New" w:hAnsi="Courier New" w:cs="Courier New"/>
    </w:rPr>
  </w:style>
  <w:style w:type="paragraph" w:customStyle="1" w:styleId="124">
    <w:name w:val="Char Char Char Char Char Char Char Char Char Char Char Char Char Char Char Char"/>
    <w:basedOn w:val="1"/>
    <w:qFormat/>
    <w:uiPriority w:val="0"/>
    <w:pPr>
      <w:tabs>
        <w:tab w:val="left" w:pos="360"/>
      </w:tabs>
      <w:spacing w:line="360" w:lineRule="auto"/>
      <w:ind w:left="482" w:firstLine="200" w:firstLineChars="200"/>
    </w:pPr>
    <w:rPr>
      <w:rFonts w:ascii="Ђˎ̥"/>
      <w:sz w:val="24"/>
    </w:rPr>
  </w:style>
  <w:style w:type="paragraph" w:customStyle="1" w:styleId="12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Ђˎ̥" w:hAnsi="Ђˎ̥" w:eastAsia="Ђˎ̥" w:cs="Verdana"/>
      <w:kern w:val="0"/>
      <w:szCs w:val="21"/>
    </w:rPr>
  </w:style>
  <w:style w:type="paragraph" w:customStyle="1" w:styleId="126">
    <w:name w:val="xl100"/>
    <w:basedOn w:val="1"/>
    <w:qFormat/>
    <w:uiPriority w:val="0"/>
    <w:pPr>
      <w:widowControl/>
      <w:pBdr>
        <w:left w:val="single" w:color="auto" w:sz="8" w:space="0"/>
        <w:bottom w:val="single" w:color="auto" w:sz="8" w:space="0"/>
        <w:right w:val="single" w:color="auto" w:sz="8" w:space="0"/>
      </w:pBdr>
      <w:spacing w:beforeAutospacing="1" w:afterAutospacing="1"/>
      <w:jc w:val="left"/>
    </w:pPr>
    <w:rPr>
      <w:rFonts w:ascii="宋体" w:hAnsi="宋体" w:cs="宋体"/>
      <w:kern w:val="0"/>
      <w:sz w:val="20"/>
      <w:szCs w:val="20"/>
    </w:rPr>
  </w:style>
  <w:style w:type="paragraph" w:customStyle="1" w:styleId="127">
    <w:name w:val="样式 首行缩进:  2 字符"/>
    <w:basedOn w:val="1"/>
    <w:qFormat/>
    <w:uiPriority w:val="0"/>
    <w:pPr>
      <w:spacing w:line="400" w:lineRule="exact"/>
      <w:ind w:firstLine="200" w:firstLineChars="200"/>
    </w:pPr>
    <w:rPr>
      <w:rFonts w:cs="Ђˎ̥"/>
      <w:sz w:val="24"/>
    </w:rPr>
  </w:style>
  <w:style w:type="paragraph" w:customStyle="1" w:styleId="128">
    <w:name w:val="pa-9"/>
    <w:basedOn w:val="1"/>
    <w:qFormat/>
    <w:uiPriority w:val="0"/>
    <w:pPr>
      <w:widowControl/>
      <w:jc w:val="left"/>
    </w:pPr>
    <w:rPr>
      <w:rFonts w:ascii="Courier New" w:hAnsi="Courier New" w:cs="Courier New"/>
      <w:kern w:val="0"/>
      <w:sz w:val="24"/>
    </w:rPr>
  </w:style>
  <w:style w:type="paragraph" w:customStyle="1" w:styleId="129">
    <w:name w:val="表格标题居中 Char"/>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center"/>
    </w:pPr>
    <w:rPr>
      <w:rFonts w:ascii="宋体" w:hAnsi="宋体" w:cs="宋体"/>
      <w:kern w:val="0"/>
      <w:sz w:val="24"/>
      <w:szCs w:val="20"/>
    </w:rPr>
  </w:style>
  <w:style w:type="paragraph" w:customStyle="1" w:styleId="130">
    <w:name w:val="节标题"/>
    <w:basedOn w:val="1"/>
    <w:next w:val="131"/>
    <w:qFormat/>
    <w:uiPriority w:val="0"/>
    <w:pPr>
      <w:widowControl/>
      <w:spacing w:line="289" w:lineRule="atLeast"/>
      <w:jc w:val="center"/>
      <w:textAlignment w:val="baseline"/>
    </w:pPr>
    <w:rPr>
      <w:color w:val="000000"/>
      <w:kern w:val="0"/>
      <w:sz w:val="28"/>
      <w:szCs w:val="20"/>
    </w:rPr>
  </w:style>
  <w:style w:type="paragraph" w:customStyle="1" w:styleId="131">
    <w:name w:val="小节标题"/>
    <w:basedOn w:val="1"/>
    <w:next w:val="1"/>
    <w:qFormat/>
    <w:uiPriority w:val="0"/>
    <w:pPr>
      <w:widowControl/>
      <w:spacing w:line="351" w:lineRule="atLeast"/>
      <w:textAlignment w:val="baseline"/>
    </w:pPr>
    <w:rPr>
      <w:rFonts w:eastAsia="Ђˎ̥"/>
      <w:color w:val="000000"/>
      <w:kern w:val="0"/>
      <w:szCs w:val="20"/>
    </w:rPr>
  </w:style>
  <w:style w:type="paragraph" w:customStyle="1" w:styleId="132">
    <w:name w:val="Char Char8"/>
    <w:basedOn w:val="1"/>
    <w:qFormat/>
    <w:uiPriority w:val="0"/>
    <w:pPr>
      <w:widowControl/>
      <w:spacing w:line="240" w:lineRule="exact"/>
      <w:jc w:val="left"/>
    </w:pPr>
    <w:rPr>
      <w:rFonts w:ascii="Courier New" w:hAnsi="Courier New" w:cs="Ђˎ̥"/>
      <w:kern w:val="0"/>
      <w:szCs w:val="20"/>
      <w:lang w:eastAsia="en-US"/>
    </w:rPr>
  </w:style>
  <w:style w:type="paragraph" w:customStyle="1" w:styleId="133">
    <w:name w:val="xl116"/>
    <w:basedOn w:val="1"/>
    <w:qFormat/>
    <w:uiPriority w:val="0"/>
    <w:pPr>
      <w:widowControl/>
      <w:pBdr>
        <w:top w:val="single" w:color="auto" w:sz="8" w:space="0"/>
        <w:left w:val="single" w:color="auto" w:sz="8" w:space="0"/>
        <w:right w:val="single" w:color="auto" w:sz="8" w:space="0"/>
      </w:pBdr>
      <w:spacing w:beforeAutospacing="1" w:afterAutospacing="1"/>
      <w:jc w:val="left"/>
    </w:pPr>
    <w:rPr>
      <w:rFonts w:ascii="宋体" w:hAnsi="宋体" w:cs="宋体"/>
      <w:color w:val="000000"/>
      <w:kern w:val="0"/>
      <w:sz w:val="20"/>
      <w:szCs w:val="20"/>
    </w:rPr>
  </w:style>
  <w:style w:type="paragraph" w:customStyle="1" w:styleId="134">
    <w:name w:val="xl91"/>
    <w:basedOn w:val="1"/>
    <w:qFormat/>
    <w:uiPriority w:val="0"/>
    <w:pPr>
      <w:widowControl/>
      <w:pBdr>
        <w:left w:val="single" w:color="auto" w:sz="8" w:space="0"/>
        <w:bottom w:val="single" w:color="auto" w:sz="8" w:space="0"/>
        <w:right w:val="single" w:color="auto" w:sz="8" w:space="0"/>
      </w:pBdr>
      <w:spacing w:beforeAutospacing="1" w:afterAutospacing="1"/>
      <w:jc w:val="center"/>
    </w:pPr>
    <w:rPr>
      <w:rFonts w:ascii="宋体" w:hAnsi="宋体" w:cs="宋体"/>
      <w:kern w:val="0"/>
      <w:sz w:val="20"/>
      <w:szCs w:val="20"/>
    </w:rPr>
  </w:style>
  <w:style w:type="paragraph" w:customStyle="1" w:styleId="135">
    <w:name w:val="目录1"/>
    <w:basedOn w:val="1"/>
    <w:next w:val="1"/>
    <w:qFormat/>
    <w:uiPriority w:val="0"/>
    <w:pPr>
      <w:widowControl/>
      <w:tabs>
        <w:tab w:val="left" w:leader="dot" w:pos="8503"/>
      </w:tabs>
      <w:spacing w:line="289" w:lineRule="atLeast"/>
      <w:jc w:val="left"/>
      <w:textAlignment w:val="baseline"/>
    </w:pPr>
    <w:rPr>
      <w:rFonts w:eastAsia="Ђˎ̥"/>
      <w:color w:val="000000"/>
      <w:kern w:val="0"/>
      <w:sz w:val="28"/>
      <w:szCs w:val="20"/>
    </w:rPr>
  </w:style>
  <w:style w:type="paragraph" w:customStyle="1" w:styleId="136">
    <w:name w:val="正文小4号字缩进2字符"/>
    <w:qFormat/>
    <w:uiPriority w:val="0"/>
    <w:pPr>
      <w:widowControl w:val="0"/>
      <w:tabs>
        <w:tab w:val="left" w:pos="1754"/>
      </w:tabs>
      <w:spacing w:line="400" w:lineRule="exact"/>
      <w:ind w:right="27" w:rightChars="13"/>
      <w:jc w:val="both"/>
    </w:pPr>
    <w:rPr>
      <w:rFonts w:ascii="宋体" w:hAnsi="宋体" w:eastAsia="宋体" w:cs="Times New Roman"/>
      <w:color w:val="000000"/>
      <w:kern w:val="2"/>
      <w:sz w:val="24"/>
      <w:szCs w:val="24"/>
      <w:lang w:val="en-US" w:eastAsia="zh-CN" w:bidi="ar-SA"/>
    </w:rPr>
  </w:style>
  <w:style w:type="paragraph" w:customStyle="1" w:styleId="137">
    <w:name w:val="_Style 2"/>
    <w:basedOn w:val="1"/>
    <w:qFormat/>
    <w:uiPriority w:val="0"/>
    <w:pPr>
      <w:ind w:firstLine="420" w:firstLineChars="200"/>
    </w:pPr>
    <w:rPr>
      <w:rFonts w:ascii="Calibri" w:hAnsi="Calibri"/>
      <w:szCs w:val="22"/>
    </w:rPr>
  </w:style>
  <w:style w:type="paragraph" w:customStyle="1" w:styleId="138">
    <w:name w:val="表格样式 1"/>
    <w:qFormat/>
    <w:uiPriority w:val="0"/>
    <w:rPr>
      <w:rFonts w:ascii="Helvetica" w:hAnsi="Helvetica" w:eastAsia="Helvetica" w:cs="Helvetica"/>
      <w:b/>
      <w:bCs/>
      <w:color w:val="000000"/>
      <w:lang w:val="en-US" w:eastAsia="zh-CN" w:bidi="ar-SA"/>
    </w:rPr>
  </w:style>
  <w:style w:type="paragraph" w:customStyle="1" w:styleId="139">
    <w:name w:val="pa-8"/>
    <w:basedOn w:val="1"/>
    <w:qFormat/>
    <w:uiPriority w:val="0"/>
    <w:pPr>
      <w:widowControl/>
      <w:jc w:val="left"/>
    </w:pPr>
    <w:rPr>
      <w:rFonts w:ascii="Courier New" w:hAnsi="Courier New" w:cs="Courier New"/>
      <w:kern w:val="0"/>
      <w:sz w:val="24"/>
    </w:rPr>
  </w:style>
  <w:style w:type="paragraph" w:customStyle="1" w:styleId="140">
    <w:name w:val="无间隔1"/>
    <w:qFormat/>
    <w:uiPriority w:val="0"/>
    <w:pPr>
      <w:widowControl w:val="0"/>
      <w:jc w:val="both"/>
    </w:pPr>
    <w:rPr>
      <w:rFonts w:ascii="Segoe UI Symbol" w:hAnsi="Segoe UI Symbol" w:eastAsia="宋体" w:cs="Times New Roman"/>
      <w:kern w:val="2"/>
      <w:sz w:val="21"/>
      <w:szCs w:val="22"/>
      <w:lang w:val="en-US" w:eastAsia="zh-CN" w:bidi="ar-SA"/>
    </w:rPr>
  </w:style>
  <w:style w:type="paragraph" w:customStyle="1" w:styleId="141">
    <w:name w:val="xl107"/>
    <w:basedOn w:val="1"/>
    <w:qFormat/>
    <w:uiPriority w:val="0"/>
    <w:pPr>
      <w:widowControl/>
      <w:pBdr>
        <w:top w:val="single" w:color="auto" w:sz="8" w:space="0"/>
        <w:left w:val="single" w:color="auto" w:sz="8" w:space="0"/>
        <w:right w:val="single" w:color="auto" w:sz="8" w:space="0"/>
      </w:pBdr>
      <w:spacing w:beforeAutospacing="1" w:afterAutospacing="1"/>
      <w:jc w:val="left"/>
    </w:pPr>
    <w:rPr>
      <w:rFonts w:ascii="宋体" w:hAnsi="宋体" w:cs="宋体"/>
      <w:color w:val="000000"/>
      <w:kern w:val="0"/>
      <w:sz w:val="20"/>
      <w:szCs w:val="20"/>
    </w:rPr>
  </w:style>
  <w:style w:type="paragraph" w:customStyle="1" w:styleId="142">
    <w:name w:val="0 正文"/>
    <w:basedOn w:val="1"/>
    <w:link w:val="143"/>
    <w:qFormat/>
    <w:uiPriority w:val="0"/>
    <w:pPr>
      <w:spacing w:line="360" w:lineRule="auto"/>
      <w:ind w:firstLine="420"/>
    </w:pPr>
    <w:rPr>
      <w:rFonts w:ascii="Times New Roman" w:hAnsi="Times New Roman"/>
      <w:szCs w:val="21"/>
    </w:rPr>
  </w:style>
  <w:style w:type="character" w:customStyle="1" w:styleId="143">
    <w:name w:val="0 正文 Char"/>
    <w:link w:val="142"/>
    <w:qFormat/>
    <w:uiPriority w:val="0"/>
    <w:rPr>
      <w:kern w:val="2"/>
      <w:sz w:val="21"/>
      <w:szCs w:val="21"/>
    </w:rPr>
  </w:style>
  <w:style w:type="paragraph" w:customStyle="1" w:styleId="144">
    <w:name w:val="xl67"/>
    <w:basedOn w:val="1"/>
    <w:qFormat/>
    <w:uiPriority w:val="0"/>
    <w:pPr>
      <w:widowControl/>
      <w:pBdr>
        <w:bottom w:val="single" w:color="auto" w:sz="8" w:space="0"/>
        <w:right w:val="single" w:color="auto" w:sz="8" w:space="0"/>
      </w:pBdr>
      <w:shd w:val="clear" w:color="000000" w:fill="FFFFFF"/>
      <w:spacing w:beforeAutospacing="1" w:afterAutospacing="1"/>
      <w:jc w:val="left"/>
    </w:pPr>
    <w:rPr>
      <w:rFonts w:ascii="宋体" w:hAnsi="宋体" w:cs="宋体"/>
      <w:kern w:val="0"/>
      <w:sz w:val="20"/>
      <w:szCs w:val="20"/>
    </w:rPr>
  </w:style>
  <w:style w:type="paragraph" w:customStyle="1" w:styleId="145">
    <w:name w:val="xl117"/>
    <w:basedOn w:val="1"/>
    <w:qFormat/>
    <w:uiPriority w:val="0"/>
    <w:pPr>
      <w:widowControl/>
      <w:pBdr>
        <w:left w:val="single" w:color="auto" w:sz="8" w:space="0"/>
        <w:bottom w:val="single" w:color="auto" w:sz="8" w:space="0"/>
        <w:right w:val="single" w:color="auto" w:sz="8" w:space="0"/>
      </w:pBdr>
      <w:spacing w:beforeAutospacing="1" w:afterAutospacing="1"/>
      <w:jc w:val="left"/>
    </w:pPr>
    <w:rPr>
      <w:rFonts w:ascii="宋体" w:hAnsi="宋体" w:cs="宋体"/>
      <w:color w:val="000000"/>
      <w:kern w:val="0"/>
      <w:sz w:val="20"/>
      <w:szCs w:val="20"/>
    </w:rPr>
  </w:style>
  <w:style w:type="paragraph" w:customStyle="1" w:styleId="146">
    <w:name w:val="xl88"/>
    <w:basedOn w:val="1"/>
    <w:qFormat/>
    <w:uiPriority w:val="0"/>
    <w:pPr>
      <w:widowControl/>
      <w:pBdr>
        <w:left w:val="single" w:color="auto" w:sz="8" w:space="0"/>
        <w:bottom w:val="single" w:color="auto" w:sz="8" w:space="0"/>
        <w:right w:val="single" w:color="auto" w:sz="8" w:space="0"/>
      </w:pBdr>
      <w:shd w:val="clear" w:color="000000" w:fill="FFFFFF"/>
      <w:spacing w:beforeAutospacing="1" w:afterAutospacing="1"/>
      <w:jc w:val="left"/>
    </w:pPr>
    <w:rPr>
      <w:rFonts w:ascii="宋体" w:hAnsi="宋体" w:cs="宋体"/>
      <w:kern w:val="0"/>
      <w:sz w:val="20"/>
      <w:szCs w:val="20"/>
    </w:rPr>
  </w:style>
  <w:style w:type="paragraph" w:customStyle="1" w:styleId="147">
    <w:name w:val="xl12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eastAsia="Verdana" w:cs="Verdana"/>
      <w:kern w:val="0"/>
      <w:szCs w:val="21"/>
    </w:rPr>
  </w:style>
  <w:style w:type="paragraph" w:customStyle="1" w:styleId="148">
    <w:name w:val="xl63"/>
    <w:basedOn w:val="1"/>
    <w:qFormat/>
    <w:uiPriority w:val="0"/>
    <w:pPr>
      <w:widowControl/>
      <w:pBdr>
        <w:top w:val="single" w:color="auto" w:sz="8" w:space="0"/>
        <w:left w:val="single" w:color="auto" w:sz="8" w:space="0"/>
        <w:bottom w:val="single" w:color="auto" w:sz="8" w:space="0"/>
        <w:right w:val="single" w:color="auto" w:sz="8" w:space="0"/>
      </w:pBdr>
      <w:spacing w:beforeAutospacing="1" w:afterAutospacing="1"/>
      <w:jc w:val="center"/>
    </w:pPr>
    <w:rPr>
      <w:rFonts w:ascii="宋体" w:hAnsi="宋体" w:cs="宋体"/>
      <w:b/>
      <w:bCs/>
      <w:color w:val="000000"/>
      <w:kern w:val="0"/>
      <w:sz w:val="28"/>
      <w:szCs w:val="28"/>
    </w:rPr>
  </w:style>
  <w:style w:type="paragraph" w:customStyle="1" w:styleId="149">
    <w:name w:val="Char11"/>
    <w:basedOn w:val="1"/>
    <w:qFormat/>
    <w:uiPriority w:val="0"/>
    <w:pPr>
      <w:widowControl/>
      <w:shd w:val="clear" w:color="auto" w:fill="FFFFFF"/>
      <w:ind w:firstLine="454"/>
      <w:jc w:val="left"/>
    </w:pPr>
    <w:rPr>
      <w:rFonts w:ascii="@宋体" w:hAnsi="@宋体" w:eastAsia="Courier New" w:cs="Courier New"/>
      <w:kern w:val="0"/>
      <w:sz w:val="24"/>
      <w:szCs w:val="20"/>
      <w:shd w:val="clear" w:color="auto" w:fill="000080"/>
    </w:rPr>
  </w:style>
  <w:style w:type="paragraph" w:customStyle="1" w:styleId="150">
    <w:name w:val="Char7"/>
    <w:basedOn w:val="1"/>
    <w:qFormat/>
    <w:uiPriority w:val="0"/>
    <w:pPr>
      <w:widowControl/>
      <w:spacing w:after="160" w:line="240" w:lineRule="exact"/>
      <w:jc w:val="left"/>
    </w:pPr>
    <w:rPr>
      <w:rFonts w:eastAsia="仿宋_GB2312"/>
      <w:kern w:val="0"/>
      <w:sz w:val="24"/>
      <w:szCs w:val="20"/>
      <w:lang w:eastAsia="en-US"/>
    </w:rPr>
  </w:style>
  <w:style w:type="paragraph" w:customStyle="1" w:styleId="151">
    <w:name w:val="font8"/>
    <w:basedOn w:val="1"/>
    <w:qFormat/>
    <w:uiPriority w:val="0"/>
    <w:pPr>
      <w:widowControl/>
      <w:spacing w:beforeAutospacing="1" w:afterAutospacing="1"/>
      <w:jc w:val="left"/>
    </w:pPr>
    <w:rPr>
      <w:rFonts w:ascii="Times New Roman" w:hAnsi="Times New Roman"/>
      <w:color w:val="000000"/>
      <w:kern w:val="0"/>
      <w:sz w:val="20"/>
      <w:szCs w:val="20"/>
    </w:rPr>
  </w:style>
  <w:style w:type="paragraph" w:customStyle="1" w:styleId="152">
    <w:name w:val="Char Char Char Char Char Char1 Char"/>
    <w:basedOn w:val="1"/>
    <w:qFormat/>
    <w:uiPriority w:val="0"/>
    <w:pPr>
      <w:widowControl/>
      <w:spacing w:line="240" w:lineRule="exact"/>
      <w:jc w:val="left"/>
    </w:pPr>
    <w:rPr>
      <w:rFonts w:ascii="Ђˎ̥" w:hAnsi="Ђˎ̥" w:cs="Ђˎ̥"/>
      <w:kern w:val="0"/>
      <w:szCs w:val="20"/>
      <w:lang w:eastAsia="en-US"/>
    </w:rPr>
  </w:style>
  <w:style w:type="paragraph" w:customStyle="1" w:styleId="153">
    <w:name w:val="pa-11"/>
    <w:basedOn w:val="1"/>
    <w:qFormat/>
    <w:uiPriority w:val="0"/>
    <w:pPr>
      <w:widowControl/>
      <w:jc w:val="left"/>
    </w:pPr>
    <w:rPr>
      <w:rFonts w:ascii="Courier New" w:hAnsi="Courier New" w:cs="Courier New"/>
      <w:kern w:val="0"/>
      <w:sz w:val="24"/>
    </w:rPr>
  </w:style>
  <w:style w:type="paragraph" w:customStyle="1" w:styleId="154">
    <w:name w:val="xl76"/>
    <w:basedOn w:val="1"/>
    <w:qFormat/>
    <w:uiPriority w:val="0"/>
    <w:pPr>
      <w:widowControl/>
      <w:pBdr>
        <w:bottom w:val="single" w:color="auto" w:sz="8" w:space="0"/>
        <w:right w:val="single" w:color="auto" w:sz="8" w:space="0"/>
      </w:pBdr>
      <w:spacing w:beforeAutospacing="1" w:afterAutospacing="1"/>
      <w:jc w:val="left"/>
    </w:pPr>
    <w:rPr>
      <w:rFonts w:ascii="宋体" w:hAnsi="宋体" w:cs="宋体"/>
      <w:kern w:val="0"/>
      <w:sz w:val="20"/>
      <w:szCs w:val="20"/>
    </w:rPr>
  </w:style>
  <w:style w:type="paragraph" w:customStyle="1" w:styleId="155">
    <w:name w:val="xl89"/>
    <w:basedOn w:val="1"/>
    <w:qFormat/>
    <w:uiPriority w:val="0"/>
    <w:pPr>
      <w:widowControl/>
      <w:pBdr>
        <w:top w:val="single" w:color="auto" w:sz="8" w:space="0"/>
        <w:left w:val="single" w:color="auto" w:sz="8" w:space="0"/>
        <w:right w:val="single" w:color="auto" w:sz="8" w:space="0"/>
      </w:pBdr>
      <w:spacing w:beforeAutospacing="1" w:afterAutospacing="1"/>
      <w:jc w:val="center"/>
    </w:pPr>
    <w:rPr>
      <w:rFonts w:ascii="宋体" w:hAnsi="宋体" w:cs="宋体"/>
      <w:kern w:val="0"/>
      <w:sz w:val="20"/>
      <w:szCs w:val="20"/>
    </w:rPr>
  </w:style>
  <w:style w:type="paragraph" w:customStyle="1" w:styleId="156">
    <w:name w:val="文章总标题"/>
    <w:basedOn w:val="1"/>
    <w:next w:val="157"/>
    <w:qFormat/>
    <w:uiPriority w:val="0"/>
    <w:pPr>
      <w:widowControl/>
      <w:spacing w:line="566" w:lineRule="atLeast"/>
      <w:jc w:val="center"/>
      <w:textAlignment w:val="baseline"/>
    </w:pPr>
    <w:rPr>
      <w:rFonts w:eastAsia="Ђˎ̥"/>
      <w:color w:val="000000"/>
      <w:kern w:val="0"/>
      <w:sz w:val="54"/>
      <w:szCs w:val="20"/>
    </w:rPr>
  </w:style>
  <w:style w:type="paragraph" w:customStyle="1" w:styleId="157">
    <w:name w:val="文章附标题"/>
    <w:basedOn w:val="1"/>
    <w:next w:val="3"/>
    <w:qFormat/>
    <w:uiPriority w:val="0"/>
    <w:pPr>
      <w:widowControl/>
      <w:spacing w:line="374" w:lineRule="atLeast"/>
      <w:jc w:val="center"/>
      <w:textAlignment w:val="baseline"/>
    </w:pPr>
    <w:rPr>
      <w:color w:val="000000"/>
      <w:kern w:val="0"/>
      <w:sz w:val="36"/>
      <w:szCs w:val="20"/>
    </w:rPr>
  </w:style>
  <w:style w:type="paragraph" w:customStyle="1" w:styleId="158">
    <w:name w:val="xl114"/>
    <w:basedOn w:val="1"/>
    <w:qFormat/>
    <w:uiPriority w:val="0"/>
    <w:pPr>
      <w:widowControl/>
      <w:pBdr>
        <w:left w:val="single" w:color="auto" w:sz="8" w:space="0"/>
        <w:right w:val="single" w:color="auto" w:sz="8" w:space="0"/>
      </w:pBdr>
      <w:shd w:val="clear" w:color="000000" w:fill="FFFFFF"/>
      <w:spacing w:beforeAutospacing="1" w:afterAutospacing="1"/>
      <w:jc w:val="center"/>
    </w:pPr>
    <w:rPr>
      <w:rFonts w:ascii="宋体" w:hAnsi="宋体" w:cs="宋体"/>
      <w:color w:val="000000"/>
      <w:kern w:val="0"/>
      <w:sz w:val="20"/>
      <w:szCs w:val="20"/>
    </w:rPr>
  </w:style>
  <w:style w:type="paragraph" w:customStyle="1" w:styleId="159">
    <w:name w:val="xl110"/>
    <w:basedOn w:val="1"/>
    <w:qFormat/>
    <w:uiPriority w:val="0"/>
    <w:pPr>
      <w:widowControl/>
      <w:pBdr>
        <w:top w:val="single" w:color="auto" w:sz="8" w:space="0"/>
        <w:left w:val="single" w:color="auto" w:sz="8" w:space="0"/>
        <w:right w:val="single" w:color="auto" w:sz="8" w:space="0"/>
      </w:pBdr>
      <w:spacing w:beforeAutospacing="1" w:afterAutospacing="1"/>
      <w:jc w:val="center"/>
    </w:pPr>
    <w:rPr>
      <w:rFonts w:ascii="宋体" w:hAnsi="宋体" w:cs="宋体"/>
      <w:color w:val="000000"/>
      <w:kern w:val="0"/>
      <w:sz w:val="20"/>
      <w:szCs w:val="20"/>
    </w:rPr>
  </w:style>
  <w:style w:type="paragraph" w:customStyle="1" w:styleId="160">
    <w:name w:val="_Style 12"/>
    <w:basedOn w:val="1"/>
    <w:qFormat/>
    <w:uiPriority w:val="0"/>
    <w:pPr>
      <w:adjustRightInd w:val="0"/>
      <w:spacing w:line="360" w:lineRule="auto"/>
    </w:pPr>
    <w:rPr>
      <w:rFonts w:ascii="Courier New" w:hAnsi="Courier New" w:cs="Courier New"/>
    </w:rPr>
  </w:style>
  <w:style w:type="paragraph" w:customStyle="1" w:styleId="161">
    <w:name w:val="1级"/>
    <w:basedOn w:val="162"/>
    <w:qFormat/>
    <w:uiPriority w:val="0"/>
    <w:pPr>
      <w:tabs>
        <w:tab w:val="left" w:pos="840"/>
      </w:tabs>
      <w:autoSpaceDE w:val="0"/>
      <w:autoSpaceDN w:val="0"/>
      <w:adjustRightInd w:val="0"/>
      <w:spacing w:line="360" w:lineRule="exact"/>
      <w:ind w:left="840" w:hanging="391" w:firstLineChars="0"/>
    </w:pPr>
    <w:rPr>
      <w:rFonts w:ascii="宋体" w:hAnsi="宋体" w:cs="Times New Roman"/>
      <w:b/>
      <w:color w:val="000000"/>
      <w:szCs w:val="21"/>
    </w:rPr>
  </w:style>
  <w:style w:type="paragraph" w:customStyle="1" w:styleId="162">
    <w:name w:val="列出段落1"/>
    <w:basedOn w:val="1"/>
    <w:qFormat/>
    <w:uiPriority w:val="0"/>
    <w:pPr>
      <w:ind w:firstLine="420" w:firstLineChars="200"/>
    </w:pPr>
    <w:rPr>
      <w:rFonts w:ascii="Segoe UI Symbol" w:hAnsi="Segoe UI Symbol" w:cs="Courier New"/>
      <w:szCs w:val="22"/>
    </w:rPr>
  </w:style>
  <w:style w:type="paragraph" w:customStyle="1" w:styleId="163">
    <w:name w:val="pa-4"/>
    <w:basedOn w:val="1"/>
    <w:qFormat/>
    <w:uiPriority w:val="0"/>
    <w:pPr>
      <w:widowControl/>
      <w:jc w:val="left"/>
    </w:pPr>
    <w:rPr>
      <w:rFonts w:ascii="Courier New" w:hAnsi="Courier New" w:cs="Courier New"/>
      <w:kern w:val="0"/>
      <w:sz w:val="24"/>
    </w:rPr>
  </w:style>
  <w:style w:type="paragraph" w:customStyle="1" w:styleId="164">
    <w:name w:val="xl85"/>
    <w:basedOn w:val="1"/>
    <w:qFormat/>
    <w:uiPriority w:val="0"/>
    <w:pPr>
      <w:widowControl/>
      <w:pBdr>
        <w:top w:val="single" w:color="auto" w:sz="8" w:space="0"/>
        <w:left w:val="single" w:color="auto" w:sz="8" w:space="0"/>
        <w:right w:val="single" w:color="auto" w:sz="8" w:space="0"/>
      </w:pBdr>
      <w:spacing w:beforeAutospacing="1" w:afterAutospacing="1"/>
      <w:jc w:val="center"/>
    </w:pPr>
    <w:rPr>
      <w:rFonts w:ascii="宋体" w:hAnsi="宋体" w:cs="宋体"/>
      <w:color w:val="000000"/>
      <w:kern w:val="0"/>
      <w:sz w:val="24"/>
    </w:rPr>
  </w:style>
  <w:style w:type="paragraph" w:customStyle="1" w:styleId="165">
    <w:name w:val="0"/>
    <w:basedOn w:val="1"/>
    <w:qFormat/>
    <w:uiPriority w:val="0"/>
    <w:pPr>
      <w:widowControl/>
      <w:spacing w:beforeAutospacing="1" w:afterAutospacing="1" w:line="360" w:lineRule="auto"/>
      <w:jc w:val="left"/>
    </w:pPr>
    <w:rPr>
      <w:rFonts w:ascii="宋体" w:hAnsi="Times New Roman" w:cs="宋体"/>
      <w:kern w:val="0"/>
      <w:sz w:val="24"/>
    </w:rPr>
  </w:style>
  <w:style w:type="paragraph" w:customStyle="1" w:styleId="166">
    <w:name w:val="xl86"/>
    <w:basedOn w:val="1"/>
    <w:qFormat/>
    <w:uiPriority w:val="0"/>
    <w:pPr>
      <w:widowControl/>
      <w:pBdr>
        <w:top w:val="single" w:color="auto" w:sz="8" w:space="0"/>
        <w:left w:val="single" w:color="auto" w:sz="8" w:space="0"/>
        <w:right w:val="single" w:color="auto" w:sz="8" w:space="0"/>
      </w:pBdr>
      <w:shd w:val="clear" w:color="000000" w:fill="FFFFFF"/>
      <w:spacing w:beforeAutospacing="1" w:afterAutospacing="1"/>
      <w:jc w:val="left"/>
    </w:pPr>
    <w:rPr>
      <w:rFonts w:ascii="宋体" w:hAnsi="宋体" w:cs="宋体"/>
      <w:kern w:val="0"/>
      <w:sz w:val="20"/>
      <w:szCs w:val="20"/>
    </w:rPr>
  </w:style>
  <w:style w:type="paragraph" w:customStyle="1" w:styleId="167">
    <w:name w:val="font5"/>
    <w:basedOn w:val="1"/>
    <w:qFormat/>
    <w:uiPriority w:val="0"/>
    <w:pPr>
      <w:widowControl/>
      <w:spacing w:beforeAutospacing="1" w:afterAutospacing="1"/>
      <w:jc w:val="left"/>
    </w:pPr>
    <w:rPr>
      <w:rFonts w:eastAsia="Verdana" w:cs="Verdana"/>
      <w:kern w:val="0"/>
      <w:sz w:val="18"/>
      <w:szCs w:val="18"/>
    </w:rPr>
  </w:style>
  <w:style w:type="paragraph" w:customStyle="1" w:styleId="168">
    <w:name w:val="正文1"/>
    <w:basedOn w:val="1"/>
    <w:qFormat/>
    <w:uiPriority w:val="0"/>
    <w:pPr>
      <w:widowControl/>
      <w:spacing w:line="300" w:lineRule="atLeast"/>
      <w:jc w:val="left"/>
    </w:pPr>
    <w:rPr>
      <w:rFonts w:ascii="Segoe UI Symbol" w:hAnsi="Segoe UI Symbol" w:cs="Courier New"/>
      <w:kern w:val="0"/>
      <w:sz w:val="22"/>
      <w:szCs w:val="22"/>
    </w:rPr>
  </w:style>
  <w:style w:type="paragraph" w:customStyle="1" w:styleId="169">
    <w:name w:val="Char12"/>
    <w:basedOn w:val="1"/>
    <w:qFormat/>
    <w:uiPriority w:val="0"/>
    <w:pPr>
      <w:widowControl/>
      <w:spacing w:line="240" w:lineRule="exact"/>
      <w:jc w:val="left"/>
    </w:pPr>
    <w:rPr>
      <w:rFonts w:ascii="@宋体" w:hAnsi="@宋体" w:eastAsia="Segoe UI Symbol" w:cs="Ђˎ̥"/>
      <w:kern w:val="0"/>
      <w:sz w:val="24"/>
      <w:szCs w:val="20"/>
      <w:lang w:eastAsia="en-US"/>
    </w:rPr>
  </w:style>
  <w:style w:type="paragraph" w:customStyle="1" w:styleId="170">
    <w:name w:val="正文 New"/>
    <w:qFormat/>
    <w:uiPriority w:val="0"/>
    <w:pPr>
      <w:widowControl w:val="0"/>
      <w:jc w:val="both"/>
    </w:pPr>
    <w:rPr>
      <w:rFonts w:ascii="Courier New" w:hAnsi="Courier New" w:eastAsia="宋体" w:cs="Courier New"/>
      <w:kern w:val="2"/>
      <w:sz w:val="21"/>
      <w:szCs w:val="24"/>
      <w:lang w:val="en-US" w:eastAsia="zh-CN" w:bidi="ar-SA"/>
    </w:rPr>
  </w:style>
  <w:style w:type="paragraph" w:customStyle="1" w:styleId="171">
    <w:name w:val="xl101"/>
    <w:basedOn w:val="1"/>
    <w:qFormat/>
    <w:uiPriority w:val="0"/>
    <w:pPr>
      <w:widowControl/>
      <w:pBdr>
        <w:top w:val="single" w:color="auto" w:sz="8" w:space="0"/>
        <w:left w:val="single" w:color="auto" w:sz="8" w:space="0"/>
        <w:right w:val="single" w:color="auto" w:sz="8" w:space="0"/>
      </w:pBdr>
      <w:spacing w:beforeAutospacing="1" w:afterAutospacing="1"/>
      <w:jc w:val="center"/>
    </w:pPr>
    <w:rPr>
      <w:rFonts w:ascii="宋体" w:hAnsi="宋体" w:cs="宋体"/>
      <w:kern w:val="0"/>
      <w:sz w:val="20"/>
      <w:szCs w:val="20"/>
    </w:rPr>
  </w:style>
  <w:style w:type="paragraph" w:customStyle="1" w:styleId="172">
    <w:name w:val="列出段落21"/>
    <w:basedOn w:val="1"/>
    <w:qFormat/>
    <w:uiPriority w:val="0"/>
    <w:pPr>
      <w:ind w:firstLine="420" w:firstLineChars="200"/>
    </w:pPr>
    <w:rPr>
      <w:rFonts w:ascii="Segoe UI Symbol" w:hAnsi="Segoe UI Symbol" w:cs="Courier New"/>
      <w:szCs w:val="22"/>
    </w:rPr>
  </w:style>
  <w:style w:type="paragraph" w:customStyle="1" w:styleId="173">
    <w:name w:val="Table Text"/>
    <w:link w:val="174"/>
    <w:qFormat/>
    <w:uiPriority w:val="0"/>
    <w:pPr>
      <w:snapToGrid w:val="0"/>
      <w:spacing w:before="80" w:after="80"/>
    </w:pPr>
    <w:rPr>
      <w:rFonts w:ascii="Arial" w:hAnsi="Arial" w:eastAsia="宋体" w:cs="Arial"/>
      <w:sz w:val="18"/>
      <w:szCs w:val="18"/>
      <w:lang w:val="en-US" w:eastAsia="zh-CN" w:bidi="ar-SA"/>
    </w:rPr>
  </w:style>
  <w:style w:type="character" w:customStyle="1" w:styleId="174">
    <w:name w:val="Table Text Char1"/>
    <w:link w:val="173"/>
    <w:qFormat/>
    <w:uiPriority w:val="0"/>
    <w:rPr>
      <w:rFonts w:ascii="Arial" w:hAnsi="Arial" w:cs="Arial"/>
      <w:sz w:val="18"/>
      <w:szCs w:val="18"/>
      <w:lang w:val="en-US" w:eastAsia="zh-CN" w:bidi="ar-SA"/>
    </w:rPr>
  </w:style>
  <w:style w:type="paragraph" w:customStyle="1" w:styleId="175">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176">
    <w:name w:val="Default Paragraph Font Para Char Char Char Char Char Char"/>
    <w:basedOn w:val="1"/>
    <w:qFormat/>
    <w:uiPriority w:val="0"/>
    <w:pPr>
      <w:widowControl/>
      <w:spacing w:line="240" w:lineRule="exact"/>
      <w:jc w:val="left"/>
    </w:pPr>
    <w:rPr>
      <w:rFonts w:ascii="Ђˎ̥" w:hAnsi="Ђˎ̥"/>
      <w:kern w:val="0"/>
      <w:sz w:val="20"/>
      <w:szCs w:val="20"/>
      <w:lang w:eastAsia="en-US"/>
    </w:rPr>
  </w:style>
  <w:style w:type="paragraph" w:customStyle="1" w:styleId="177">
    <w:name w:val="标题2"/>
    <w:basedOn w:val="4"/>
    <w:link w:val="178"/>
    <w:qFormat/>
    <w:uiPriority w:val="0"/>
    <w:pPr>
      <w:tabs>
        <w:tab w:val="left" w:pos="576"/>
      </w:tabs>
      <w:spacing w:beforeLines="100" w:afterLines="50" w:line="360" w:lineRule="auto"/>
      <w:ind w:firstLine="280" w:firstLineChars="100"/>
    </w:pPr>
    <w:rPr>
      <w:rFonts w:ascii="Times New Roman" w:hAnsi="Times New Roman" w:eastAsia="宋体"/>
      <w:b w:val="0"/>
      <w:sz w:val="28"/>
      <w:szCs w:val="28"/>
    </w:rPr>
  </w:style>
  <w:style w:type="character" w:customStyle="1" w:styleId="178">
    <w:name w:val="标题2 Char"/>
    <w:link w:val="177"/>
    <w:qFormat/>
    <w:uiPriority w:val="0"/>
    <w:rPr>
      <w:bCs/>
      <w:sz w:val="28"/>
      <w:szCs w:val="28"/>
    </w:rPr>
  </w:style>
  <w:style w:type="paragraph" w:customStyle="1" w:styleId="179">
    <w:name w:val="xl66"/>
    <w:basedOn w:val="1"/>
    <w:qFormat/>
    <w:uiPriority w:val="0"/>
    <w:pPr>
      <w:widowControl/>
      <w:pBdr>
        <w:bottom w:val="single" w:color="auto" w:sz="8" w:space="0"/>
        <w:right w:val="single" w:color="auto" w:sz="8" w:space="0"/>
      </w:pBdr>
      <w:spacing w:beforeAutospacing="1" w:afterAutospacing="1"/>
      <w:jc w:val="center"/>
    </w:pPr>
    <w:rPr>
      <w:rFonts w:ascii="宋体" w:hAnsi="宋体" w:cs="宋体"/>
      <w:color w:val="000000"/>
      <w:kern w:val="0"/>
      <w:sz w:val="24"/>
    </w:rPr>
  </w:style>
  <w:style w:type="paragraph" w:customStyle="1" w:styleId="180">
    <w:name w:val="Char Char Char"/>
    <w:basedOn w:val="1"/>
    <w:qFormat/>
    <w:uiPriority w:val="0"/>
    <w:pPr>
      <w:widowControl/>
      <w:spacing w:line="240" w:lineRule="exact"/>
      <w:jc w:val="left"/>
    </w:pPr>
    <w:rPr>
      <w:rFonts w:ascii="Courier New" w:hAnsi="Courier New" w:eastAsia="Verdana" w:cs="Symbol"/>
      <w:kern w:val="0"/>
      <w:sz w:val="20"/>
      <w:szCs w:val="20"/>
      <w:lang w:eastAsia="en-US"/>
    </w:rPr>
  </w:style>
  <w:style w:type="paragraph" w:customStyle="1" w:styleId="181">
    <w:name w:val="列出段落11"/>
    <w:basedOn w:val="1"/>
    <w:link w:val="182"/>
    <w:qFormat/>
    <w:uiPriority w:val="0"/>
    <w:pPr>
      <w:ind w:firstLine="420" w:firstLineChars="200"/>
    </w:pPr>
    <w:rPr>
      <w:rFonts w:ascii="Courier New" w:hAnsi="Courier New" w:eastAsia="Verdana"/>
      <w:szCs w:val="22"/>
    </w:rPr>
  </w:style>
  <w:style w:type="character" w:customStyle="1" w:styleId="182">
    <w:name w:val="列出段落 Char"/>
    <w:link w:val="181"/>
    <w:qFormat/>
    <w:uiPriority w:val="34"/>
    <w:rPr>
      <w:rFonts w:ascii="Courier New" w:hAnsi="Courier New" w:eastAsia="Verdana" w:cs="Symbol"/>
      <w:kern w:val="2"/>
      <w:sz w:val="21"/>
      <w:szCs w:val="22"/>
    </w:rPr>
  </w:style>
  <w:style w:type="paragraph" w:customStyle="1" w:styleId="183">
    <w:name w:val="xl115"/>
    <w:basedOn w:val="1"/>
    <w:qFormat/>
    <w:uiPriority w:val="0"/>
    <w:pPr>
      <w:widowControl/>
      <w:pBdr>
        <w:left w:val="single" w:color="auto" w:sz="8" w:space="0"/>
        <w:bottom w:val="single" w:color="auto" w:sz="8" w:space="0"/>
        <w:right w:val="single" w:color="auto" w:sz="8" w:space="0"/>
      </w:pBdr>
      <w:shd w:val="clear" w:color="000000" w:fill="FFFFFF"/>
      <w:spacing w:beforeAutospacing="1" w:afterAutospacing="1"/>
      <w:jc w:val="center"/>
    </w:pPr>
    <w:rPr>
      <w:rFonts w:ascii="宋体" w:hAnsi="宋体" w:cs="宋体"/>
      <w:color w:val="000000"/>
      <w:kern w:val="0"/>
      <w:sz w:val="20"/>
      <w:szCs w:val="20"/>
    </w:rPr>
  </w:style>
  <w:style w:type="paragraph" w:customStyle="1" w:styleId="184">
    <w:name w:val="Char 正文"/>
    <w:basedOn w:val="3"/>
    <w:qFormat/>
    <w:uiPriority w:val="0"/>
    <w:pPr>
      <w:tabs>
        <w:tab w:val="left" w:pos="432"/>
      </w:tabs>
      <w:snapToGrid w:val="0"/>
      <w:spacing w:before="240" w:after="240" w:line="348" w:lineRule="auto"/>
    </w:pPr>
    <w:rPr>
      <w:rFonts w:ascii="Tahoma" w:hAnsi="Tahoma" w:eastAsia="宋体"/>
      <w:bCs w:val="0"/>
      <w:sz w:val="24"/>
      <w:szCs w:val="20"/>
    </w:rPr>
  </w:style>
  <w:style w:type="paragraph" w:customStyle="1" w:styleId="185">
    <w:name w:val="xl82"/>
    <w:basedOn w:val="1"/>
    <w:qFormat/>
    <w:uiPriority w:val="0"/>
    <w:pPr>
      <w:widowControl/>
      <w:pBdr>
        <w:bottom w:val="single" w:color="auto" w:sz="8" w:space="0"/>
        <w:right w:val="single" w:color="auto" w:sz="8" w:space="0"/>
      </w:pBdr>
      <w:spacing w:beforeAutospacing="1" w:afterAutospacing="1"/>
      <w:jc w:val="center"/>
    </w:pPr>
    <w:rPr>
      <w:rFonts w:ascii="宋体" w:hAnsi="宋体" w:cs="宋体"/>
      <w:color w:val="000000"/>
      <w:kern w:val="0"/>
      <w:sz w:val="20"/>
      <w:szCs w:val="20"/>
    </w:rPr>
  </w:style>
  <w:style w:type="paragraph" w:customStyle="1" w:styleId="186">
    <w:name w:val="111111"/>
    <w:basedOn w:val="1"/>
    <w:link w:val="187"/>
    <w:qFormat/>
    <w:uiPriority w:val="0"/>
    <w:pPr>
      <w:jc w:val="center"/>
    </w:pPr>
    <w:rPr>
      <w:rFonts w:ascii="Courier New" w:hAnsi="Courier New" w:eastAsia="Times New Roman" w:cs="Courier New"/>
      <w:b/>
      <w:bCs/>
      <w:szCs w:val="21"/>
    </w:rPr>
  </w:style>
  <w:style w:type="character" w:customStyle="1" w:styleId="187">
    <w:name w:val="111111 Char Char"/>
    <w:link w:val="186"/>
    <w:qFormat/>
    <w:uiPriority w:val="0"/>
    <w:rPr>
      <w:rFonts w:ascii="Courier New" w:hAnsi="Courier New" w:eastAsia="Times New Roman" w:cs="Courier New"/>
      <w:b/>
      <w:bCs/>
      <w:kern w:val="2"/>
      <w:sz w:val="21"/>
      <w:szCs w:val="21"/>
      <w:lang w:val="en-US" w:eastAsia="zh-CN" w:bidi="ar-SA"/>
    </w:rPr>
  </w:style>
  <w:style w:type="paragraph" w:customStyle="1" w:styleId="188">
    <w:name w:val="p0"/>
    <w:basedOn w:val="1"/>
    <w:qFormat/>
    <w:uiPriority w:val="0"/>
    <w:pPr>
      <w:widowControl/>
      <w:spacing w:beforeAutospacing="1" w:afterAutospacing="1"/>
      <w:jc w:val="left"/>
    </w:pPr>
    <w:rPr>
      <w:rFonts w:cs="Verdana"/>
      <w:kern w:val="0"/>
      <w:sz w:val="24"/>
    </w:rPr>
  </w:style>
  <w:style w:type="paragraph" w:customStyle="1" w:styleId="189">
    <w:name w:val="xl118"/>
    <w:basedOn w:val="1"/>
    <w:qFormat/>
    <w:uiPriority w:val="0"/>
    <w:pPr>
      <w:widowControl/>
      <w:pBdr>
        <w:top w:val="single" w:color="auto" w:sz="8" w:space="0"/>
        <w:left w:val="single" w:color="auto" w:sz="8" w:space="0"/>
        <w:right w:val="single" w:color="auto" w:sz="8" w:space="0"/>
      </w:pBdr>
      <w:spacing w:beforeAutospacing="1" w:afterAutospacing="1"/>
      <w:jc w:val="left"/>
    </w:pPr>
    <w:rPr>
      <w:rFonts w:ascii="宋体" w:hAnsi="宋体" w:cs="宋体"/>
      <w:kern w:val="0"/>
      <w:sz w:val="20"/>
      <w:szCs w:val="20"/>
    </w:rPr>
  </w:style>
  <w:style w:type="paragraph" w:customStyle="1" w:styleId="190">
    <w:name w:val="xl80"/>
    <w:basedOn w:val="1"/>
    <w:qFormat/>
    <w:uiPriority w:val="0"/>
    <w:pPr>
      <w:widowControl/>
      <w:pBdr>
        <w:bottom w:val="single" w:color="auto" w:sz="8" w:space="0"/>
        <w:right w:val="single" w:color="auto" w:sz="8" w:space="0"/>
      </w:pBdr>
      <w:spacing w:beforeAutospacing="1" w:afterAutospacing="1"/>
    </w:pPr>
    <w:rPr>
      <w:rFonts w:ascii="Calibri" w:hAnsi="Calibri" w:cs="宋体"/>
      <w:kern w:val="0"/>
      <w:sz w:val="20"/>
      <w:szCs w:val="20"/>
    </w:rPr>
  </w:style>
  <w:style w:type="paragraph" w:customStyle="1" w:styleId="191">
    <w:name w:val="xl99"/>
    <w:basedOn w:val="1"/>
    <w:qFormat/>
    <w:uiPriority w:val="0"/>
    <w:pPr>
      <w:widowControl/>
      <w:pBdr>
        <w:left w:val="single" w:color="auto" w:sz="8" w:space="0"/>
        <w:right w:val="single" w:color="auto" w:sz="8" w:space="0"/>
      </w:pBdr>
      <w:spacing w:beforeAutospacing="1" w:afterAutospacing="1"/>
      <w:jc w:val="left"/>
    </w:pPr>
    <w:rPr>
      <w:rFonts w:ascii="宋体" w:hAnsi="宋体" w:cs="宋体"/>
      <w:kern w:val="0"/>
      <w:sz w:val="20"/>
      <w:szCs w:val="20"/>
    </w:rPr>
  </w:style>
  <w:style w:type="paragraph" w:customStyle="1" w:styleId="192">
    <w:name w:val="xl119"/>
    <w:basedOn w:val="1"/>
    <w:qFormat/>
    <w:uiPriority w:val="0"/>
    <w:pPr>
      <w:widowControl/>
      <w:pBdr>
        <w:left w:val="single" w:color="auto" w:sz="8" w:space="0"/>
        <w:right w:val="single" w:color="auto" w:sz="8" w:space="0"/>
      </w:pBdr>
      <w:spacing w:beforeAutospacing="1" w:afterAutospacing="1"/>
      <w:jc w:val="left"/>
    </w:pPr>
    <w:rPr>
      <w:rFonts w:ascii="宋体" w:hAnsi="宋体" w:cs="宋体"/>
      <w:kern w:val="0"/>
      <w:sz w:val="20"/>
      <w:szCs w:val="20"/>
    </w:rPr>
  </w:style>
  <w:style w:type="paragraph" w:customStyle="1" w:styleId="193">
    <w:name w:val="Char Char Char Char Char1"/>
    <w:basedOn w:val="1"/>
    <w:qFormat/>
    <w:uiPriority w:val="0"/>
    <w:pPr>
      <w:adjustRightInd w:val="0"/>
      <w:spacing w:line="360" w:lineRule="auto"/>
    </w:pPr>
    <w:rPr>
      <w:rFonts w:ascii="Tahoma" w:hAnsi="Tahoma" w:eastAsia="Tahoma" w:cs="Tahoma"/>
    </w:rPr>
  </w:style>
  <w:style w:type="paragraph" w:customStyle="1" w:styleId="194">
    <w:name w:val="xl112"/>
    <w:basedOn w:val="1"/>
    <w:qFormat/>
    <w:uiPriority w:val="0"/>
    <w:pPr>
      <w:widowControl/>
      <w:pBdr>
        <w:left w:val="single" w:color="auto" w:sz="8" w:space="0"/>
        <w:bottom w:val="single" w:color="auto" w:sz="8" w:space="0"/>
        <w:right w:val="single" w:color="auto" w:sz="8" w:space="0"/>
      </w:pBdr>
      <w:spacing w:beforeAutospacing="1" w:afterAutospacing="1"/>
      <w:jc w:val="center"/>
    </w:pPr>
    <w:rPr>
      <w:rFonts w:ascii="宋体" w:hAnsi="宋体" w:cs="宋体"/>
      <w:color w:val="000000"/>
      <w:kern w:val="0"/>
      <w:sz w:val="20"/>
      <w:szCs w:val="20"/>
    </w:rPr>
  </w:style>
  <w:style w:type="paragraph" w:customStyle="1" w:styleId="195">
    <w:name w:val="Bullets"/>
    <w:basedOn w:val="1"/>
    <w:qFormat/>
    <w:uiPriority w:val="0"/>
    <w:pPr>
      <w:widowControl/>
      <w:adjustRightInd w:val="0"/>
      <w:snapToGrid w:val="0"/>
    </w:pPr>
    <w:rPr>
      <w:rFonts w:ascii="Ђˎ̥" w:hAnsi="Ђˎ̥" w:cs="Ђˎ̥"/>
      <w:kern w:val="0"/>
      <w:sz w:val="24"/>
    </w:rPr>
  </w:style>
  <w:style w:type="paragraph" w:customStyle="1" w:styleId="196">
    <w:name w:val="xl78"/>
    <w:basedOn w:val="1"/>
    <w:qFormat/>
    <w:uiPriority w:val="0"/>
    <w:pPr>
      <w:widowControl/>
      <w:pBdr>
        <w:right w:val="single" w:color="auto" w:sz="8" w:space="0"/>
      </w:pBdr>
      <w:spacing w:beforeAutospacing="1" w:afterAutospacing="1"/>
    </w:pPr>
    <w:rPr>
      <w:rFonts w:ascii="Times New Roman" w:hAnsi="Times New Roman"/>
      <w:kern w:val="0"/>
      <w:sz w:val="20"/>
      <w:szCs w:val="20"/>
    </w:rPr>
  </w:style>
  <w:style w:type="paragraph" w:customStyle="1" w:styleId="197">
    <w:name w:val="xl94"/>
    <w:basedOn w:val="1"/>
    <w:qFormat/>
    <w:uiPriority w:val="0"/>
    <w:pPr>
      <w:widowControl/>
      <w:pBdr>
        <w:left w:val="single" w:color="auto" w:sz="8" w:space="0"/>
        <w:bottom w:val="single" w:color="auto" w:sz="8" w:space="0"/>
        <w:right w:val="single" w:color="auto" w:sz="8" w:space="0"/>
      </w:pBdr>
      <w:spacing w:beforeAutospacing="1" w:afterAutospacing="1"/>
      <w:jc w:val="center"/>
    </w:pPr>
    <w:rPr>
      <w:rFonts w:ascii="宋体" w:hAnsi="宋体" w:cs="宋体"/>
      <w:color w:val="000000"/>
      <w:kern w:val="0"/>
      <w:sz w:val="24"/>
    </w:rPr>
  </w:style>
  <w:style w:type="paragraph" w:customStyle="1" w:styleId="198">
    <w:name w:val="Char1 Char Char Char"/>
    <w:basedOn w:val="1"/>
    <w:qFormat/>
    <w:uiPriority w:val="0"/>
    <w:rPr>
      <w:rFonts w:ascii="Courier New" w:hAnsi="Courier New" w:cs="Courier New"/>
    </w:rPr>
  </w:style>
  <w:style w:type="paragraph" w:customStyle="1" w:styleId="199">
    <w:name w:val="Char Char Char Char11"/>
    <w:basedOn w:val="1"/>
    <w:qFormat/>
    <w:uiPriority w:val="0"/>
    <w:pPr>
      <w:widowControl/>
      <w:spacing w:line="240" w:lineRule="exact"/>
      <w:jc w:val="left"/>
    </w:pPr>
    <w:rPr>
      <w:rFonts w:ascii="Ђˎ̥" w:hAnsi="Ђˎ̥" w:eastAsia="Ђˎ̥"/>
      <w:kern w:val="0"/>
      <w:sz w:val="24"/>
      <w:szCs w:val="20"/>
      <w:lang w:eastAsia="en-US"/>
    </w:rPr>
  </w:style>
  <w:style w:type="paragraph" w:customStyle="1" w:styleId="200">
    <w:name w:val="Char"/>
    <w:basedOn w:val="1"/>
    <w:qFormat/>
    <w:uiPriority w:val="0"/>
    <w:pPr>
      <w:widowControl/>
      <w:spacing w:line="500" w:lineRule="exact"/>
      <w:outlineLvl w:val="2"/>
    </w:pPr>
    <w:rPr>
      <w:rFonts w:ascii="Ђˎ̥" w:hAnsi="Ђˎ̥" w:eastAsia="Ђˎ̥" w:cs="Ђˎ̥"/>
      <w:kern w:val="0"/>
      <w:sz w:val="28"/>
      <w:szCs w:val="28"/>
      <w:lang w:eastAsia="en-US"/>
    </w:rPr>
  </w:style>
  <w:style w:type="paragraph" w:customStyle="1" w:styleId="201">
    <w:name w:val="我的正文"/>
    <w:basedOn w:val="1"/>
    <w:qFormat/>
    <w:uiPriority w:val="0"/>
    <w:pPr>
      <w:spacing w:line="520" w:lineRule="exact"/>
      <w:ind w:firstLine="192" w:firstLineChars="192"/>
    </w:pPr>
    <w:rPr>
      <w:rFonts w:ascii="Ђˎ̥" w:hAnsi="Ђˎ̥" w:cs="Ђˎ̥"/>
      <w:sz w:val="28"/>
      <w:szCs w:val="28"/>
    </w:rPr>
  </w:style>
  <w:style w:type="paragraph" w:customStyle="1" w:styleId="202">
    <w:name w:val="当前正文"/>
    <w:basedOn w:val="1"/>
    <w:qFormat/>
    <w:uiPriority w:val="0"/>
    <w:pPr>
      <w:spacing w:line="360" w:lineRule="auto"/>
      <w:ind w:firstLine="200" w:firstLineChars="200"/>
    </w:pPr>
    <w:rPr>
      <w:rFonts w:ascii="Times New Roman" w:hAnsi="Times New Roman"/>
      <w:sz w:val="24"/>
      <w:szCs w:val="22"/>
    </w:rPr>
  </w:style>
  <w:style w:type="paragraph" w:customStyle="1" w:styleId="203">
    <w:name w:val="样式 宋体 小四 行距: 1.5 倍行距1 Char"/>
    <w:basedOn w:val="1"/>
    <w:qFormat/>
    <w:uiPriority w:val="0"/>
    <w:pPr>
      <w:spacing w:line="360" w:lineRule="auto"/>
      <w:ind w:firstLine="540" w:firstLineChars="225"/>
    </w:pPr>
    <w:rPr>
      <w:rFonts w:ascii="Courier New" w:hAnsi="Courier New" w:cs="Ђˎ̥"/>
      <w:sz w:val="24"/>
    </w:rPr>
  </w:style>
  <w:style w:type="paragraph" w:customStyle="1" w:styleId="204">
    <w:name w:val="Char Char 字元 字元 字元 Char Char Char Char"/>
    <w:basedOn w:val="1"/>
    <w:qFormat/>
    <w:uiPriority w:val="0"/>
    <w:pPr>
      <w:adjustRightInd w:val="0"/>
      <w:spacing w:line="360" w:lineRule="auto"/>
    </w:pPr>
    <w:rPr>
      <w:rFonts w:ascii="Courier New" w:hAnsi="Courier New" w:cs="Courier New"/>
    </w:rPr>
  </w:style>
  <w:style w:type="paragraph" w:customStyle="1" w:styleId="205">
    <w:name w:val="Char Char1 Char Char Char Char1"/>
    <w:basedOn w:val="1"/>
    <w:qFormat/>
    <w:uiPriority w:val="0"/>
    <w:pPr>
      <w:shd w:val="clear" w:color="auto" w:fill="FFFFFF"/>
    </w:pPr>
    <w:rPr>
      <w:rFonts w:ascii="@宋体" w:hAnsi="@宋体" w:eastAsia="Courier New" w:cs="Ђˎ̥"/>
      <w:kern w:val="0"/>
      <w:sz w:val="24"/>
      <w:shd w:val="clear" w:color="auto" w:fill="000080"/>
    </w:rPr>
  </w:style>
  <w:style w:type="paragraph" w:customStyle="1" w:styleId="206">
    <w:name w:val="msonormalcxsplast"/>
    <w:basedOn w:val="1"/>
    <w:qFormat/>
    <w:uiPriority w:val="0"/>
    <w:pPr>
      <w:widowControl/>
      <w:spacing w:beforeAutospacing="1" w:afterAutospacing="1"/>
      <w:jc w:val="left"/>
    </w:pPr>
    <w:rPr>
      <w:rFonts w:cs="Verdana"/>
      <w:kern w:val="0"/>
      <w:sz w:val="24"/>
    </w:rPr>
  </w:style>
  <w:style w:type="paragraph" w:customStyle="1" w:styleId="207">
    <w:name w:val="网格表 31"/>
    <w:basedOn w:val="3"/>
    <w:next w:val="1"/>
    <w:qFormat/>
    <w:uiPriority w:val="39"/>
    <w:pPr>
      <w:widowControl/>
      <w:tabs>
        <w:tab w:val="left" w:pos="432"/>
      </w:tabs>
      <w:spacing w:before="480" w:line="276" w:lineRule="auto"/>
      <w:jc w:val="left"/>
      <w:outlineLvl w:val="9"/>
    </w:pPr>
    <w:rPr>
      <w:rFonts w:ascii="Cambria" w:hAnsi="Cambria" w:eastAsia="宋体"/>
      <w:color w:val="365F91"/>
      <w:kern w:val="0"/>
      <w:sz w:val="28"/>
      <w:szCs w:val="28"/>
    </w:rPr>
  </w:style>
  <w:style w:type="paragraph" w:customStyle="1" w:styleId="208">
    <w:name w:val="xl109"/>
    <w:basedOn w:val="1"/>
    <w:qFormat/>
    <w:uiPriority w:val="0"/>
    <w:pPr>
      <w:widowControl/>
      <w:pBdr>
        <w:left w:val="single" w:color="auto" w:sz="8" w:space="0"/>
        <w:bottom w:val="single" w:color="auto" w:sz="8" w:space="0"/>
        <w:right w:val="single" w:color="auto" w:sz="8" w:space="0"/>
      </w:pBdr>
      <w:spacing w:beforeAutospacing="1" w:afterAutospacing="1"/>
      <w:jc w:val="left"/>
    </w:pPr>
    <w:rPr>
      <w:rFonts w:ascii="宋体" w:hAnsi="宋体" w:cs="宋体"/>
      <w:color w:val="000000"/>
      <w:kern w:val="0"/>
      <w:sz w:val="20"/>
      <w:szCs w:val="20"/>
    </w:rPr>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Autospacing="1" w:afterAutospacing="1"/>
      <w:textAlignment w:val="top"/>
    </w:pPr>
    <w:rPr>
      <w:rFonts w:ascii="Ђˎ̥" w:hAnsi="Ђˎ̥" w:cs="Ђˎ̥"/>
      <w:kern w:val="0"/>
      <w:szCs w:val="21"/>
    </w:rPr>
  </w:style>
  <w:style w:type="paragraph" w:customStyle="1" w:styleId="210">
    <w:name w:val="p16"/>
    <w:basedOn w:val="1"/>
    <w:qFormat/>
    <w:uiPriority w:val="0"/>
    <w:pPr>
      <w:widowControl/>
    </w:pPr>
    <w:rPr>
      <w:rFonts w:ascii="宋体" w:hAnsi="宋体" w:cs="宋体"/>
      <w:kern w:val="0"/>
      <w:szCs w:val="21"/>
    </w:rPr>
  </w:style>
  <w:style w:type="paragraph" w:customStyle="1" w:styleId="211">
    <w:name w:val="xl65"/>
    <w:basedOn w:val="1"/>
    <w:qFormat/>
    <w:uiPriority w:val="0"/>
    <w:pPr>
      <w:widowControl/>
      <w:pBdr>
        <w:left w:val="single" w:color="auto" w:sz="8" w:space="0"/>
        <w:bottom w:val="single" w:color="auto" w:sz="8" w:space="0"/>
        <w:right w:val="single" w:color="auto" w:sz="8" w:space="0"/>
      </w:pBdr>
      <w:spacing w:beforeAutospacing="1" w:afterAutospacing="1"/>
      <w:jc w:val="center"/>
    </w:pPr>
    <w:rPr>
      <w:rFonts w:ascii="宋体" w:hAnsi="宋体" w:cs="宋体"/>
      <w:color w:val="000000"/>
      <w:kern w:val="0"/>
      <w:sz w:val="24"/>
    </w:rPr>
  </w:style>
  <w:style w:type="paragraph" w:customStyle="1" w:styleId="212">
    <w:name w:val="Char Char12 Char Char"/>
    <w:basedOn w:val="1"/>
    <w:qFormat/>
    <w:uiPriority w:val="0"/>
    <w:pPr>
      <w:widowControl/>
      <w:spacing w:line="240" w:lineRule="exact"/>
      <w:jc w:val="left"/>
    </w:pPr>
    <w:rPr>
      <w:rFonts w:ascii="@宋体" w:hAnsi="@宋体" w:cs="@宋体"/>
    </w:rPr>
  </w:style>
  <w:style w:type="paragraph" w:customStyle="1" w:styleId="213">
    <w:name w:val="1.1级"/>
    <w:basedOn w:val="162"/>
    <w:qFormat/>
    <w:uiPriority w:val="0"/>
    <w:pPr>
      <w:tabs>
        <w:tab w:val="left" w:pos="840"/>
      </w:tabs>
      <w:autoSpaceDE w:val="0"/>
      <w:autoSpaceDN w:val="0"/>
      <w:adjustRightInd w:val="0"/>
      <w:spacing w:line="360" w:lineRule="exact"/>
      <w:ind w:left="884" w:firstLine="0" w:firstLineChars="0"/>
    </w:pPr>
    <w:rPr>
      <w:rFonts w:ascii="宋体" w:hAnsi="宋体" w:cs="Times New Roman"/>
      <w:b/>
      <w:color w:val="000000"/>
      <w:szCs w:val="21"/>
    </w:rPr>
  </w:style>
  <w:style w:type="paragraph" w:customStyle="1" w:styleId="214">
    <w:name w:val="xl72"/>
    <w:basedOn w:val="1"/>
    <w:qFormat/>
    <w:uiPriority w:val="0"/>
    <w:pPr>
      <w:widowControl/>
      <w:pBdr>
        <w:bottom w:val="single" w:color="auto" w:sz="8" w:space="0"/>
        <w:right w:val="single" w:color="auto" w:sz="8" w:space="0"/>
      </w:pBdr>
      <w:spacing w:beforeAutospacing="1" w:afterAutospacing="1"/>
    </w:pPr>
    <w:rPr>
      <w:rFonts w:ascii="宋体" w:hAnsi="宋体" w:cs="宋体"/>
      <w:kern w:val="0"/>
      <w:sz w:val="20"/>
      <w:szCs w:val="20"/>
    </w:rPr>
  </w:style>
  <w:style w:type="paragraph" w:customStyle="1" w:styleId="215">
    <w:name w:val="font10"/>
    <w:basedOn w:val="1"/>
    <w:qFormat/>
    <w:uiPriority w:val="0"/>
    <w:pPr>
      <w:widowControl/>
      <w:spacing w:beforeAutospacing="1" w:afterAutospacing="1"/>
      <w:jc w:val="left"/>
    </w:pPr>
    <w:rPr>
      <w:rFonts w:ascii="Ђˎ̥" w:hAnsi="Ђˎ̥" w:cs="Ђˎ̥"/>
      <w:color w:val="000000"/>
      <w:kern w:val="0"/>
      <w:sz w:val="24"/>
    </w:rPr>
  </w:style>
  <w:style w:type="paragraph" w:customStyle="1" w:styleId="216">
    <w:name w:val="Char Char1 Char Char Char Char"/>
    <w:basedOn w:val="1"/>
    <w:qFormat/>
    <w:uiPriority w:val="0"/>
    <w:pPr>
      <w:shd w:val="clear" w:color="auto" w:fill="FFFFFF"/>
    </w:pPr>
    <w:rPr>
      <w:rFonts w:ascii="@宋体" w:hAnsi="@宋体" w:eastAsia="Courier New" w:cs="Ђˎ̥"/>
      <w:kern w:val="0"/>
      <w:sz w:val="24"/>
      <w:shd w:val="clear" w:color="auto" w:fill="000080"/>
    </w:rPr>
  </w:style>
  <w:style w:type="paragraph" w:customStyle="1" w:styleId="217">
    <w:name w:val="正文段"/>
    <w:basedOn w:val="1"/>
    <w:qFormat/>
    <w:uiPriority w:val="0"/>
    <w:pPr>
      <w:widowControl/>
      <w:snapToGrid w:val="0"/>
      <w:spacing w:afterLines="50"/>
      <w:ind w:firstLine="200" w:firstLineChars="200"/>
    </w:pPr>
    <w:rPr>
      <w:kern w:val="0"/>
      <w:sz w:val="24"/>
      <w:szCs w:val="20"/>
    </w:rPr>
  </w:style>
  <w:style w:type="paragraph" w:customStyle="1" w:styleId="218">
    <w:name w:val="xl92"/>
    <w:basedOn w:val="1"/>
    <w:qFormat/>
    <w:uiPriority w:val="0"/>
    <w:pPr>
      <w:widowControl/>
      <w:pBdr>
        <w:top w:val="single" w:color="auto" w:sz="8" w:space="0"/>
        <w:left w:val="single" w:color="auto" w:sz="8" w:space="0"/>
        <w:right w:val="single" w:color="auto" w:sz="8" w:space="0"/>
      </w:pBdr>
      <w:spacing w:beforeAutospacing="1" w:afterAutospacing="1"/>
      <w:jc w:val="center"/>
    </w:pPr>
    <w:rPr>
      <w:rFonts w:ascii="宋体" w:hAnsi="宋体" w:cs="宋体"/>
      <w:color w:val="000000"/>
      <w:kern w:val="0"/>
      <w:sz w:val="24"/>
    </w:rPr>
  </w:style>
  <w:style w:type="paragraph" w:customStyle="1" w:styleId="219">
    <w:name w:val="正文11"/>
    <w:basedOn w:val="1"/>
    <w:qFormat/>
    <w:uiPriority w:val="0"/>
    <w:pPr>
      <w:adjustRightInd w:val="0"/>
      <w:spacing w:line="312" w:lineRule="atLeast"/>
      <w:textAlignment w:val="baseline"/>
    </w:pPr>
    <w:rPr>
      <w:rFonts w:ascii="Ђˎ̥" w:hAnsi="Ђˎ̥" w:eastAsia="Ђˎ̥" w:cs="Ђˎ̥"/>
      <w:kern w:val="0"/>
      <w:sz w:val="28"/>
      <w:szCs w:val="20"/>
    </w:rPr>
  </w:style>
  <w:style w:type="paragraph" w:customStyle="1" w:styleId="220">
    <w:name w:val="1ji"/>
    <w:basedOn w:val="3"/>
    <w:link w:val="221"/>
    <w:qFormat/>
    <w:uiPriority w:val="0"/>
    <w:pPr>
      <w:keepLines w:val="0"/>
      <w:widowControl/>
      <w:spacing w:line="240" w:lineRule="auto"/>
      <w:jc w:val="center"/>
    </w:pPr>
    <w:rPr>
      <w:rFonts w:ascii="Ђˎ̥" w:hAnsi="Ђˎ̥"/>
      <w:kern w:val="0"/>
      <w:sz w:val="36"/>
      <w:szCs w:val="20"/>
    </w:rPr>
  </w:style>
  <w:style w:type="character" w:customStyle="1" w:styleId="221">
    <w:name w:val="1ji Char Char"/>
    <w:link w:val="220"/>
    <w:qFormat/>
    <w:uiPriority w:val="0"/>
    <w:rPr>
      <w:rFonts w:ascii="Ђˎ̥" w:hAnsi="Ђˎ̥" w:eastAsia="Ђˎ̥" w:cs="Verdana"/>
      <w:b/>
      <w:bCs/>
      <w:kern w:val="0"/>
      <w:sz w:val="36"/>
      <w:szCs w:val="20"/>
    </w:rPr>
  </w:style>
  <w:style w:type="paragraph" w:customStyle="1" w:styleId="222">
    <w:name w:val="_Style 216"/>
    <w:next w:val="1"/>
    <w:qFormat/>
    <w:uiPriority w:val="0"/>
    <w:pPr>
      <w:widowControl w:val="0"/>
      <w:jc w:val="both"/>
    </w:pPr>
    <w:rPr>
      <w:rFonts w:ascii="Verdana" w:hAnsi="Verdana" w:eastAsia="宋体" w:cs="Times New Roman"/>
      <w:kern w:val="2"/>
      <w:sz w:val="21"/>
      <w:szCs w:val="24"/>
      <w:lang w:val="en-US" w:eastAsia="zh-CN" w:bidi="ar-SA"/>
    </w:rPr>
  </w:style>
  <w:style w:type="paragraph" w:customStyle="1" w:styleId="223">
    <w:name w:val="xl71"/>
    <w:basedOn w:val="1"/>
    <w:qFormat/>
    <w:uiPriority w:val="0"/>
    <w:pPr>
      <w:widowControl/>
      <w:pBdr>
        <w:bottom w:val="single" w:color="auto" w:sz="8" w:space="0"/>
        <w:right w:val="single" w:color="auto" w:sz="8" w:space="0"/>
      </w:pBdr>
      <w:shd w:val="clear" w:color="000000" w:fill="FFFFFF"/>
      <w:spacing w:beforeAutospacing="1" w:afterAutospacing="1"/>
      <w:jc w:val="center"/>
    </w:pPr>
    <w:rPr>
      <w:rFonts w:ascii="宋体" w:hAnsi="宋体" w:cs="宋体"/>
      <w:kern w:val="0"/>
      <w:sz w:val="20"/>
      <w:szCs w:val="20"/>
    </w:rPr>
  </w:style>
  <w:style w:type="paragraph" w:customStyle="1" w:styleId="224">
    <w:name w:val="B表格正文"/>
    <w:qFormat/>
    <w:uiPriority w:val="0"/>
    <w:rPr>
      <w:rFonts w:ascii="Calibri" w:hAnsi="Calibri" w:eastAsia="黑体" w:cs="Times New Roman"/>
      <w:kern w:val="2"/>
      <w:sz w:val="21"/>
      <w:szCs w:val="21"/>
      <w:lang w:val="en-US" w:eastAsia="zh-CN" w:bidi="ar-SA"/>
    </w:rPr>
  </w:style>
  <w:style w:type="paragraph" w:customStyle="1" w:styleId="225">
    <w:name w:val="xl95"/>
    <w:basedOn w:val="1"/>
    <w:qFormat/>
    <w:uiPriority w:val="0"/>
    <w:pPr>
      <w:widowControl/>
      <w:pBdr>
        <w:top w:val="single" w:color="auto" w:sz="8" w:space="0"/>
        <w:left w:val="single" w:color="auto" w:sz="8" w:space="0"/>
        <w:right w:val="single" w:color="auto" w:sz="8" w:space="0"/>
      </w:pBdr>
      <w:shd w:val="clear" w:color="000000" w:fill="FFFFFF"/>
      <w:spacing w:beforeAutospacing="1" w:afterAutospacing="1"/>
      <w:jc w:val="center"/>
    </w:pPr>
    <w:rPr>
      <w:rFonts w:ascii="宋体" w:hAnsi="宋体" w:cs="宋体"/>
      <w:kern w:val="0"/>
      <w:sz w:val="20"/>
      <w:szCs w:val="20"/>
    </w:rPr>
  </w:style>
  <w:style w:type="paragraph" w:customStyle="1" w:styleId="226">
    <w:name w:val="xl84"/>
    <w:basedOn w:val="1"/>
    <w:qFormat/>
    <w:uiPriority w:val="0"/>
    <w:pPr>
      <w:widowControl/>
      <w:pBdr>
        <w:left w:val="single" w:color="auto" w:sz="8" w:space="0"/>
        <w:right w:val="single" w:color="auto" w:sz="8" w:space="0"/>
      </w:pBdr>
      <w:spacing w:beforeAutospacing="1" w:afterAutospacing="1"/>
      <w:jc w:val="center"/>
    </w:pPr>
    <w:rPr>
      <w:rFonts w:ascii="宋体" w:hAnsi="宋体" w:cs="宋体"/>
      <w:color w:val="000000"/>
      <w:kern w:val="0"/>
      <w:sz w:val="24"/>
    </w:rPr>
  </w:style>
  <w:style w:type="paragraph" w:customStyle="1" w:styleId="227">
    <w:name w:val="Char21"/>
    <w:basedOn w:val="1"/>
    <w:qFormat/>
    <w:uiPriority w:val="0"/>
    <w:pPr>
      <w:widowControl/>
      <w:spacing w:line="240" w:lineRule="exact"/>
      <w:jc w:val="left"/>
    </w:pPr>
    <w:rPr>
      <w:rFonts w:ascii="Ђˎ̥" w:hAnsi="Ђˎ̥"/>
      <w:kern w:val="0"/>
      <w:szCs w:val="20"/>
      <w:lang w:eastAsia="en-US"/>
    </w:rPr>
  </w:style>
  <w:style w:type="paragraph" w:customStyle="1" w:styleId="228">
    <w:name w:val="font7"/>
    <w:basedOn w:val="1"/>
    <w:qFormat/>
    <w:uiPriority w:val="0"/>
    <w:pPr>
      <w:widowControl/>
      <w:spacing w:beforeAutospacing="1" w:afterAutospacing="1"/>
      <w:jc w:val="left"/>
    </w:pPr>
    <w:rPr>
      <w:rFonts w:ascii="Times New Roman" w:hAnsi="Times New Roman"/>
      <w:color w:val="000000"/>
      <w:kern w:val="0"/>
      <w:sz w:val="14"/>
      <w:szCs w:val="14"/>
    </w:rPr>
  </w:style>
  <w:style w:type="paragraph" w:customStyle="1" w:styleId="229">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230">
    <w:name w:val="1"/>
    <w:basedOn w:val="1"/>
    <w:next w:val="30"/>
    <w:qFormat/>
    <w:uiPriority w:val="0"/>
    <w:rPr>
      <w:rFonts w:ascii="Ђˎ̥"/>
      <w:szCs w:val="20"/>
    </w:rPr>
  </w:style>
  <w:style w:type="paragraph" w:customStyle="1" w:styleId="231">
    <w:name w:val="标书 题注 图"/>
    <w:basedOn w:val="1"/>
    <w:next w:val="1"/>
    <w:link w:val="232"/>
    <w:qFormat/>
    <w:uiPriority w:val="0"/>
    <w:pPr>
      <w:spacing w:line="360" w:lineRule="auto"/>
      <w:jc w:val="center"/>
    </w:pPr>
    <w:rPr>
      <w:rFonts w:ascii="Times New Roman" w:hAnsi="宋体" w:eastAsia="黑体"/>
      <w:szCs w:val="21"/>
    </w:rPr>
  </w:style>
  <w:style w:type="character" w:customStyle="1" w:styleId="232">
    <w:name w:val="标书 题注 图 Char"/>
    <w:link w:val="231"/>
    <w:qFormat/>
    <w:uiPriority w:val="0"/>
    <w:rPr>
      <w:rFonts w:hAnsi="宋体" w:eastAsia="黑体"/>
      <w:kern w:val="2"/>
      <w:sz w:val="21"/>
      <w:szCs w:val="21"/>
    </w:rPr>
  </w:style>
  <w:style w:type="paragraph" w:customStyle="1" w:styleId="233">
    <w:name w:val="Char14"/>
    <w:basedOn w:val="1"/>
    <w:qFormat/>
    <w:uiPriority w:val="0"/>
    <w:pPr>
      <w:widowControl/>
      <w:tabs>
        <w:tab w:val="left" w:pos="509"/>
      </w:tabs>
      <w:spacing w:line="240" w:lineRule="exact"/>
      <w:ind w:left="252"/>
      <w:jc w:val="left"/>
    </w:pPr>
    <w:rPr>
      <w:rFonts w:cs="Ђˎ̥"/>
      <w:kern w:val="0"/>
      <w:sz w:val="24"/>
      <w:szCs w:val="20"/>
      <w:lang w:eastAsia="en-US"/>
    </w:rPr>
  </w:style>
  <w:style w:type="paragraph" w:customStyle="1" w:styleId="234">
    <w:name w:val="正文首行缩进两字符"/>
    <w:basedOn w:val="1"/>
    <w:qFormat/>
    <w:uiPriority w:val="0"/>
    <w:pPr>
      <w:spacing w:line="360" w:lineRule="auto"/>
      <w:ind w:firstLine="200" w:firstLineChars="200"/>
    </w:pPr>
  </w:style>
  <w:style w:type="paragraph" w:customStyle="1" w:styleId="235">
    <w:name w:val="msoplaintextcxspmiddle"/>
    <w:basedOn w:val="1"/>
    <w:qFormat/>
    <w:uiPriority w:val="0"/>
    <w:pPr>
      <w:widowControl/>
      <w:spacing w:beforeAutospacing="1" w:afterAutospacing="1"/>
      <w:jc w:val="left"/>
    </w:pPr>
    <w:rPr>
      <w:rFonts w:cs="Verdana"/>
      <w:kern w:val="0"/>
      <w:sz w:val="24"/>
    </w:rPr>
  </w:style>
  <w:style w:type="paragraph" w:customStyle="1" w:styleId="236">
    <w:name w:val="表内文字"/>
    <w:basedOn w:val="1"/>
    <w:qFormat/>
    <w:uiPriority w:val="0"/>
    <w:pPr>
      <w:snapToGrid w:val="0"/>
    </w:pPr>
    <w:rPr>
      <w:rFonts w:ascii="Ђˎ̥" w:hAnsi="Ђˎ̥" w:eastAsia="Ђˎ̥"/>
      <w:b/>
      <w:color w:val="000000"/>
      <w:szCs w:val="21"/>
    </w:rPr>
  </w:style>
  <w:style w:type="paragraph" w:customStyle="1" w:styleId="23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38">
    <w:name w:val="font9"/>
    <w:basedOn w:val="1"/>
    <w:qFormat/>
    <w:uiPriority w:val="0"/>
    <w:pPr>
      <w:widowControl/>
      <w:spacing w:beforeAutospacing="1" w:afterAutospacing="1"/>
      <w:jc w:val="left"/>
    </w:pPr>
    <w:rPr>
      <w:rFonts w:ascii="Times New Roman" w:hAnsi="Times New Roman"/>
      <w:color w:val="000000"/>
      <w:kern w:val="0"/>
      <w:sz w:val="14"/>
      <w:szCs w:val="14"/>
    </w:rPr>
  </w:style>
  <w:style w:type="paragraph" w:customStyle="1" w:styleId="239">
    <w:name w:val="xl30"/>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Ђˎ̥" w:hAnsi="Ђˎ̥" w:cs="Ђˎ̥"/>
      <w:kern w:val="0"/>
      <w:szCs w:val="21"/>
    </w:rPr>
  </w:style>
  <w:style w:type="paragraph" w:customStyle="1" w:styleId="240">
    <w:name w:val="样式 标题 2 + (西文) 宋体 非加粗 居中"/>
    <w:basedOn w:val="4"/>
    <w:qFormat/>
    <w:uiPriority w:val="0"/>
    <w:pPr>
      <w:jc w:val="center"/>
    </w:pPr>
    <w:rPr>
      <w:rFonts w:ascii="Ђˎ̥" w:hAnsi="Ђˎ̥" w:cs="Ђˎ̥"/>
      <w:b w:val="0"/>
      <w:bCs w:val="0"/>
      <w:spacing w:val="2"/>
      <w:sz w:val="28"/>
      <w:szCs w:val="20"/>
    </w:rPr>
  </w:style>
  <w:style w:type="paragraph" w:customStyle="1" w:styleId="241">
    <w:name w:val="Char Char Char Char1"/>
    <w:basedOn w:val="1"/>
    <w:qFormat/>
    <w:uiPriority w:val="0"/>
    <w:pPr>
      <w:widowControl/>
      <w:spacing w:line="240" w:lineRule="exact"/>
      <w:jc w:val="left"/>
    </w:pPr>
    <w:rPr>
      <w:rFonts w:ascii="Ђˎ̥" w:hAnsi="Ђˎ̥" w:eastAsia="Times New Roman"/>
      <w:kern w:val="0"/>
      <w:sz w:val="24"/>
      <w:szCs w:val="20"/>
      <w:lang w:eastAsia="en-US"/>
    </w:rPr>
  </w:style>
  <w:style w:type="paragraph" w:customStyle="1" w:styleId="242">
    <w:name w:val="Char13"/>
    <w:basedOn w:val="1"/>
    <w:qFormat/>
    <w:uiPriority w:val="0"/>
    <w:pPr>
      <w:widowControl/>
      <w:tabs>
        <w:tab w:val="left" w:pos="509"/>
      </w:tabs>
      <w:spacing w:line="240" w:lineRule="exact"/>
      <w:ind w:left="252"/>
      <w:jc w:val="left"/>
    </w:pPr>
    <w:rPr>
      <w:rFonts w:cs="Ђˎ̥"/>
      <w:kern w:val="0"/>
      <w:sz w:val="24"/>
      <w:szCs w:val="20"/>
      <w:lang w:eastAsia="en-US"/>
    </w:rPr>
  </w:style>
  <w:style w:type="paragraph" w:customStyle="1" w:styleId="243">
    <w:name w:val="_Style 225"/>
    <w:unhideWhenUsed/>
    <w:qFormat/>
    <w:uiPriority w:val="99"/>
    <w:rPr>
      <w:rFonts w:ascii="Verdana" w:hAnsi="Verdana" w:eastAsia="宋体" w:cs="Times New Roman"/>
      <w:kern w:val="2"/>
      <w:sz w:val="21"/>
      <w:szCs w:val="24"/>
      <w:lang w:val="en-US" w:eastAsia="zh-CN" w:bidi="ar-SA"/>
    </w:rPr>
  </w:style>
  <w:style w:type="paragraph" w:customStyle="1" w:styleId="2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6">
    <w:name w:val="Char Char Char Char Char Char Char"/>
    <w:basedOn w:val="1"/>
    <w:qFormat/>
    <w:uiPriority w:val="0"/>
    <w:pPr>
      <w:snapToGrid w:val="0"/>
      <w:spacing w:line="360" w:lineRule="auto"/>
      <w:ind w:firstLine="200" w:firstLineChars="200"/>
    </w:pPr>
    <w:rPr>
      <w:rFonts w:eastAsia="Ђˎ̥"/>
      <w:sz w:val="24"/>
    </w:rPr>
  </w:style>
  <w:style w:type="paragraph" w:customStyle="1" w:styleId="247">
    <w:name w:val="xl105"/>
    <w:basedOn w:val="1"/>
    <w:qFormat/>
    <w:uiPriority w:val="0"/>
    <w:pPr>
      <w:widowControl/>
      <w:pBdr>
        <w:left w:val="single" w:color="auto" w:sz="8" w:space="0"/>
        <w:right w:val="single" w:color="auto" w:sz="8" w:space="0"/>
      </w:pBdr>
      <w:spacing w:beforeAutospacing="1" w:afterAutospacing="1"/>
      <w:jc w:val="center"/>
    </w:pPr>
    <w:rPr>
      <w:rFonts w:ascii="宋体" w:hAnsi="宋体" w:cs="宋体"/>
      <w:color w:val="000000"/>
      <w:kern w:val="0"/>
      <w:sz w:val="20"/>
      <w:szCs w:val="20"/>
    </w:rPr>
  </w:style>
  <w:style w:type="paragraph" w:customStyle="1" w:styleId="248">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249">
    <w:name w:val="xl87"/>
    <w:basedOn w:val="1"/>
    <w:qFormat/>
    <w:uiPriority w:val="0"/>
    <w:pPr>
      <w:widowControl/>
      <w:pBdr>
        <w:left w:val="single" w:color="auto" w:sz="8" w:space="0"/>
        <w:right w:val="single" w:color="auto" w:sz="8" w:space="0"/>
      </w:pBdr>
      <w:shd w:val="clear" w:color="000000" w:fill="FFFFFF"/>
      <w:spacing w:beforeAutospacing="1" w:afterAutospacing="1"/>
      <w:jc w:val="left"/>
    </w:pPr>
    <w:rPr>
      <w:rFonts w:ascii="宋体" w:hAnsi="宋体" w:cs="宋体"/>
      <w:kern w:val="0"/>
      <w:sz w:val="20"/>
      <w:szCs w:val="20"/>
    </w:rPr>
  </w:style>
  <w:style w:type="paragraph" w:customStyle="1" w:styleId="250">
    <w:name w:val="xl75"/>
    <w:basedOn w:val="1"/>
    <w:qFormat/>
    <w:uiPriority w:val="0"/>
    <w:pPr>
      <w:widowControl/>
      <w:pBdr>
        <w:right w:val="single" w:color="auto" w:sz="8" w:space="0"/>
      </w:pBdr>
      <w:spacing w:beforeAutospacing="1" w:afterAutospacing="1"/>
      <w:jc w:val="left"/>
    </w:pPr>
    <w:rPr>
      <w:rFonts w:ascii="宋体" w:hAnsi="宋体" w:cs="宋体"/>
      <w:kern w:val="0"/>
      <w:sz w:val="20"/>
      <w:szCs w:val="20"/>
    </w:rPr>
  </w:style>
  <w:style w:type="paragraph" w:customStyle="1" w:styleId="251">
    <w:name w:val="font6"/>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252">
    <w:name w:val="xl69"/>
    <w:basedOn w:val="1"/>
    <w:qFormat/>
    <w:uiPriority w:val="0"/>
    <w:pPr>
      <w:widowControl/>
      <w:pBdr>
        <w:bottom w:val="single" w:color="auto" w:sz="8" w:space="0"/>
        <w:right w:val="single" w:color="auto" w:sz="8" w:space="0"/>
      </w:pBdr>
      <w:spacing w:beforeAutospacing="1" w:afterAutospacing="1"/>
      <w:jc w:val="center"/>
    </w:pPr>
    <w:rPr>
      <w:rFonts w:ascii="宋体" w:hAnsi="宋体" w:cs="宋体"/>
      <w:kern w:val="0"/>
      <w:sz w:val="20"/>
      <w:szCs w:val="20"/>
    </w:rPr>
  </w:style>
  <w:style w:type="paragraph" w:customStyle="1" w:styleId="253">
    <w:name w:val="默认段落字体 Para Char Char Char Char Char Char Char Char Char1 Char Char Char Char"/>
    <w:basedOn w:val="1"/>
    <w:qFormat/>
    <w:uiPriority w:val="0"/>
    <w:rPr>
      <w:rFonts w:ascii="Ђˎ̥" w:hAnsi="Ђˎ̥"/>
      <w:sz w:val="24"/>
      <w:szCs w:val="20"/>
    </w:rPr>
  </w:style>
  <w:style w:type="paragraph" w:customStyle="1" w:styleId="254">
    <w:name w:val="纯文本 New"/>
    <w:basedOn w:val="1"/>
    <w:qFormat/>
    <w:uiPriority w:val="0"/>
    <w:rPr>
      <w:rFonts w:ascii="Courier New" w:hAnsi="Segoe UI Symbol" w:cs="Segoe UI Symbol"/>
      <w:szCs w:val="21"/>
    </w:rPr>
  </w:style>
  <w:style w:type="paragraph" w:customStyle="1" w:styleId="255">
    <w:name w:val="表格"/>
    <w:basedOn w:val="1"/>
    <w:qFormat/>
    <w:uiPriority w:val="0"/>
    <w:pPr>
      <w:spacing w:line="400" w:lineRule="exact"/>
    </w:pPr>
    <w:rPr>
      <w:sz w:val="24"/>
    </w:rPr>
  </w:style>
  <w:style w:type="paragraph" w:customStyle="1" w:styleId="256">
    <w:name w:val="表头居中"/>
    <w:basedOn w:val="1"/>
    <w:qFormat/>
    <w:uiPriority w:val="0"/>
    <w:pPr>
      <w:jc w:val="center"/>
    </w:pPr>
    <w:rPr>
      <w:rFonts w:ascii="宋体" w:hAnsi="宋体" w:cs="宋体"/>
      <w:b/>
      <w:bCs/>
      <w:caps/>
      <w:color w:val="000000"/>
      <w:sz w:val="24"/>
      <w:szCs w:val="21"/>
    </w:rPr>
  </w:style>
  <w:style w:type="paragraph" w:customStyle="1" w:styleId="257">
    <w:name w:val="pa-6"/>
    <w:basedOn w:val="1"/>
    <w:qFormat/>
    <w:uiPriority w:val="0"/>
    <w:pPr>
      <w:widowControl/>
      <w:jc w:val="left"/>
    </w:pPr>
    <w:rPr>
      <w:rFonts w:ascii="Courier New" w:hAnsi="Courier New" w:cs="Courier New"/>
      <w:kern w:val="0"/>
      <w:sz w:val="24"/>
    </w:rPr>
  </w:style>
  <w:style w:type="paragraph" w:customStyle="1" w:styleId="258">
    <w:name w:val="xl77"/>
    <w:basedOn w:val="1"/>
    <w:qFormat/>
    <w:uiPriority w:val="0"/>
    <w:pPr>
      <w:widowControl/>
      <w:pBdr>
        <w:right w:val="single" w:color="auto" w:sz="8" w:space="0"/>
      </w:pBdr>
      <w:spacing w:beforeAutospacing="1" w:afterAutospacing="1"/>
    </w:pPr>
    <w:rPr>
      <w:rFonts w:ascii="宋体" w:hAnsi="宋体" w:cs="宋体"/>
      <w:color w:val="000000"/>
      <w:kern w:val="0"/>
      <w:sz w:val="20"/>
      <w:szCs w:val="20"/>
    </w:rPr>
  </w:style>
  <w:style w:type="paragraph" w:customStyle="1" w:styleId="259">
    <w:name w:val="正文2"/>
    <w:basedOn w:val="1"/>
    <w:qFormat/>
    <w:uiPriority w:val="0"/>
    <w:pPr>
      <w:widowControl/>
      <w:spacing w:line="300" w:lineRule="atLeast"/>
      <w:jc w:val="left"/>
    </w:pPr>
    <w:rPr>
      <w:rFonts w:ascii="Segoe UI Symbol" w:hAnsi="Segoe UI Symbol" w:cs="Courier New"/>
      <w:kern w:val="0"/>
      <w:sz w:val="22"/>
      <w:szCs w:val="22"/>
    </w:rPr>
  </w:style>
  <w:style w:type="paragraph" w:customStyle="1" w:styleId="260">
    <w:name w:val="表格样式 2"/>
    <w:qFormat/>
    <w:uiPriority w:val="0"/>
    <w:rPr>
      <w:rFonts w:ascii="Helvetica" w:hAnsi="Helvetica" w:eastAsia="Helvetica" w:cs="Helvetica"/>
      <w:color w:val="000000"/>
      <w:lang w:val="en-US" w:eastAsia="zh-CN" w:bidi="ar-SA"/>
    </w:rPr>
  </w:style>
  <w:style w:type="paragraph" w:customStyle="1" w:styleId="261">
    <w:name w:val="pa-5"/>
    <w:basedOn w:val="1"/>
    <w:qFormat/>
    <w:uiPriority w:val="0"/>
    <w:pPr>
      <w:widowControl/>
      <w:jc w:val="left"/>
    </w:pPr>
    <w:rPr>
      <w:rFonts w:ascii="Ђˎ̥" w:hAnsi="Ђˎ̥" w:eastAsia="Ђˎ̥" w:cs="Ђˎ̥"/>
      <w:kern w:val="0"/>
      <w:sz w:val="24"/>
    </w:rPr>
  </w:style>
  <w:style w:type="paragraph" w:customStyle="1" w:styleId="262">
    <w:name w:val="Char Char Char Char Char Char1 Char3"/>
    <w:basedOn w:val="1"/>
    <w:qFormat/>
    <w:uiPriority w:val="0"/>
    <w:pPr>
      <w:widowControl/>
      <w:spacing w:line="240" w:lineRule="exact"/>
      <w:jc w:val="left"/>
    </w:pPr>
  </w:style>
  <w:style w:type="paragraph" w:customStyle="1" w:styleId="263">
    <w:name w:val="Char Char Char Char Char Char Char Char Char Char"/>
    <w:basedOn w:val="1"/>
    <w:qFormat/>
    <w:uiPriority w:val="0"/>
    <w:pPr>
      <w:widowControl/>
      <w:spacing w:line="400" w:lineRule="exact"/>
      <w:jc w:val="center"/>
    </w:pPr>
    <w:rPr>
      <w:rFonts w:ascii="@宋体" w:hAnsi="@宋体" w:cs="Ђˎ̥"/>
      <w:kern w:val="0"/>
      <w:szCs w:val="20"/>
      <w:lang w:eastAsia="en-US"/>
    </w:rPr>
  </w:style>
  <w:style w:type="paragraph" w:customStyle="1" w:styleId="264">
    <w:name w:val="正文（首行缩进）"/>
    <w:basedOn w:val="1"/>
    <w:qFormat/>
    <w:uiPriority w:val="0"/>
    <w:pPr>
      <w:spacing w:line="360" w:lineRule="auto"/>
      <w:ind w:firstLine="420"/>
    </w:pPr>
    <w:rPr>
      <w:rFonts w:ascii="Times New Roman" w:hAnsi="Times New Roman" w:eastAsia="仿宋" w:cs="宋体"/>
      <w:sz w:val="24"/>
    </w:rPr>
  </w:style>
  <w:style w:type="paragraph" w:customStyle="1" w:styleId="265">
    <w:name w:val="Char Char Char Char Char Char1 Char1"/>
    <w:basedOn w:val="1"/>
    <w:qFormat/>
    <w:uiPriority w:val="0"/>
    <w:pPr>
      <w:widowControl/>
      <w:spacing w:line="240" w:lineRule="exact"/>
      <w:jc w:val="left"/>
    </w:pPr>
    <w:rPr>
      <w:rFonts w:ascii="@宋体" w:hAnsi="@宋体" w:eastAsia="Segoe UI Symbol" w:cs="Ђˎ̥"/>
      <w:kern w:val="0"/>
      <w:sz w:val="30"/>
      <w:szCs w:val="30"/>
      <w:lang w:eastAsia="en-US"/>
    </w:rPr>
  </w:style>
  <w:style w:type="paragraph" w:customStyle="1" w:styleId="266">
    <w:name w:val="Char1"/>
    <w:basedOn w:val="1"/>
    <w:qFormat/>
    <w:uiPriority w:val="0"/>
    <w:rPr>
      <w:szCs w:val="21"/>
    </w:rPr>
  </w:style>
  <w:style w:type="paragraph" w:customStyle="1" w:styleId="267">
    <w:name w:val="xl81"/>
    <w:basedOn w:val="1"/>
    <w:qFormat/>
    <w:uiPriority w:val="0"/>
    <w:pPr>
      <w:widowControl/>
      <w:pBdr>
        <w:bottom w:val="single" w:color="auto" w:sz="8" w:space="0"/>
        <w:right w:val="single" w:color="auto" w:sz="8" w:space="0"/>
      </w:pBdr>
      <w:spacing w:beforeAutospacing="1" w:afterAutospacing="1"/>
      <w:jc w:val="left"/>
    </w:pPr>
    <w:rPr>
      <w:rFonts w:ascii="宋体" w:hAnsi="宋体" w:cs="宋体"/>
      <w:kern w:val="0"/>
      <w:sz w:val="20"/>
      <w:szCs w:val="20"/>
    </w:rPr>
  </w:style>
  <w:style w:type="paragraph" w:customStyle="1" w:styleId="268">
    <w:name w:val="列出段落2"/>
    <w:basedOn w:val="1"/>
    <w:link w:val="269"/>
    <w:qFormat/>
    <w:uiPriority w:val="0"/>
    <w:pPr>
      <w:ind w:firstLine="420" w:firstLineChars="200"/>
    </w:pPr>
    <w:rPr>
      <w:rFonts w:ascii="Calibri" w:hAnsi="Calibri"/>
      <w:szCs w:val="22"/>
    </w:rPr>
  </w:style>
  <w:style w:type="character" w:customStyle="1" w:styleId="269">
    <w:name w:val="列出段落 Char1"/>
    <w:link w:val="268"/>
    <w:qFormat/>
    <w:uiPriority w:val="34"/>
    <w:rPr>
      <w:rFonts w:ascii="Calibri" w:hAnsi="Calibri"/>
      <w:kern w:val="2"/>
      <w:sz w:val="21"/>
      <w:szCs w:val="22"/>
    </w:rPr>
  </w:style>
  <w:style w:type="paragraph" w:customStyle="1" w:styleId="270">
    <w:name w:val="xl96"/>
    <w:basedOn w:val="1"/>
    <w:qFormat/>
    <w:uiPriority w:val="0"/>
    <w:pPr>
      <w:widowControl/>
      <w:pBdr>
        <w:left w:val="single" w:color="auto" w:sz="8" w:space="0"/>
        <w:right w:val="single" w:color="auto" w:sz="8" w:space="0"/>
      </w:pBdr>
      <w:shd w:val="clear" w:color="000000" w:fill="FFFFFF"/>
      <w:spacing w:beforeAutospacing="1" w:afterAutospacing="1"/>
      <w:jc w:val="center"/>
    </w:pPr>
    <w:rPr>
      <w:rFonts w:ascii="宋体" w:hAnsi="宋体" w:cs="宋体"/>
      <w:kern w:val="0"/>
      <w:sz w:val="20"/>
      <w:szCs w:val="20"/>
    </w:rPr>
  </w:style>
  <w:style w:type="paragraph" w:customStyle="1" w:styleId="271">
    <w:name w:val="xl102"/>
    <w:basedOn w:val="1"/>
    <w:qFormat/>
    <w:uiPriority w:val="0"/>
    <w:pPr>
      <w:widowControl/>
      <w:pBdr>
        <w:left w:val="single" w:color="auto" w:sz="8" w:space="0"/>
        <w:right w:val="single" w:color="auto" w:sz="8" w:space="0"/>
      </w:pBdr>
      <w:spacing w:beforeAutospacing="1" w:afterAutospacing="1"/>
      <w:jc w:val="center"/>
    </w:pPr>
    <w:rPr>
      <w:rFonts w:ascii="宋体" w:hAnsi="宋体" w:cs="宋体"/>
      <w:kern w:val="0"/>
      <w:sz w:val="20"/>
      <w:szCs w:val="20"/>
    </w:rPr>
  </w:style>
  <w:style w:type="paragraph" w:customStyle="1" w:styleId="272">
    <w:name w:val="msolistparagraph"/>
    <w:basedOn w:val="1"/>
    <w:qFormat/>
    <w:uiPriority w:val="0"/>
    <w:pPr>
      <w:ind w:firstLine="420" w:firstLineChars="200"/>
    </w:pPr>
    <w:rPr>
      <w:rFonts w:ascii="Times New Roman" w:hAnsi="Times New Roman"/>
    </w:rPr>
  </w:style>
  <w:style w:type="paragraph" w:customStyle="1" w:styleId="273">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274">
    <w:name w:val="列出段落22"/>
    <w:basedOn w:val="1"/>
    <w:qFormat/>
    <w:uiPriority w:val="0"/>
    <w:pPr>
      <w:ind w:firstLine="420" w:firstLineChars="200"/>
    </w:pPr>
    <w:rPr>
      <w:rFonts w:ascii="Segoe UI Symbol" w:hAnsi="Segoe UI Symbol" w:cs="Courier New"/>
      <w:szCs w:val="22"/>
    </w:rPr>
  </w:style>
  <w:style w:type="paragraph" w:customStyle="1" w:styleId="275">
    <w:name w:val="pa-12"/>
    <w:basedOn w:val="1"/>
    <w:qFormat/>
    <w:uiPriority w:val="0"/>
    <w:pPr>
      <w:widowControl/>
      <w:jc w:val="left"/>
    </w:pPr>
    <w:rPr>
      <w:rFonts w:ascii="Courier New" w:hAnsi="Courier New" w:cs="Courier New"/>
      <w:kern w:val="0"/>
      <w:sz w:val="24"/>
    </w:rPr>
  </w:style>
  <w:style w:type="paragraph" w:customStyle="1" w:styleId="276">
    <w:name w:val="xl68"/>
    <w:basedOn w:val="1"/>
    <w:qFormat/>
    <w:uiPriority w:val="0"/>
    <w:pPr>
      <w:widowControl/>
      <w:pBdr>
        <w:bottom w:val="single" w:color="auto" w:sz="8" w:space="0"/>
        <w:right w:val="single" w:color="auto" w:sz="8" w:space="0"/>
      </w:pBdr>
      <w:spacing w:beforeAutospacing="1" w:afterAutospacing="1"/>
      <w:jc w:val="left"/>
    </w:pPr>
    <w:rPr>
      <w:rFonts w:ascii="宋体" w:hAnsi="宋体" w:cs="宋体"/>
      <w:color w:val="000000"/>
      <w:kern w:val="0"/>
      <w:sz w:val="20"/>
      <w:szCs w:val="20"/>
    </w:rPr>
  </w:style>
  <w:style w:type="paragraph" w:customStyle="1" w:styleId="277">
    <w:name w:val="目录标题1"/>
    <w:basedOn w:val="1"/>
    <w:next w:val="1"/>
    <w:qFormat/>
    <w:uiPriority w:val="39"/>
    <w:pPr>
      <w:widowControl/>
      <w:spacing w:line="566" w:lineRule="atLeast"/>
      <w:ind w:firstLine="419"/>
      <w:jc w:val="center"/>
      <w:textAlignment w:val="baseline"/>
    </w:pPr>
    <w:rPr>
      <w:rFonts w:eastAsia="Ђˎ̥"/>
      <w:color w:val="000000"/>
      <w:spacing w:val="566"/>
      <w:kern w:val="0"/>
      <w:sz w:val="54"/>
      <w:szCs w:val="20"/>
    </w:rPr>
  </w:style>
  <w:style w:type="paragraph" w:customStyle="1" w:styleId="278">
    <w:name w:val="Char Char16 Char Char"/>
    <w:basedOn w:val="1"/>
    <w:qFormat/>
    <w:uiPriority w:val="0"/>
    <w:pPr>
      <w:adjustRightInd w:val="0"/>
      <w:spacing w:line="360" w:lineRule="auto"/>
    </w:pPr>
    <w:rPr>
      <w:rFonts w:eastAsia="Times New Roman"/>
    </w:rPr>
  </w:style>
  <w:style w:type="paragraph" w:customStyle="1" w:styleId="279">
    <w:name w:val="cyr正文"/>
    <w:basedOn w:val="1"/>
    <w:qFormat/>
    <w:uiPriority w:val="0"/>
    <w:pPr>
      <w:spacing w:beforeLines="50" w:afterLines="50" w:line="360" w:lineRule="auto"/>
      <w:ind w:firstLine="200" w:firstLineChars="200"/>
    </w:pPr>
    <w:rPr>
      <w:rFonts w:ascii="Calibri" w:hAnsi="Calibri" w:eastAsia="仿宋"/>
      <w:sz w:val="28"/>
      <w:szCs w:val="21"/>
    </w:rPr>
  </w:style>
  <w:style w:type="paragraph" w:customStyle="1" w:styleId="280">
    <w:name w:val="msoplaintextcxsplast"/>
    <w:basedOn w:val="1"/>
    <w:qFormat/>
    <w:uiPriority w:val="0"/>
    <w:pPr>
      <w:widowControl/>
      <w:spacing w:beforeAutospacing="1" w:afterAutospacing="1"/>
      <w:jc w:val="left"/>
    </w:pPr>
    <w:rPr>
      <w:rFonts w:cs="Verdana"/>
      <w:kern w:val="0"/>
      <w:sz w:val="24"/>
    </w:rPr>
  </w:style>
  <w:style w:type="paragraph" w:customStyle="1" w:styleId="281">
    <w:name w:val="pa-7"/>
    <w:basedOn w:val="1"/>
    <w:qFormat/>
    <w:uiPriority w:val="0"/>
    <w:pPr>
      <w:widowControl/>
      <w:jc w:val="left"/>
    </w:pPr>
    <w:rPr>
      <w:rFonts w:ascii="Courier New" w:hAnsi="Courier New" w:cs="Courier New"/>
      <w:kern w:val="0"/>
      <w:sz w:val="24"/>
    </w:rPr>
  </w:style>
  <w:style w:type="paragraph" w:customStyle="1" w:styleId="282">
    <w:name w:val="pa-15"/>
    <w:basedOn w:val="1"/>
    <w:qFormat/>
    <w:uiPriority w:val="0"/>
    <w:pPr>
      <w:widowControl/>
      <w:jc w:val="left"/>
    </w:pPr>
    <w:rPr>
      <w:rFonts w:ascii="Courier New" w:hAnsi="Courier New" w:cs="Courier New"/>
      <w:kern w:val="0"/>
      <w:sz w:val="24"/>
    </w:rPr>
  </w:style>
  <w:style w:type="paragraph" w:customStyle="1" w:styleId="283">
    <w:name w:val="xl90"/>
    <w:basedOn w:val="1"/>
    <w:qFormat/>
    <w:uiPriority w:val="0"/>
    <w:pPr>
      <w:widowControl/>
      <w:pBdr>
        <w:left w:val="single" w:color="auto" w:sz="8" w:space="0"/>
        <w:right w:val="single" w:color="auto" w:sz="8" w:space="0"/>
      </w:pBdr>
      <w:spacing w:beforeAutospacing="1" w:afterAutospacing="1"/>
      <w:jc w:val="center"/>
    </w:pPr>
    <w:rPr>
      <w:rFonts w:ascii="宋体" w:hAnsi="宋体" w:cs="宋体"/>
      <w:kern w:val="0"/>
      <w:sz w:val="20"/>
      <w:szCs w:val="20"/>
    </w:rPr>
  </w:style>
  <w:style w:type="paragraph" w:customStyle="1" w:styleId="284">
    <w:name w:val="p26"/>
    <w:basedOn w:val="1"/>
    <w:qFormat/>
    <w:uiPriority w:val="0"/>
    <w:pPr>
      <w:widowControl/>
      <w:spacing w:before="100" w:after="100"/>
      <w:jc w:val="left"/>
    </w:pPr>
    <w:rPr>
      <w:rFonts w:ascii="宋体" w:hAnsi="宋体"/>
      <w:kern w:val="0"/>
      <w:sz w:val="24"/>
    </w:rPr>
  </w:style>
  <w:style w:type="paragraph" w:customStyle="1" w:styleId="285">
    <w:name w:val="Char Char Char Char Char Char Char Char Char"/>
    <w:basedOn w:val="1"/>
    <w:qFormat/>
    <w:uiPriority w:val="0"/>
    <w:pPr>
      <w:widowControl/>
      <w:spacing w:after="160" w:line="240" w:lineRule="exact"/>
      <w:jc w:val="left"/>
    </w:pPr>
    <w:rPr>
      <w:rFonts w:eastAsia="仿宋_GB2312"/>
      <w:kern w:val="0"/>
      <w:sz w:val="24"/>
      <w:szCs w:val="20"/>
      <w:lang w:eastAsia="en-US"/>
    </w:rPr>
  </w:style>
  <w:style w:type="paragraph" w:customStyle="1" w:styleId="286">
    <w:name w:val="4"/>
    <w:basedOn w:val="1"/>
    <w:next w:val="33"/>
    <w:qFormat/>
    <w:uiPriority w:val="0"/>
    <w:pPr>
      <w:spacing w:line="420" w:lineRule="exact"/>
      <w:ind w:firstLine="409" w:firstLineChars="195"/>
    </w:pPr>
  </w:style>
  <w:style w:type="paragraph" w:customStyle="1" w:styleId="287">
    <w:name w:val="xl113"/>
    <w:basedOn w:val="1"/>
    <w:qFormat/>
    <w:uiPriority w:val="0"/>
    <w:pPr>
      <w:widowControl/>
      <w:pBdr>
        <w:top w:val="single" w:color="auto" w:sz="8" w:space="0"/>
        <w:left w:val="single" w:color="auto" w:sz="8" w:space="0"/>
        <w:right w:val="single" w:color="auto" w:sz="8" w:space="0"/>
      </w:pBdr>
      <w:shd w:val="clear" w:color="000000" w:fill="FFFFFF"/>
      <w:spacing w:beforeAutospacing="1" w:afterAutospacing="1"/>
      <w:jc w:val="center"/>
    </w:pPr>
    <w:rPr>
      <w:rFonts w:ascii="宋体" w:hAnsi="宋体" w:cs="宋体"/>
      <w:color w:val="000000"/>
      <w:kern w:val="0"/>
      <w:sz w:val="20"/>
      <w:szCs w:val="20"/>
    </w:rPr>
  </w:style>
  <w:style w:type="paragraph" w:customStyle="1" w:styleId="288">
    <w:name w:val="样式3"/>
    <w:basedOn w:val="1"/>
    <w:link w:val="289"/>
    <w:qFormat/>
    <w:uiPriority w:val="0"/>
    <w:pPr>
      <w:spacing w:line="360" w:lineRule="auto"/>
      <w:ind w:firstLine="560" w:firstLineChars="200"/>
    </w:pPr>
    <w:rPr>
      <w:rFonts w:ascii="Times New Roman" w:hAnsi="Times New Roman"/>
      <w:kern w:val="0"/>
      <w:sz w:val="28"/>
      <w:szCs w:val="28"/>
    </w:rPr>
  </w:style>
  <w:style w:type="character" w:customStyle="1" w:styleId="289">
    <w:name w:val="样式3 Char"/>
    <w:link w:val="288"/>
    <w:qFormat/>
    <w:uiPriority w:val="0"/>
    <w:rPr>
      <w:sz w:val="28"/>
      <w:szCs w:val="28"/>
    </w:rPr>
  </w:style>
  <w:style w:type="paragraph" w:customStyle="1" w:styleId="290">
    <w:name w:val="Char2"/>
    <w:basedOn w:val="1"/>
    <w:qFormat/>
    <w:uiPriority w:val="0"/>
    <w:pPr>
      <w:widowControl/>
      <w:spacing w:line="240" w:lineRule="exact"/>
      <w:jc w:val="left"/>
    </w:pPr>
    <w:rPr>
      <w:rFonts w:ascii="Ђˎ̥" w:hAnsi="Ђˎ̥"/>
      <w:kern w:val="0"/>
      <w:szCs w:val="20"/>
      <w:lang w:eastAsia="en-US"/>
    </w:rPr>
  </w:style>
  <w:style w:type="paragraph" w:customStyle="1" w:styleId="291">
    <w:name w:val="style2"/>
    <w:basedOn w:val="1"/>
    <w:qFormat/>
    <w:uiPriority w:val="0"/>
    <w:pPr>
      <w:widowControl/>
      <w:spacing w:beforeAutospacing="1" w:afterAutospacing="1"/>
      <w:jc w:val="left"/>
    </w:pPr>
    <w:rPr>
      <w:rFonts w:cs="Verdana"/>
      <w:kern w:val="0"/>
      <w:sz w:val="24"/>
    </w:rPr>
  </w:style>
  <w:style w:type="paragraph" w:customStyle="1" w:styleId="292">
    <w:name w:val="样式 标题 4 + 左  1 字符"/>
    <w:basedOn w:val="6"/>
    <w:qFormat/>
    <w:uiPriority w:val="0"/>
    <w:pPr>
      <w:widowControl w:val="0"/>
      <w:tabs>
        <w:tab w:val="left" w:pos="864"/>
      </w:tabs>
      <w:spacing w:before="280" w:after="290" w:line="376" w:lineRule="auto"/>
      <w:ind w:left="210" w:leftChars="100"/>
      <w:jc w:val="both"/>
    </w:pPr>
    <w:rPr>
      <w:rFonts w:ascii="Arial" w:hAnsi="Arial" w:eastAsia="仿宋_GB2312" w:cs="宋体"/>
      <w:b/>
      <w:bCs/>
      <w:kern w:val="2"/>
    </w:rPr>
  </w:style>
  <w:style w:type="paragraph" w:customStyle="1" w:styleId="293">
    <w:name w:val="Char Char Char Char Char Char Char Char Char Char Char Char Char Char Char Char1"/>
    <w:basedOn w:val="1"/>
    <w:qFormat/>
    <w:uiPriority w:val="0"/>
    <w:pPr>
      <w:tabs>
        <w:tab w:val="left" w:pos="360"/>
      </w:tabs>
      <w:spacing w:line="360" w:lineRule="auto"/>
      <w:ind w:left="482" w:firstLine="200" w:firstLineChars="200"/>
    </w:pPr>
    <w:rPr>
      <w:rFonts w:ascii="Courier New" w:eastAsia="Courier New"/>
      <w:sz w:val="24"/>
    </w:rPr>
  </w:style>
  <w:style w:type="paragraph" w:customStyle="1" w:styleId="294">
    <w:name w:val="xl83"/>
    <w:basedOn w:val="1"/>
    <w:qFormat/>
    <w:uiPriority w:val="0"/>
    <w:pPr>
      <w:widowControl/>
      <w:pBdr>
        <w:bottom w:val="single" w:color="auto" w:sz="8" w:space="0"/>
        <w:right w:val="single" w:color="auto" w:sz="8" w:space="0"/>
      </w:pBdr>
      <w:spacing w:beforeAutospacing="1" w:afterAutospacing="1"/>
    </w:pPr>
    <w:rPr>
      <w:rFonts w:ascii="宋体" w:hAnsi="宋体" w:cs="宋体"/>
      <w:kern w:val="0"/>
      <w:sz w:val="20"/>
      <w:szCs w:val="20"/>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图表正文"/>
    <w:basedOn w:val="1"/>
    <w:link w:val="297"/>
    <w:qFormat/>
    <w:uiPriority w:val="0"/>
    <w:pPr>
      <w:tabs>
        <w:tab w:val="left" w:pos="2117"/>
      </w:tabs>
      <w:spacing w:beforeLines="50" w:afterLines="50" w:line="276" w:lineRule="auto"/>
      <w:jc w:val="center"/>
    </w:pPr>
    <w:rPr>
      <w:rFonts w:ascii="宋体" w:hAnsi="宋体"/>
      <w:color w:val="000000"/>
      <w:kern w:val="0"/>
      <w:sz w:val="24"/>
      <w:szCs w:val="21"/>
    </w:rPr>
  </w:style>
  <w:style w:type="character" w:customStyle="1" w:styleId="297">
    <w:name w:val="图表正文 Char"/>
    <w:link w:val="296"/>
    <w:qFormat/>
    <w:uiPriority w:val="0"/>
    <w:rPr>
      <w:rFonts w:ascii="宋体" w:hAnsi="宋体"/>
      <w:color w:val="000000"/>
      <w:sz w:val="24"/>
      <w:szCs w:val="21"/>
    </w:rPr>
  </w:style>
  <w:style w:type="paragraph" w:customStyle="1" w:styleId="298">
    <w:name w:val="_Style 35"/>
    <w:basedOn w:val="1"/>
    <w:qFormat/>
    <w:uiPriority w:val="0"/>
    <w:pPr>
      <w:widowControl/>
      <w:shd w:val="clear" w:color="auto" w:fill="FFFFFF"/>
      <w:ind w:firstLine="454"/>
      <w:jc w:val="left"/>
    </w:pPr>
    <w:rPr>
      <w:rFonts w:ascii="Times New Roman" w:hAnsi="Times New Roman" w:eastAsia="Times New Roman"/>
    </w:rPr>
  </w:style>
  <w:style w:type="paragraph" w:customStyle="1" w:styleId="299">
    <w:name w:val="2-2ji"/>
    <w:basedOn w:val="4"/>
    <w:qFormat/>
    <w:uiPriority w:val="0"/>
    <w:pPr>
      <w:adjustRightInd w:val="0"/>
      <w:spacing w:line="360" w:lineRule="auto"/>
      <w:jc w:val="center"/>
      <w:textAlignment w:val="baseline"/>
    </w:pPr>
    <w:rPr>
      <w:rFonts w:ascii="Ђˎ̥" w:hAnsi="Ђˎ̥"/>
      <w:bCs w:val="0"/>
      <w:sz w:val="36"/>
    </w:rPr>
  </w:style>
  <w:style w:type="paragraph" w:customStyle="1" w:styleId="300">
    <w:name w:val="xl98"/>
    <w:basedOn w:val="1"/>
    <w:qFormat/>
    <w:uiPriority w:val="0"/>
    <w:pPr>
      <w:widowControl/>
      <w:pBdr>
        <w:top w:val="single" w:color="auto" w:sz="8" w:space="0"/>
        <w:left w:val="single" w:color="auto" w:sz="8" w:space="0"/>
        <w:right w:val="single" w:color="auto" w:sz="8" w:space="0"/>
      </w:pBdr>
      <w:spacing w:beforeAutospacing="1" w:afterAutospacing="1"/>
      <w:jc w:val="left"/>
    </w:pPr>
    <w:rPr>
      <w:rFonts w:ascii="宋体" w:hAnsi="宋体" w:cs="宋体"/>
      <w:kern w:val="0"/>
      <w:sz w:val="20"/>
      <w:szCs w:val="20"/>
    </w:rPr>
  </w:style>
  <w:style w:type="paragraph" w:customStyle="1" w:styleId="301">
    <w:name w:val="xl73"/>
    <w:basedOn w:val="1"/>
    <w:qFormat/>
    <w:uiPriority w:val="0"/>
    <w:pPr>
      <w:widowControl/>
      <w:pBdr>
        <w:bottom w:val="single" w:color="auto" w:sz="8" w:space="0"/>
        <w:right w:val="single" w:color="auto" w:sz="8" w:space="0"/>
      </w:pBdr>
      <w:spacing w:beforeAutospacing="1" w:afterAutospacing="1"/>
    </w:pPr>
    <w:rPr>
      <w:rFonts w:ascii="宋体" w:hAnsi="宋体" w:cs="宋体"/>
      <w:color w:val="000000"/>
      <w:kern w:val="0"/>
      <w:sz w:val="20"/>
      <w:szCs w:val="20"/>
    </w:rPr>
  </w:style>
  <w:style w:type="paragraph" w:customStyle="1" w:styleId="302">
    <w:name w:val="msonormalcxspmiddle"/>
    <w:basedOn w:val="1"/>
    <w:qFormat/>
    <w:uiPriority w:val="0"/>
    <w:pPr>
      <w:widowControl/>
      <w:spacing w:beforeAutospacing="1" w:afterAutospacing="1"/>
      <w:jc w:val="left"/>
    </w:pPr>
    <w:rPr>
      <w:rFonts w:cs="Verdana"/>
      <w:kern w:val="0"/>
      <w:sz w:val="24"/>
    </w:rPr>
  </w:style>
  <w:style w:type="paragraph" w:customStyle="1" w:styleId="303">
    <w:name w:val="xl111"/>
    <w:basedOn w:val="1"/>
    <w:qFormat/>
    <w:uiPriority w:val="0"/>
    <w:pPr>
      <w:widowControl/>
      <w:pBdr>
        <w:left w:val="single" w:color="auto" w:sz="8" w:space="0"/>
        <w:right w:val="single" w:color="auto" w:sz="8" w:space="0"/>
      </w:pBdr>
      <w:spacing w:beforeAutospacing="1" w:afterAutospacing="1"/>
      <w:jc w:val="center"/>
    </w:pPr>
    <w:rPr>
      <w:rFonts w:ascii="宋体" w:hAnsi="宋体" w:cs="宋体"/>
      <w:color w:val="000000"/>
      <w:kern w:val="0"/>
      <w:sz w:val="20"/>
      <w:szCs w:val="20"/>
    </w:rPr>
  </w:style>
  <w:style w:type="paragraph" w:customStyle="1" w:styleId="304">
    <w:name w:val="xl70"/>
    <w:basedOn w:val="1"/>
    <w:qFormat/>
    <w:uiPriority w:val="0"/>
    <w:pPr>
      <w:widowControl/>
      <w:pBdr>
        <w:right w:val="single" w:color="auto" w:sz="8" w:space="0"/>
      </w:pBdr>
      <w:spacing w:beforeAutospacing="1" w:afterAutospacing="1"/>
      <w:jc w:val="left"/>
    </w:pPr>
    <w:rPr>
      <w:rFonts w:ascii="宋体" w:hAnsi="宋体" w:cs="宋体"/>
      <w:color w:val="000000"/>
      <w:kern w:val="0"/>
      <w:sz w:val="20"/>
      <w:szCs w:val="20"/>
    </w:rPr>
  </w:style>
  <w:style w:type="paragraph" w:customStyle="1" w:styleId="305">
    <w:name w:val="纯文本1"/>
    <w:basedOn w:val="1"/>
    <w:qFormat/>
    <w:uiPriority w:val="0"/>
    <w:rPr>
      <w:rFonts w:ascii="Courier New" w:hAnsi="Ђˎ̥" w:eastAsia="Courier New" w:cs="Courier New"/>
      <w:szCs w:val="21"/>
    </w:rPr>
  </w:style>
  <w:style w:type="paragraph" w:customStyle="1" w:styleId="306">
    <w:name w:val="xl108"/>
    <w:basedOn w:val="1"/>
    <w:qFormat/>
    <w:uiPriority w:val="0"/>
    <w:pPr>
      <w:widowControl/>
      <w:pBdr>
        <w:left w:val="single" w:color="auto" w:sz="8" w:space="0"/>
        <w:right w:val="single" w:color="auto" w:sz="8" w:space="0"/>
      </w:pBdr>
      <w:spacing w:beforeAutospacing="1" w:afterAutospacing="1"/>
      <w:jc w:val="left"/>
    </w:pPr>
    <w:rPr>
      <w:rFonts w:ascii="宋体" w:hAnsi="宋体" w:cs="宋体"/>
      <w:color w:val="000000"/>
      <w:kern w:val="0"/>
      <w:sz w:val="20"/>
      <w:szCs w:val="20"/>
    </w:rPr>
  </w:style>
  <w:style w:type="paragraph" w:customStyle="1" w:styleId="307">
    <w:name w:val="444"/>
    <w:basedOn w:val="1"/>
    <w:qFormat/>
    <w:uiPriority w:val="0"/>
    <w:pPr>
      <w:adjustRightInd w:val="0"/>
      <w:spacing w:line="312" w:lineRule="atLeast"/>
      <w:jc w:val="center"/>
      <w:textAlignment w:val="baseline"/>
    </w:pPr>
    <w:rPr>
      <w:b/>
      <w:kern w:val="0"/>
      <w:sz w:val="36"/>
      <w:szCs w:val="36"/>
    </w:rPr>
  </w:style>
  <w:style w:type="paragraph" w:customStyle="1" w:styleId="308">
    <w:name w:val="科联李燕虹"/>
    <w:basedOn w:val="19"/>
    <w:link w:val="309"/>
    <w:qFormat/>
    <w:uiPriority w:val="0"/>
  </w:style>
  <w:style w:type="character" w:customStyle="1" w:styleId="309">
    <w:name w:val="科联李燕虹 Char"/>
    <w:basedOn w:val="85"/>
    <w:link w:val="308"/>
    <w:qFormat/>
    <w:uiPriority w:val="0"/>
    <w:rPr>
      <w:rFonts w:ascii="Verdana" w:hAnsi="Verdana" w:eastAsia="Ђˎ̥"/>
      <w:sz w:val="24"/>
    </w:rPr>
  </w:style>
  <w:style w:type="paragraph" w:customStyle="1" w:styleId="310">
    <w:name w:val="xl93"/>
    <w:basedOn w:val="1"/>
    <w:qFormat/>
    <w:uiPriority w:val="0"/>
    <w:pPr>
      <w:widowControl/>
      <w:pBdr>
        <w:left w:val="single" w:color="auto" w:sz="8" w:space="0"/>
        <w:right w:val="single" w:color="auto" w:sz="8" w:space="0"/>
      </w:pBdr>
      <w:spacing w:beforeAutospacing="1" w:afterAutospacing="1"/>
      <w:jc w:val="center"/>
    </w:pPr>
    <w:rPr>
      <w:rFonts w:ascii="宋体" w:hAnsi="宋体" w:cs="宋体"/>
      <w:color w:val="000000"/>
      <w:kern w:val="0"/>
      <w:sz w:val="24"/>
    </w:rPr>
  </w:style>
  <w:style w:type="paragraph" w:customStyle="1" w:styleId="311">
    <w:name w:val="xl120"/>
    <w:basedOn w:val="1"/>
    <w:qFormat/>
    <w:uiPriority w:val="0"/>
    <w:pPr>
      <w:widowControl/>
      <w:pBdr>
        <w:left w:val="single" w:color="auto" w:sz="8" w:space="0"/>
        <w:bottom w:val="single" w:color="auto" w:sz="8" w:space="0"/>
        <w:right w:val="single" w:color="auto" w:sz="8" w:space="0"/>
      </w:pBdr>
      <w:spacing w:beforeAutospacing="1" w:afterAutospacing="1"/>
      <w:jc w:val="left"/>
    </w:pPr>
    <w:rPr>
      <w:rFonts w:ascii="宋体" w:hAnsi="宋体" w:cs="宋体"/>
      <w:kern w:val="0"/>
      <w:sz w:val="20"/>
      <w:szCs w:val="20"/>
    </w:rPr>
  </w:style>
  <w:style w:type="paragraph" w:customStyle="1" w:styleId="312">
    <w:name w:val="Char Char Char Char Char"/>
    <w:basedOn w:val="1"/>
    <w:qFormat/>
    <w:uiPriority w:val="0"/>
    <w:pPr>
      <w:adjustRightInd w:val="0"/>
      <w:spacing w:line="360" w:lineRule="auto"/>
    </w:pPr>
    <w:rPr>
      <w:rFonts w:ascii="Ђˎ̥" w:hAnsi="Ђˎ̥" w:eastAsia="Ђˎ̥" w:cs="Ђˎ̥"/>
    </w:rPr>
  </w:style>
  <w:style w:type="paragraph" w:customStyle="1" w:styleId="313">
    <w:name w:val="xl74"/>
    <w:basedOn w:val="1"/>
    <w:qFormat/>
    <w:uiPriority w:val="0"/>
    <w:pPr>
      <w:widowControl/>
      <w:pBdr>
        <w:right w:val="single" w:color="auto" w:sz="8" w:space="0"/>
      </w:pBdr>
      <w:spacing w:beforeAutospacing="1" w:afterAutospacing="1"/>
    </w:pPr>
    <w:rPr>
      <w:rFonts w:ascii="宋体" w:hAnsi="宋体" w:cs="宋体"/>
      <w:kern w:val="0"/>
      <w:sz w:val="20"/>
      <w:szCs w:val="20"/>
    </w:rPr>
  </w:style>
  <w:style w:type="paragraph" w:customStyle="1" w:styleId="314">
    <w:name w:val="Char Char Char Char Char Char1 Char2"/>
    <w:basedOn w:val="1"/>
    <w:qFormat/>
    <w:uiPriority w:val="0"/>
    <w:pPr>
      <w:widowControl/>
      <w:spacing w:line="240" w:lineRule="exact"/>
      <w:jc w:val="left"/>
    </w:pPr>
    <w:rPr>
      <w:rFonts w:ascii="Ђˎ̥" w:hAnsi="Ђˎ̥" w:cs="Ђˎ̥"/>
      <w:kern w:val="0"/>
      <w:szCs w:val="20"/>
      <w:lang w:eastAsia="en-US"/>
    </w:rPr>
  </w:style>
  <w:style w:type="paragraph" w:customStyle="1" w:styleId="315">
    <w:name w:val="xl103"/>
    <w:basedOn w:val="1"/>
    <w:qFormat/>
    <w:uiPriority w:val="0"/>
    <w:pPr>
      <w:widowControl/>
      <w:pBdr>
        <w:left w:val="single" w:color="auto" w:sz="8" w:space="0"/>
        <w:bottom w:val="single" w:color="auto" w:sz="8" w:space="0"/>
        <w:right w:val="single" w:color="auto" w:sz="8" w:space="0"/>
      </w:pBdr>
      <w:spacing w:beforeAutospacing="1" w:afterAutospacing="1"/>
      <w:jc w:val="center"/>
    </w:pPr>
    <w:rPr>
      <w:rFonts w:ascii="宋体" w:hAnsi="宋体" w:cs="宋体"/>
      <w:kern w:val="0"/>
      <w:sz w:val="20"/>
      <w:szCs w:val="20"/>
    </w:rPr>
  </w:style>
  <w:style w:type="paragraph" w:customStyle="1" w:styleId="316">
    <w:name w:val="xl97"/>
    <w:basedOn w:val="1"/>
    <w:qFormat/>
    <w:uiPriority w:val="0"/>
    <w:pPr>
      <w:widowControl/>
      <w:pBdr>
        <w:left w:val="single" w:color="auto" w:sz="8" w:space="0"/>
        <w:bottom w:val="single" w:color="auto" w:sz="8" w:space="0"/>
        <w:right w:val="single" w:color="auto" w:sz="8" w:space="0"/>
      </w:pBdr>
      <w:shd w:val="clear" w:color="000000" w:fill="FFFFFF"/>
      <w:spacing w:beforeAutospacing="1" w:afterAutospacing="1"/>
      <w:jc w:val="center"/>
    </w:pPr>
    <w:rPr>
      <w:rFonts w:ascii="宋体" w:hAnsi="宋体" w:cs="宋体"/>
      <w:kern w:val="0"/>
      <w:sz w:val="20"/>
      <w:szCs w:val="20"/>
    </w:rPr>
  </w:style>
  <w:style w:type="paragraph" w:customStyle="1" w:styleId="317">
    <w:name w:val="xl64"/>
    <w:basedOn w:val="1"/>
    <w:qFormat/>
    <w:uiPriority w:val="0"/>
    <w:pPr>
      <w:widowControl/>
      <w:pBdr>
        <w:top w:val="single" w:color="auto" w:sz="8" w:space="0"/>
        <w:bottom w:val="single" w:color="auto" w:sz="8" w:space="0"/>
        <w:right w:val="single" w:color="auto" w:sz="8" w:space="0"/>
      </w:pBdr>
      <w:spacing w:beforeAutospacing="1" w:afterAutospacing="1"/>
      <w:jc w:val="center"/>
    </w:pPr>
    <w:rPr>
      <w:rFonts w:ascii="宋体" w:hAnsi="宋体" w:cs="宋体"/>
      <w:b/>
      <w:bCs/>
      <w:color w:val="000000"/>
      <w:kern w:val="0"/>
      <w:sz w:val="28"/>
      <w:szCs w:val="28"/>
    </w:rPr>
  </w:style>
  <w:style w:type="paragraph" w:customStyle="1" w:styleId="318">
    <w:name w:val="pa-3"/>
    <w:basedOn w:val="1"/>
    <w:qFormat/>
    <w:uiPriority w:val="0"/>
    <w:pPr>
      <w:widowControl/>
      <w:jc w:val="left"/>
    </w:pPr>
    <w:rPr>
      <w:rFonts w:ascii="Ђˎ̥" w:hAnsi="Ђˎ̥" w:eastAsia="Verdana" w:cs="Ђˎ̥"/>
      <w:kern w:val="0"/>
      <w:sz w:val="24"/>
    </w:rPr>
  </w:style>
  <w:style w:type="paragraph" w:customStyle="1" w:styleId="319">
    <w:name w:val="样式 标题 3 + (中文) 黑体 小四 非加粗 段前: 7.8 磅 段后: 0 磅 行距: 固定值 20 磅"/>
    <w:basedOn w:val="5"/>
    <w:qFormat/>
    <w:uiPriority w:val="0"/>
    <w:pPr>
      <w:spacing w:line="400" w:lineRule="exact"/>
    </w:pPr>
    <w:rPr>
      <w:rFonts w:cs="Ђˎ̥"/>
      <w:b w:val="0"/>
      <w:bCs w:val="0"/>
      <w:sz w:val="24"/>
      <w:szCs w:val="20"/>
    </w:rPr>
  </w:style>
  <w:style w:type="paragraph" w:customStyle="1" w:styleId="320">
    <w:name w:val="网格表 32"/>
    <w:basedOn w:val="3"/>
    <w:next w:val="1"/>
    <w:qFormat/>
    <w:uiPriority w:val="39"/>
    <w:pPr>
      <w:widowControl/>
      <w:tabs>
        <w:tab w:val="left" w:pos="432"/>
      </w:tabs>
      <w:spacing w:before="480" w:line="276" w:lineRule="auto"/>
      <w:jc w:val="left"/>
      <w:outlineLvl w:val="9"/>
    </w:pPr>
    <w:rPr>
      <w:rFonts w:ascii="Cambria" w:hAnsi="Cambria" w:eastAsia="宋体"/>
      <w:color w:val="365F91"/>
      <w:kern w:val="0"/>
      <w:sz w:val="28"/>
      <w:szCs w:val="28"/>
    </w:rPr>
  </w:style>
  <w:style w:type="paragraph" w:customStyle="1" w:styleId="321">
    <w:name w:val="pa-14"/>
    <w:basedOn w:val="1"/>
    <w:qFormat/>
    <w:uiPriority w:val="0"/>
    <w:pPr>
      <w:widowControl/>
      <w:jc w:val="left"/>
    </w:pPr>
    <w:rPr>
      <w:rFonts w:ascii="Courier New" w:hAnsi="Courier New" w:cs="Courier New"/>
      <w:kern w:val="0"/>
      <w:sz w:val="24"/>
    </w:rPr>
  </w:style>
  <w:style w:type="paragraph" w:customStyle="1" w:styleId="322">
    <w:name w:val="xl104"/>
    <w:basedOn w:val="1"/>
    <w:qFormat/>
    <w:uiPriority w:val="0"/>
    <w:pPr>
      <w:widowControl/>
      <w:pBdr>
        <w:top w:val="single" w:color="auto" w:sz="8" w:space="0"/>
        <w:left w:val="single" w:color="auto" w:sz="8" w:space="0"/>
        <w:right w:val="single" w:color="auto" w:sz="8" w:space="0"/>
      </w:pBdr>
      <w:spacing w:beforeAutospacing="1" w:afterAutospacing="1"/>
      <w:jc w:val="center"/>
    </w:pPr>
    <w:rPr>
      <w:rFonts w:ascii="宋体" w:hAnsi="宋体" w:cs="宋体"/>
      <w:color w:val="000000"/>
      <w:kern w:val="0"/>
      <w:sz w:val="20"/>
      <w:szCs w:val="20"/>
    </w:rPr>
  </w:style>
  <w:style w:type="paragraph" w:customStyle="1" w:styleId="323">
    <w:name w:val="Char1 Char Char Char2"/>
    <w:basedOn w:val="1"/>
    <w:qFormat/>
    <w:uiPriority w:val="0"/>
    <w:rPr>
      <w:rFonts w:ascii="Symbol" w:hAnsi="Symbol" w:eastAsia="Verdana" w:cs="Symbol"/>
    </w:rPr>
  </w:style>
  <w:style w:type="paragraph" w:customStyle="1" w:styleId="324">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325">
    <w:name w:val="标题 5 字符"/>
    <w:qFormat/>
    <w:uiPriority w:val="9"/>
    <w:rPr>
      <w:rFonts w:ascii="Verdana" w:hAnsi="Verdana" w:eastAsia="Courier New"/>
      <w:b/>
      <w:kern w:val="2"/>
      <w:sz w:val="28"/>
      <w:szCs w:val="24"/>
    </w:rPr>
  </w:style>
  <w:style w:type="character" w:customStyle="1" w:styleId="326">
    <w:name w:val="正文文本 2 Char1"/>
    <w:semiHidden/>
    <w:qFormat/>
    <w:uiPriority w:val="99"/>
    <w:rPr>
      <w:rFonts w:ascii="Verdana" w:hAnsi="Verdana"/>
      <w:kern w:val="2"/>
      <w:sz w:val="21"/>
      <w:szCs w:val="24"/>
    </w:rPr>
  </w:style>
  <w:style w:type="character" w:customStyle="1" w:styleId="327">
    <w:name w:val="bumpedfont20"/>
    <w:qFormat/>
    <w:uiPriority w:val="0"/>
  </w:style>
  <w:style w:type="character" w:customStyle="1" w:styleId="328">
    <w:name w:val="Char Char9"/>
    <w:qFormat/>
    <w:uiPriority w:val="0"/>
    <w:rPr>
      <w:rFonts w:eastAsia="Verdana"/>
      <w:kern w:val="2"/>
      <w:sz w:val="18"/>
      <w:szCs w:val="18"/>
      <w:lang w:val="en-US" w:eastAsia="zh-CN" w:bidi="ar-SA"/>
    </w:rPr>
  </w:style>
  <w:style w:type="character" w:customStyle="1" w:styleId="329">
    <w:name w:val="ca-0"/>
    <w:basedOn w:val="57"/>
    <w:qFormat/>
    <w:uiPriority w:val="0"/>
  </w:style>
  <w:style w:type="character" w:customStyle="1" w:styleId="330">
    <w:name w:val="Char Char11"/>
    <w:qFormat/>
    <w:uiPriority w:val="0"/>
    <w:rPr>
      <w:rFonts w:ascii="Verdana" w:hAnsi="Verdana" w:eastAsia="Times New Roman"/>
      <w:b/>
      <w:sz w:val="27"/>
      <w:lang w:val="en-US" w:eastAsia="zh-CN"/>
    </w:rPr>
  </w:style>
  <w:style w:type="character" w:customStyle="1" w:styleId="331">
    <w:name w:val="正文文本 字符"/>
    <w:qFormat/>
    <w:uiPriority w:val="99"/>
    <w:rPr>
      <w:rFonts w:ascii="Verdana" w:hAnsi="Verdana" w:eastAsia="Ђˎ̥" w:cs="Verdana"/>
      <w:sz w:val="24"/>
      <w:szCs w:val="24"/>
    </w:rPr>
  </w:style>
  <w:style w:type="character" w:customStyle="1" w:styleId="332">
    <w:name w:val="mail_info_expanded_sender"/>
    <w:basedOn w:val="57"/>
    <w:qFormat/>
    <w:uiPriority w:val="0"/>
  </w:style>
  <w:style w:type="character" w:customStyle="1" w:styleId="333">
    <w:name w:val="Comment Subject Char"/>
    <w:qFormat/>
    <w:uiPriority w:val="0"/>
    <w:rPr>
      <w:rFonts w:eastAsia="宋体"/>
      <w:b/>
      <w:bCs/>
      <w:kern w:val="2"/>
      <w:sz w:val="21"/>
      <w:lang w:val="en-US" w:eastAsia="zh-CN" w:bidi="ar-SA"/>
    </w:rPr>
  </w:style>
  <w:style w:type="character" w:customStyle="1" w:styleId="334">
    <w:name w:val="font21"/>
    <w:basedOn w:val="57"/>
    <w:qFormat/>
    <w:uiPriority w:val="0"/>
    <w:rPr>
      <w:rFonts w:hint="eastAsia" w:ascii="Courier New" w:hAnsi="Courier New" w:eastAsia="Courier New" w:cs="Courier New"/>
      <w:color w:val="000000"/>
      <w:sz w:val="28"/>
      <w:szCs w:val="28"/>
      <w:u w:val="none"/>
    </w:rPr>
  </w:style>
  <w:style w:type="character" w:customStyle="1" w:styleId="335">
    <w:name w:val="fontstyle21"/>
    <w:qFormat/>
    <w:uiPriority w:val="0"/>
    <w:rPr>
      <w:rFonts w:hint="default" w:ascii="Calibri" w:hAnsi="Calibri" w:cs="Calibri"/>
      <w:b/>
      <w:bCs/>
      <w:color w:val="000000"/>
      <w:sz w:val="44"/>
      <w:szCs w:val="44"/>
    </w:rPr>
  </w:style>
  <w:style w:type="character" w:customStyle="1" w:styleId="336">
    <w:name w:val="case31"/>
    <w:qFormat/>
    <w:uiPriority w:val="0"/>
    <w:rPr>
      <w:rFonts w:hint="default"/>
      <w:spacing w:val="390"/>
      <w:sz w:val="21"/>
      <w:szCs w:val="21"/>
    </w:rPr>
  </w:style>
  <w:style w:type="character" w:customStyle="1" w:styleId="337">
    <w:name w:val="19"/>
    <w:qFormat/>
    <w:uiPriority w:val="0"/>
    <w:rPr>
      <w:rFonts w:hint="default" w:ascii="Times New Roman" w:hAnsi="Times New Roman" w:cs="Times New Roman"/>
    </w:rPr>
  </w:style>
  <w:style w:type="character" w:customStyle="1" w:styleId="338">
    <w:name w:val="chanpin1"/>
    <w:qFormat/>
    <w:uiPriority w:val="0"/>
    <w:rPr>
      <w:rFonts w:hint="default" w:ascii="Verdana" w:hAnsi="Verdana"/>
      <w:sz w:val="24"/>
      <w:szCs w:val="24"/>
    </w:rPr>
  </w:style>
  <w:style w:type="character" w:customStyle="1" w:styleId="339">
    <w:name w:val="17"/>
    <w:qFormat/>
    <w:uiPriority w:val="0"/>
    <w:rPr>
      <w:rFonts w:hint="default" w:ascii="Times New Roman" w:hAnsi="Times New Roman" w:cs="Times New Roman"/>
    </w:rPr>
  </w:style>
  <w:style w:type="character" w:customStyle="1" w:styleId="340">
    <w:name w:val="ca-10"/>
    <w:basedOn w:val="57"/>
    <w:qFormat/>
    <w:uiPriority w:val="0"/>
  </w:style>
  <w:style w:type="character" w:customStyle="1" w:styleId="341">
    <w:name w:val="15"/>
    <w:qFormat/>
    <w:uiPriority w:val="0"/>
    <w:rPr>
      <w:rFonts w:hint="default" w:ascii="Times New Roman" w:hAnsi="Times New Roman" w:cs="Times New Roman"/>
      <w:sz w:val="21"/>
      <w:szCs w:val="21"/>
    </w:rPr>
  </w:style>
  <w:style w:type="character" w:customStyle="1" w:styleId="342">
    <w:name w:val="正文文本 3 Char1"/>
    <w:semiHidden/>
    <w:qFormat/>
    <w:uiPriority w:val="99"/>
    <w:rPr>
      <w:rFonts w:ascii="Verdana" w:hAnsi="Verdana"/>
      <w:kern w:val="2"/>
      <w:sz w:val="16"/>
      <w:szCs w:val="16"/>
    </w:rPr>
  </w:style>
  <w:style w:type="character" w:customStyle="1" w:styleId="343">
    <w:name w:val="普通文字 Char Char2"/>
    <w:qFormat/>
    <w:uiPriority w:val="0"/>
    <w:rPr>
      <w:rFonts w:hAnsi="Symbol"/>
      <w:szCs w:val="21"/>
      <w:lang w:bidi="ar-SA"/>
    </w:rPr>
  </w:style>
  <w:style w:type="character" w:customStyle="1" w:styleId="344">
    <w:name w:val="ca-15"/>
    <w:basedOn w:val="57"/>
    <w:qFormat/>
    <w:uiPriority w:val="0"/>
  </w:style>
  <w:style w:type="character" w:customStyle="1" w:styleId="345">
    <w:name w:val="ca-13"/>
    <w:basedOn w:val="57"/>
    <w:qFormat/>
    <w:uiPriority w:val="0"/>
  </w:style>
  <w:style w:type="character" w:customStyle="1" w:styleId="346">
    <w:name w:val="Plain Text Char1"/>
    <w:qFormat/>
    <w:uiPriority w:val="0"/>
    <w:rPr>
      <w:rFonts w:ascii="@宋体" w:hAnsi="Ђˎ̥" w:cs="Ђˎ̥"/>
      <w:kern w:val="2"/>
      <w:sz w:val="21"/>
      <w:szCs w:val="21"/>
    </w:rPr>
  </w:style>
  <w:style w:type="character" w:customStyle="1" w:styleId="347">
    <w:name w:val="正文文本 Char Char"/>
    <w:qFormat/>
    <w:uiPriority w:val="0"/>
    <w:rPr>
      <w:rFonts w:eastAsia="Courier New"/>
      <w:sz w:val="24"/>
      <w:szCs w:val="24"/>
      <w:lang w:bidi="ar-SA"/>
    </w:rPr>
  </w:style>
  <w:style w:type="character" w:customStyle="1" w:styleId="348">
    <w:name w:val="普通文字 Char Char3"/>
    <w:qFormat/>
    <w:uiPriority w:val="0"/>
    <w:rPr>
      <w:rFonts w:ascii="Segoe UI Symbol" w:hAnsi="Tahoma" w:eastAsia="Segoe UI Symbol"/>
      <w:szCs w:val="21"/>
      <w:lang w:bidi="ar-SA"/>
    </w:rPr>
  </w:style>
  <w:style w:type="character" w:customStyle="1" w:styleId="349">
    <w:name w:val="Subtitle Char"/>
    <w:qFormat/>
    <w:uiPriority w:val="0"/>
    <w:rPr>
      <w:rFonts w:ascii="Cambria" w:hAnsi="Cambria" w:eastAsia="宋体"/>
      <w:b/>
      <w:bCs/>
      <w:kern w:val="28"/>
      <w:sz w:val="28"/>
      <w:szCs w:val="32"/>
      <w:lang w:val="en-US" w:eastAsia="zh-CN" w:bidi="ar-SA"/>
    </w:rPr>
  </w:style>
  <w:style w:type="character" w:customStyle="1" w:styleId="350">
    <w:name w:val="ca-8"/>
    <w:basedOn w:val="57"/>
    <w:qFormat/>
    <w:uiPriority w:val="0"/>
  </w:style>
  <w:style w:type="character" w:customStyle="1" w:styleId="351">
    <w:name w:val="Char Char131"/>
    <w:qFormat/>
    <w:uiPriority w:val="0"/>
    <w:rPr>
      <w:rFonts w:eastAsia="Times New Roman"/>
      <w:b/>
      <w:kern w:val="44"/>
      <w:sz w:val="44"/>
      <w:lang w:val="en-US" w:eastAsia="zh-CN"/>
    </w:rPr>
  </w:style>
  <w:style w:type="character" w:customStyle="1" w:styleId="352">
    <w:name w:val="062"/>
    <w:qFormat/>
    <w:uiPriority w:val="0"/>
    <w:rPr>
      <w:rFonts w:ascii="Ђˎ̥" w:hAnsi="Ђˎ̥"/>
      <w:b/>
      <w:bCs/>
      <w:sz w:val="32"/>
    </w:rPr>
  </w:style>
  <w:style w:type="character" w:customStyle="1" w:styleId="353">
    <w:name w:val="font61"/>
    <w:qFormat/>
    <w:uiPriority w:val="0"/>
    <w:rPr>
      <w:rFonts w:hint="eastAsia" w:ascii="宋体" w:hAnsi="宋体" w:eastAsia="宋体" w:cs="宋体"/>
      <w:color w:val="FF00FF"/>
      <w:sz w:val="16"/>
      <w:szCs w:val="16"/>
      <w:u w:val="none"/>
    </w:rPr>
  </w:style>
  <w:style w:type="character" w:customStyle="1" w:styleId="354">
    <w:name w:val="font31"/>
    <w:basedOn w:val="57"/>
    <w:qFormat/>
    <w:uiPriority w:val="0"/>
    <w:rPr>
      <w:rFonts w:hint="eastAsia" w:ascii="宋体" w:hAnsi="宋体" w:eastAsia="宋体" w:cs="宋体"/>
      <w:b/>
      <w:color w:val="000000"/>
      <w:sz w:val="18"/>
      <w:szCs w:val="18"/>
      <w:u w:val="none"/>
    </w:rPr>
  </w:style>
  <w:style w:type="character" w:customStyle="1" w:styleId="355">
    <w:name w:val="超级链接"/>
    <w:qFormat/>
    <w:uiPriority w:val="0"/>
    <w:rPr>
      <w:rFonts w:ascii="Verdana" w:eastAsia="Ђˎ̥"/>
      <w:color w:val="0000FF"/>
      <w:sz w:val="21"/>
      <w:u w:val="single" w:color="0000FF"/>
      <w:vertAlign w:val="baseline"/>
      <w:lang w:val="en-US" w:eastAsia="zh-CN"/>
    </w:rPr>
  </w:style>
  <w:style w:type="character" w:customStyle="1" w:styleId="356">
    <w:name w:val="批注主题 字符"/>
    <w:qFormat/>
    <w:uiPriority w:val="99"/>
    <w:rPr>
      <w:rFonts w:ascii="Verdana" w:hAnsi="Verdana" w:eastAsia="Ђˎ̥" w:cs="Verdana"/>
      <w:b/>
      <w:bCs/>
      <w:kern w:val="2"/>
      <w:sz w:val="21"/>
      <w:szCs w:val="24"/>
      <w:lang w:val="en-US" w:eastAsia="zh-CN" w:bidi="ar-SA"/>
    </w:rPr>
  </w:style>
  <w:style w:type="character" w:customStyle="1" w:styleId="357">
    <w:name w:val="Char Char91"/>
    <w:qFormat/>
    <w:uiPriority w:val="0"/>
    <w:rPr>
      <w:rFonts w:eastAsia="Times New Roman"/>
      <w:kern w:val="2"/>
      <w:sz w:val="18"/>
      <w:lang w:val="en-US" w:eastAsia="zh-CN"/>
    </w:rPr>
  </w:style>
  <w:style w:type="character" w:customStyle="1" w:styleId="358">
    <w:name w:val="正文文本缩进 Char3"/>
    <w:qFormat/>
    <w:uiPriority w:val="0"/>
    <w:rPr>
      <w:rFonts w:ascii="Verdana" w:hAnsi="Verdana"/>
      <w:kern w:val="2"/>
      <w:sz w:val="21"/>
      <w:szCs w:val="24"/>
    </w:rPr>
  </w:style>
  <w:style w:type="character" w:customStyle="1" w:styleId="359">
    <w:name w:val="正文文本缩进 Char Char"/>
    <w:qFormat/>
    <w:uiPriority w:val="0"/>
    <w:rPr>
      <w:rFonts w:ascii="Segoe UI Symbol" w:eastAsia="Segoe UI Symbol"/>
      <w:sz w:val="32"/>
      <w:lang w:bidi="ar-SA"/>
    </w:rPr>
  </w:style>
  <w:style w:type="character" w:customStyle="1" w:styleId="360">
    <w:name w:val="ca-4"/>
    <w:basedOn w:val="57"/>
    <w:qFormat/>
    <w:uiPriority w:val="0"/>
  </w:style>
  <w:style w:type="character" w:customStyle="1" w:styleId="361">
    <w:name w:val="标题 1 字符"/>
    <w:qFormat/>
    <w:uiPriority w:val="0"/>
    <w:rPr>
      <w:rFonts w:ascii="Verdana" w:hAnsi="Verdana" w:eastAsia="Ђˎ̥" w:cs="Verdana"/>
      <w:b/>
      <w:bCs/>
      <w:kern w:val="44"/>
      <w:sz w:val="44"/>
      <w:szCs w:val="44"/>
    </w:rPr>
  </w:style>
  <w:style w:type="character" w:customStyle="1" w:styleId="362">
    <w:name w:val="param-name"/>
    <w:qFormat/>
    <w:uiPriority w:val="0"/>
  </w:style>
  <w:style w:type="character" w:customStyle="1" w:styleId="363">
    <w:name w:val="日期 Char2"/>
    <w:qFormat/>
    <w:uiPriority w:val="0"/>
    <w:rPr>
      <w:rFonts w:ascii="Verdana" w:hAnsi="Verdana" w:eastAsia="@宋体" w:cs="Verdana"/>
      <w:sz w:val="24"/>
      <w:szCs w:val="24"/>
    </w:rPr>
  </w:style>
  <w:style w:type="character" w:customStyle="1" w:styleId="364">
    <w:name w:val="批注主题 Char1"/>
    <w:qFormat/>
    <w:uiPriority w:val="0"/>
    <w:rPr>
      <w:rFonts w:ascii="Verdana" w:hAnsi="Verdana" w:eastAsia="@宋体" w:cs="Verdana"/>
      <w:b/>
      <w:bCs/>
      <w:kern w:val="2"/>
      <w:sz w:val="21"/>
      <w:szCs w:val="24"/>
      <w:lang w:val="en-US" w:eastAsia="zh-CN" w:bidi="ar-SA"/>
    </w:rPr>
  </w:style>
  <w:style w:type="character" w:customStyle="1" w:styleId="365">
    <w:name w:val="Heading 3 Char"/>
    <w:qFormat/>
    <w:uiPriority w:val="0"/>
    <w:rPr>
      <w:rFonts w:eastAsia="宋体"/>
      <w:b/>
      <w:bCs/>
      <w:kern w:val="2"/>
      <w:sz w:val="32"/>
      <w:szCs w:val="32"/>
      <w:lang w:val="en-US" w:eastAsia="zh-CN" w:bidi="ar-SA"/>
    </w:rPr>
  </w:style>
  <w:style w:type="character" w:customStyle="1" w:styleId="366">
    <w:name w:val="正文首行缩进 2 Char1"/>
    <w:semiHidden/>
    <w:qFormat/>
    <w:uiPriority w:val="0"/>
    <w:rPr>
      <w:rFonts w:ascii="Verdana" w:hAnsi="Verdana" w:eastAsia="Ђˎ̥" w:cs="Verdana"/>
      <w:kern w:val="2"/>
      <w:sz w:val="21"/>
      <w:szCs w:val="24"/>
    </w:rPr>
  </w:style>
  <w:style w:type="character" w:customStyle="1" w:styleId="367">
    <w:name w:val="副标题 Char1"/>
    <w:qFormat/>
    <w:uiPriority w:val="0"/>
    <w:rPr>
      <w:rFonts w:ascii="Cambria" w:hAnsi="Cambria" w:cs="Times New Roman"/>
      <w:b/>
      <w:bCs/>
      <w:kern w:val="28"/>
      <w:sz w:val="32"/>
      <w:szCs w:val="32"/>
    </w:rPr>
  </w:style>
  <w:style w:type="character" w:customStyle="1" w:styleId="368">
    <w:name w:val="标题 Char1"/>
    <w:qFormat/>
    <w:uiPriority w:val="0"/>
    <w:rPr>
      <w:rFonts w:ascii="Cambria" w:hAnsi="Cambria" w:cs="Times New Roman"/>
      <w:b/>
      <w:bCs/>
      <w:kern w:val="2"/>
      <w:sz w:val="32"/>
      <w:szCs w:val="32"/>
    </w:rPr>
  </w:style>
  <w:style w:type="character" w:customStyle="1" w:styleId="369">
    <w:name w:val="ca-1"/>
    <w:basedOn w:val="57"/>
    <w:qFormat/>
    <w:uiPriority w:val="0"/>
  </w:style>
  <w:style w:type="character" w:customStyle="1" w:styleId="370">
    <w:name w:val="段1 Char"/>
    <w:qFormat/>
    <w:uiPriority w:val="0"/>
    <w:rPr>
      <w:rFonts w:ascii="Arial" w:hAnsi="Arial" w:eastAsia="宋体" w:cs="Arial"/>
      <w:sz w:val="21"/>
      <w:szCs w:val="24"/>
      <w:lang w:val="en-US" w:eastAsia="zh-CN" w:bidi="ar-SA"/>
    </w:rPr>
  </w:style>
  <w:style w:type="character" w:customStyle="1" w:styleId="371">
    <w:name w:val="con_title1"/>
    <w:qFormat/>
    <w:uiPriority w:val="0"/>
    <w:rPr>
      <w:b/>
      <w:bCs/>
      <w:color w:val="58585A"/>
      <w:sz w:val="36"/>
      <w:szCs w:val="36"/>
    </w:rPr>
  </w:style>
  <w:style w:type="character" w:customStyle="1" w:styleId="372">
    <w:name w:val="font11"/>
    <w:qFormat/>
    <w:uiPriority w:val="0"/>
    <w:rPr>
      <w:rFonts w:hint="eastAsia" w:ascii="Courier New" w:hAnsi="Courier New" w:eastAsia="Courier New" w:cs="Courier New"/>
      <w:b/>
      <w:color w:val="000000"/>
      <w:sz w:val="28"/>
      <w:szCs w:val="28"/>
      <w:u w:val="none"/>
    </w:rPr>
  </w:style>
  <w:style w:type="character" w:customStyle="1" w:styleId="373">
    <w:name w:val="style11"/>
    <w:qFormat/>
    <w:uiPriority w:val="0"/>
    <w:rPr>
      <w:b/>
      <w:bCs/>
      <w:sz w:val="24"/>
      <w:szCs w:val="24"/>
    </w:rPr>
  </w:style>
  <w:style w:type="character" w:customStyle="1" w:styleId="374">
    <w:name w:val="font51"/>
    <w:basedOn w:val="57"/>
    <w:qFormat/>
    <w:uiPriority w:val="0"/>
    <w:rPr>
      <w:rFonts w:hint="default" w:ascii="Times New Roman" w:hAnsi="Times New Roman" w:cs="Times New Roman"/>
      <w:b/>
      <w:color w:val="000000"/>
      <w:sz w:val="18"/>
      <w:szCs w:val="18"/>
      <w:u w:val="none"/>
    </w:rPr>
  </w:style>
  <w:style w:type="character" w:customStyle="1" w:styleId="375">
    <w:name w:val="font01"/>
    <w:qFormat/>
    <w:uiPriority w:val="0"/>
    <w:rPr>
      <w:rFonts w:ascii="Courier New" w:hAnsi="Courier New" w:eastAsia="Courier New" w:cs="Courier New"/>
      <w:color w:val="000000"/>
      <w:sz w:val="28"/>
      <w:szCs w:val="28"/>
      <w:u w:val="none"/>
    </w:rPr>
  </w:style>
  <w:style w:type="character" w:customStyle="1" w:styleId="376">
    <w:name w:val="标题 2 Char Char"/>
    <w:qFormat/>
    <w:uiPriority w:val="0"/>
    <w:rPr>
      <w:rFonts w:eastAsia="Courier New"/>
      <w:kern w:val="2"/>
      <w:sz w:val="28"/>
      <w:szCs w:val="24"/>
      <w:lang w:val="en-US" w:eastAsia="zh-CN" w:bidi="ar-SA"/>
    </w:rPr>
  </w:style>
  <w:style w:type="character" w:customStyle="1" w:styleId="377">
    <w:name w:val="正文首行缩进 Char1"/>
    <w:basedOn w:val="378"/>
    <w:semiHidden/>
    <w:qFormat/>
    <w:uiPriority w:val="99"/>
    <w:rPr>
      <w:rFonts w:ascii="Verdana" w:hAnsi="Verdana"/>
      <w:kern w:val="2"/>
      <w:sz w:val="21"/>
      <w:szCs w:val="24"/>
    </w:rPr>
  </w:style>
  <w:style w:type="character" w:customStyle="1" w:styleId="378">
    <w:name w:val="正文文本 Char1"/>
    <w:semiHidden/>
    <w:qFormat/>
    <w:uiPriority w:val="99"/>
    <w:rPr>
      <w:rFonts w:ascii="Verdana" w:hAnsi="Verdana"/>
      <w:kern w:val="2"/>
      <w:sz w:val="21"/>
      <w:szCs w:val="24"/>
    </w:rPr>
  </w:style>
  <w:style w:type="character" w:customStyle="1" w:styleId="379">
    <w:name w:val="Char Char10"/>
    <w:qFormat/>
    <w:uiPriority w:val="0"/>
    <w:rPr>
      <w:rFonts w:eastAsia="Times New Roman"/>
      <w:kern w:val="2"/>
      <w:sz w:val="18"/>
      <w:lang w:val="en-US" w:eastAsia="zh-CN"/>
    </w:rPr>
  </w:style>
  <w:style w:type="character" w:customStyle="1" w:styleId="380">
    <w:name w:val="ca-3"/>
    <w:basedOn w:val="57"/>
    <w:qFormat/>
    <w:uiPriority w:val="0"/>
  </w:style>
  <w:style w:type="character" w:customStyle="1" w:styleId="381">
    <w:name w:val="标题 1 Char Char"/>
    <w:qFormat/>
    <w:uiPriority w:val="0"/>
    <w:rPr>
      <w:rFonts w:eastAsia="Courier New"/>
      <w:b/>
      <w:bCs/>
      <w:kern w:val="44"/>
      <w:sz w:val="44"/>
      <w:szCs w:val="44"/>
      <w:lang w:val="en-US" w:eastAsia="zh-CN" w:bidi="ar-SA"/>
    </w:rPr>
  </w:style>
  <w:style w:type="character" w:customStyle="1" w:styleId="382">
    <w:name w:val="p1"/>
    <w:basedOn w:val="57"/>
    <w:qFormat/>
    <w:uiPriority w:val="0"/>
  </w:style>
  <w:style w:type="character" w:customStyle="1" w:styleId="383">
    <w:name w:val="ca-5"/>
    <w:basedOn w:val="57"/>
    <w:qFormat/>
    <w:uiPriority w:val="0"/>
  </w:style>
  <w:style w:type="character" w:customStyle="1" w:styleId="384">
    <w:name w:val="正文文本 2 Char2"/>
    <w:qFormat/>
    <w:uiPriority w:val="0"/>
    <w:rPr>
      <w:rFonts w:ascii="Verdana" w:hAnsi="Verdana" w:eastAsia="@宋体" w:cs="Verdana"/>
      <w:sz w:val="24"/>
      <w:szCs w:val="24"/>
    </w:rPr>
  </w:style>
  <w:style w:type="character" w:customStyle="1" w:styleId="385">
    <w:name w:val="Heading 1 Char"/>
    <w:qFormat/>
    <w:uiPriority w:val="0"/>
    <w:rPr>
      <w:rFonts w:ascii="Calibri" w:hAnsi="Calibri" w:eastAsia="宋体"/>
      <w:b/>
      <w:bCs/>
      <w:kern w:val="44"/>
      <w:sz w:val="44"/>
      <w:szCs w:val="44"/>
      <w:lang w:val="en-US" w:eastAsia="zh-CN" w:bidi="ar-SA"/>
    </w:rPr>
  </w:style>
  <w:style w:type="character" w:customStyle="1" w:styleId="386">
    <w:name w:val="marklong"/>
    <w:basedOn w:val="57"/>
    <w:qFormat/>
    <w:uiPriority w:val="0"/>
  </w:style>
  <w:style w:type="character" w:customStyle="1" w:styleId="387">
    <w:name w:val="标题 4 字符"/>
    <w:qFormat/>
    <w:uiPriority w:val="9"/>
    <w:rPr>
      <w:rFonts w:ascii="Verdana" w:hAnsi="Verdana" w:eastAsia="Ђˎ̥" w:cs="Verdana"/>
      <w:kern w:val="0"/>
      <w:sz w:val="28"/>
      <w:szCs w:val="20"/>
    </w:rPr>
  </w:style>
  <w:style w:type="character" w:customStyle="1" w:styleId="388">
    <w:name w:val="纯文本 Char Char"/>
    <w:qFormat/>
    <w:uiPriority w:val="0"/>
    <w:rPr>
      <w:rFonts w:ascii="Ђˎ̥" w:hAnsi="Verdana" w:eastAsia="Ђˎ̥" w:cs="Verdana"/>
      <w:szCs w:val="21"/>
    </w:rPr>
  </w:style>
  <w:style w:type="character" w:customStyle="1" w:styleId="389">
    <w:name w:val="纯文本 Char2"/>
    <w:qFormat/>
    <w:uiPriority w:val="99"/>
    <w:rPr>
      <w:rFonts w:ascii="Segoe UI Symbol" w:hAnsi="Courier New"/>
      <w:kern w:val="2"/>
      <w:sz w:val="21"/>
      <w:szCs w:val="24"/>
    </w:rPr>
  </w:style>
  <w:style w:type="character" w:customStyle="1" w:styleId="390">
    <w:name w:val="页脚 Char Char"/>
    <w:qFormat/>
    <w:uiPriority w:val="0"/>
    <w:rPr>
      <w:rFonts w:eastAsia="Courier New"/>
      <w:sz w:val="18"/>
      <w:szCs w:val="18"/>
      <w:lang w:bidi="ar-SA"/>
    </w:rPr>
  </w:style>
  <w:style w:type="character" w:customStyle="1" w:styleId="391">
    <w:name w:val="正文文本缩进 字符"/>
    <w:qFormat/>
    <w:uiPriority w:val="99"/>
    <w:rPr>
      <w:rFonts w:ascii="Ђˎ̥" w:hAnsi="Verdana" w:eastAsia="Ђˎ̥" w:cs="Verdana"/>
      <w:sz w:val="32"/>
      <w:szCs w:val="20"/>
    </w:rPr>
  </w:style>
  <w:style w:type="character" w:customStyle="1" w:styleId="392">
    <w:name w:val="Header Char"/>
    <w:qFormat/>
    <w:uiPriority w:val="0"/>
    <w:rPr>
      <w:rFonts w:ascii="Calibri" w:hAnsi="Calibri" w:eastAsia="宋体"/>
      <w:kern w:val="2"/>
      <w:sz w:val="18"/>
      <w:szCs w:val="18"/>
      <w:lang w:val="en-US" w:eastAsia="zh-CN" w:bidi="ar-SA"/>
    </w:rPr>
  </w:style>
  <w:style w:type="character" w:customStyle="1" w:styleId="393">
    <w:name w:val="标题 3 字符"/>
    <w:qFormat/>
    <w:uiPriority w:val="9"/>
    <w:rPr>
      <w:rFonts w:ascii="Verdana" w:hAnsi="Verdana" w:eastAsia="Ђˎ̥" w:cs="Verdana"/>
      <w:b/>
      <w:bCs/>
      <w:sz w:val="32"/>
      <w:szCs w:val="32"/>
    </w:rPr>
  </w:style>
  <w:style w:type="character" w:customStyle="1" w:styleId="394">
    <w:name w:val="列出段落 字符"/>
    <w:qFormat/>
    <w:uiPriority w:val="34"/>
    <w:rPr>
      <w:rFonts w:eastAsia="仿宋"/>
      <w:kern w:val="2"/>
      <w:sz w:val="32"/>
      <w:szCs w:val="22"/>
    </w:rPr>
  </w:style>
  <w:style w:type="character" w:customStyle="1" w:styleId="395">
    <w:name w:val="标题 4 Char Char"/>
    <w:qFormat/>
    <w:uiPriority w:val="0"/>
    <w:rPr>
      <w:rFonts w:ascii="@宋体" w:hAnsi="@宋体" w:eastAsia="Symbol"/>
      <w:b/>
      <w:sz w:val="28"/>
      <w:lang w:val="en-US" w:eastAsia="zh-CN" w:bidi="ar-SA"/>
    </w:rPr>
  </w:style>
  <w:style w:type="character" w:customStyle="1" w:styleId="396">
    <w:name w:val="Balloon Text Char"/>
    <w:qFormat/>
    <w:uiPriority w:val="0"/>
    <w:rPr>
      <w:rFonts w:eastAsia="宋体"/>
      <w:kern w:val="2"/>
      <w:sz w:val="18"/>
      <w:szCs w:val="18"/>
      <w:lang w:val="en-US" w:eastAsia="zh-CN" w:bidi="ar-SA"/>
    </w:rPr>
  </w:style>
  <w:style w:type="character" w:customStyle="1" w:styleId="397">
    <w:name w:val="ca-7"/>
    <w:basedOn w:val="57"/>
    <w:qFormat/>
    <w:uiPriority w:val="0"/>
  </w:style>
  <w:style w:type="character" w:customStyle="1" w:styleId="398">
    <w:name w:val="HTML 预设格式 字符"/>
    <w:qFormat/>
    <w:uiPriority w:val="99"/>
    <w:rPr>
      <w:rFonts w:ascii="Verdana" w:hAnsi="Verdana" w:cs="Verdana"/>
      <w:sz w:val="24"/>
      <w:szCs w:val="24"/>
    </w:rPr>
  </w:style>
  <w:style w:type="character" w:customStyle="1" w:styleId="399">
    <w:name w:val="16"/>
    <w:qFormat/>
    <w:uiPriority w:val="0"/>
    <w:rPr>
      <w:rFonts w:hint="default" w:ascii="Times New Roman" w:hAnsi="Times New Roman" w:cs="Times New Roman"/>
      <w:color w:val="0000FF"/>
      <w:u w:val="single"/>
    </w:rPr>
  </w:style>
  <w:style w:type="character" w:customStyle="1" w:styleId="400">
    <w:name w:val="标题 9 字符"/>
    <w:qFormat/>
    <w:uiPriority w:val="0"/>
    <w:rPr>
      <w:rFonts w:ascii="Verdana" w:hAnsi="Verdana"/>
      <w:kern w:val="2"/>
      <w:sz w:val="21"/>
      <w:szCs w:val="24"/>
    </w:rPr>
  </w:style>
  <w:style w:type="character" w:customStyle="1" w:styleId="401">
    <w:name w:val="标题 7 Char Char"/>
    <w:qFormat/>
    <w:uiPriority w:val="0"/>
    <w:rPr>
      <w:rFonts w:eastAsia="Courier New"/>
      <w:b/>
      <w:kern w:val="2"/>
      <w:sz w:val="24"/>
      <w:szCs w:val="24"/>
      <w:lang w:val="en-US" w:eastAsia="zh-CN" w:bidi="ar-SA"/>
    </w:rPr>
  </w:style>
  <w:style w:type="character" w:customStyle="1" w:styleId="402">
    <w:name w:val="标题 字符"/>
    <w:qFormat/>
    <w:uiPriority w:val="0"/>
    <w:rPr>
      <w:rFonts w:ascii="Verdana" w:hAnsi="Verdana" w:eastAsia="宋体" w:cs="Verdana"/>
      <w:b/>
      <w:bCs/>
      <w:kern w:val="2"/>
      <w:sz w:val="32"/>
      <w:szCs w:val="32"/>
      <w:lang w:val="en-US" w:eastAsia="zh-CN" w:bidi="ar-SA"/>
    </w:rPr>
  </w:style>
  <w:style w:type="character" w:customStyle="1" w:styleId="403">
    <w:name w:val="日期 Char Char"/>
    <w:qFormat/>
    <w:uiPriority w:val="0"/>
    <w:rPr>
      <w:rFonts w:ascii="Courier New" w:hAnsi="Segoe UI Symbol" w:eastAsia="Courier New"/>
      <w:szCs w:val="21"/>
      <w:lang w:bidi="ar-SA"/>
    </w:rPr>
  </w:style>
  <w:style w:type="character" w:customStyle="1" w:styleId="404">
    <w:name w:val="文档结构图 Char1"/>
    <w:qFormat/>
    <w:uiPriority w:val="0"/>
    <w:rPr>
      <w:rFonts w:ascii="@宋体" w:hAnsi="Verdana" w:eastAsia="@宋体" w:cs="Verdana"/>
      <w:sz w:val="18"/>
      <w:szCs w:val="18"/>
    </w:rPr>
  </w:style>
  <w:style w:type="character" w:customStyle="1" w:styleId="405">
    <w:name w:val="标题 8 Char Char"/>
    <w:qFormat/>
    <w:uiPriority w:val="0"/>
    <w:rPr>
      <w:rFonts w:ascii="@宋体" w:hAnsi="@宋体" w:eastAsia="Symbol"/>
      <w:kern w:val="2"/>
      <w:sz w:val="24"/>
      <w:szCs w:val="24"/>
      <w:lang w:val="en-US" w:eastAsia="zh-CN" w:bidi="ar-SA"/>
    </w:rPr>
  </w:style>
  <w:style w:type="character" w:customStyle="1" w:styleId="406">
    <w:name w:val="ca-231"/>
    <w:qFormat/>
    <w:uiPriority w:val="0"/>
    <w:rPr>
      <w:rFonts w:hint="eastAsia" w:ascii="Ђˎ̥" w:hAnsi="Ђˎ̥" w:eastAsia="Ђˎ̥"/>
      <w:spacing w:val="0"/>
      <w:sz w:val="21"/>
      <w:szCs w:val="21"/>
    </w:rPr>
  </w:style>
  <w:style w:type="character" w:customStyle="1" w:styleId="407">
    <w:name w:val="font41"/>
    <w:qFormat/>
    <w:uiPriority w:val="0"/>
    <w:rPr>
      <w:rFonts w:hint="eastAsia" w:ascii="黑体" w:hAnsi="宋体" w:eastAsia="黑体" w:cs="黑体"/>
      <w:color w:val="000000"/>
      <w:sz w:val="18"/>
      <w:szCs w:val="18"/>
      <w:u w:val="none"/>
    </w:rPr>
  </w:style>
  <w:style w:type="character" w:customStyle="1" w:styleId="408">
    <w:name w:val="页眉 Char1"/>
    <w:qFormat/>
    <w:uiPriority w:val="0"/>
    <w:rPr>
      <w:rFonts w:ascii="Verdana" w:hAnsi="Verdana"/>
      <w:kern w:val="2"/>
      <w:sz w:val="18"/>
      <w:szCs w:val="18"/>
    </w:rPr>
  </w:style>
  <w:style w:type="character" w:customStyle="1" w:styleId="409">
    <w:name w:val="链接"/>
    <w:qFormat/>
    <w:uiPriority w:val="0"/>
    <w:rPr>
      <w:rFonts w:ascii="Verdana" w:eastAsia="Ђˎ̥"/>
      <w:color w:val="0000FF"/>
      <w:sz w:val="21"/>
      <w:u w:val="single" w:color="0000FF"/>
      <w:vertAlign w:val="baseline"/>
      <w:lang w:val="en-US" w:eastAsia="zh-CN"/>
    </w:rPr>
  </w:style>
  <w:style w:type="character" w:customStyle="1" w:styleId="410">
    <w:name w:val="页脚 字符1"/>
    <w:qFormat/>
    <w:uiPriority w:val="99"/>
    <w:rPr>
      <w:rFonts w:ascii="Verdana" w:hAnsi="Verdana" w:eastAsia="Ђˎ̥" w:cs="Verdana"/>
      <w:sz w:val="18"/>
      <w:szCs w:val="18"/>
    </w:rPr>
  </w:style>
  <w:style w:type="character" w:customStyle="1" w:styleId="411">
    <w:name w:val="正文文本缩进 Char2"/>
    <w:qFormat/>
    <w:uiPriority w:val="0"/>
    <w:rPr>
      <w:rFonts w:ascii="Verdana" w:hAnsi="Verdana" w:eastAsia="@宋体" w:cs="Verdana"/>
      <w:sz w:val="24"/>
      <w:szCs w:val="24"/>
    </w:rPr>
  </w:style>
  <w:style w:type="character" w:customStyle="1" w:styleId="412">
    <w:name w:val="param-value"/>
    <w:qFormat/>
    <w:uiPriority w:val="0"/>
  </w:style>
  <w:style w:type="character" w:customStyle="1" w:styleId="413">
    <w:name w:val="apple-converted-space"/>
    <w:basedOn w:val="57"/>
    <w:qFormat/>
    <w:uiPriority w:val="0"/>
  </w:style>
  <w:style w:type="character" w:customStyle="1" w:styleId="414">
    <w:name w:val="Char Char101"/>
    <w:qFormat/>
    <w:uiPriority w:val="0"/>
    <w:rPr>
      <w:rFonts w:eastAsia="Verdana"/>
      <w:kern w:val="2"/>
      <w:sz w:val="18"/>
      <w:szCs w:val="18"/>
      <w:lang w:val="en-US" w:eastAsia="zh-CN" w:bidi="ar-SA"/>
    </w:rPr>
  </w:style>
  <w:style w:type="character" w:customStyle="1" w:styleId="415">
    <w:name w:val="页眉 字符"/>
    <w:qFormat/>
    <w:uiPriority w:val="99"/>
    <w:rPr>
      <w:rFonts w:eastAsia="Ђˎ̥"/>
      <w:kern w:val="2"/>
      <w:sz w:val="18"/>
      <w:szCs w:val="18"/>
      <w:u w:val="single"/>
      <w:lang w:val="en-US" w:eastAsia="zh-CN" w:bidi="ar-SA"/>
    </w:rPr>
  </w:style>
  <w:style w:type="character" w:customStyle="1" w:styleId="416">
    <w:name w:val="Roberto Belicchi"/>
    <w:qFormat/>
    <w:uiPriority w:val="0"/>
    <w:rPr>
      <w:rFonts w:ascii="Ђˎ̥" w:hAnsi="Ђˎ̥" w:cs="Ђˎ̥"/>
      <w:color w:val="000000"/>
      <w:sz w:val="20"/>
    </w:rPr>
  </w:style>
  <w:style w:type="character" w:customStyle="1" w:styleId="417">
    <w:name w:val="批注文字 Char Char"/>
    <w:qFormat/>
    <w:uiPriority w:val="0"/>
    <w:rPr>
      <w:rFonts w:eastAsia="Courier New"/>
      <w:kern w:val="2"/>
      <w:sz w:val="21"/>
      <w:szCs w:val="24"/>
      <w:lang w:val="en-US" w:eastAsia="zh-CN" w:bidi="ar-SA"/>
    </w:rPr>
  </w:style>
  <w:style w:type="character" w:customStyle="1" w:styleId="418">
    <w:name w:val="标题 7 字符"/>
    <w:qFormat/>
    <w:uiPriority w:val="9"/>
    <w:rPr>
      <w:rFonts w:ascii="Verdana" w:hAnsi="Verdana" w:eastAsia="Courier New"/>
      <w:b/>
      <w:kern w:val="2"/>
      <w:sz w:val="24"/>
      <w:szCs w:val="24"/>
    </w:rPr>
  </w:style>
  <w:style w:type="character" w:customStyle="1" w:styleId="419">
    <w:name w:val="副标题 字符"/>
    <w:qFormat/>
    <w:uiPriority w:val="0"/>
    <w:rPr>
      <w:rFonts w:ascii="Cambria" w:hAnsi="Cambria"/>
      <w:b/>
      <w:bCs/>
      <w:kern w:val="28"/>
      <w:sz w:val="32"/>
      <w:szCs w:val="32"/>
      <w:lang w:bidi="ar-SA"/>
    </w:rPr>
  </w:style>
  <w:style w:type="character" w:customStyle="1" w:styleId="420">
    <w:name w:val="正文文本缩进 2 Char2"/>
    <w:qFormat/>
    <w:uiPriority w:val="0"/>
    <w:rPr>
      <w:rFonts w:ascii="Verdana" w:hAnsi="Verdana" w:eastAsia="@宋体" w:cs="Verdana"/>
      <w:sz w:val="24"/>
      <w:szCs w:val="24"/>
    </w:rPr>
  </w:style>
  <w:style w:type="character" w:customStyle="1" w:styleId="421">
    <w:name w:val="Document Map Char"/>
    <w:qFormat/>
    <w:uiPriority w:val="0"/>
    <w:rPr>
      <w:rFonts w:ascii="宋体" w:hAnsi="Calibri" w:eastAsia="宋体"/>
      <w:kern w:val="2"/>
      <w:sz w:val="18"/>
      <w:szCs w:val="18"/>
      <w:lang w:val="en-US" w:eastAsia="zh-CN" w:bidi="ar-SA"/>
    </w:rPr>
  </w:style>
  <w:style w:type="character" w:customStyle="1" w:styleId="422">
    <w:name w:val="ca-11"/>
    <w:basedOn w:val="57"/>
    <w:qFormat/>
    <w:uiPriority w:val="0"/>
  </w:style>
  <w:style w:type="character" w:customStyle="1" w:styleId="423">
    <w:name w:val="纯文本 Char3"/>
    <w:qFormat/>
    <w:uiPriority w:val="0"/>
    <w:rPr>
      <w:rFonts w:ascii="Ђˎ̥" w:hAnsi="Verdana" w:eastAsia="Ђˎ̥" w:cs="Verdana"/>
      <w:szCs w:val="21"/>
    </w:rPr>
  </w:style>
  <w:style w:type="character" w:customStyle="1" w:styleId="424">
    <w:name w:val="ca-6"/>
    <w:basedOn w:val="57"/>
    <w:qFormat/>
    <w:uiPriority w:val="0"/>
  </w:style>
  <w:style w:type="character" w:customStyle="1" w:styleId="425">
    <w:name w:val="正文文本缩进 2 Char Char"/>
    <w:qFormat/>
    <w:uiPriority w:val="0"/>
    <w:rPr>
      <w:rFonts w:eastAsia="Courier New"/>
      <w:sz w:val="32"/>
      <w:lang w:bidi="ar-SA"/>
    </w:rPr>
  </w:style>
  <w:style w:type="character" w:customStyle="1" w:styleId="426">
    <w:name w:val="Heading 2 Char"/>
    <w:qFormat/>
    <w:uiPriority w:val="0"/>
    <w:rPr>
      <w:rFonts w:ascii="Courier New" w:hAnsi="Courier New" w:eastAsia="Verdana"/>
      <w:b/>
      <w:bCs/>
      <w:kern w:val="2"/>
      <w:sz w:val="28"/>
      <w:szCs w:val="32"/>
      <w:lang w:val="en-US" w:eastAsia="zh-CN" w:bidi="ar-SA"/>
    </w:rPr>
  </w:style>
  <w:style w:type="character" w:customStyle="1" w:styleId="427">
    <w:name w:val="页眉 Char2"/>
    <w:qFormat/>
    <w:uiPriority w:val="0"/>
    <w:rPr>
      <w:rFonts w:ascii="Verdana" w:hAnsi="Verdana" w:eastAsia="@宋体" w:cs="Verdana"/>
      <w:sz w:val="18"/>
      <w:szCs w:val="18"/>
    </w:rPr>
  </w:style>
  <w:style w:type="character" w:customStyle="1" w:styleId="428">
    <w:name w:val="ca-14"/>
    <w:basedOn w:val="57"/>
    <w:qFormat/>
    <w:uiPriority w:val="0"/>
  </w:style>
  <w:style w:type="character" w:customStyle="1" w:styleId="429">
    <w:name w:val="页眉 Char Char"/>
    <w:qFormat/>
    <w:uiPriority w:val="0"/>
    <w:rPr>
      <w:rFonts w:eastAsia="Courier New"/>
      <w:sz w:val="18"/>
      <w:szCs w:val="18"/>
      <w:lang w:bidi="ar-SA"/>
    </w:rPr>
  </w:style>
  <w:style w:type="character" w:customStyle="1" w:styleId="430">
    <w:name w:val="fontstyle01"/>
    <w:qFormat/>
    <w:uiPriority w:val="0"/>
    <w:rPr>
      <w:rFonts w:hint="eastAsia" w:ascii="宋体" w:hAnsi="宋体" w:eastAsia="宋体"/>
      <w:color w:val="000000"/>
      <w:sz w:val="44"/>
      <w:szCs w:val="44"/>
    </w:rPr>
  </w:style>
  <w:style w:type="character" w:customStyle="1" w:styleId="431">
    <w:name w:val="纯文本 Char4"/>
    <w:semiHidden/>
    <w:qFormat/>
    <w:uiPriority w:val="99"/>
    <w:rPr>
      <w:rFonts w:ascii="宋体" w:hAnsi="Courier New" w:cs="Courier New"/>
      <w:kern w:val="2"/>
      <w:sz w:val="21"/>
      <w:szCs w:val="21"/>
    </w:rPr>
  </w:style>
  <w:style w:type="character" w:customStyle="1" w:styleId="432">
    <w:name w:val="彩色列表 - 着色 1 字符"/>
    <w:qFormat/>
    <w:uiPriority w:val="34"/>
    <w:rPr>
      <w:rFonts w:ascii="Calibri" w:hAnsi="Calibri"/>
      <w:kern w:val="2"/>
      <w:sz w:val="21"/>
      <w:szCs w:val="22"/>
    </w:rPr>
  </w:style>
  <w:style w:type="character" w:customStyle="1" w:styleId="433">
    <w:name w:val="Char Char13"/>
    <w:qFormat/>
    <w:uiPriority w:val="0"/>
    <w:rPr>
      <w:rFonts w:eastAsia="Verdana"/>
      <w:b/>
      <w:bCs/>
      <w:kern w:val="44"/>
      <w:sz w:val="44"/>
      <w:szCs w:val="44"/>
      <w:lang w:val="en-US" w:eastAsia="zh-CN" w:bidi="ar-SA"/>
    </w:rPr>
  </w:style>
  <w:style w:type="character" w:customStyle="1" w:styleId="434">
    <w:name w:val="Comment Text Char"/>
    <w:qFormat/>
    <w:uiPriority w:val="0"/>
    <w:rPr>
      <w:rFonts w:eastAsia="宋体"/>
      <w:kern w:val="2"/>
      <w:sz w:val="21"/>
      <w:lang w:val="en-US" w:eastAsia="zh-CN" w:bidi="ar-SA"/>
    </w:rPr>
  </w:style>
  <w:style w:type="character" w:customStyle="1" w:styleId="435">
    <w:name w:val="product_title_name"/>
    <w:basedOn w:val="57"/>
    <w:qFormat/>
    <w:uiPriority w:val="0"/>
  </w:style>
  <w:style w:type="character" w:customStyle="1" w:styleId="436">
    <w:name w:val="正文文本 2 字符"/>
    <w:qFormat/>
    <w:uiPriority w:val="99"/>
    <w:rPr>
      <w:rFonts w:ascii="Verdana" w:hAnsi="Verdana" w:eastAsia="Ђˎ̥" w:cs="Verdana"/>
      <w:szCs w:val="24"/>
    </w:rPr>
  </w:style>
  <w:style w:type="character" w:customStyle="1" w:styleId="437">
    <w:name w:val="正文文本 3 Char Char"/>
    <w:qFormat/>
    <w:uiPriority w:val="0"/>
    <w:rPr>
      <w:rFonts w:eastAsia="Courier New"/>
      <w:b/>
      <w:bCs/>
      <w:sz w:val="24"/>
      <w:szCs w:val="24"/>
      <w:lang w:bidi="ar-SA"/>
    </w:rPr>
  </w:style>
  <w:style w:type="character" w:customStyle="1" w:styleId="438">
    <w:name w:val="正文首行缩进 2 字符"/>
    <w:qFormat/>
    <w:uiPriority w:val="0"/>
    <w:rPr>
      <w:rFonts w:ascii="Verdana" w:hAnsi="宋体"/>
      <w:kern w:val="2"/>
      <w:sz w:val="21"/>
      <w:szCs w:val="24"/>
    </w:rPr>
  </w:style>
  <w:style w:type="character" w:customStyle="1" w:styleId="439">
    <w:name w:val="批注框文本 字符"/>
    <w:qFormat/>
    <w:uiPriority w:val="99"/>
    <w:rPr>
      <w:rFonts w:ascii="Verdana" w:hAnsi="Verdana" w:eastAsia="Ђˎ̥" w:cs="Verdana"/>
      <w:sz w:val="18"/>
      <w:szCs w:val="18"/>
    </w:rPr>
  </w:style>
  <w:style w:type="character" w:customStyle="1" w:styleId="440">
    <w:name w:val="题注 字符"/>
    <w:qFormat/>
    <w:uiPriority w:val="0"/>
    <w:rPr>
      <w:rFonts w:ascii="Verdana" w:hAnsi="Verdana" w:eastAsia="Ђˎ̥" w:cs="Verdana"/>
      <w:kern w:val="2"/>
    </w:rPr>
  </w:style>
  <w:style w:type="character" w:customStyle="1" w:styleId="441">
    <w:name w:val="HTML 预设格式 Char1"/>
    <w:semiHidden/>
    <w:qFormat/>
    <w:uiPriority w:val="99"/>
    <w:rPr>
      <w:rFonts w:ascii="Courier New" w:hAnsi="Courier New" w:cs="Courier New"/>
      <w:kern w:val="2"/>
    </w:rPr>
  </w:style>
  <w:style w:type="character" w:customStyle="1" w:styleId="442">
    <w:name w:val="页脚 字符"/>
    <w:qFormat/>
    <w:uiPriority w:val="99"/>
    <w:rPr>
      <w:kern w:val="2"/>
      <w:sz w:val="18"/>
      <w:szCs w:val="18"/>
    </w:rPr>
  </w:style>
  <w:style w:type="character" w:customStyle="1" w:styleId="443">
    <w:name w:val="批注框文本 Char2"/>
    <w:semiHidden/>
    <w:qFormat/>
    <w:uiPriority w:val="99"/>
    <w:rPr>
      <w:rFonts w:ascii="Verdana" w:hAnsi="Verdana"/>
      <w:kern w:val="2"/>
      <w:sz w:val="18"/>
      <w:szCs w:val="18"/>
    </w:rPr>
  </w:style>
  <w:style w:type="character" w:customStyle="1" w:styleId="444">
    <w:name w:val="ca-12"/>
    <w:basedOn w:val="57"/>
    <w:qFormat/>
    <w:uiPriority w:val="0"/>
  </w:style>
  <w:style w:type="character" w:customStyle="1" w:styleId="445">
    <w:name w:val="正文文本缩进 3 Char Char"/>
    <w:qFormat/>
    <w:uiPriority w:val="0"/>
    <w:rPr>
      <w:rFonts w:eastAsia="Courier New"/>
      <w:sz w:val="16"/>
      <w:szCs w:val="16"/>
      <w:lang w:bidi="ar-SA"/>
    </w:rPr>
  </w:style>
  <w:style w:type="character" w:customStyle="1" w:styleId="446">
    <w:name w:val="正文文本 3 Char2"/>
    <w:qFormat/>
    <w:uiPriority w:val="0"/>
    <w:rPr>
      <w:rFonts w:ascii="Verdana" w:hAnsi="Verdana" w:eastAsia="@宋体" w:cs="Verdana"/>
      <w:sz w:val="16"/>
      <w:szCs w:val="16"/>
    </w:rPr>
  </w:style>
  <w:style w:type="character" w:customStyle="1" w:styleId="447">
    <w:name w:val="正文文本缩进 2 字符"/>
    <w:qFormat/>
    <w:uiPriority w:val="99"/>
    <w:rPr>
      <w:rFonts w:ascii="Verdana" w:hAnsi="Verdana" w:eastAsia="Ђˎ̥" w:cs="Verdana"/>
      <w:sz w:val="32"/>
      <w:szCs w:val="20"/>
    </w:rPr>
  </w:style>
  <w:style w:type="character" w:customStyle="1" w:styleId="448">
    <w:name w:val="批注框文本 Char1"/>
    <w:qFormat/>
    <w:uiPriority w:val="0"/>
    <w:rPr>
      <w:rFonts w:ascii="Verdana" w:hAnsi="Verdana" w:eastAsia="@宋体" w:cs="Verdana"/>
      <w:sz w:val="18"/>
      <w:szCs w:val="18"/>
    </w:rPr>
  </w:style>
  <w:style w:type="character" w:customStyle="1" w:styleId="449">
    <w:name w:val="ca-2"/>
    <w:basedOn w:val="57"/>
    <w:qFormat/>
    <w:uiPriority w:val="0"/>
  </w:style>
  <w:style w:type="character" w:customStyle="1" w:styleId="450">
    <w:name w:val="正文文本缩进 3 Char1"/>
    <w:semiHidden/>
    <w:qFormat/>
    <w:uiPriority w:val="99"/>
    <w:rPr>
      <w:rFonts w:ascii="Verdana" w:hAnsi="Verdana"/>
      <w:kern w:val="2"/>
      <w:sz w:val="16"/>
      <w:szCs w:val="16"/>
    </w:rPr>
  </w:style>
  <w:style w:type="character" w:customStyle="1" w:styleId="451">
    <w:name w:val="页脚 Char1"/>
    <w:qFormat/>
    <w:uiPriority w:val="0"/>
    <w:rPr>
      <w:rFonts w:ascii="Verdana" w:hAnsi="Verdana"/>
      <w:kern w:val="2"/>
      <w:sz w:val="18"/>
      <w:szCs w:val="18"/>
    </w:rPr>
  </w:style>
  <w:style w:type="character" w:customStyle="1" w:styleId="452">
    <w:name w:val="页脚 Char2"/>
    <w:qFormat/>
    <w:uiPriority w:val="0"/>
    <w:rPr>
      <w:rFonts w:ascii="Verdana" w:hAnsi="Verdana" w:eastAsia="@宋体" w:cs="Verdana"/>
      <w:sz w:val="18"/>
      <w:szCs w:val="18"/>
    </w:rPr>
  </w:style>
  <w:style w:type="character" w:customStyle="1" w:styleId="453">
    <w:name w:val="纯文本 字符"/>
    <w:qFormat/>
    <w:uiPriority w:val="99"/>
    <w:rPr>
      <w:rFonts w:ascii="Ђˎ̥" w:hAnsi="Verdana" w:eastAsia="Ђˎ̥" w:cs="Verdana"/>
      <w:szCs w:val="21"/>
    </w:rPr>
  </w:style>
  <w:style w:type="character" w:customStyle="1" w:styleId="454">
    <w:name w:val="日期 Char1"/>
    <w:qFormat/>
    <w:uiPriority w:val="0"/>
    <w:rPr>
      <w:rFonts w:ascii="Verdana" w:hAnsi="Verdana"/>
      <w:kern w:val="2"/>
      <w:sz w:val="21"/>
      <w:szCs w:val="24"/>
    </w:rPr>
  </w:style>
  <w:style w:type="character" w:customStyle="1" w:styleId="455">
    <w:name w:val="18h1"/>
    <w:qFormat/>
    <w:uiPriority w:val="0"/>
    <w:rPr>
      <w:color w:val="3B3B3B"/>
    </w:rPr>
  </w:style>
  <w:style w:type="character" w:customStyle="1" w:styleId="456">
    <w:name w:val="Char Char111"/>
    <w:qFormat/>
    <w:uiPriority w:val="0"/>
    <w:rPr>
      <w:rFonts w:ascii="Verdana" w:hAnsi="Verdana" w:eastAsia="Verdana" w:cs="Verdana"/>
      <w:b/>
      <w:bCs/>
      <w:sz w:val="27"/>
      <w:szCs w:val="27"/>
      <w:lang w:val="en-US" w:eastAsia="zh-CN" w:bidi="ar-SA"/>
    </w:rPr>
  </w:style>
  <w:style w:type="character" w:customStyle="1" w:styleId="457">
    <w:name w:val="apple-style-span"/>
    <w:basedOn w:val="57"/>
    <w:qFormat/>
    <w:uiPriority w:val="0"/>
  </w:style>
  <w:style w:type="character" w:customStyle="1" w:styleId="458">
    <w:name w:val="ca-16"/>
    <w:basedOn w:val="57"/>
    <w:qFormat/>
    <w:uiPriority w:val="0"/>
  </w:style>
  <w:style w:type="character" w:customStyle="1" w:styleId="459">
    <w:name w:val="标题 9 Char Char"/>
    <w:qFormat/>
    <w:uiPriority w:val="0"/>
    <w:rPr>
      <w:rFonts w:ascii="@宋体" w:hAnsi="@宋体" w:eastAsia="Symbol"/>
      <w:kern w:val="2"/>
      <w:sz w:val="21"/>
      <w:szCs w:val="24"/>
      <w:lang w:val="en-US" w:eastAsia="zh-CN" w:bidi="ar-SA"/>
    </w:rPr>
  </w:style>
  <w:style w:type="character" w:customStyle="1" w:styleId="460">
    <w:name w:val="Footer Char"/>
    <w:qFormat/>
    <w:uiPriority w:val="0"/>
    <w:rPr>
      <w:rFonts w:ascii="Calibri" w:hAnsi="Calibri" w:eastAsia="宋体"/>
      <w:kern w:val="2"/>
      <w:sz w:val="18"/>
      <w:szCs w:val="18"/>
      <w:lang w:val="en-US" w:eastAsia="zh-CN" w:bidi="ar-SA"/>
    </w:rPr>
  </w:style>
  <w:style w:type="character" w:customStyle="1" w:styleId="461">
    <w:name w:val="日期 字符"/>
    <w:qFormat/>
    <w:uiPriority w:val="99"/>
    <w:rPr>
      <w:rFonts w:ascii="Ђˎ̥" w:hAnsi="Verdana" w:eastAsia="Ђˎ̥" w:cs="Verdana"/>
      <w:szCs w:val="21"/>
    </w:rPr>
  </w:style>
  <w:style w:type="character" w:customStyle="1" w:styleId="462">
    <w:name w:val="标题 5 Char Char"/>
    <w:qFormat/>
    <w:uiPriority w:val="0"/>
    <w:rPr>
      <w:rFonts w:eastAsia="Courier New"/>
      <w:b/>
      <w:kern w:val="2"/>
      <w:sz w:val="28"/>
      <w:szCs w:val="24"/>
      <w:lang w:val="en-US" w:eastAsia="zh-CN" w:bidi="ar-SA"/>
    </w:rPr>
  </w:style>
  <w:style w:type="character" w:customStyle="1" w:styleId="463">
    <w:name w:val="正文文本 2 Char Char"/>
    <w:qFormat/>
    <w:uiPriority w:val="0"/>
    <w:rPr>
      <w:rFonts w:eastAsia="Courier New"/>
      <w:szCs w:val="24"/>
      <w:lang w:bidi="ar-SA"/>
    </w:rPr>
  </w:style>
  <w:style w:type="character" w:customStyle="1" w:styleId="464">
    <w:name w:val="p141"/>
    <w:qFormat/>
    <w:uiPriority w:val="0"/>
    <w:rPr>
      <w:sz w:val="21"/>
      <w:szCs w:val="21"/>
    </w:rPr>
  </w:style>
  <w:style w:type="character" w:customStyle="1" w:styleId="465">
    <w:name w:val="标题 8 字符"/>
    <w:qFormat/>
    <w:uiPriority w:val="0"/>
    <w:rPr>
      <w:rFonts w:ascii="Verdana" w:hAnsi="Verdana"/>
      <w:kern w:val="2"/>
      <w:sz w:val="24"/>
      <w:szCs w:val="24"/>
    </w:rPr>
  </w:style>
  <w:style w:type="character" w:customStyle="1" w:styleId="466">
    <w:name w:val="tdtwolines"/>
    <w:basedOn w:val="57"/>
    <w:qFormat/>
    <w:uiPriority w:val="0"/>
  </w:style>
  <w:style w:type="character" w:customStyle="1" w:styleId="467">
    <w:name w:val="标题 1 Char"/>
    <w:qFormat/>
    <w:uiPriority w:val="99"/>
    <w:rPr>
      <w:rFonts w:hint="default" w:ascii="Times New Roman" w:hAnsi="Times New Roman" w:eastAsia="宋体" w:cs="Times New Roman"/>
      <w:b/>
      <w:bCs/>
      <w:kern w:val="44"/>
      <w:sz w:val="44"/>
      <w:szCs w:val="44"/>
    </w:rPr>
  </w:style>
  <w:style w:type="character" w:customStyle="1" w:styleId="468">
    <w:name w:val="正文缩进 字符"/>
    <w:qFormat/>
    <w:uiPriority w:val="0"/>
    <w:rPr>
      <w:rFonts w:ascii="Verdana" w:hAnsi="Verdana"/>
      <w:kern w:val="2"/>
      <w:sz w:val="21"/>
    </w:rPr>
  </w:style>
  <w:style w:type="character" w:customStyle="1" w:styleId="469">
    <w:name w:val="18"/>
    <w:qFormat/>
    <w:uiPriority w:val="0"/>
    <w:rPr>
      <w:rFonts w:hint="default" w:ascii="Times New Roman" w:hAnsi="Times New Roman" w:cs="Times New Roman"/>
      <w:b/>
      <w:bCs/>
    </w:rPr>
  </w:style>
  <w:style w:type="character" w:customStyle="1" w:styleId="470">
    <w:name w:val="批注文字 Char1"/>
    <w:qFormat/>
    <w:uiPriority w:val="0"/>
    <w:rPr>
      <w:rFonts w:ascii="Verdana" w:hAnsi="Verdana" w:eastAsia="Times New Roman"/>
      <w:kern w:val="0"/>
      <w:sz w:val="20"/>
    </w:rPr>
  </w:style>
  <w:style w:type="character" w:customStyle="1" w:styleId="471">
    <w:name w:val="普通文字 Char Char1"/>
    <w:qFormat/>
    <w:uiPriority w:val="0"/>
    <w:rPr>
      <w:rFonts w:ascii="Segoe UI Symbol" w:eastAsia="Courier New"/>
      <w:kern w:val="2"/>
      <w:sz w:val="21"/>
      <w:szCs w:val="21"/>
      <w:lang w:val="en-US" w:eastAsia="zh-CN" w:bidi="ar-SA"/>
    </w:rPr>
  </w:style>
  <w:style w:type="character" w:customStyle="1" w:styleId="472">
    <w:name w:val="标题 Char2"/>
    <w:qFormat/>
    <w:uiPriority w:val="0"/>
    <w:rPr>
      <w:rFonts w:ascii="Cambria" w:hAnsi="Cambria" w:cs="Times New Roman"/>
      <w:b/>
      <w:bCs/>
      <w:kern w:val="2"/>
      <w:sz w:val="32"/>
      <w:szCs w:val="32"/>
    </w:rPr>
  </w:style>
  <w:style w:type="character" w:customStyle="1" w:styleId="473">
    <w:name w:val="列出段落1 Char"/>
    <w:qFormat/>
    <w:locked/>
    <w:uiPriority w:val="34"/>
    <w:rPr>
      <w:kern w:val="2"/>
      <w:sz w:val="28"/>
      <w:szCs w:val="22"/>
    </w:rPr>
  </w:style>
  <w:style w:type="character" w:customStyle="1" w:styleId="474">
    <w:name w:val="标题 2 字符"/>
    <w:qFormat/>
    <w:uiPriority w:val="9"/>
    <w:rPr>
      <w:rFonts w:ascii="Verdana" w:hAnsi="Verdana" w:eastAsia="Ђˎ̥" w:cs="Verdana"/>
      <w:b/>
      <w:bCs/>
      <w:sz w:val="32"/>
      <w:szCs w:val="32"/>
    </w:rPr>
  </w:style>
  <w:style w:type="character" w:customStyle="1" w:styleId="475">
    <w:name w:val="正文文本缩进 3 字符"/>
    <w:qFormat/>
    <w:uiPriority w:val="99"/>
    <w:rPr>
      <w:rFonts w:ascii="Verdana" w:hAnsi="Verdana" w:eastAsia="Ђˎ̥" w:cs="Verdana"/>
      <w:sz w:val="16"/>
      <w:szCs w:val="16"/>
    </w:rPr>
  </w:style>
  <w:style w:type="character" w:customStyle="1" w:styleId="476">
    <w:name w:val="正文文本缩进 2 Char1"/>
    <w:semiHidden/>
    <w:qFormat/>
    <w:uiPriority w:val="99"/>
    <w:rPr>
      <w:rFonts w:ascii="Verdana" w:hAnsi="Verdana"/>
      <w:kern w:val="2"/>
      <w:sz w:val="21"/>
      <w:szCs w:val="24"/>
    </w:rPr>
  </w:style>
  <w:style w:type="character" w:customStyle="1" w:styleId="477">
    <w:name w:val="正文首行缩进 字符"/>
    <w:qFormat/>
    <w:uiPriority w:val="0"/>
    <w:rPr>
      <w:rFonts w:ascii="宋体" w:hAnsi="Verdana" w:eastAsia="Ђˎ̥" w:cs="Verdana"/>
      <w:kern w:val="2"/>
      <w:sz w:val="21"/>
      <w:szCs w:val="24"/>
    </w:rPr>
  </w:style>
  <w:style w:type="character" w:customStyle="1" w:styleId="478">
    <w:name w:val="批注文字 字符"/>
    <w:qFormat/>
    <w:uiPriority w:val="99"/>
    <w:rPr>
      <w:rFonts w:ascii="Verdana" w:hAnsi="Verdana" w:eastAsia="Ђˎ̥" w:cs="Verdana"/>
      <w:kern w:val="0"/>
      <w:sz w:val="24"/>
      <w:szCs w:val="20"/>
    </w:rPr>
  </w:style>
  <w:style w:type="character" w:customStyle="1" w:styleId="479">
    <w:name w:val="正文文本 Char2"/>
    <w:qFormat/>
    <w:uiPriority w:val="0"/>
    <w:rPr>
      <w:rFonts w:ascii="Verdana" w:hAnsi="Verdana" w:eastAsia="@宋体" w:cs="Verdana"/>
      <w:sz w:val="24"/>
      <w:szCs w:val="24"/>
    </w:rPr>
  </w:style>
  <w:style w:type="character" w:customStyle="1" w:styleId="480">
    <w:name w:val="正文文本 3 字符"/>
    <w:qFormat/>
    <w:uiPriority w:val="99"/>
    <w:rPr>
      <w:rFonts w:ascii="Verdana" w:hAnsi="Verdana" w:eastAsia="Ђˎ̥" w:cs="Verdana"/>
      <w:b/>
      <w:bCs/>
      <w:sz w:val="24"/>
      <w:szCs w:val="24"/>
    </w:rPr>
  </w:style>
  <w:style w:type="character" w:customStyle="1" w:styleId="481">
    <w:name w:val="imc_ui_centerheaderlastnav"/>
    <w:basedOn w:val="57"/>
    <w:qFormat/>
    <w:uiPriority w:val="0"/>
  </w:style>
  <w:style w:type="character" w:customStyle="1" w:styleId="482">
    <w:name w:val="批注文字 Char2"/>
    <w:qFormat/>
    <w:uiPriority w:val="0"/>
    <w:rPr>
      <w:rFonts w:ascii="Verdana" w:hAnsi="Verdana" w:eastAsia="Ђˎ̥"/>
      <w:sz w:val="24"/>
      <w:lang w:bidi="ar-SA"/>
    </w:rPr>
  </w:style>
  <w:style w:type="character" w:customStyle="1" w:styleId="483">
    <w:name w:val="标题 6 Char Char"/>
    <w:qFormat/>
    <w:uiPriority w:val="0"/>
    <w:rPr>
      <w:rFonts w:ascii="@宋体" w:hAnsi="@宋体" w:eastAsia="Symbol"/>
      <w:b/>
      <w:kern w:val="2"/>
      <w:sz w:val="24"/>
      <w:szCs w:val="24"/>
      <w:lang w:val="en-US" w:eastAsia="zh-CN" w:bidi="ar-SA"/>
    </w:rPr>
  </w:style>
  <w:style w:type="character" w:customStyle="1" w:styleId="484">
    <w:name w:val="标题 6 字符"/>
    <w:qFormat/>
    <w:uiPriority w:val="9"/>
    <w:rPr>
      <w:rFonts w:ascii="Verdana" w:hAnsi="Verdana"/>
      <w:b/>
      <w:kern w:val="2"/>
      <w:sz w:val="24"/>
      <w:szCs w:val="24"/>
    </w:rPr>
  </w:style>
  <w:style w:type="character" w:customStyle="1" w:styleId="485">
    <w:name w:val="正文文本缩进 3 Char2"/>
    <w:qFormat/>
    <w:uiPriority w:val="0"/>
    <w:rPr>
      <w:rFonts w:ascii="Verdana" w:hAnsi="Verdana" w:eastAsia="@宋体" w:cs="Verdana"/>
      <w:sz w:val="16"/>
      <w:szCs w:val="16"/>
    </w:rPr>
  </w:style>
  <w:style w:type="character" w:customStyle="1" w:styleId="486">
    <w:name w:val="纯文本 Char1"/>
    <w:qFormat/>
    <w:uiPriority w:val="99"/>
    <w:rPr>
      <w:rFonts w:ascii="@宋体" w:hAnsi="Ђˎ̥" w:eastAsia="@宋体" w:cs="Ђˎ̥"/>
      <w:sz w:val="21"/>
      <w:szCs w:val="21"/>
    </w:rPr>
  </w:style>
  <w:style w:type="table" w:customStyle="1" w:styleId="487">
    <w:name w:val="网格型4"/>
    <w:basedOn w:val="5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le Normal"/>
    <w:qFormat/>
    <w:uiPriority w:val="0"/>
    <w:tblPr>
      <w:tblCellMar>
        <w:top w:w="0" w:type="dxa"/>
        <w:left w:w="0" w:type="dxa"/>
        <w:bottom w:w="0" w:type="dxa"/>
        <w:right w:w="0" w:type="dxa"/>
      </w:tblCellMar>
    </w:tblPr>
  </w:style>
  <w:style w:type="character" w:customStyle="1" w:styleId="489">
    <w:name w:val="fontstrikethrough"/>
    <w:basedOn w:val="57"/>
    <w:qFormat/>
    <w:uiPriority w:val="0"/>
    <w:rPr>
      <w:strike/>
    </w:rPr>
  </w:style>
  <w:style w:type="character" w:customStyle="1" w:styleId="490">
    <w:name w:val="fontborder"/>
    <w:basedOn w:val="57"/>
    <w:qFormat/>
    <w:uiPriority w:val="0"/>
    <w:rPr>
      <w:bdr w:val="single" w:color="000000" w:sz="6" w:space="0"/>
    </w:rPr>
  </w:style>
  <w:style w:type="character" w:customStyle="1" w:styleId="491">
    <w:name w:val="c-icon"/>
    <w:basedOn w:val="57"/>
    <w:qFormat/>
    <w:uiPriority w:val="0"/>
  </w:style>
  <w:style w:type="character" w:customStyle="1" w:styleId="492">
    <w:name w:val="op_dict3_lineone_result_tip"/>
    <w:basedOn w:val="57"/>
    <w:qFormat/>
    <w:uiPriority w:val="0"/>
    <w:rPr>
      <w:color w:val="999999"/>
    </w:rPr>
  </w:style>
  <w:style w:type="paragraph" w:styleId="493">
    <w:name w:val="List Paragraph"/>
    <w:basedOn w:val="1"/>
    <w:unhideWhenUsed/>
    <w:qFormat/>
    <w:uiPriority w:val="34"/>
    <w:pPr>
      <w:ind w:firstLine="420" w:firstLineChars="200"/>
    </w:pPr>
    <w:rPr>
      <w:rFonts w:ascii="Times New Roman" w:hAnsi="Times New Roman"/>
    </w:rPr>
  </w:style>
  <w:style w:type="paragraph" w:customStyle="1" w:styleId="494">
    <w:name w:val="默认段落字体 Para Char Char Char Char Char Char Char Char Char1 Char Char Char Char Char Char Char"/>
    <w:basedOn w:val="18"/>
    <w:qFormat/>
    <w:uiPriority w:val="0"/>
    <w:pPr>
      <w:shd w:val="clear" w:color="auto" w:fill="000080"/>
    </w:pPr>
    <w:rPr>
      <w:rFonts w:ascii="Cambria" w:hAnsi="Cambria"/>
      <w:kern w:val="0"/>
      <w:sz w:val="22"/>
      <w:szCs w:val="22"/>
      <w:lang w:eastAsia="en-US" w:bidi="en-US"/>
    </w:rPr>
  </w:style>
  <w:style w:type="table" w:customStyle="1" w:styleId="495">
    <w:name w:val="网格型1"/>
    <w:basedOn w:val="5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6">
    <w:name w:val="标题 2 Char1"/>
    <w:qFormat/>
    <w:locked/>
    <w:uiPriority w:val="0"/>
    <w:rPr>
      <w:rFonts w:ascii="Arial" w:hAnsi="Arial"/>
      <w:b/>
      <w:bCs/>
      <w:kern w:val="2"/>
      <w:sz w:val="32"/>
      <w:szCs w:val="32"/>
    </w:rPr>
  </w:style>
  <w:style w:type="character" w:customStyle="1" w:styleId="497">
    <w:name w:val="标题 3 Char1"/>
    <w:qFormat/>
    <w:locked/>
    <w:uiPriority w:val="99"/>
    <w:rPr>
      <w:rFonts w:ascii="Arial" w:hAnsi="Arial"/>
      <w:b/>
      <w:bCs/>
      <w:kern w:val="2"/>
      <w:sz w:val="28"/>
      <w:szCs w:val="32"/>
    </w:rPr>
  </w:style>
  <w:style w:type="character" w:customStyle="1" w:styleId="498">
    <w:name w:val="标题 4 Char1"/>
    <w:qFormat/>
    <w:locked/>
    <w:uiPriority w:val="0"/>
    <w:rPr>
      <w:rFonts w:ascii="Arial" w:hAnsi="Arial"/>
      <w:b/>
      <w:bCs/>
      <w:kern w:val="2"/>
      <w:sz w:val="28"/>
      <w:szCs w:val="28"/>
    </w:rPr>
  </w:style>
  <w:style w:type="character" w:customStyle="1" w:styleId="499">
    <w:name w:val="标题 5 Char1"/>
    <w:qFormat/>
    <w:locked/>
    <w:uiPriority w:val="0"/>
    <w:rPr>
      <w:b/>
      <w:bCs/>
      <w:kern w:val="2"/>
      <w:sz w:val="28"/>
      <w:szCs w:val="28"/>
    </w:rPr>
  </w:style>
  <w:style w:type="character" w:customStyle="1" w:styleId="500">
    <w:name w:val="标题 6 Char1"/>
    <w:qFormat/>
    <w:locked/>
    <w:uiPriority w:val="0"/>
    <w:rPr>
      <w:rFonts w:ascii="Arial" w:hAnsi="Arial" w:eastAsia="黑体"/>
      <w:b/>
      <w:bCs/>
      <w:kern w:val="2"/>
      <w:sz w:val="24"/>
      <w:szCs w:val="24"/>
    </w:rPr>
  </w:style>
  <w:style w:type="character" w:customStyle="1" w:styleId="501">
    <w:name w:val="标题 7 Char1"/>
    <w:qFormat/>
    <w:locked/>
    <w:uiPriority w:val="0"/>
    <w:rPr>
      <w:b/>
      <w:bCs/>
      <w:kern w:val="2"/>
      <w:sz w:val="24"/>
      <w:szCs w:val="24"/>
    </w:rPr>
  </w:style>
  <w:style w:type="character" w:customStyle="1" w:styleId="502">
    <w:name w:val="标题 8 Char1"/>
    <w:qFormat/>
    <w:locked/>
    <w:uiPriority w:val="0"/>
    <w:rPr>
      <w:rFonts w:ascii="Cambria" w:hAnsi="Cambria"/>
      <w:kern w:val="2"/>
      <w:sz w:val="24"/>
      <w:szCs w:val="24"/>
    </w:rPr>
  </w:style>
  <w:style w:type="character" w:customStyle="1" w:styleId="503">
    <w:name w:val="标题 9 Char1"/>
    <w:qFormat/>
    <w:locked/>
    <w:uiPriority w:val="0"/>
    <w:rPr>
      <w:rFonts w:ascii="Cambria" w:hAnsi="Cambria"/>
      <w:kern w:val="2"/>
      <w:sz w:val="21"/>
      <w:szCs w:val="21"/>
    </w:rPr>
  </w:style>
  <w:style w:type="character" w:styleId="504">
    <w:name w:val="Placeholder Text"/>
    <w:basedOn w:val="57"/>
    <w:semiHidden/>
    <w:qFormat/>
    <w:uiPriority w:val="99"/>
    <w:rPr>
      <w:color w:val="808080"/>
    </w:rPr>
  </w:style>
  <w:style w:type="character" w:customStyle="1" w:styleId="505">
    <w:name w:val="b1"/>
    <w:qFormat/>
    <w:uiPriority w:val="99"/>
    <w:rPr>
      <w:rFonts w:cs="Times New Roman"/>
      <w:b/>
      <w:bCs/>
    </w:rPr>
  </w:style>
  <w:style w:type="character" w:customStyle="1" w:styleId="506">
    <w:name w:val="rb1"/>
    <w:qFormat/>
    <w:uiPriority w:val="99"/>
    <w:rPr>
      <w:rFonts w:cs="Times New Roman"/>
      <w:b/>
      <w:bCs/>
      <w:color w:val="990000"/>
    </w:rPr>
  </w:style>
  <w:style w:type="character" w:customStyle="1" w:styleId="507">
    <w:name w:val="aui-icon"/>
    <w:qFormat/>
    <w:uiPriority w:val="99"/>
    <w:rPr>
      <w:rFonts w:cs="Times New Roman"/>
    </w:rPr>
  </w:style>
  <w:style w:type="table" w:customStyle="1" w:styleId="508">
    <w:name w:val="网格型2"/>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9">
    <w:name w:val="with-breadcrumbs"/>
    <w:qFormat/>
    <w:uiPriority w:val="99"/>
    <w:rPr>
      <w:rFonts w:cs="Times New Roman"/>
    </w:rPr>
  </w:style>
  <w:style w:type="paragraph" w:customStyle="1" w:styleId="510">
    <w:name w:val="正文-缩进"/>
    <w:link w:val="511"/>
    <w:qFormat/>
    <w:uiPriority w:val="0"/>
    <w:pPr>
      <w:spacing w:before="60" w:after="60"/>
    </w:pPr>
    <w:rPr>
      <w:rFonts w:ascii="Times New Roman" w:hAnsi="Times New Roman" w:eastAsia="宋体" w:cs="微软雅黑"/>
      <w:sz w:val="21"/>
      <w:lang w:val="en-US" w:eastAsia="zh-CN" w:bidi="ar-SA"/>
    </w:rPr>
  </w:style>
  <w:style w:type="character" w:customStyle="1" w:styleId="511">
    <w:name w:val="正文-缩进 Char"/>
    <w:link w:val="510"/>
    <w:qFormat/>
    <w:uiPriority w:val="0"/>
    <w:rPr>
      <w:rFonts w:cs="微软雅黑"/>
      <w:sz w:val="21"/>
    </w:rPr>
  </w:style>
  <w:style w:type="character" w:customStyle="1" w:styleId="512">
    <w:name w:val="一级标题 Char"/>
    <w:link w:val="513"/>
    <w:qFormat/>
    <w:uiPriority w:val="0"/>
    <w:rPr>
      <w:b/>
      <w:sz w:val="48"/>
      <w:szCs w:val="44"/>
    </w:rPr>
  </w:style>
  <w:style w:type="paragraph" w:customStyle="1" w:styleId="513">
    <w:name w:val="一级标题"/>
    <w:basedOn w:val="493"/>
    <w:link w:val="512"/>
    <w:qFormat/>
    <w:uiPriority w:val="0"/>
    <w:pPr>
      <w:numPr>
        <w:ilvl w:val="0"/>
        <w:numId w:val="1"/>
      </w:numPr>
      <w:adjustRightInd w:val="0"/>
      <w:snapToGrid w:val="0"/>
      <w:spacing w:beforeLines="100" w:afterLines="100" w:line="360" w:lineRule="auto"/>
      <w:ind w:firstLine="0" w:firstLineChars="0"/>
      <w:jc w:val="left"/>
      <w:outlineLvl w:val="0"/>
    </w:pPr>
    <w:rPr>
      <w:b/>
      <w:kern w:val="0"/>
      <w:sz w:val="48"/>
      <w:szCs w:val="44"/>
    </w:rPr>
  </w:style>
  <w:style w:type="paragraph" w:customStyle="1" w:styleId="514">
    <w:name w:val="三级标题"/>
    <w:basedOn w:val="493"/>
    <w:qFormat/>
    <w:uiPriority w:val="0"/>
    <w:pPr>
      <w:numPr>
        <w:ilvl w:val="2"/>
        <w:numId w:val="1"/>
      </w:numPr>
      <w:adjustRightInd w:val="0"/>
      <w:snapToGrid w:val="0"/>
      <w:spacing w:beforeLines="100" w:afterLines="100" w:line="360" w:lineRule="auto"/>
      <w:ind w:left="720" w:firstLine="0" w:firstLineChars="0"/>
      <w:outlineLvl w:val="2"/>
    </w:pPr>
    <w:rPr>
      <w:rFonts w:ascii="Calibri" w:hAnsi="Calibri" w:eastAsia="等线"/>
      <w:b/>
      <w:kern w:val="0"/>
      <w:sz w:val="32"/>
    </w:rPr>
  </w:style>
  <w:style w:type="paragraph" w:styleId="515">
    <w:name w:val="No Spacing"/>
    <w:link w:val="516"/>
    <w:qFormat/>
    <w:uiPriority w:val="1"/>
    <w:pPr>
      <w:spacing w:line="360" w:lineRule="auto"/>
    </w:pPr>
    <w:rPr>
      <w:rFonts w:ascii="等线" w:hAnsi="等线" w:eastAsia="宋体" w:cs="Times New Roman"/>
      <w:sz w:val="24"/>
      <w:szCs w:val="22"/>
      <w:lang w:val="en-US" w:eastAsia="zh-CN" w:bidi="ar-SA"/>
    </w:rPr>
  </w:style>
  <w:style w:type="character" w:customStyle="1" w:styleId="516">
    <w:name w:val="无间隔 字符"/>
    <w:link w:val="515"/>
    <w:qFormat/>
    <w:uiPriority w:val="1"/>
    <w:rPr>
      <w:rFonts w:ascii="等线" w:hAnsi="等线"/>
      <w:sz w:val="24"/>
      <w:szCs w:val="22"/>
    </w:rPr>
  </w:style>
  <w:style w:type="paragraph" w:customStyle="1" w:styleId="517">
    <w:name w:val="TOC 标题1"/>
    <w:basedOn w:val="3"/>
    <w:next w:val="1"/>
    <w:unhideWhenUsed/>
    <w:qFormat/>
    <w:uiPriority w:val="39"/>
    <w:pPr>
      <w:widowControl/>
      <w:spacing w:beforeLines="50" w:afterLines="50" w:line="259" w:lineRule="auto"/>
      <w:jc w:val="left"/>
      <w:outlineLvl w:val="9"/>
    </w:pPr>
    <w:rPr>
      <w:rFonts w:ascii="Cambria" w:hAnsi="Cambria" w:eastAsia="宋体"/>
      <w:b w:val="0"/>
      <w:bCs w:val="0"/>
      <w:color w:val="365F91"/>
      <w:kern w:val="0"/>
      <w:sz w:val="32"/>
      <w:szCs w:val="32"/>
    </w:rPr>
  </w:style>
  <w:style w:type="paragraph" w:customStyle="1" w:styleId="518">
    <w:name w:val="正文正文"/>
    <w:basedOn w:val="493"/>
    <w:link w:val="519"/>
    <w:qFormat/>
    <w:uiPriority w:val="0"/>
    <w:pPr>
      <w:spacing w:afterLines="50"/>
    </w:pPr>
    <w:rPr>
      <w:rFonts w:ascii="Calibri" w:hAnsi="Calibri"/>
      <w:szCs w:val="21"/>
    </w:rPr>
  </w:style>
  <w:style w:type="character" w:customStyle="1" w:styleId="519">
    <w:name w:val="正文正文 字符"/>
    <w:basedOn w:val="269"/>
    <w:link w:val="518"/>
    <w:qFormat/>
    <w:uiPriority w:val="0"/>
    <w:rPr>
      <w:rFonts w:ascii="Calibri" w:hAnsi="Calibri"/>
      <w:kern w:val="2"/>
      <w:sz w:val="21"/>
      <w:szCs w:val="21"/>
    </w:rPr>
  </w:style>
  <w:style w:type="paragraph" w:customStyle="1" w:styleId="520">
    <w:name w:val="标题一"/>
    <w:basedOn w:val="3"/>
    <w:next w:val="3"/>
    <w:link w:val="521"/>
    <w:qFormat/>
    <w:uiPriority w:val="0"/>
    <w:pPr>
      <w:pageBreakBefore/>
      <w:numPr>
        <w:ilvl w:val="0"/>
        <w:numId w:val="2"/>
      </w:numPr>
      <w:spacing w:beforeLines="50" w:afterLines="50" w:line="360" w:lineRule="auto"/>
    </w:pPr>
    <w:rPr>
      <w:rFonts w:ascii="Times New Roman" w:hAnsi="Times New Roman" w:eastAsia="宋体"/>
      <w:sz w:val="36"/>
    </w:rPr>
  </w:style>
  <w:style w:type="character" w:customStyle="1" w:styleId="521">
    <w:name w:val="标题一 字符"/>
    <w:basedOn w:val="73"/>
    <w:link w:val="520"/>
    <w:qFormat/>
    <w:uiPriority w:val="0"/>
    <w:rPr>
      <w:rFonts w:ascii="Verdana" w:hAnsi="Verdana" w:eastAsia="Ђˎ̥" w:cs="Verdana"/>
      <w:kern w:val="44"/>
      <w:sz w:val="36"/>
      <w:szCs w:val="44"/>
    </w:rPr>
  </w:style>
  <w:style w:type="character" w:customStyle="1" w:styleId="522">
    <w:name w:val="段 Char"/>
    <w:link w:val="523"/>
    <w:qFormat/>
    <w:locked/>
    <w:uiPriority w:val="0"/>
    <w:rPr>
      <w:rFonts w:ascii="宋体" w:eastAsia="Times New Roman"/>
      <w:sz w:val="21"/>
    </w:rPr>
  </w:style>
  <w:style w:type="paragraph" w:customStyle="1" w:styleId="523">
    <w:name w:val="段"/>
    <w:link w:val="522"/>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character" w:customStyle="1" w:styleId="524">
    <w:name w:val="一、 Char"/>
    <w:qFormat/>
    <w:uiPriority w:val="0"/>
    <w:rPr>
      <w:rFonts w:ascii="Arial" w:hAnsi="Arial" w:eastAsia="黑体" w:cs="Times New Roman"/>
      <w:kern w:val="0"/>
      <w:sz w:val="28"/>
      <w:szCs w:val="20"/>
    </w:rPr>
  </w:style>
  <w:style w:type="character" w:customStyle="1" w:styleId="525">
    <w:name w:val="btn-lnk-alignl2"/>
    <w:qFormat/>
    <w:uiPriority w:val="0"/>
  </w:style>
  <w:style w:type="character" w:customStyle="1" w:styleId="526">
    <w:name w:val="1ji Char"/>
    <w:qFormat/>
    <w:uiPriority w:val="0"/>
    <w:rPr>
      <w:rFonts w:ascii="宋体" w:hAnsi="宋体"/>
      <w:b/>
      <w:bCs/>
      <w:sz w:val="36"/>
    </w:rPr>
  </w:style>
  <w:style w:type="character" w:customStyle="1" w:styleId="527">
    <w:name w:val="条款样式 Char"/>
    <w:link w:val="528"/>
    <w:qFormat/>
    <w:locked/>
    <w:uiPriority w:val="0"/>
    <w:rPr>
      <w:kern w:val="2"/>
      <w:sz w:val="21"/>
      <w:szCs w:val="22"/>
    </w:rPr>
  </w:style>
  <w:style w:type="paragraph" w:customStyle="1" w:styleId="528">
    <w:name w:val="条款样式"/>
    <w:basedOn w:val="1"/>
    <w:link w:val="527"/>
    <w:qFormat/>
    <w:uiPriority w:val="0"/>
    <w:pPr>
      <w:tabs>
        <w:tab w:val="left" w:pos="770"/>
      </w:tabs>
      <w:spacing w:line="440" w:lineRule="exact"/>
      <w:ind w:left="770" w:hanging="770"/>
      <w:jc w:val="left"/>
    </w:pPr>
    <w:rPr>
      <w:rFonts w:ascii="Times New Roman" w:hAnsi="Times New Roman"/>
      <w:szCs w:val="22"/>
    </w:rPr>
  </w:style>
  <w:style w:type="character" w:customStyle="1" w:styleId="529">
    <w:name w:val="DC正文 Char"/>
    <w:link w:val="530"/>
    <w:qFormat/>
    <w:uiPriority w:val="0"/>
    <w:rPr>
      <w:rFonts w:ascii="宋体" w:hAnsi="宋体"/>
      <w:kern w:val="2"/>
      <w:sz w:val="24"/>
      <w:szCs w:val="24"/>
    </w:rPr>
  </w:style>
  <w:style w:type="paragraph" w:customStyle="1" w:styleId="530">
    <w:name w:val="DC正文"/>
    <w:basedOn w:val="1"/>
    <w:link w:val="529"/>
    <w:qFormat/>
    <w:uiPriority w:val="0"/>
    <w:pPr>
      <w:spacing w:line="300" w:lineRule="auto"/>
      <w:ind w:firstLine="480" w:firstLineChars="200"/>
    </w:pPr>
    <w:rPr>
      <w:rFonts w:ascii="宋体" w:hAnsi="宋体"/>
      <w:sz w:val="24"/>
    </w:rPr>
  </w:style>
  <w:style w:type="character" w:customStyle="1" w:styleId="531">
    <w:name w:val="_正文段落 Char"/>
    <w:link w:val="532"/>
    <w:qFormat/>
    <w:uiPriority w:val="0"/>
    <w:rPr>
      <w:rFonts w:ascii="宋体" w:hAnsi="宋体"/>
      <w:kern w:val="2"/>
      <w:sz w:val="24"/>
      <w:szCs w:val="24"/>
    </w:rPr>
  </w:style>
  <w:style w:type="paragraph" w:customStyle="1" w:styleId="532">
    <w:name w:val="_正文段落"/>
    <w:basedOn w:val="1"/>
    <w:link w:val="531"/>
    <w:qFormat/>
    <w:uiPriority w:val="0"/>
    <w:pPr>
      <w:spacing w:beforeLines="15" w:afterLines="15" w:line="360" w:lineRule="auto"/>
      <w:ind w:firstLine="480" w:firstLineChars="200"/>
    </w:pPr>
    <w:rPr>
      <w:rFonts w:ascii="宋体" w:hAnsi="宋体"/>
      <w:sz w:val="24"/>
    </w:rPr>
  </w:style>
  <w:style w:type="character" w:customStyle="1" w:styleId="533">
    <w:name w:val="bds_nopic"/>
    <w:qFormat/>
    <w:uiPriority w:val="0"/>
    <w:rPr>
      <w:rFonts w:cs="Times New Roman"/>
    </w:rPr>
  </w:style>
  <w:style w:type="character" w:customStyle="1" w:styleId="534">
    <w:name w:val="breakword"/>
    <w:basedOn w:val="57"/>
    <w:qFormat/>
    <w:uiPriority w:val="0"/>
  </w:style>
  <w:style w:type="character" w:customStyle="1" w:styleId="535">
    <w:name w:val="font101"/>
    <w:qFormat/>
    <w:uiPriority w:val="0"/>
    <w:rPr>
      <w:rFonts w:ascii="Arial" w:hAnsi="Arial" w:cs="Arial"/>
      <w:color w:val="FF0000"/>
      <w:sz w:val="22"/>
      <w:szCs w:val="22"/>
      <w:u w:val="none"/>
    </w:rPr>
  </w:style>
  <w:style w:type="character" w:customStyle="1" w:styleId="536">
    <w:name w:val="bds_more2"/>
    <w:qFormat/>
    <w:uiPriority w:val="0"/>
    <w:rPr>
      <w:rFonts w:cs="Times New Roman"/>
    </w:rPr>
  </w:style>
  <w:style w:type="character" w:customStyle="1" w:styleId="537">
    <w:name w:val="10"/>
    <w:qFormat/>
    <w:uiPriority w:val="0"/>
    <w:rPr>
      <w:rFonts w:hint="default" w:ascii="Calibri" w:hAnsi="Calibri"/>
    </w:rPr>
  </w:style>
  <w:style w:type="character" w:customStyle="1" w:styleId="538">
    <w:name w:val="正文 + 宋体 Char"/>
    <w:link w:val="539"/>
    <w:qFormat/>
    <w:locked/>
    <w:uiPriority w:val="0"/>
    <w:rPr>
      <w:rFonts w:eastAsia="Times New Roman"/>
      <w:kern w:val="2"/>
      <w:sz w:val="22"/>
      <w:szCs w:val="22"/>
    </w:rPr>
  </w:style>
  <w:style w:type="paragraph" w:customStyle="1" w:styleId="539">
    <w:name w:val="正文 + 宋体"/>
    <w:link w:val="538"/>
    <w:qFormat/>
    <w:uiPriority w:val="0"/>
    <w:rPr>
      <w:rFonts w:ascii="Times New Roman" w:hAnsi="Times New Roman" w:eastAsia="Times New Roman" w:cs="Times New Roman"/>
      <w:kern w:val="2"/>
      <w:sz w:val="22"/>
      <w:szCs w:val="22"/>
      <w:lang w:val="en-US" w:eastAsia="zh-CN" w:bidi="ar-SA"/>
    </w:rPr>
  </w:style>
  <w:style w:type="character" w:customStyle="1" w:styleId="540">
    <w:name w:val="纯文本 字符1"/>
    <w:qFormat/>
    <w:uiPriority w:val="0"/>
    <w:rPr>
      <w:rFonts w:ascii="Ђˎ̥" w:hAnsi="Verdana" w:eastAsia="Ђˎ̥" w:cs="Verdana"/>
      <w:szCs w:val="21"/>
    </w:rPr>
  </w:style>
  <w:style w:type="character" w:customStyle="1" w:styleId="541">
    <w:name w:val="widthline1"/>
    <w:qFormat/>
    <w:uiPriority w:val="0"/>
  </w:style>
  <w:style w:type="character" w:customStyle="1" w:styleId="542">
    <w:name w:val="font121"/>
    <w:qFormat/>
    <w:uiPriority w:val="0"/>
    <w:rPr>
      <w:rFonts w:ascii="Arial" w:hAnsi="Arial" w:cs="Arial"/>
      <w:color w:val="000000"/>
      <w:sz w:val="24"/>
      <w:szCs w:val="24"/>
      <w:u w:val="none"/>
    </w:rPr>
  </w:style>
  <w:style w:type="character" w:customStyle="1" w:styleId="543">
    <w:name w:val="bds_more"/>
    <w:qFormat/>
    <w:uiPriority w:val="0"/>
    <w:rPr>
      <w:rFonts w:ascii="宋体" w:hAnsi="宋体" w:eastAsia="宋体" w:cs="宋体"/>
    </w:rPr>
  </w:style>
  <w:style w:type="character" w:customStyle="1" w:styleId="544">
    <w:name w:val="样式2 Char"/>
    <w:link w:val="545"/>
    <w:qFormat/>
    <w:uiPriority w:val="0"/>
    <w:rPr>
      <w:rFonts w:ascii="楷体" w:eastAsia="楷体"/>
      <w:sz w:val="28"/>
    </w:rPr>
  </w:style>
  <w:style w:type="paragraph" w:customStyle="1" w:styleId="545">
    <w:name w:val="样式2"/>
    <w:basedOn w:val="1"/>
    <w:next w:val="8"/>
    <w:link w:val="544"/>
    <w:qFormat/>
    <w:uiPriority w:val="0"/>
    <w:pPr>
      <w:tabs>
        <w:tab w:val="left" w:pos="720"/>
      </w:tabs>
      <w:autoSpaceDE w:val="0"/>
      <w:autoSpaceDN w:val="0"/>
      <w:adjustRightInd w:val="0"/>
      <w:spacing w:line="360" w:lineRule="auto"/>
      <w:ind w:left="720" w:hanging="720"/>
      <w:jc w:val="left"/>
      <w:textAlignment w:val="baseline"/>
    </w:pPr>
    <w:rPr>
      <w:rFonts w:ascii="楷体" w:hAnsi="Times New Roman" w:eastAsia="楷体"/>
      <w:kern w:val="0"/>
      <w:sz w:val="28"/>
      <w:szCs w:val="20"/>
    </w:rPr>
  </w:style>
  <w:style w:type="character" w:customStyle="1" w:styleId="546">
    <w:name w:val="Char Char81"/>
    <w:qFormat/>
    <w:uiPriority w:val="0"/>
    <w:rPr>
      <w:rFonts w:hint="eastAsia" w:ascii="宋体" w:hAnsi="Courier New" w:eastAsia="宋体"/>
      <w:szCs w:val="21"/>
      <w:lang w:bidi="ar-SA"/>
    </w:rPr>
  </w:style>
  <w:style w:type="character" w:customStyle="1" w:styleId="547">
    <w:name w:val="强调 A"/>
    <w:qFormat/>
    <w:uiPriority w:val="0"/>
    <w:rPr>
      <w:rFonts w:ascii="Lucida Grande" w:hAnsi="Lucida Grande" w:eastAsia="ヒラギノ角ゴ Pro W3"/>
      <w:color w:val="8A0000"/>
      <w:sz w:val="20"/>
    </w:rPr>
  </w:style>
  <w:style w:type="character" w:customStyle="1" w:styleId="548">
    <w:name w:val="正文文本样式 Char Char"/>
    <w:link w:val="549"/>
    <w:qFormat/>
    <w:uiPriority w:val="0"/>
    <w:rPr>
      <w:rFonts w:ascii="Calibri" w:hAnsi="Calibri" w:cs="宋体"/>
      <w:kern w:val="2"/>
      <w:sz w:val="24"/>
    </w:rPr>
  </w:style>
  <w:style w:type="paragraph" w:customStyle="1" w:styleId="549">
    <w:name w:val="正文文本样式 Char"/>
    <w:basedOn w:val="1"/>
    <w:link w:val="548"/>
    <w:qFormat/>
    <w:uiPriority w:val="0"/>
    <w:pPr>
      <w:spacing w:line="360" w:lineRule="auto"/>
      <w:ind w:firstLine="482"/>
    </w:pPr>
    <w:rPr>
      <w:rFonts w:ascii="Calibri" w:hAnsi="Calibri" w:cs="宋体"/>
      <w:sz w:val="24"/>
      <w:szCs w:val="20"/>
    </w:rPr>
  </w:style>
  <w:style w:type="character" w:customStyle="1" w:styleId="550">
    <w:name w:val="正文缩进 Char1"/>
    <w:qFormat/>
    <w:uiPriority w:val="0"/>
    <w:rPr>
      <w:kern w:val="2"/>
      <w:sz w:val="21"/>
    </w:rPr>
  </w:style>
  <w:style w:type="character" w:customStyle="1" w:styleId="551">
    <w:name w:val="DC一级项目符号 Char"/>
    <w:link w:val="552"/>
    <w:qFormat/>
    <w:uiPriority w:val="0"/>
    <w:rPr>
      <w:rFonts w:ascii="宋体" w:hAnsi="宋体"/>
      <w:kern w:val="2"/>
      <w:sz w:val="24"/>
      <w:szCs w:val="24"/>
    </w:rPr>
  </w:style>
  <w:style w:type="paragraph" w:customStyle="1" w:styleId="552">
    <w:name w:val="DC一级项目符号"/>
    <w:basedOn w:val="1"/>
    <w:link w:val="551"/>
    <w:qFormat/>
    <w:uiPriority w:val="0"/>
    <w:pPr>
      <w:spacing w:line="360" w:lineRule="auto"/>
    </w:pPr>
    <w:rPr>
      <w:rFonts w:ascii="宋体" w:hAnsi="宋体"/>
      <w:sz w:val="24"/>
    </w:rPr>
  </w:style>
  <w:style w:type="character" w:customStyle="1" w:styleId="553">
    <w:name w:val="样式4 Char2"/>
    <w:link w:val="554"/>
    <w:qFormat/>
    <w:uiPriority w:val="0"/>
    <w:rPr>
      <w:rFonts w:ascii="幼圆" w:hAnsi="Romantic" w:eastAsia="幼圆"/>
      <w:kern w:val="2"/>
      <w:sz w:val="28"/>
    </w:rPr>
  </w:style>
  <w:style w:type="paragraph" w:customStyle="1" w:styleId="554">
    <w:name w:val="样式4"/>
    <w:basedOn w:val="1"/>
    <w:link w:val="553"/>
    <w:qFormat/>
    <w:uiPriority w:val="0"/>
    <w:pPr>
      <w:spacing w:beforeLines="30" w:afterLines="30"/>
    </w:pPr>
    <w:rPr>
      <w:rFonts w:ascii="幼圆" w:hAnsi="Romantic" w:eastAsia="幼圆"/>
      <w:sz w:val="28"/>
      <w:szCs w:val="20"/>
    </w:rPr>
  </w:style>
  <w:style w:type="character" w:customStyle="1" w:styleId="555">
    <w:name w:val="con"/>
    <w:basedOn w:val="57"/>
    <w:qFormat/>
    <w:uiPriority w:val="0"/>
  </w:style>
  <w:style w:type="character" w:customStyle="1" w:styleId="556">
    <w:name w:val="hui141"/>
    <w:qFormat/>
    <w:uiPriority w:val="0"/>
    <w:rPr>
      <w:sz w:val="21"/>
      <w:szCs w:val="21"/>
    </w:rPr>
  </w:style>
  <w:style w:type="character" w:customStyle="1" w:styleId="557">
    <w:name w:val="graytext1"/>
    <w:qFormat/>
    <w:uiPriority w:val="0"/>
    <w:rPr>
      <w:color w:val="666666"/>
    </w:rPr>
  </w:style>
  <w:style w:type="character" w:customStyle="1" w:styleId="558">
    <w:name w:val="style61"/>
    <w:qFormat/>
    <w:uiPriority w:val="0"/>
    <w:rPr>
      <w:rFonts w:cs="Times New Roman"/>
      <w:sz w:val="30"/>
      <w:szCs w:val="30"/>
    </w:rPr>
  </w:style>
  <w:style w:type="character" w:customStyle="1" w:styleId="559">
    <w:name w:val="bds_more1"/>
    <w:qFormat/>
    <w:uiPriority w:val="0"/>
    <w:rPr>
      <w:rFonts w:cs="Times New Roman"/>
    </w:rPr>
  </w:style>
  <w:style w:type="character" w:customStyle="1" w:styleId="560">
    <w:name w:val="重正文 Char"/>
    <w:link w:val="561"/>
    <w:qFormat/>
    <w:locked/>
    <w:uiPriority w:val="0"/>
    <w:rPr>
      <w:rFonts w:ascii="宋体" w:hAnsi="宋体"/>
      <w:kern w:val="2"/>
      <w:sz w:val="24"/>
      <w:szCs w:val="24"/>
    </w:rPr>
  </w:style>
  <w:style w:type="paragraph" w:customStyle="1" w:styleId="561">
    <w:name w:val="重正文"/>
    <w:basedOn w:val="1"/>
    <w:link w:val="560"/>
    <w:qFormat/>
    <w:uiPriority w:val="0"/>
    <w:pPr>
      <w:spacing w:before="5" w:afterLines="50" w:line="390" w:lineRule="atLeast"/>
      <w:ind w:firstLine="480"/>
    </w:pPr>
    <w:rPr>
      <w:rFonts w:ascii="宋体" w:hAnsi="宋体"/>
      <w:sz w:val="24"/>
    </w:rPr>
  </w:style>
  <w:style w:type="character" w:customStyle="1" w:styleId="562">
    <w:name w:val="bodytextnarrow1"/>
    <w:qFormat/>
    <w:uiPriority w:val="0"/>
    <w:rPr>
      <w:rFonts w:hint="default" w:ascii="Arial" w:hAnsi="Arial" w:cs="Arial"/>
      <w:color w:val="606060"/>
      <w:sz w:val="20"/>
      <w:szCs w:val="20"/>
    </w:rPr>
  </w:style>
  <w:style w:type="character" w:customStyle="1" w:styleId="563">
    <w:name w:val="font111"/>
    <w:qFormat/>
    <w:uiPriority w:val="0"/>
    <w:rPr>
      <w:rFonts w:ascii="Arial" w:hAnsi="Arial" w:cs="Arial"/>
      <w:color w:val="000000"/>
      <w:sz w:val="22"/>
      <w:szCs w:val="22"/>
      <w:u w:val="none"/>
    </w:rPr>
  </w:style>
  <w:style w:type="character" w:customStyle="1" w:styleId="564">
    <w:name w:val="HTML 地址 字符1"/>
    <w:link w:val="27"/>
    <w:qFormat/>
    <w:uiPriority w:val="0"/>
    <w:rPr>
      <w:rFonts w:ascii="宋体" w:hAnsi="宋体"/>
      <w:i/>
      <w:iCs/>
      <w:sz w:val="24"/>
      <w:szCs w:val="24"/>
    </w:rPr>
  </w:style>
  <w:style w:type="paragraph" w:customStyle="1" w:styleId="565">
    <w:name w:val="CM10"/>
    <w:basedOn w:val="114"/>
    <w:next w:val="114"/>
    <w:qFormat/>
    <w:uiPriority w:val="0"/>
  </w:style>
  <w:style w:type="paragraph" w:customStyle="1" w:styleId="56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67">
    <w:name w:val="Table Paragraph"/>
    <w:basedOn w:val="1"/>
    <w:qFormat/>
    <w:uiPriority w:val="0"/>
    <w:pPr>
      <w:jc w:val="left"/>
    </w:pPr>
    <w:rPr>
      <w:rFonts w:ascii="Calibri" w:hAnsi="Calibri"/>
      <w:kern w:val="0"/>
      <w:sz w:val="22"/>
      <w:szCs w:val="22"/>
      <w:lang w:eastAsia="en-US"/>
    </w:rPr>
  </w:style>
  <w:style w:type="paragraph" w:customStyle="1" w:styleId="568">
    <w:name w:val="CM15"/>
    <w:basedOn w:val="114"/>
    <w:next w:val="114"/>
    <w:qFormat/>
    <w:uiPriority w:val="0"/>
  </w:style>
  <w:style w:type="paragraph" w:customStyle="1" w:styleId="569">
    <w:name w:val="彩色列表 - 着色 11"/>
    <w:basedOn w:val="1"/>
    <w:next w:val="493"/>
    <w:qFormat/>
    <w:uiPriority w:val="34"/>
    <w:pPr>
      <w:ind w:firstLine="420" w:firstLineChars="200"/>
    </w:pPr>
    <w:rPr>
      <w:rFonts w:ascii="Times New Roman" w:hAnsi="Times New Roman"/>
    </w:rPr>
  </w:style>
  <w:style w:type="paragraph" w:customStyle="1" w:styleId="570">
    <w:name w:val="标题 21"/>
    <w:basedOn w:val="1"/>
    <w:qFormat/>
    <w:uiPriority w:val="1"/>
    <w:pPr>
      <w:ind w:left="3274"/>
      <w:jc w:val="left"/>
      <w:outlineLvl w:val="2"/>
    </w:pPr>
    <w:rPr>
      <w:rFonts w:ascii="Adobe 黑体 Std R" w:hAnsi="Adobe 黑体 Std R" w:eastAsia="Adobe 黑体 Std R"/>
      <w:kern w:val="0"/>
      <w:sz w:val="32"/>
      <w:szCs w:val="32"/>
      <w:lang w:eastAsia="en-US"/>
    </w:rPr>
  </w:style>
  <w:style w:type="paragraph" w:customStyle="1" w:styleId="571">
    <w:name w:val="Char Char Char Char"/>
    <w:basedOn w:val="18"/>
    <w:qFormat/>
    <w:uiPriority w:val="0"/>
  </w:style>
  <w:style w:type="paragraph" w:customStyle="1" w:styleId="57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73">
    <w:name w:val="Char Char12"/>
    <w:basedOn w:val="1"/>
    <w:qFormat/>
    <w:uiPriority w:val="0"/>
    <w:pPr>
      <w:widowControl/>
      <w:spacing w:after="160" w:line="240" w:lineRule="exact"/>
      <w:jc w:val="left"/>
    </w:pPr>
    <w:rPr>
      <w:rFonts w:ascii="Times New Roman" w:hAnsi="Times New Roman"/>
    </w:rPr>
  </w:style>
  <w:style w:type="paragraph" w:customStyle="1" w:styleId="574">
    <w:name w:val="Char9"/>
    <w:basedOn w:val="1"/>
    <w:qFormat/>
    <w:uiPriority w:val="0"/>
    <w:pPr>
      <w:widowControl/>
      <w:tabs>
        <w:tab w:val="left" w:pos="360"/>
      </w:tabs>
      <w:spacing w:after="160" w:line="240" w:lineRule="exact"/>
      <w:jc w:val="left"/>
    </w:pPr>
    <w:rPr>
      <w:kern w:val="0"/>
      <w:sz w:val="20"/>
      <w:szCs w:val="20"/>
      <w:lang w:eastAsia="en-US"/>
    </w:rPr>
  </w:style>
  <w:style w:type="paragraph" w:customStyle="1" w:styleId="575">
    <w:name w:val="自由格式 B"/>
    <w:qFormat/>
    <w:uiPriority w:val="0"/>
    <w:rPr>
      <w:rFonts w:ascii="Times New Roman" w:hAnsi="Times New Roman" w:eastAsia="ヒラギノ角ゴ Pro W3" w:cs="Times New Roman"/>
      <w:color w:val="000000"/>
      <w:lang w:val="en-US" w:eastAsia="zh-CN" w:bidi="ar-SA"/>
    </w:rPr>
  </w:style>
  <w:style w:type="paragraph" w:customStyle="1" w:styleId="576">
    <w:name w:val="CM3"/>
    <w:basedOn w:val="114"/>
    <w:next w:val="114"/>
    <w:qFormat/>
    <w:uiPriority w:val="0"/>
  </w:style>
  <w:style w:type="character" w:customStyle="1" w:styleId="577">
    <w:name w:val="正文文本缩进 Char1"/>
    <w:basedOn w:val="57"/>
    <w:semiHidden/>
    <w:qFormat/>
    <w:uiPriority w:val="99"/>
    <w:rPr>
      <w:kern w:val="2"/>
      <w:sz w:val="21"/>
      <w:szCs w:val="24"/>
    </w:rPr>
  </w:style>
  <w:style w:type="paragraph" w:customStyle="1" w:styleId="578">
    <w:name w:val="目录标题"/>
    <w:basedOn w:val="1"/>
    <w:next w:val="1"/>
    <w:qFormat/>
    <w:uiPriority w:val="0"/>
    <w:pPr>
      <w:widowControl/>
      <w:spacing w:before="566" w:after="544" w:line="566" w:lineRule="atLeast"/>
      <w:ind w:firstLine="419"/>
      <w:jc w:val="center"/>
      <w:textAlignment w:val="baseline"/>
    </w:pPr>
    <w:rPr>
      <w:rFonts w:ascii="Arial" w:hAnsi="Times New Roman" w:eastAsia="黑体"/>
      <w:color w:val="000000"/>
      <w:spacing w:val="566"/>
      <w:kern w:val="0"/>
      <w:sz w:val="54"/>
      <w:szCs w:val="20"/>
    </w:rPr>
  </w:style>
  <w:style w:type="paragraph" w:customStyle="1" w:styleId="579">
    <w:name w:val="_Style 1"/>
    <w:basedOn w:val="1"/>
    <w:qFormat/>
    <w:uiPriority w:val="0"/>
    <w:pPr>
      <w:ind w:firstLine="420" w:firstLineChars="200"/>
    </w:pPr>
    <w:rPr>
      <w:rFonts w:ascii="Times New Roman" w:hAnsi="Times New Roman"/>
    </w:rPr>
  </w:style>
  <w:style w:type="paragraph" w:customStyle="1" w:styleId="580">
    <w:name w:val="Char Char"/>
    <w:basedOn w:val="1"/>
    <w:qFormat/>
    <w:uiPriority w:val="0"/>
    <w:pPr>
      <w:widowControl/>
      <w:tabs>
        <w:tab w:val="left" w:pos="509"/>
      </w:tabs>
      <w:spacing w:after="160" w:line="240" w:lineRule="exact"/>
      <w:ind w:left="252"/>
      <w:jc w:val="left"/>
    </w:pPr>
    <w:rPr>
      <w:rFonts w:eastAsia="仿宋_GB2312"/>
      <w:kern w:val="0"/>
      <w:sz w:val="24"/>
      <w:szCs w:val="20"/>
      <w:lang w:eastAsia="en-US"/>
    </w:rPr>
  </w:style>
  <w:style w:type="paragraph" w:customStyle="1" w:styleId="581">
    <w:name w:val="p15"/>
    <w:basedOn w:val="1"/>
    <w:qFormat/>
    <w:uiPriority w:val="0"/>
    <w:pPr>
      <w:widowControl/>
    </w:pPr>
    <w:rPr>
      <w:rFonts w:ascii="宋体" w:hAnsi="宋体" w:cs="宋体"/>
      <w:kern w:val="0"/>
      <w:szCs w:val="21"/>
    </w:rPr>
  </w:style>
  <w:style w:type="paragraph" w:customStyle="1" w:styleId="582">
    <w:name w:val="列表（符号一级）（绿盟科技）"/>
    <w:basedOn w:val="1"/>
    <w:qFormat/>
    <w:uiPriority w:val="0"/>
    <w:pPr>
      <w:widowControl/>
      <w:spacing w:line="300" w:lineRule="auto"/>
      <w:ind w:left="2100" w:hanging="420"/>
      <w:jc w:val="left"/>
    </w:pPr>
    <w:rPr>
      <w:rFonts w:ascii="Arial" w:hAnsi="Arial"/>
      <w:kern w:val="0"/>
      <w:szCs w:val="21"/>
    </w:rPr>
  </w:style>
  <w:style w:type="character" w:customStyle="1" w:styleId="583">
    <w:name w:val="HTML 地址 Char1"/>
    <w:basedOn w:val="57"/>
    <w:semiHidden/>
    <w:qFormat/>
    <w:uiPriority w:val="99"/>
    <w:rPr>
      <w:rFonts w:ascii="Verdana" w:hAnsi="Verdana"/>
      <w:i/>
      <w:iCs/>
      <w:kern w:val="2"/>
      <w:sz w:val="21"/>
      <w:szCs w:val="24"/>
    </w:rPr>
  </w:style>
  <w:style w:type="character" w:customStyle="1" w:styleId="584">
    <w:name w:val="HTML 地址 字符"/>
    <w:basedOn w:val="57"/>
    <w:semiHidden/>
    <w:qFormat/>
    <w:uiPriority w:val="99"/>
    <w:rPr>
      <w:i/>
      <w:iCs/>
      <w:kern w:val="2"/>
      <w:sz w:val="21"/>
      <w:szCs w:val="24"/>
    </w:rPr>
  </w:style>
  <w:style w:type="paragraph" w:customStyle="1" w:styleId="585">
    <w:name w:val="正文缩进1"/>
    <w:basedOn w:val="1"/>
    <w:qFormat/>
    <w:uiPriority w:val="0"/>
    <w:pPr>
      <w:spacing w:line="300" w:lineRule="auto"/>
      <w:ind w:firstLine="482"/>
    </w:pPr>
    <w:rPr>
      <w:rFonts w:ascii="Times New Roman" w:hAnsi="Times New Roman"/>
      <w:sz w:val="24"/>
    </w:rPr>
  </w:style>
  <w:style w:type="paragraph" w:customStyle="1" w:styleId="586">
    <w:name w:val="_Style 83"/>
    <w:basedOn w:val="1"/>
    <w:qFormat/>
    <w:uiPriority w:val="0"/>
    <w:rPr>
      <w:rFonts w:ascii="Times New Roman" w:hAnsi="Times New Roman"/>
      <w:szCs w:val="20"/>
    </w:rPr>
  </w:style>
  <w:style w:type="paragraph" w:customStyle="1" w:styleId="587">
    <w:name w:val="(1)编号"/>
    <w:basedOn w:val="1"/>
    <w:qFormat/>
    <w:uiPriority w:val="0"/>
    <w:pPr>
      <w:tabs>
        <w:tab w:val="left" w:pos="360"/>
        <w:tab w:val="left" w:pos="1247"/>
        <w:tab w:val="left" w:pos="3261"/>
      </w:tabs>
      <w:spacing w:line="400" w:lineRule="exact"/>
      <w:ind w:left="1247" w:hanging="567"/>
    </w:pPr>
    <w:rPr>
      <w:rFonts w:ascii="宋体" w:hAnsi="宋体"/>
      <w:spacing w:val="5"/>
      <w:sz w:val="24"/>
      <w:szCs w:val="20"/>
    </w:rPr>
  </w:style>
  <w:style w:type="paragraph" w:customStyle="1" w:styleId="588">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89">
    <w:name w:val="标题 31"/>
    <w:basedOn w:val="1"/>
    <w:qFormat/>
    <w:uiPriority w:val="1"/>
    <w:pPr>
      <w:ind w:left="237"/>
      <w:jc w:val="left"/>
      <w:outlineLvl w:val="3"/>
    </w:pPr>
    <w:rPr>
      <w:rFonts w:ascii="Adobe 黑体 Std R" w:hAnsi="Adobe 黑体 Std R" w:eastAsia="Adobe 黑体 Std R"/>
      <w:kern w:val="0"/>
      <w:sz w:val="28"/>
      <w:szCs w:val="28"/>
      <w:lang w:eastAsia="en-US"/>
    </w:rPr>
  </w:style>
  <w:style w:type="paragraph" w:customStyle="1" w:styleId="590">
    <w:name w:val="CM14"/>
    <w:basedOn w:val="114"/>
    <w:next w:val="114"/>
    <w:qFormat/>
    <w:uiPriority w:val="0"/>
    <w:pPr>
      <w:tabs>
        <w:tab w:val="left" w:pos="360"/>
      </w:tabs>
      <w:spacing w:after="980"/>
    </w:pPr>
    <w:rPr>
      <w:rFonts w:ascii="Times New Roman" w:hAnsi="Times New Roman" w:cs="Times New Roman"/>
      <w:color w:val="auto"/>
    </w:rPr>
  </w:style>
  <w:style w:type="character" w:customStyle="1" w:styleId="591">
    <w:name w:val="文档结构图 Char2"/>
    <w:basedOn w:val="57"/>
    <w:semiHidden/>
    <w:qFormat/>
    <w:uiPriority w:val="99"/>
    <w:rPr>
      <w:rFonts w:ascii="宋体"/>
      <w:kern w:val="2"/>
      <w:sz w:val="18"/>
      <w:szCs w:val="18"/>
    </w:rPr>
  </w:style>
  <w:style w:type="character" w:customStyle="1" w:styleId="592">
    <w:name w:val="文档结构图 字符"/>
    <w:basedOn w:val="57"/>
    <w:semiHidden/>
    <w:qFormat/>
    <w:uiPriority w:val="99"/>
    <w:rPr>
      <w:rFonts w:ascii="Microsoft YaHei UI" w:eastAsia="Microsoft YaHei UI"/>
      <w:kern w:val="2"/>
      <w:sz w:val="18"/>
      <w:szCs w:val="18"/>
    </w:rPr>
  </w:style>
  <w:style w:type="paragraph" w:customStyle="1" w:styleId="593">
    <w:name w:val="自由格式 A"/>
    <w:qFormat/>
    <w:uiPriority w:val="0"/>
    <w:rPr>
      <w:rFonts w:ascii="Lucida Grande" w:hAnsi="Lucida Grande" w:eastAsia="ヒラギノ角ゴ Pro W3" w:cs="Times New Roman"/>
      <w:color w:val="000000"/>
      <w:lang w:val="en-US" w:eastAsia="zh-CN" w:bidi="ar-SA"/>
    </w:rPr>
  </w:style>
  <w:style w:type="paragraph" w:customStyle="1" w:styleId="594">
    <w:name w:val="批注文字1"/>
    <w:qFormat/>
    <w:uiPriority w:val="0"/>
    <w:pPr>
      <w:widowControl w:val="0"/>
      <w:spacing w:line="360" w:lineRule="atLeast"/>
    </w:pPr>
    <w:rPr>
      <w:rFonts w:ascii="Times New Roman" w:hAnsi="Times New Roman" w:eastAsia="ヒラギノ角ゴ Pro W3" w:cs="Times New Roman"/>
      <w:color w:val="000000"/>
      <w:sz w:val="24"/>
      <w:lang w:val="en-US" w:eastAsia="zh-CN" w:bidi="ar-SA"/>
    </w:rPr>
  </w:style>
  <w:style w:type="paragraph" w:customStyle="1" w:styleId="595">
    <w:name w:val="标题 A A"/>
    <w:qFormat/>
    <w:uiPriority w:val="0"/>
    <w:pPr>
      <w:widowControl w:val="0"/>
      <w:spacing w:before="240" w:after="60"/>
      <w:jc w:val="center"/>
      <w:outlineLvl w:val="0"/>
    </w:pPr>
    <w:rPr>
      <w:rFonts w:ascii="Arial Bold" w:hAnsi="Arial Bold" w:eastAsia="ヒラギノ角ゴ Pro W3" w:cs="Times New Roman"/>
      <w:color w:val="000000"/>
      <w:kern w:val="2"/>
      <w:sz w:val="32"/>
      <w:lang w:val="en-US" w:eastAsia="zh-CN" w:bidi="ar-SA"/>
    </w:rPr>
  </w:style>
  <w:style w:type="paragraph" w:customStyle="1" w:styleId="596">
    <w:name w:val="列表段落1"/>
    <w:basedOn w:val="1"/>
    <w:qFormat/>
    <w:uiPriority w:val="34"/>
    <w:pPr>
      <w:ind w:firstLine="420" w:firstLineChars="200"/>
    </w:pPr>
    <w:rPr>
      <w:rFonts w:ascii="Times New Roman" w:hAnsi="Times New Roman"/>
      <w:szCs w:val="20"/>
    </w:rPr>
  </w:style>
  <w:style w:type="paragraph" w:customStyle="1" w:styleId="597">
    <w:name w:val="自由格式"/>
    <w:qFormat/>
    <w:uiPriority w:val="0"/>
    <w:rPr>
      <w:rFonts w:ascii="Times New Roman" w:hAnsi="Times New Roman" w:eastAsia="ヒラギノ角ゴ Pro W3" w:cs="Times New Roman"/>
      <w:color w:val="000000"/>
      <w:lang w:val="en-US" w:eastAsia="zh-CN" w:bidi="ar-SA"/>
    </w:rPr>
  </w:style>
  <w:style w:type="paragraph" w:customStyle="1" w:styleId="598">
    <w:name w:val="CM2"/>
    <w:basedOn w:val="114"/>
    <w:next w:val="114"/>
    <w:qFormat/>
    <w:uiPriority w:val="0"/>
    <w:pPr>
      <w:tabs>
        <w:tab w:val="left" w:pos="360"/>
      </w:tabs>
      <w:spacing w:line="296" w:lineRule="atLeast"/>
    </w:pPr>
    <w:rPr>
      <w:rFonts w:ascii="Times New Roman" w:hAnsi="Times New Roman" w:cs="Times New Roman"/>
      <w:color w:val="auto"/>
    </w:rPr>
  </w:style>
  <w:style w:type="paragraph" w:customStyle="1" w:styleId="599">
    <w:name w:val="Char1 Char Char Char Char Char Char"/>
    <w:basedOn w:val="1"/>
    <w:qFormat/>
    <w:uiPriority w:val="0"/>
    <w:rPr>
      <w:rFonts w:ascii="Times New Roman" w:hAnsi="Times New Roman"/>
    </w:rPr>
  </w:style>
  <w:style w:type="paragraph" w:customStyle="1" w:styleId="600">
    <w:name w:val="Char Char121"/>
    <w:basedOn w:val="1"/>
    <w:qFormat/>
    <w:uiPriority w:val="0"/>
    <w:pPr>
      <w:widowControl/>
      <w:spacing w:before="100" w:beforeAutospacing="1" w:after="160" w:line="240" w:lineRule="exact"/>
      <w:jc w:val="left"/>
    </w:pPr>
    <w:rPr>
      <w:rFonts w:ascii="Times New Roman" w:hAnsi="Times New Roman"/>
      <w:szCs w:val="21"/>
    </w:rPr>
  </w:style>
  <w:style w:type="paragraph" w:customStyle="1" w:styleId="601">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602">
    <w:name w:val="——正文"/>
    <w:basedOn w:val="1"/>
    <w:qFormat/>
    <w:uiPriority w:val="0"/>
    <w:pPr>
      <w:spacing w:line="360" w:lineRule="auto"/>
      <w:ind w:firstLine="200" w:firstLineChars="200"/>
      <w:jc w:val="left"/>
    </w:pPr>
    <w:rPr>
      <w:rFonts w:ascii="Times New Roman" w:hAnsi="Times New Roman"/>
      <w:sz w:val="24"/>
    </w:rPr>
  </w:style>
  <w:style w:type="paragraph" w:customStyle="1" w:styleId="603">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4">
    <w:name w:val="a2"/>
    <w:basedOn w:val="1"/>
    <w:qFormat/>
    <w:uiPriority w:val="0"/>
    <w:pPr>
      <w:widowControl/>
      <w:spacing w:before="100" w:beforeAutospacing="1" w:after="100" w:afterAutospacing="1"/>
      <w:jc w:val="left"/>
    </w:pPr>
    <w:rPr>
      <w:rFonts w:ascii="宋体" w:hAnsi="宋体" w:cs="宋体"/>
      <w:kern w:val="0"/>
      <w:sz w:val="24"/>
    </w:rPr>
  </w:style>
  <w:style w:type="character" w:customStyle="1" w:styleId="605">
    <w:name w:val="正文文本首行缩进 字符"/>
    <w:basedOn w:val="331"/>
    <w:semiHidden/>
    <w:qFormat/>
    <w:uiPriority w:val="99"/>
    <w:rPr>
      <w:rFonts w:ascii="Verdana" w:hAnsi="Verdana" w:eastAsia="Ђˎ̥" w:cs="Verdana"/>
      <w:kern w:val="2"/>
      <w:sz w:val="21"/>
      <w:szCs w:val="24"/>
    </w:rPr>
  </w:style>
  <w:style w:type="character" w:customStyle="1" w:styleId="606">
    <w:name w:val="未处理的提及1"/>
    <w:basedOn w:val="57"/>
    <w:semiHidden/>
    <w:unhideWhenUsed/>
    <w:qFormat/>
    <w:uiPriority w:val="99"/>
    <w:rPr>
      <w:color w:val="605E5C"/>
      <w:shd w:val="clear" w:color="auto" w:fill="E1DFDD"/>
    </w:rPr>
  </w:style>
  <w:style w:type="paragraph" w:customStyle="1" w:styleId="607">
    <w:name w:val="标题三-1"/>
    <w:basedOn w:val="5"/>
    <w:link w:val="608"/>
    <w:qFormat/>
    <w:uiPriority w:val="0"/>
    <w:pPr>
      <w:numPr>
        <w:ilvl w:val="2"/>
        <w:numId w:val="3"/>
      </w:numPr>
      <w:tabs>
        <w:tab w:val="left" w:pos="3544"/>
      </w:tabs>
      <w:adjustRightInd w:val="0"/>
      <w:spacing w:beforeLines="50" w:afterLines="50" w:line="360" w:lineRule="auto"/>
    </w:pPr>
    <w:rPr>
      <w:rFonts w:ascii="Arial" w:hAnsi="Arial" w:eastAsia="宋体"/>
      <w:kern w:val="2"/>
      <w:sz w:val="28"/>
    </w:rPr>
  </w:style>
  <w:style w:type="character" w:customStyle="1" w:styleId="608">
    <w:name w:val="标题三-1 字符"/>
    <w:basedOn w:val="497"/>
    <w:link w:val="607"/>
    <w:qFormat/>
    <w:uiPriority w:val="0"/>
    <w:rPr>
      <w:rFonts w:ascii="Arial" w:hAnsi="Arial"/>
      <w:kern w:val="2"/>
      <w:sz w:val="28"/>
      <w:szCs w:val="32"/>
    </w:rPr>
  </w:style>
  <w:style w:type="table" w:customStyle="1" w:styleId="609">
    <w:name w:val="网格型3"/>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0">
    <w:name w:val="列出段落4"/>
    <w:basedOn w:val="1"/>
    <w:qFormat/>
    <w:uiPriority w:val="0"/>
    <w:pPr>
      <w:spacing w:line="360" w:lineRule="auto"/>
      <w:ind w:firstLine="420" w:firstLineChars="200"/>
    </w:pPr>
    <w:rPr>
      <w:rFonts w:ascii="Arial" w:hAnsi="Arial" w:eastAsia="仿宋"/>
      <w:sz w:val="24"/>
    </w:rPr>
  </w:style>
  <w:style w:type="paragraph" w:customStyle="1" w:styleId="611">
    <w:name w:val="_正文"/>
    <w:basedOn w:val="1"/>
    <w:qFormat/>
    <w:uiPriority w:val="0"/>
    <w:pPr>
      <w:spacing w:line="360" w:lineRule="auto"/>
      <w:ind w:firstLine="480" w:firstLineChars="200"/>
    </w:pPr>
    <w:rPr>
      <w:rFonts w:ascii="Calibri" w:hAnsi="Calibri" w:eastAsia="仿宋"/>
      <w:sz w:val="28"/>
      <w:szCs w:val="28"/>
    </w:rPr>
  </w:style>
  <w:style w:type="character" w:customStyle="1" w:styleId="612">
    <w:name w:val="layui-layer-tabnow"/>
    <w:basedOn w:val="57"/>
    <w:qFormat/>
    <w:uiPriority w:val="0"/>
    <w:rPr>
      <w:bdr w:val="single" w:color="CCCCCC" w:sz="4" w:space="0"/>
      <w:shd w:val="clear" w:color="auto" w:fill="FFFFFF"/>
    </w:rPr>
  </w:style>
  <w:style w:type="character" w:customStyle="1" w:styleId="613">
    <w:name w:val="first-child"/>
    <w:basedOn w:val="57"/>
    <w:qFormat/>
    <w:uiPriority w:val="0"/>
  </w:style>
  <w:style w:type="character" w:customStyle="1" w:styleId="614">
    <w:name w:val="font171"/>
    <w:basedOn w:val="57"/>
    <w:qFormat/>
    <w:uiPriority w:val="0"/>
    <w:rPr>
      <w:rFonts w:hint="eastAsia" w:ascii="宋体" w:hAnsi="宋体" w:eastAsia="宋体" w:cs="宋体"/>
      <w:b/>
      <w:bCs/>
      <w:color w:val="000000"/>
      <w:sz w:val="24"/>
      <w:szCs w:val="24"/>
      <w:u w:val="none"/>
    </w:rPr>
  </w:style>
  <w:style w:type="character" w:customStyle="1" w:styleId="615">
    <w:name w:val="font12"/>
    <w:basedOn w:val="57"/>
    <w:qFormat/>
    <w:uiPriority w:val="0"/>
    <w:rPr>
      <w:rFonts w:hint="eastAsia" w:ascii="宋体" w:hAnsi="宋体" w:eastAsia="宋体" w:cs="宋体"/>
      <w:color w:val="000000"/>
      <w:sz w:val="20"/>
      <w:szCs w:val="20"/>
      <w:u w:val="none"/>
    </w:rPr>
  </w:style>
  <w:style w:type="character" w:customStyle="1" w:styleId="616">
    <w:name w:val="font151"/>
    <w:basedOn w:val="57"/>
    <w:qFormat/>
    <w:uiPriority w:val="0"/>
    <w:rPr>
      <w:rFonts w:hint="eastAsia" w:ascii="宋体" w:hAnsi="宋体" w:eastAsia="宋体" w:cs="宋体"/>
      <w:color w:val="000000"/>
      <w:sz w:val="24"/>
      <w:szCs w:val="24"/>
      <w:u w:val="none"/>
    </w:rPr>
  </w:style>
  <w:style w:type="character" w:customStyle="1" w:styleId="617">
    <w:name w:val="font71"/>
    <w:basedOn w:val="57"/>
    <w:qFormat/>
    <w:uiPriority w:val="0"/>
    <w:rPr>
      <w:rFonts w:hint="eastAsia" w:ascii="宋体" w:hAnsi="宋体" w:eastAsia="宋体" w:cs="宋体"/>
      <w:b/>
      <w:bCs/>
      <w:color w:val="000000"/>
      <w:sz w:val="22"/>
      <w:szCs w:val="22"/>
      <w:u w:val="none"/>
    </w:rPr>
  </w:style>
  <w:style w:type="character" w:customStyle="1" w:styleId="618">
    <w:name w:val="font13"/>
    <w:basedOn w:val="57"/>
    <w:qFormat/>
    <w:uiPriority w:val="0"/>
    <w:rPr>
      <w:rFonts w:hint="eastAsia" w:ascii="宋体" w:hAnsi="宋体" w:eastAsia="宋体" w:cs="宋体"/>
      <w:color w:val="000000"/>
      <w:sz w:val="20"/>
      <w:szCs w:val="20"/>
      <w:u w:val="none"/>
    </w:rPr>
  </w:style>
  <w:style w:type="character" w:customStyle="1" w:styleId="619">
    <w:name w:val="font181"/>
    <w:basedOn w:val="57"/>
    <w:qFormat/>
    <w:uiPriority w:val="0"/>
    <w:rPr>
      <w:rFonts w:hint="eastAsia" w:ascii="宋体" w:hAnsi="宋体" w:eastAsia="宋体" w:cs="宋体"/>
      <w:color w:val="000000"/>
      <w:sz w:val="20"/>
      <w:szCs w:val="20"/>
      <w:u w:val="none"/>
      <w:vertAlign w:val="superscript"/>
    </w:rPr>
  </w:style>
  <w:style w:type="paragraph" w:customStyle="1" w:styleId="620">
    <w:name w:val="标题正文"/>
    <w:basedOn w:val="119"/>
    <w:qFormat/>
    <w:uiPriority w:val="0"/>
    <w:pPr>
      <w:framePr w:wrap="around" w:vAnchor="margin" w:hAnchor="text" w:y="1"/>
    </w:pPr>
  </w:style>
  <w:style w:type="paragraph" w:customStyle="1" w:styleId="621">
    <w:name w:val="Revision"/>
    <w:hidden/>
    <w:semiHidden/>
    <w:qFormat/>
    <w:uiPriority w:val="99"/>
    <w:rPr>
      <w:rFonts w:ascii="Verdana" w:hAnsi="Verdana" w:eastAsia="宋体" w:cs="Times New Roman"/>
      <w:kern w:val="2"/>
      <w:sz w:val="21"/>
      <w:szCs w:val="24"/>
      <w:lang w:val="en-US" w:eastAsia="zh-CN" w:bidi="ar-SA"/>
    </w:rPr>
  </w:style>
  <w:style w:type="paragraph" w:customStyle="1" w:styleId="622">
    <w:name w:val="xl121"/>
    <w:basedOn w:val="1"/>
    <w:qFormat/>
    <w:uiPriority w:val="0"/>
    <w:pPr>
      <w:widowControl/>
      <w:pBdr>
        <w:top w:val="single" w:color="000000" w:sz="8" w:space="0"/>
        <w:bottom w:val="single" w:color="000000" w:sz="8" w:space="0"/>
      </w:pBdr>
      <w:spacing w:before="100" w:beforeAutospacing="1" w:after="100" w:afterAutospacing="1"/>
    </w:pPr>
    <w:rPr>
      <w:rFonts w:ascii="新宋体" w:hAnsi="新宋体" w:eastAsia="新宋体" w:cs="宋体"/>
      <w:kern w:val="0"/>
      <w:sz w:val="24"/>
    </w:rPr>
  </w:style>
  <w:style w:type="paragraph" w:customStyle="1" w:styleId="623">
    <w:name w:val="xl123"/>
    <w:basedOn w:val="1"/>
    <w:uiPriority w:val="0"/>
    <w:pPr>
      <w:widowControl/>
      <w:pBdr>
        <w:bottom w:val="single" w:color="000000" w:sz="8" w:space="0"/>
        <w:right w:val="single" w:color="000000" w:sz="8" w:space="0"/>
      </w:pBdr>
      <w:spacing w:before="100" w:beforeAutospacing="1" w:after="100" w:afterAutospacing="1"/>
      <w:jc w:val="center"/>
    </w:pPr>
    <w:rPr>
      <w:rFonts w:ascii="新宋体" w:hAnsi="新宋体" w:eastAsia="新宋体" w:cs="宋体"/>
      <w:b/>
      <w:bCs/>
      <w:color w:val="000000"/>
      <w:kern w:val="0"/>
      <w:sz w:val="24"/>
    </w:rPr>
  </w:style>
  <w:style w:type="paragraph" w:customStyle="1" w:styleId="624">
    <w:name w:val="xl124"/>
    <w:basedOn w:val="1"/>
    <w:qFormat/>
    <w:uiPriority w:val="0"/>
    <w:pPr>
      <w:widowControl/>
      <w:pBdr>
        <w:left w:val="single" w:color="000000" w:sz="8" w:space="0"/>
        <w:bottom w:val="single" w:color="000000" w:sz="8" w:space="0"/>
      </w:pBdr>
      <w:spacing w:before="100" w:beforeAutospacing="1" w:after="100" w:afterAutospacing="1"/>
    </w:pPr>
    <w:rPr>
      <w:rFonts w:ascii="新宋体" w:hAnsi="新宋体" w:eastAsia="新宋体" w:cs="宋体"/>
      <w:kern w:val="0"/>
      <w:sz w:val="24"/>
    </w:rPr>
  </w:style>
  <w:style w:type="paragraph" w:customStyle="1" w:styleId="625">
    <w:name w:val="xl125"/>
    <w:basedOn w:val="1"/>
    <w:uiPriority w:val="0"/>
    <w:pPr>
      <w:widowControl/>
      <w:pBdr>
        <w:bottom w:val="single" w:color="000000" w:sz="8" w:space="0"/>
      </w:pBdr>
      <w:spacing w:before="100" w:beforeAutospacing="1" w:after="100" w:afterAutospacing="1"/>
    </w:pPr>
    <w:rPr>
      <w:rFonts w:ascii="新宋体" w:hAnsi="新宋体" w:eastAsia="新宋体" w:cs="宋体"/>
      <w:kern w:val="0"/>
      <w:sz w:val="24"/>
    </w:rPr>
  </w:style>
  <w:style w:type="paragraph" w:customStyle="1" w:styleId="626">
    <w:name w:val="xl126"/>
    <w:basedOn w:val="1"/>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pPr>
    <w:rPr>
      <w:rFonts w:ascii="新宋体" w:hAnsi="新宋体" w:eastAsia="新宋体" w:cs="宋体"/>
      <w:b/>
      <w:bCs/>
      <w:color w:val="000000"/>
      <w:kern w:val="0"/>
      <w:sz w:val="24"/>
    </w:rPr>
  </w:style>
  <w:style w:type="paragraph" w:customStyle="1" w:styleId="627">
    <w:name w:val="xl127"/>
    <w:basedOn w:val="1"/>
    <w:qFormat/>
    <w:uiPriority w:val="0"/>
    <w:pPr>
      <w:widowControl/>
      <w:pBdr>
        <w:top w:val="single" w:color="000000" w:sz="8" w:space="0"/>
        <w:left w:val="single" w:color="000000" w:sz="8" w:space="0"/>
        <w:bottom w:val="single" w:color="000000" w:sz="8" w:space="0"/>
      </w:pBdr>
      <w:shd w:val="clear" w:color="000000" w:fill="FFFFFF"/>
      <w:spacing w:before="100" w:beforeAutospacing="1" w:after="100" w:afterAutospacing="1"/>
    </w:pPr>
    <w:rPr>
      <w:rFonts w:ascii="新宋体" w:hAnsi="新宋体" w:eastAsia="新宋体" w:cs="宋体"/>
      <w:color w:val="000000"/>
      <w:kern w:val="0"/>
      <w:sz w:val="24"/>
    </w:rPr>
  </w:style>
  <w:style w:type="paragraph" w:customStyle="1" w:styleId="628">
    <w:name w:val="xl128"/>
    <w:basedOn w:val="1"/>
    <w:qFormat/>
    <w:uiPriority w:val="0"/>
    <w:pPr>
      <w:widowControl/>
      <w:pBdr>
        <w:top w:val="single" w:color="000000" w:sz="8" w:space="0"/>
        <w:bottom w:val="single" w:color="000000" w:sz="8" w:space="0"/>
      </w:pBdr>
      <w:shd w:val="clear" w:color="000000" w:fill="FFFFFF"/>
      <w:spacing w:before="100" w:beforeAutospacing="1" w:after="100" w:afterAutospacing="1"/>
    </w:pPr>
    <w:rPr>
      <w:rFonts w:ascii="新宋体" w:hAnsi="新宋体" w:eastAsia="新宋体" w:cs="宋体"/>
      <w:color w:val="000000"/>
      <w:kern w:val="0"/>
      <w:sz w:val="24"/>
    </w:rPr>
  </w:style>
  <w:style w:type="paragraph" w:customStyle="1" w:styleId="629">
    <w:name w:val="xl129"/>
    <w:basedOn w:val="1"/>
    <w:qFormat/>
    <w:uiPriority w:val="0"/>
    <w:pPr>
      <w:widowControl/>
      <w:pBdr>
        <w:top w:val="single" w:color="000000" w:sz="8" w:space="0"/>
        <w:bottom w:val="single" w:color="000000" w:sz="8" w:space="0"/>
        <w:right w:val="single" w:color="000000" w:sz="8" w:space="0"/>
      </w:pBdr>
      <w:shd w:val="clear" w:color="000000" w:fill="FFFFFF"/>
      <w:spacing w:before="100" w:beforeAutospacing="1" w:after="100" w:afterAutospacing="1"/>
    </w:pPr>
    <w:rPr>
      <w:rFonts w:ascii="新宋体" w:hAnsi="新宋体" w:eastAsia="新宋体" w:cs="宋体"/>
      <w:color w:val="000000"/>
      <w:kern w:val="0"/>
      <w:sz w:val="24"/>
    </w:rPr>
  </w:style>
  <w:style w:type="paragraph" w:customStyle="1" w:styleId="630">
    <w:name w:val="xl130"/>
    <w:basedOn w:val="1"/>
    <w:uiPriority w:val="0"/>
    <w:pPr>
      <w:widowControl/>
      <w:pBdr>
        <w:top w:val="single" w:color="000000" w:sz="8" w:space="0"/>
        <w:left w:val="single" w:color="000000" w:sz="8" w:space="0"/>
        <w:bottom w:val="single" w:color="000000" w:sz="8" w:space="0"/>
      </w:pBdr>
      <w:shd w:val="clear" w:color="000000" w:fill="FDE9D9"/>
      <w:spacing w:before="100" w:beforeAutospacing="1" w:after="100" w:afterAutospacing="1"/>
      <w:jc w:val="left"/>
    </w:pPr>
    <w:rPr>
      <w:rFonts w:ascii="新宋体" w:hAnsi="新宋体" w:eastAsia="新宋体" w:cs="宋体"/>
      <w:b/>
      <w:bCs/>
      <w:kern w:val="0"/>
      <w:sz w:val="24"/>
    </w:rPr>
  </w:style>
  <w:style w:type="paragraph" w:customStyle="1" w:styleId="631">
    <w:name w:val="xl131"/>
    <w:basedOn w:val="1"/>
    <w:uiPriority w:val="0"/>
    <w:pPr>
      <w:widowControl/>
      <w:pBdr>
        <w:top w:val="single" w:color="000000" w:sz="8" w:space="0"/>
        <w:bottom w:val="single" w:color="000000" w:sz="8" w:space="0"/>
        <w:right w:val="single" w:color="000000" w:sz="8" w:space="0"/>
      </w:pBdr>
      <w:shd w:val="clear" w:color="000000" w:fill="FDE9D9"/>
      <w:spacing w:before="100" w:beforeAutospacing="1" w:after="100" w:afterAutospacing="1"/>
      <w:jc w:val="left"/>
    </w:pPr>
    <w:rPr>
      <w:rFonts w:ascii="新宋体" w:hAnsi="新宋体" w:eastAsia="新宋体" w:cs="宋体"/>
      <w:b/>
      <w:bCs/>
      <w:kern w:val="0"/>
      <w:sz w:val="24"/>
    </w:rPr>
  </w:style>
  <w:style w:type="paragraph" w:customStyle="1" w:styleId="632">
    <w:name w:val="xl132"/>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left"/>
    </w:pPr>
    <w:rPr>
      <w:rFonts w:ascii="新宋体" w:hAnsi="新宋体" w:eastAsia="新宋体" w:cs="宋体"/>
      <w:b/>
      <w:bCs/>
      <w:color w:val="000000"/>
      <w:kern w:val="0"/>
      <w:sz w:val="24"/>
    </w:rPr>
  </w:style>
  <w:style w:type="paragraph" w:customStyle="1" w:styleId="633">
    <w:name w:val="xl133"/>
    <w:basedOn w:val="1"/>
    <w:qFormat/>
    <w:uiPriority w:val="0"/>
    <w:pPr>
      <w:widowControl/>
      <w:pBdr>
        <w:top w:val="single" w:color="auto" w:sz="8" w:space="0"/>
        <w:bottom w:val="single" w:color="auto" w:sz="8" w:space="0"/>
        <w:right w:val="single" w:color="auto" w:sz="8" w:space="0"/>
      </w:pBdr>
      <w:shd w:val="clear" w:color="000000" w:fill="FDE9D9"/>
      <w:spacing w:before="100" w:beforeAutospacing="1" w:after="100" w:afterAutospacing="1"/>
      <w:jc w:val="left"/>
    </w:pPr>
    <w:rPr>
      <w:rFonts w:ascii="新宋体" w:hAnsi="新宋体" w:eastAsia="新宋体" w:cs="宋体"/>
      <w:b/>
      <w:bCs/>
      <w:color w:val="000000"/>
      <w:kern w:val="0"/>
      <w:sz w:val="24"/>
    </w:rPr>
  </w:style>
  <w:style w:type="paragraph" w:customStyle="1" w:styleId="634">
    <w:name w:val="xl13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新宋体" w:hAnsi="新宋体" w:eastAsia="新宋体" w:cs="宋体"/>
      <w:kern w:val="0"/>
      <w:sz w:val="24"/>
    </w:rPr>
  </w:style>
  <w:style w:type="paragraph" w:customStyle="1" w:styleId="635">
    <w:name w:val="xl135"/>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pPr>
    <w:rPr>
      <w:rFonts w:ascii="新宋体" w:hAnsi="新宋体" w:eastAsia="新宋体" w:cs="宋体"/>
      <w:b/>
      <w:bCs/>
      <w:kern w:val="0"/>
      <w:sz w:val="24"/>
    </w:rPr>
  </w:style>
  <w:style w:type="paragraph" w:customStyle="1" w:styleId="636">
    <w:name w:val="xl136"/>
    <w:basedOn w:val="1"/>
    <w:qFormat/>
    <w:uiPriority w:val="0"/>
    <w:pPr>
      <w:widowControl/>
      <w:pBdr>
        <w:top w:val="single" w:color="000000" w:sz="8" w:space="0"/>
        <w:bottom w:val="single" w:color="000000" w:sz="8" w:space="0"/>
      </w:pBdr>
      <w:spacing w:before="100" w:beforeAutospacing="1" w:after="100" w:afterAutospacing="1"/>
      <w:jc w:val="left"/>
    </w:pPr>
    <w:rPr>
      <w:rFonts w:ascii="新宋体" w:hAnsi="新宋体" w:eastAsia="新宋体" w:cs="宋体"/>
      <w:b/>
      <w:bCs/>
      <w:kern w:val="0"/>
      <w:sz w:val="24"/>
    </w:rPr>
  </w:style>
  <w:style w:type="paragraph" w:customStyle="1" w:styleId="637">
    <w:name w:val="xl137"/>
    <w:basedOn w:val="1"/>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新宋体" w:hAnsi="新宋体" w:eastAsia="新宋体" w:cs="宋体"/>
      <w:b/>
      <w:bCs/>
      <w:kern w:val="0"/>
      <w:sz w:val="24"/>
    </w:rPr>
  </w:style>
  <w:style w:type="paragraph" w:customStyle="1" w:styleId="638">
    <w:name w:val="xl138"/>
    <w:basedOn w:val="1"/>
    <w:qFormat/>
    <w:uiPriority w:val="0"/>
    <w:pPr>
      <w:widowControl/>
      <w:pBdr>
        <w:top w:val="single" w:color="000000" w:sz="8" w:space="0"/>
        <w:bottom w:val="single" w:color="000000" w:sz="8" w:space="0"/>
      </w:pBdr>
      <w:shd w:val="clear" w:color="000000" w:fill="FDE9D9"/>
      <w:spacing w:before="100" w:beforeAutospacing="1" w:after="100" w:afterAutospacing="1"/>
      <w:jc w:val="left"/>
    </w:pPr>
    <w:rPr>
      <w:rFonts w:ascii="新宋体" w:hAnsi="新宋体" w:eastAsia="新宋体" w:cs="宋体"/>
      <w:b/>
      <w:bCs/>
      <w:kern w:val="0"/>
      <w:sz w:val="24"/>
    </w:rPr>
  </w:style>
  <w:style w:type="paragraph" w:customStyle="1" w:styleId="639">
    <w:name w:val="xl139"/>
    <w:basedOn w:val="1"/>
    <w:qFormat/>
    <w:uiPriority w:val="0"/>
    <w:pPr>
      <w:widowControl/>
      <w:pBdr>
        <w:right w:val="single" w:color="000000" w:sz="8" w:space="0"/>
      </w:pBdr>
      <w:spacing w:before="100" w:beforeAutospacing="1" w:after="100" w:afterAutospacing="1"/>
      <w:jc w:val="center"/>
    </w:pPr>
    <w:rPr>
      <w:rFonts w:ascii="新宋体" w:hAnsi="新宋体" w:eastAsia="新宋体" w:cs="宋体"/>
      <w:kern w:val="0"/>
      <w:sz w:val="24"/>
    </w:rPr>
  </w:style>
  <w:style w:type="paragraph" w:customStyle="1" w:styleId="640">
    <w:name w:val="xl140"/>
    <w:basedOn w:val="1"/>
    <w:uiPriority w:val="0"/>
    <w:pPr>
      <w:widowControl/>
      <w:pBdr>
        <w:top w:val="single" w:color="auto" w:sz="8" w:space="0"/>
        <w:bottom w:val="single" w:color="auto" w:sz="8" w:space="0"/>
      </w:pBdr>
      <w:shd w:val="clear" w:color="000000" w:fill="FDE9D9"/>
      <w:spacing w:before="100" w:beforeAutospacing="1" w:after="100" w:afterAutospacing="1"/>
      <w:jc w:val="left"/>
    </w:pPr>
    <w:rPr>
      <w:rFonts w:ascii="新宋体" w:hAnsi="新宋体" w:eastAsia="新宋体" w:cs="宋体"/>
      <w:b/>
      <w:bCs/>
      <w:color w:val="000000"/>
      <w:kern w:val="0"/>
      <w:sz w:val="24"/>
    </w:rPr>
  </w:style>
  <w:style w:type="paragraph" w:customStyle="1" w:styleId="641">
    <w:name w:val="xl141"/>
    <w:basedOn w:val="1"/>
    <w:qFormat/>
    <w:uiPriority w:val="0"/>
    <w:pPr>
      <w:widowControl/>
      <w:pBdr>
        <w:bottom w:val="single" w:color="000000" w:sz="8" w:space="0"/>
        <w:right w:val="single" w:color="000000" w:sz="8" w:space="0"/>
      </w:pBdr>
      <w:spacing w:before="100" w:beforeAutospacing="1" w:after="100" w:afterAutospacing="1"/>
    </w:pPr>
    <w:rPr>
      <w:rFonts w:ascii="新宋体" w:hAnsi="新宋体" w:eastAsia="新宋体" w:cs="宋体"/>
      <w:kern w:val="0"/>
      <w:sz w:val="24"/>
    </w:rPr>
  </w:style>
  <w:style w:type="paragraph" w:customStyle="1" w:styleId="642">
    <w:name w:val="xl142"/>
    <w:basedOn w:val="1"/>
    <w:uiPriority w:val="0"/>
    <w:pPr>
      <w:widowControl/>
      <w:pBdr>
        <w:left w:val="single" w:color="auto" w:sz="8" w:space="0"/>
        <w:bottom w:val="single" w:color="000000" w:sz="8" w:space="0"/>
      </w:pBdr>
      <w:shd w:val="clear" w:color="000000" w:fill="FDE9D9"/>
      <w:spacing w:before="100" w:beforeAutospacing="1" w:after="100" w:afterAutospacing="1"/>
      <w:jc w:val="left"/>
    </w:pPr>
    <w:rPr>
      <w:rFonts w:ascii="新宋体" w:hAnsi="新宋体" w:eastAsia="新宋体" w:cs="宋体"/>
      <w:b/>
      <w:bCs/>
      <w:color w:val="000000"/>
      <w:kern w:val="0"/>
      <w:sz w:val="24"/>
    </w:rPr>
  </w:style>
  <w:style w:type="paragraph" w:customStyle="1" w:styleId="643">
    <w:name w:val="xl143"/>
    <w:basedOn w:val="1"/>
    <w:qFormat/>
    <w:uiPriority w:val="0"/>
    <w:pPr>
      <w:widowControl/>
      <w:pBdr>
        <w:bottom w:val="single" w:color="000000" w:sz="8" w:space="0"/>
      </w:pBdr>
      <w:shd w:val="clear" w:color="000000" w:fill="FDE9D9"/>
      <w:spacing w:before="100" w:beforeAutospacing="1" w:after="100" w:afterAutospacing="1"/>
      <w:jc w:val="left"/>
    </w:pPr>
    <w:rPr>
      <w:rFonts w:ascii="新宋体" w:hAnsi="新宋体" w:eastAsia="新宋体" w:cs="宋体"/>
      <w:b/>
      <w:bCs/>
      <w:color w:val="000000"/>
      <w:kern w:val="0"/>
      <w:sz w:val="24"/>
    </w:rPr>
  </w:style>
  <w:style w:type="paragraph" w:customStyle="1" w:styleId="644">
    <w:name w:val="xl144"/>
    <w:basedOn w:val="1"/>
    <w:uiPriority w:val="0"/>
    <w:pPr>
      <w:widowControl/>
      <w:pBdr>
        <w:bottom w:val="single" w:color="000000" w:sz="8" w:space="0"/>
        <w:right w:val="single" w:color="000000" w:sz="8" w:space="0"/>
      </w:pBdr>
      <w:shd w:val="clear" w:color="000000" w:fill="FDE9D9"/>
      <w:spacing w:before="100" w:beforeAutospacing="1" w:after="100" w:afterAutospacing="1"/>
      <w:jc w:val="left"/>
    </w:pPr>
    <w:rPr>
      <w:rFonts w:ascii="新宋体" w:hAnsi="新宋体" w:eastAsia="新宋体" w:cs="宋体"/>
      <w:b/>
      <w:bCs/>
      <w:color w:val="000000"/>
      <w:kern w:val="0"/>
      <w:sz w:val="24"/>
    </w:rPr>
  </w:style>
  <w:style w:type="paragraph" w:customStyle="1" w:styleId="645">
    <w:name w:val="xl145"/>
    <w:basedOn w:val="1"/>
    <w:uiPriority w:val="0"/>
    <w:pPr>
      <w:widowControl/>
      <w:pBdr>
        <w:bottom w:val="single" w:color="000000" w:sz="8" w:space="0"/>
      </w:pBdr>
      <w:shd w:val="clear" w:color="000000" w:fill="FDE9D9"/>
      <w:spacing w:before="100" w:beforeAutospacing="1" w:after="100" w:afterAutospacing="1"/>
      <w:jc w:val="left"/>
    </w:pPr>
    <w:rPr>
      <w:rFonts w:ascii="新宋体" w:hAnsi="新宋体" w:eastAsia="新宋体" w:cs="宋体"/>
      <w:b/>
      <w:bCs/>
      <w:color w:val="000000"/>
      <w:kern w:val="0"/>
      <w:sz w:val="24"/>
    </w:rPr>
  </w:style>
  <w:style w:type="paragraph" w:customStyle="1" w:styleId="646">
    <w:name w:val="xl146"/>
    <w:basedOn w:val="1"/>
    <w:qFormat/>
    <w:uiPriority w:val="0"/>
    <w:pPr>
      <w:widowControl/>
      <w:pBdr>
        <w:bottom w:val="single" w:color="000000" w:sz="8" w:space="0"/>
        <w:right w:val="single" w:color="000000" w:sz="8" w:space="0"/>
      </w:pBdr>
      <w:shd w:val="clear" w:color="000000" w:fill="FDE9D9"/>
      <w:spacing w:before="100" w:beforeAutospacing="1" w:after="100" w:afterAutospacing="1"/>
      <w:jc w:val="left"/>
    </w:pPr>
    <w:rPr>
      <w:rFonts w:ascii="新宋体" w:hAnsi="新宋体" w:eastAsia="新宋体" w:cs="宋体"/>
      <w:b/>
      <w:bCs/>
      <w:color w:val="000000"/>
      <w:kern w:val="0"/>
      <w:sz w:val="24"/>
    </w:rPr>
  </w:style>
  <w:style w:type="character" w:customStyle="1" w:styleId="647">
    <w:name w:val="last-child"/>
    <w:basedOn w:val="57"/>
    <w:uiPriority w:val="0"/>
  </w:style>
  <w:style w:type="character" w:customStyle="1" w:styleId="648">
    <w:name w:val="nth-child(3)"/>
    <w:basedOn w:val="57"/>
    <w:uiPriority w:val="0"/>
  </w:style>
  <w:style w:type="character" w:customStyle="1" w:styleId="649">
    <w:name w:val="nth-child(1)"/>
    <w:basedOn w:val="57"/>
    <w:qFormat/>
    <w:uiPriority w:val="0"/>
  </w:style>
  <w:style w:type="character" w:customStyle="1" w:styleId="650">
    <w:name w:val="nth-child(2)"/>
    <w:basedOn w:val="5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6D4B8-7BA9-467F-933E-6ECF05D8DC7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17780</Words>
  <Characters>101350</Characters>
  <Lines>844</Lines>
  <Paragraphs>237</Paragraphs>
  <TotalTime>4</TotalTime>
  <ScaleCrop>false</ScaleCrop>
  <LinksUpToDate>false</LinksUpToDate>
  <CharactersWithSpaces>118893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2021-08-20T05:56:00Z</dcterms:created>
  <dc:creator>Suzw</dc:creator>
  <cp:lastModifiedBy>Administrator</cp:lastModifiedBy>
  <cp:lastPrinted>2021-02-05T03:17:00Z</cp:lastPrinted>
  <dcterms:modified xsi:type="dcterms:W3CDTF">2021-09-09T07:38:38Z</dcterms:modified>
  <dc:title>专用设备招标采购文件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40FEE6E04E494FD4AD3514DE1B438F71</vt:lpwstr>
  </property>
</Properties>
</file>