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tabs>
          <w:tab w:val="center" w:pos="4950"/>
          <w:tab w:val="right" w:pos="9781"/>
        </w:tabs>
        <w:ind w:firstLine="2940" w:firstLineChars="350"/>
        <w:jc w:val="left"/>
        <w:rPr>
          <w:ins w:id="0" w:author="Administrator" w:date="2020-09-28T17:36:40Z"/>
          <w:rFonts w:asciiTheme="majorEastAsia" w:hAnsiTheme="majorEastAsia" w:eastAsiaTheme="majorEastAsia"/>
          <w:sz w:val="84"/>
          <w:szCs w:val="84"/>
        </w:rPr>
      </w:pPr>
    </w:p>
    <w:p>
      <w:pPr>
        <w:pStyle w:val="10"/>
        <w:rPr>
          <w:ins w:id="1" w:author="Administrator" w:date="2020-09-28T17:36:40Z"/>
          <w:rFonts w:asciiTheme="majorEastAsia" w:hAnsiTheme="majorEastAsia" w:eastAsiaTheme="majorEastAsia"/>
          <w:sz w:val="84"/>
          <w:szCs w:val="84"/>
        </w:rPr>
      </w:pPr>
    </w:p>
    <w:p/>
    <w:p>
      <w:pPr>
        <w:pStyle w:val="16"/>
        <w:tabs>
          <w:tab w:val="center" w:pos="4950"/>
          <w:tab w:val="right" w:pos="9781"/>
        </w:tabs>
        <w:ind w:firstLine="2419" w:firstLineChars="288"/>
        <w:jc w:val="left"/>
        <w:rPr>
          <w:rFonts w:asciiTheme="majorEastAsia" w:hAnsiTheme="majorEastAsia" w:eastAsiaTheme="majorEastAsia"/>
          <w:b/>
          <w:bCs/>
          <w:sz w:val="84"/>
          <w:szCs w:val="84"/>
        </w:rPr>
      </w:pPr>
      <w:r>
        <w:rPr>
          <w:rFonts w:hint="eastAsia" w:asciiTheme="majorEastAsia" w:hAnsiTheme="majorEastAsia" w:eastAsiaTheme="majorEastAsia"/>
          <w:sz w:val="84"/>
          <w:szCs w:val="84"/>
        </w:rPr>
        <w:t>公开招标文件</w:t>
      </w:r>
    </w:p>
    <w:p>
      <w:pPr>
        <w:jc w:val="center"/>
        <w:rPr>
          <w:rFonts w:asciiTheme="majorEastAsia" w:hAnsiTheme="majorEastAsia" w:eastAsiaTheme="majorEastAsia"/>
          <w:sz w:val="52"/>
          <w:szCs w:val="52"/>
        </w:rPr>
      </w:pPr>
    </w:p>
    <w:p>
      <w:pPr>
        <w:jc w:val="center"/>
        <w:rPr>
          <w:rFonts w:asciiTheme="majorEastAsia" w:hAnsiTheme="majorEastAsia" w:eastAsiaTheme="majorEastAsia"/>
          <w:b/>
          <w:bCs/>
          <w:sz w:val="32"/>
          <w:szCs w:val="32"/>
        </w:rPr>
      </w:pPr>
    </w:p>
    <w:p>
      <w:pPr>
        <w:pStyle w:val="16"/>
        <w:rPr>
          <w:rFonts w:asciiTheme="majorEastAsia" w:hAnsiTheme="majorEastAsia" w:eastAsiaTheme="majorEastAsia"/>
          <w:sz w:val="32"/>
          <w:szCs w:val="32"/>
        </w:rPr>
      </w:pPr>
    </w:p>
    <w:p>
      <w:pPr>
        <w:ind w:left="3541" w:leftChars="900" w:hanging="1561" w:hangingChars="486"/>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项目名称：中国（广西）自由贸易试验区南宁片区统计信息应用系统</w:t>
      </w:r>
    </w:p>
    <w:p>
      <w:pPr>
        <w:ind w:left="2822" w:leftChars="900" w:hanging="842" w:hangingChars="262"/>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项目编号：NNZC2020-G3-990116-GXYZ</w:t>
      </w:r>
    </w:p>
    <w:p>
      <w:pPr>
        <w:ind w:left="2822" w:leftChars="900" w:hanging="842" w:hangingChars="262"/>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采购计划文号：</w:t>
      </w:r>
      <w:r>
        <w:fldChar w:fldCharType="begin"/>
      </w:r>
      <w:r>
        <w:instrText xml:space="preserve"> HYPERLINK "https://pay.zcygov.cn/purchaseplan_front/" \l "/plan/list/detail?id=1000000000003386152&amp;encrypt=5ea8bbc818bd200408bcbb07ff8c6096" \t "https://bidding.zcygov.cn/xmgl/projectQuery/_blank" </w:instrText>
      </w:r>
      <w:r>
        <w:fldChar w:fldCharType="separate"/>
      </w:r>
      <w:r>
        <w:rPr>
          <w:rFonts w:hint="eastAsia" w:asciiTheme="majorEastAsia" w:hAnsiTheme="majorEastAsia" w:eastAsiaTheme="majorEastAsia"/>
          <w:b/>
          <w:bCs/>
          <w:sz w:val="32"/>
          <w:szCs w:val="32"/>
        </w:rPr>
        <w:t>[2020]NCCJA075-001</w:t>
      </w:r>
      <w:r>
        <w:rPr>
          <w:rFonts w:hint="eastAsia" w:asciiTheme="majorEastAsia" w:hAnsiTheme="majorEastAsia" w:eastAsiaTheme="majorEastAsia"/>
          <w:b/>
          <w:bCs/>
          <w:sz w:val="32"/>
          <w:szCs w:val="32"/>
        </w:rPr>
        <w:fldChar w:fldCharType="end"/>
      </w:r>
    </w:p>
    <w:p>
      <w:pPr>
        <w:ind w:left="2822" w:leftChars="900" w:hanging="842" w:hangingChars="262"/>
        <w:rPr>
          <w:rFonts w:asciiTheme="majorEastAsia" w:hAnsiTheme="majorEastAsia" w:eastAsiaTheme="majorEastAsia"/>
          <w:b/>
          <w:bCs/>
          <w:sz w:val="32"/>
          <w:szCs w:val="32"/>
        </w:rPr>
      </w:pPr>
    </w:p>
    <w:p>
      <w:pPr>
        <w:ind w:left="2556" w:leftChars="900" w:hanging="576" w:hangingChars="262"/>
        <w:rPr>
          <w:rFonts w:asciiTheme="majorEastAsia" w:hAnsiTheme="majorEastAsia" w:eastAsiaTheme="majorEastAsia"/>
          <w:b/>
          <w:bCs/>
          <w:sz w:val="32"/>
          <w:szCs w:val="32"/>
        </w:rPr>
        <w:sectPr>
          <w:headerReference r:id="rId5" w:type="first"/>
          <w:headerReference r:id="rId3" w:type="default"/>
          <w:footerReference r:id="rId6" w:type="default"/>
          <w:headerReference r:id="rId4" w:type="even"/>
          <w:footerReference r:id="rId7" w:type="even"/>
          <w:pgSz w:w="11906" w:h="16838"/>
          <w:pgMar w:top="1440" w:right="1366" w:bottom="1440" w:left="1080" w:header="851" w:footer="907" w:gutter="0"/>
          <w:cols w:space="720" w:num="1"/>
          <w:titlePg/>
          <w:docGrid w:type="lines" w:linePitch="312" w:charSpace="0"/>
        </w:sectPr>
      </w:pPr>
      <w:r>
        <w:drawing>
          <wp:anchor distT="0" distB="0" distL="114300" distR="114300" simplePos="0" relativeHeight="251661312" behindDoc="1" locked="0" layoutInCell="1" allowOverlap="1">
            <wp:simplePos x="0" y="0"/>
            <wp:positionH relativeFrom="column">
              <wp:posOffset>235585</wp:posOffset>
            </wp:positionH>
            <wp:positionV relativeFrom="paragraph">
              <wp:posOffset>47625</wp:posOffset>
            </wp:positionV>
            <wp:extent cx="6003925" cy="2691765"/>
            <wp:effectExtent l="0" t="0" r="15875" b="13335"/>
            <wp:wrapTight wrapText="bothSides">
              <wp:wrapPolygon>
                <wp:start x="0" y="0"/>
                <wp:lineTo x="0" y="21401"/>
                <wp:lineTo x="21520" y="21401"/>
                <wp:lineTo x="21520" y="0"/>
                <wp:lineTo x="0"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6"/>
                    <a:stretch>
                      <a:fillRect/>
                    </a:stretch>
                  </pic:blipFill>
                  <pic:spPr>
                    <a:xfrm>
                      <a:off x="0" y="0"/>
                      <a:ext cx="6003925" cy="2691765"/>
                    </a:xfrm>
                    <a:prstGeom prst="rect">
                      <a:avLst/>
                    </a:prstGeom>
                    <a:noFill/>
                    <a:ln>
                      <a:noFill/>
                    </a:ln>
                  </pic:spPr>
                </pic:pic>
              </a:graphicData>
            </a:graphic>
          </wp:anchor>
        </w:drawing>
      </w:r>
    </w:p>
    <w:p>
      <w:pPr>
        <w:spacing w:line="440" w:lineRule="exact"/>
        <w:ind w:firstLine="643" w:firstLineChars="200"/>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关于投标文件邮寄形式的通知</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为做好新型冠状病毒肺炎疫情防控工作，根据南宁市财政局《关于做好疫情防控期间政府采购工作有关事项的通知》（南财采〔2020〕12号）要求，现对本项目相关事项通知如下：</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（一）本项目投标截止（开标）时间为：</w:t>
      </w:r>
      <w:r>
        <w:rPr>
          <w:rFonts w:asciiTheme="majorEastAsia" w:hAnsiTheme="majorEastAsia" w:eastAsiaTheme="majorEastAsia"/>
          <w:b/>
          <w:bCs/>
          <w:sz w:val="24"/>
          <w:szCs w:val="24"/>
        </w:rPr>
        <w:t>2020年</w:t>
      </w:r>
      <w:r>
        <w:rPr>
          <w:rFonts w:hint="eastAsia" w:asciiTheme="majorEastAsia" w:hAnsiTheme="majorEastAsia" w:eastAsiaTheme="majorEastAsia"/>
          <w:b/>
          <w:bCs/>
          <w:sz w:val="24"/>
          <w:szCs w:val="24"/>
          <w:lang w:val="en-US" w:eastAsia="zh-CN"/>
        </w:rPr>
        <w:t>10</w:t>
      </w:r>
      <w:r>
        <w:rPr>
          <w:rFonts w:hint="eastAsia" w:asciiTheme="majorEastAsia" w:hAnsiTheme="majorEastAsia" w:eastAsiaTheme="majorEastAsia"/>
          <w:b/>
          <w:bCs/>
          <w:sz w:val="24"/>
          <w:szCs w:val="24"/>
        </w:rPr>
        <w:t>月</w:t>
      </w:r>
      <w:r>
        <w:rPr>
          <w:rFonts w:hint="eastAsia" w:asciiTheme="majorEastAsia" w:hAnsiTheme="majorEastAsia" w:eastAsiaTheme="majorEastAsia"/>
          <w:b/>
          <w:bCs/>
          <w:sz w:val="24"/>
          <w:szCs w:val="24"/>
          <w:lang w:val="en-US" w:eastAsia="zh-CN"/>
        </w:rPr>
        <w:t>20</w:t>
      </w:r>
      <w:r>
        <w:rPr>
          <w:rFonts w:hint="eastAsia" w:asciiTheme="majorEastAsia" w:hAnsiTheme="majorEastAsia" w:eastAsiaTheme="majorEastAsia"/>
          <w:b/>
          <w:bCs/>
          <w:sz w:val="24"/>
          <w:szCs w:val="24"/>
        </w:rPr>
        <w:t>日</w:t>
      </w:r>
      <w:r>
        <w:rPr>
          <w:rFonts w:hint="eastAsia" w:asciiTheme="majorEastAsia" w:hAnsiTheme="majorEastAsia" w:eastAsiaTheme="majorEastAsia"/>
          <w:b/>
          <w:bCs/>
          <w:sz w:val="24"/>
          <w:szCs w:val="24"/>
          <w:lang w:val="en-US" w:eastAsia="zh-CN"/>
        </w:rPr>
        <w:t>09</w:t>
      </w:r>
      <w:r>
        <w:rPr>
          <w:rFonts w:hint="eastAsia" w:asciiTheme="majorEastAsia" w:hAnsiTheme="majorEastAsia" w:eastAsiaTheme="majorEastAsia"/>
          <w:b/>
          <w:bCs/>
          <w:sz w:val="24"/>
          <w:szCs w:val="24"/>
        </w:rPr>
        <w:t>时</w:t>
      </w:r>
      <w:r>
        <w:rPr>
          <w:rFonts w:hint="eastAsia" w:asciiTheme="majorEastAsia" w:hAnsiTheme="majorEastAsia" w:eastAsiaTheme="majorEastAsia"/>
          <w:b/>
          <w:bCs/>
          <w:sz w:val="24"/>
          <w:szCs w:val="24"/>
          <w:lang w:val="en-US" w:eastAsia="zh-CN"/>
        </w:rPr>
        <w:t>30</w:t>
      </w:r>
      <w:r>
        <w:rPr>
          <w:rFonts w:hint="eastAsia" w:asciiTheme="majorEastAsia" w:hAnsiTheme="majorEastAsia" w:eastAsiaTheme="majorEastAsia"/>
          <w:b/>
          <w:bCs/>
          <w:sz w:val="24"/>
          <w:szCs w:val="24"/>
        </w:rPr>
        <w:t>分。</w:t>
      </w:r>
    </w:p>
    <w:p>
      <w:pPr>
        <w:spacing w:line="44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（二）本项目的投标文件通过邮寄快递的方式送达。</w:t>
      </w:r>
    </w:p>
    <w:p>
      <w:pPr>
        <w:spacing w:line="440" w:lineRule="exact"/>
        <w:ind w:firstLine="723" w:firstLineChars="300"/>
        <w:rPr>
          <w:rFonts w:asciiTheme="majorEastAsia" w:hAnsiTheme="majorEastAsia" w:eastAsiaTheme="majorEastAsia"/>
          <w:b/>
          <w:sz w:val="24"/>
          <w:szCs w:val="24"/>
        </w:rPr>
      </w:pPr>
      <w:r>
        <w:rPr>
          <w:rFonts w:asciiTheme="majorEastAsia" w:hAnsiTheme="majorEastAsia" w:eastAsiaTheme="majorEastAsia"/>
          <w:b/>
          <w:sz w:val="24"/>
          <w:szCs w:val="24"/>
        </w:rPr>
        <w:t>1、接收邮寄快递包裹的时间为工作日上午9：00～12：00，下午15：00～18:00，投标人应对自己的投标文件的快递包封和密封性负责，如送达的快递包裹出现破损导致投标文件密封性包封破损的，后果由投标人自行承担。</w:t>
      </w:r>
    </w:p>
    <w:p>
      <w:pPr>
        <w:spacing w:line="440" w:lineRule="exact"/>
        <w:ind w:firstLine="720" w:firstLineChars="300"/>
        <w:rPr>
          <w:rFonts w:asciiTheme="majorEastAsia" w:hAnsiTheme="majorEastAsia" w:eastAsiaTheme="majorEastAsia"/>
          <w:sz w:val="24"/>
          <w:szCs w:val="24"/>
        </w:rPr>
      </w:pPr>
      <w:r>
        <w:rPr>
          <w:rFonts w:asciiTheme="majorEastAsia" w:hAnsiTheme="majorEastAsia" w:eastAsiaTheme="majorEastAsia"/>
          <w:sz w:val="24"/>
          <w:szCs w:val="24"/>
        </w:rPr>
        <w:t>2、</w:t>
      </w:r>
      <w:r>
        <w:rPr>
          <w:rFonts w:hint="eastAsia" w:asciiTheme="majorEastAsia" w:hAnsiTheme="majorEastAsia" w:eastAsiaTheme="majorEastAsia"/>
          <w:b/>
          <w:bCs/>
          <w:sz w:val="24"/>
          <w:szCs w:val="24"/>
        </w:rPr>
        <w:t>投标文件必须在投标截止时间前一小时（即</w:t>
      </w:r>
      <w:r>
        <w:rPr>
          <w:rFonts w:hint="eastAsia" w:asciiTheme="majorEastAsia" w:hAnsiTheme="majorEastAsia" w:eastAsiaTheme="majorEastAsia"/>
          <w:b/>
          <w:bCs/>
          <w:sz w:val="24"/>
          <w:szCs w:val="24"/>
          <w:lang w:val="en-US" w:eastAsia="zh-CN"/>
        </w:rPr>
        <w:t>08</w:t>
      </w:r>
      <w:r>
        <w:rPr>
          <w:rFonts w:hint="eastAsia" w:asciiTheme="majorEastAsia" w:hAnsiTheme="majorEastAsia" w:eastAsiaTheme="majorEastAsia"/>
          <w:b/>
          <w:bCs/>
          <w:sz w:val="24"/>
          <w:szCs w:val="24"/>
        </w:rPr>
        <w:t>时</w:t>
      </w:r>
      <w:r>
        <w:rPr>
          <w:rFonts w:hint="eastAsia" w:asciiTheme="majorEastAsia" w:hAnsiTheme="majorEastAsia" w:eastAsiaTheme="majorEastAsia"/>
          <w:b/>
          <w:bCs/>
          <w:sz w:val="24"/>
          <w:szCs w:val="24"/>
          <w:lang w:val="en-US" w:eastAsia="zh-CN"/>
        </w:rPr>
        <w:t>30</w:t>
      </w:r>
      <w:r>
        <w:rPr>
          <w:rFonts w:hint="eastAsia" w:asciiTheme="majorEastAsia" w:hAnsiTheme="majorEastAsia" w:eastAsiaTheme="majorEastAsia"/>
          <w:b/>
          <w:bCs/>
          <w:sz w:val="24"/>
          <w:szCs w:val="24"/>
        </w:rPr>
        <w:t>分）送达。</w:t>
      </w:r>
      <w:r>
        <w:rPr>
          <w:rFonts w:hint="eastAsia" w:asciiTheme="majorEastAsia" w:hAnsiTheme="majorEastAsia" w:eastAsiaTheme="majorEastAsia"/>
          <w:sz w:val="24"/>
          <w:szCs w:val="24"/>
        </w:rPr>
        <w:t>采购代理机构工作人员签收邮寄包裹的时间即为投标人投标文件的送达时间，逾期送达的投标文件无效，后果由投标人自行承担。</w:t>
      </w:r>
    </w:p>
    <w:p>
      <w:pPr>
        <w:spacing w:line="440" w:lineRule="exact"/>
        <w:ind w:firstLine="720" w:firstLineChars="300"/>
        <w:rPr>
          <w:rFonts w:asciiTheme="majorEastAsia" w:hAnsiTheme="majorEastAsia" w:eastAsiaTheme="majorEastAsia"/>
          <w:b/>
          <w:sz w:val="24"/>
          <w:szCs w:val="24"/>
        </w:rPr>
      </w:pPr>
      <w:r>
        <w:rPr>
          <w:rFonts w:asciiTheme="majorEastAsia" w:hAnsiTheme="majorEastAsia" w:eastAsiaTheme="majorEastAsia"/>
          <w:sz w:val="24"/>
          <w:szCs w:val="24"/>
        </w:rPr>
        <w:t>3、投标人应充分预留投标文件邮寄、送达所需要的时间。为确保疫情防控期间邮寄包裹能及时送达，</w:t>
      </w:r>
      <w:r>
        <w:rPr>
          <w:rFonts w:asciiTheme="majorEastAsia" w:hAnsiTheme="majorEastAsia" w:eastAsiaTheme="majorEastAsia"/>
          <w:b/>
          <w:sz w:val="24"/>
          <w:szCs w:val="24"/>
        </w:rPr>
        <w:t>应选择邮寄运送时间有保障的快递公司寄送投标文件。</w:t>
      </w:r>
    </w:p>
    <w:p>
      <w:pPr>
        <w:spacing w:line="440" w:lineRule="exact"/>
        <w:ind w:firstLine="720" w:firstLineChars="300"/>
        <w:rPr>
          <w:rFonts w:asciiTheme="majorEastAsia" w:hAnsiTheme="majorEastAsia" w:eastAsiaTheme="majorEastAsia"/>
          <w:sz w:val="24"/>
          <w:szCs w:val="24"/>
        </w:rPr>
      </w:pPr>
      <w:r>
        <w:rPr>
          <w:rFonts w:asciiTheme="majorEastAsia" w:hAnsiTheme="majorEastAsia" w:eastAsiaTheme="majorEastAsia"/>
          <w:sz w:val="24"/>
          <w:szCs w:val="24"/>
        </w:rPr>
        <w:t>4、投标人在按照</w:t>
      </w:r>
      <w:r>
        <w:rPr>
          <w:rFonts w:asciiTheme="majorEastAsia" w:hAnsiTheme="majorEastAsia" w:eastAsiaTheme="majorEastAsia"/>
          <w:b/>
          <w:sz w:val="24"/>
          <w:szCs w:val="24"/>
        </w:rPr>
        <w:t>招标文件的要求</w:t>
      </w:r>
      <w:r>
        <w:rPr>
          <w:rFonts w:asciiTheme="majorEastAsia" w:hAnsiTheme="majorEastAsia" w:eastAsiaTheme="majorEastAsia"/>
          <w:sz w:val="24"/>
          <w:szCs w:val="24"/>
        </w:rPr>
        <w:t>装订、密封好投标文件后，应使用不透明、防水的邮寄袋（或箱）再次包裹已密封好的投标文件，并在邮寄袋（或箱）上粘牢注明项目名称、项目编号、</w:t>
      </w:r>
      <w:r>
        <w:rPr>
          <w:rFonts w:hint="eastAsia" w:asciiTheme="majorEastAsia" w:hAnsiTheme="majorEastAsia" w:eastAsiaTheme="majorEastAsia"/>
          <w:sz w:val="24"/>
          <w:szCs w:val="24"/>
        </w:rPr>
        <w:t>项目开标日期、</w:t>
      </w:r>
      <w:r>
        <w:rPr>
          <w:rFonts w:asciiTheme="majorEastAsia" w:hAnsiTheme="majorEastAsia" w:eastAsiaTheme="majorEastAsia"/>
          <w:sz w:val="24"/>
          <w:szCs w:val="24"/>
        </w:rPr>
        <w:t>有效的电子邮箱等内容的纸质表格</w:t>
      </w:r>
      <w:r>
        <w:rPr>
          <w:rFonts w:asciiTheme="majorEastAsia" w:hAnsiTheme="majorEastAsia" w:eastAsiaTheme="majorEastAsia"/>
          <w:b/>
          <w:sz w:val="24"/>
          <w:szCs w:val="24"/>
        </w:rPr>
        <w:t>（表格格式详见附件）</w:t>
      </w:r>
      <w:r>
        <w:rPr>
          <w:rFonts w:asciiTheme="majorEastAsia" w:hAnsiTheme="majorEastAsia" w:eastAsiaTheme="majorEastAsia"/>
          <w:sz w:val="24"/>
          <w:szCs w:val="24"/>
        </w:rPr>
        <w:t>。</w:t>
      </w:r>
    </w:p>
    <w:p>
      <w:pPr>
        <w:spacing w:line="440" w:lineRule="exact"/>
        <w:ind w:firstLine="723" w:firstLineChars="300"/>
        <w:rPr>
          <w:rFonts w:asciiTheme="majorEastAsia" w:hAnsiTheme="majorEastAsia" w:eastAsiaTheme="majorEastAsia"/>
          <w:b/>
          <w:sz w:val="24"/>
          <w:szCs w:val="24"/>
        </w:rPr>
      </w:pPr>
      <w:r>
        <w:rPr>
          <w:rFonts w:asciiTheme="majorEastAsia" w:hAnsiTheme="majorEastAsia" w:eastAsiaTheme="majorEastAsia"/>
          <w:b/>
          <w:sz w:val="24"/>
          <w:szCs w:val="24"/>
        </w:rPr>
        <w:t>5、采购代理机构在收到投标文件的邮寄包裹后，第一时间按照投标人在邮寄包裹上所预留的电子邮箱告知</w:t>
      </w:r>
      <w:r>
        <w:rPr>
          <w:rFonts w:hint="eastAsia" w:asciiTheme="majorEastAsia" w:hAnsiTheme="majorEastAsia" w:eastAsiaTheme="majorEastAsia"/>
          <w:b/>
          <w:sz w:val="24"/>
          <w:szCs w:val="24"/>
        </w:rPr>
        <w:t>投标</w:t>
      </w:r>
      <w:r>
        <w:rPr>
          <w:rFonts w:asciiTheme="majorEastAsia" w:hAnsiTheme="majorEastAsia" w:eastAsiaTheme="majorEastAsia"/>
          <w:b/>
          <w:sz w:val="24"/>
          <w:szCs w:val="24"/>
        </w:rPr>
        <w:t>文件收件情况，请投标人务必确保所预留的电子邮箱的有效性，并注意查收邮件。</w:t>
      </w:r>
    </w:p>
    <w:p>
      <w:pPr>
        <w:spacing w:line="440" w:lineRule="exact"/>
        <w:ind w:firstLine="720" w:firstLineChars="300"/>
        <w:rPr>
          <w:rFonts w:asciiTheme="majorEastAsia" w:hAnsiTheme="majorEastAsia" w:eastAsiaTheme="majorEastAsia"/>
          <w:sz w:val="24"/>
        </w:rPr>
      </w:pPr>
      <w:r>
        <w:rPr>
          <w:rFonts w:asciiTheme="majorEastAsia" w:hAnsiTheme="majorEastAsia" w:eastAsiaTheme="majorEastAsia"/>
          <w:sz w:val="24"/>
          <w:szCs w:val="24"/>
        </w:rPr>
        <w:t>6、投标文件邮寄地址：</w:t>
      </w:r>
      <w:r>
        <w:rPr>
          <w:rFonts w:hint="eastAsia" w:asciiTheme="majorEastAsia" w:hAnsiTheme="majorEastAsia" w:eastAsiaTheme="majorEastAsia"/>
          <w:sz w:val="24"/>
        </w:rPr>
        <w:t>广西邕政采购代理有限公司（南宁市青秀区思贤路</w:t>
      </w:r>
      <w:r>
        <w:rPr>
          <w:rFonts w:asciiTheme="majorEastAsia" w:hAnsiTheme="majorEastAsia" w:eastAsiaTheme="majorEastAsia"/>
          <w:sz w:val="24"/>
        </w:rPr>
        <w:t>45号创投中心16A层）。</w:t>
      </w:r>
    </w:p>
    <w:p>
      <w:pPr>
        <w:spacing w:line="440" w:lineRule="exact"/>
        <w:ind w:firstLine="720" w:firstLineChars="300"/>
        <w:rPr>
          <w:rFonts w:hint="eastAsia" w:asciiTheme="majorEastAsia" w:hAnsiTheme="majorEastAsia" w:eastAsiaTheme="majorEastAsia"/>
          <w:sz w:val="24"/>
          <w:szCs w:val="24"/>
          <w:lang w:eastAsia="zh-CN"/>
        </w:rPr>
      </w:pPr>
      <w:r>
        <w:rPr>
          <w:rFonts w:asciiTheme="majorEastAsia" w:hAnsiTheme="majorEastAsia" w:eastAsiaTheme="majorEastAsia"/>
          <w:sz w:val="24"/>
          <w:szCs w:val="24"/>
        </w:rPr>
        <w:t>收件人：</w:t>
      </w:r>
      <w:r>
        <w:rPr>
          <w:rFonts w:hint="eastAsia" w:asciiTheme="majorEastAsia" w:hAnsiTheme="majorEastAsia" w:eastAsiaTheme="majorEastAsia"/>
          <w:sz w:val="24"/>
          <w:lang w:val="en-US" w:eastAsia="zh-CN"/>
        </w:rPr>
        <w:t>罗工</w:t>
      </w:r>
    </w:p>
    <w:p>
      <w:pPr>
        <w:spacing w:line="440" w:lineRule="exact"/>
        <w:ind w:firstLine="720" w:firstLineChars="300"/>
        <w:rPr>
          <w:rFonts w:asciiTheme="majorEastAsia" w:hAnsiTheme="majorEastAsia" w:eastAsiaTheme="majorEastAsia"/>
          <w:sz w:val="24"/>
          <w:szCs w:val="24"/>
        </w:rPr>
      </w:pPr>
      <w:r>
        <w:rPr>
          <w:rFonts w:asciiTheme="majorEastAsia" w:hAnsiTheme="majorEastAsia" w:eastAsiaTheme="majorEastAsia"/>
          <w:sz w:val="24"/>
          <w:szCs w:val="24"/>
        </w:rPr>
        <w:t>联系电话：0771-2442850</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sz w:val="24"/>
          <w:szCs w:val="24"/>
        </w:rPr>
        <w:t>（三）</w:t>
      </w:r>
      <w:r>
        <w:rPr>
          <w:rFonts w:hint="eastAsia" w:asciiTheme="majorEastAsia" w:hAnsiTheme="majorEastAsia" w:eastAsiaTheme="majorEastAsia"/>
          <w:b/>
          <w:sz w:val="24"/>
          <w:szCs w:val="24"/>
        </w:rPr>
        <w:t>投标人不参加现场开标活动。</w:t>
      </w:r>
      <w:r>
        <w:rPr>
          <w:rFonts w:hint="eastAsia" w:asciiTheme="majorEastAsia" w:hAnsiTheme="majorEastAsia" w:eastAsiaTheme="majorEastAsia"/>
          <w:sz w:val="24"/>
          <w:szCs w:val="24"/>
        </w:rPr>
        <w:t>取消招标文件“第四章投标人须知”中</w:t>
      </w:r>
      <w:r>
        <w:rPr>
          <w:rFonts w:asciiTheme="majorEastAsia" w:hAnsiTheme="majorEastAsia" w:eastAsiaTheme="majorEastAsia"/>
          <w:sz w:val="24"/>
          <w:szCs w:val="24"/>
        </w:rPr>
        <w:t>16.开标”的所有内容。</w:t>
      </w:r>
    </w:p>
    <w:p>
      <w:pPr>
        <w:spacing w:line="440" w:lineRule="exact"/>
        <w:ind w:firstLine="480" w:firstLineChars="200"/>
        <w:rPr>
          <w:rFonts w:asciiTheme="majorEastAsia" w:hAnsiTheme="majorEastAsia" w:eastAsiaTheme="majorEastAsia"/>
          <w:sz w:val="24"/>
          <w:szCs w:val="24"/>
        </w:rPr>
        <w:sectPr>
          <w:footerReference r:id="rId9" w:type="first"/>
          <w:footerReference r:id="rId8" w:type="default"/>
          <w:pgSz w:w="11906" w:h="16838"/>
          <w:pgMar w:top="1440" w:right="1080" w:bottom="1440" w:left="1080" w:header="851" w:footer="907" w:gutter="0"/>
          <w:pgNumType w:fmt="decimal" w:start="1"/>
          <w:cols w:space="720" w:num="1"/>
          <w:titlePg/>
          <w:docGrid w:type="lines" w:linePitch="312" w:charSpace="0"/>
        </w:sect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（四）投标文件拆封及密封性检查。</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截标后，采购代理机构工作人员在公共资源交易中心工作人员和采购人的见证下拆开投标文件包封，采购人对投标文件密封性和投标文件正副本数量进行签字确认。</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（五）关于投标人的报价。</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由采购代理机构在投标文件商务技术符合性审查结束后，根据投标人的投标报价情况填写开标记录表，交由评标委员会对投标人的报价、服务时限等内容进行签字确认。</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（六）关于投标文件澄清的有关要求</w:t>
      </w:r>
    </w:p>
    <w:p>
      <w:pPr>
        <w:spacing w:line="440" w:lineRule="exact"/>
        <w:ind w:firstLine="482" w:firstLineChars="200"/>
        <w:rPr>
          <w:rFonts w:asciiTheme="majorEastAsia" w:hAnsiTheme="majorEastAsia" w:eastAsiaTheme="majorEastAsia"/>
          <w:b/>
          <w:sz w:val="24"/>
          <w:szCs w:val="24"/>
        </w:rPr>
      </w:pPr>
      <w:r>
        <w:rPr>
          <w:rFonts w:asciiTheme="majorEastAsia" w:hAnsiTheme="majorEastAsia" w:eastAsiaTheme="majorEastAsia"/>
          <w:b/>
          <w:sz w:val="24"/>
          <w:szCs w:val="24"/>
        </w:rPr>
        <w:t xml:space="preserve">1、为便于采购代理机构或评标委员会在项目评标期间与投标人取得联系，做好评标过程中投标人对投标文件的澄清、说明或者补正等工作，投标人务必做到：“第五章 </w:t>
      </w:r>
      <w:r>
        <w:rPr>
          <w:rFonts w:hint="eastAsia" w:asciiTheme="majorEastAsia" w:hAnsiTheme="majorEastAsia" w:eastAsiaTheme="majorEastAsia"/>
          <w:b/>
          <w:sz w:val="24"/>
          <w:szCs w:val="24"/>
        </w:rPr>
        <w:t>投标文件格式”中“投标函（格式）”落款处的“电话”务必填写法定代表人或委托代理人的电话联系方式。</w:t>
      </w:r>
    </w:p>
    <w:p>
      <w:pPr>
        <w:spacing w:line="440" w:lineRule="exact"/>
        <w:ind w:firstLine="480" w:firstLineChars="200"/>
        <w:rPr>
          <w:rFonts w:asciiTheme="majorEastAsia" w:hAnsiTheme="majorEastAsia" w:eastAsiaTheme="majorEastAsia"/>
          <w:b/>
          <w:sz w:val="24"/>
          <w:szCs w:val="24"/>
        </w:rPr>
      </w:pPr>
      <w:r>
        <w:rPr>
          <w:rFonts w:asciiTheme="majorEastAsia" w:hAnsiTheme="majorEastAsia" w:eastAsiaTheme="majorEastAsia"/>
          <w:sz w:val="24"/>
          <w:szCs w:val="24"/>
        </w:rPr>
        <w:t>2、</w:t>
      </w:r>
      <w:r>
        <w:rPr>
          <w:rFonts w:hint="eastAsia" w:asciiTheme="majorEastAsia" w:hAnsiTheme="majorEastAsia" w:eastAsiaTheme="majorEastAsia"/>
          <w:b/>
          <w:sz w:val="24"/>
          <w:szCs w:val="24"/>
        </w:rPr>
        <w:t>开标当天投标人务必保持电话畅通。</w:t>
      </w:r>
      <w:r>
        <w:rPr>
          <w:rFonts w:hint="eastAsia" w:asciiTheme="majorEastAsia" w:hAnsiTheme="majorEastAsia" w:eastAsiaTheme="majorEastAsia"/>
          <w:sz w:val="24"/>
          <w:szCs w:val="24"/>
        </w:rPr>
        <w:t>如果评标过程中需要投标人对投标文件作出澄清、说明或者补正的，评标委员会会通知投标人在规定的时间内通过电子邮件、传真等方式提交。</w:t>
      </w:r>
      <w:r>
        <w:rPr>
          <w:rFonts w:hint="eastAsia" w:asciiTheme="majorEastAsia" w:hAnsiTheme="majorEastAsia" w:eastAsiaTheme="majorEastAsia"/>
          <w:b/>
          <w:sz w:val="24"/>
          <w:szCs w:val="24"/>
        </w:rPr>
        <w:t>投标人所提交的澄清、说明或者补正等材料必须加盖投标人的公章确认。</w:t>
      </w:r>
    </w:p>
    <w:p>
      <w:pPr>
        <w:spacing w:line="440" w:lineRule="exact"/>
        <w:ind w:firstLine="482" w:firstLineChars="200"/>
        <w:rPr>
          <w:rFonts w:asciiTheme="majorEastAsia" w:hAnsiTheme="majorEastAsia" w:eastAsiaTheme="majorEastAsia"/>
          <w:b/>
          <w:sz w:val="24"/>
          <w:szCs w:val="24"/>
        </w:rPr>
      </w:pPr>
      <w:r>
        <w:rPr>
          <w:rFonts w:asciiTheme="majorEastAsia" w:hAnsiTheme="majorEastAsia" w:eastAsiaTheme="majorEastAsia"/>
          <w:b/>
          <w:sz w:val="24"/>
          <w:szCs w:val="24"/>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（七）请按通知内容执行，招标文件其余内容不变。</w:t>
      </w:r>
    </w:p>
    <w:p>
      <w:pPr>
        <w:pStyle w:val="85"/>
        <w:spacing w:line="601" w:lineRule="atLeast"/>
        <w:ind w:firstLine="482"/>
        <w:rPr>
          <w:rFonts w:asciiTheme="majorEastAsia" w:hAnsiTheme="majorEastAsia" w:eastAsiaTheme="majorEastAsia"/>
        </w:rPr>
      </w:pPr>
      <w:r>
        <w:rPr>
          <w:rFonts w:asciiTheme="majorEastAsia" w:hAnsiTheme="majorEastAsia" w:eastAsiaTheme="majorEastAsia"/>
        </w:rPr>
        <w:t>特此通知。</w:t>
      </w:r>
    </w:p>
    <w:p>
      <w:pPr>
        <w:spacing w:line="440" w:lineRule="exact"/>
        <w:ind w:firstLine="4440" w:firstLineChars="1850"/>
        <w:rPr>
          <w:rFonts w:asciiTheme="majorEastAsia" w:hAnsiTheme="majorEastAsia" w:eastAsiaTheme="majorEastAsia"/>
          <w:sz w:val="24"/>
        </w:rPr>
      </w:pPr>
    </w:p>
    <w:p>
      <w:pPr>
        <w:spacing w:line="440" w:lineRule="exact"/>
        <w:ind w:firstLine="4440" w:firstLineChars="1850"/>
        <w:rPr>
          <w:rFonts w:asciiTheme="majorEastAsia" w:hAnsiTheme="majorEastAsia" w:eastAsiaTheme="majorEastAsia"/>
          <w:sz w:val="24"/>
        </w:rPr>
      </w:pPr>
      <w:r>
        <w:rPr>
          <w:rFonts w:hint="eastAsia" w:asciiTheme="majorEastAsia" w:hAnsiTheme="majorEastAsia" w:eastAsiaTheme="majorEastAsia"/>
          <w:sz w:val="24"/>
        </w:rPr>
        <w:t>采购代理机构：广西邕政采购代理有限公司</w:t>
      </w:r>
    </w:p>
    <w:p>
      <w:pPr>
        <w:spacing w:line="440" w:lineRule="exact"/>
        <w:ind w:firstLine="5520" w:firstLineChars="2300"/>
        <w:rPr>
          <w:rFonts w:asciiTheme="majorEastAsia" w:hAnsiTheme="majorEastAsia" w:eastAsiaTheme="majorEastAsia"/>
          <w:sz w:val="24"/>
        </w:rPr>
      </w:pPr>
      <w:r>
        <w:rPr>
          <w:rFonts w:hint="eastAsia" w:asciiTheme="majorEastAsia" w:hAnsiTheme="majorEastAsia" w:eastAsiaTheme="majorEastAsia"/>
          <w:sz w:val="24"/>
        </w:rPr>
        <w:t>日期：</w:t>
      </w:r>
      <w:r>
        <w:rPr>
          <w:rFonts w:asciiTheme="majorEastAsia" w:hAnsiTheme="majorEastAsia" w:eastAsiaTheme="majorEastAsia"/>
          <w:sz w:val="24"/>
        </w:rPr>
        <w:t>2020年</w:t>
      </w: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28</w:t>
      </w:r>
      <w:r>
        <w:rPr>
          <w:rFonts w:hint="eastAsia" w:asciiTheme="majorEastAsia" w:hAnsiTheme="majorEastAsia" w:eastAsiaTheme="majorEastAsia"/>
          <w:sz w:val="24"/>
        </w:rPr>
        <w:t>日</w:t>
      </w:r>
    </w:p>
    <w:p>
      <w:pPr>
        <w:spacing w:line="276" w:lineRule="auto"/>
        <w:rPr>
          <w:rFonts w:asciiTheme="majorEastAsia" w:hAnsiTheme="majorEastAsia" w:eastAsiaTheme="majorEastAsia"/>
          <w:sz w:val="27"/>
          <w:szCs w:val="27"/>
        </w:rPr>
        <w:sectPr>
          <w:footerReference r:id="rId11" w:type="first"/>
          <w:footerReference r:id="rId10" w:type="default"/>
          <w:pgSz w:w="11906" w:h="16838"/>
          <w:pgMar w:top="1440" w:right="1080" w:bottom="1440" w:left="1080" w:header="851" w:footer="907" w:gutter="0"/>
          <w:pgNumType w:fmt="decimal"/>
          <w:cols w:space="720" w:num="1"/>
          <w:titlePg/>
          <w:docGrid w:type="lines" w:linePitch="312" w:charSpace="0"/>
        </w:sectPr>
      </w:pPr>
    </w:p>
    <w:p>
      <w:pPr>
        <w:spacing w:line="276" w:lineRule="auto"/>
        <w:rPr>
          <w:rFonts w:asciiTheme="majorEastAsia" w:hAnsiTheme="majorEastAsia" w:eastAsiaTheme="majorEastAsia"/>
          <w:sz w:val="24"/>
          <w:szCs w:val="24"/>
        </w:rPr>
      </w:pPr>
      <w:r>
        <w:rPr>
          <w:rFonts w:asciiTheme="majorEastAsia" w:hAnsiTheme="majorEastAsia" w:eastAsiaTheme="majorEastAsia"/>
          <w:sz w:val="27"/>
          <w:szCs w:val="27"/>
        </w:rPr>
        <w:t>附件：</w:t>
      </w:r>
    </w:p>
    <w:p>
      <w:pPr>
        <w:pStyle w:val="85"/>
        <w:jc w:val="center"/>
        <w:rPr>
          <w:rFonts w:asciiTheme="majorEastAsia" w:hAnsiTheme="majorEastAsia" w:eastAsiaTheme="majorEastAsia"/>
          <w:sz w:val="18"/>
          <w:szCs w:val="18"/>
        </w:rPr>
      </w:pPr>
      <w:r>
        <w:rPr>
          <w:rFonts w:asciiTheme="majorEastAsia" w:hAnsiTheme="majorEastAsia" w:eastAsiaTheme="majorEastAsia"/>
          <w:b/>
          <w:bCs/>
          <w:sz w:val="36"/>
          <w:szCs w:val="36"/>
        </w:rPr>
        <w:t>邮件外包粘贴表格（格式）</w:t>
      </w:r>
    </w:p>
    <w:p>
      <w:pPr>
        <w:pStyle w:val="85"/>
        <w:rPr>
          <w:rFonts w:asciiTheme="majorEastAsia" w:hAnsiTheme="majorEastAsia" w:eastAsiaTheme="majorEastAsia"/>
          <w:sz w:val="18"/>
          <w:szCs w:val="18"/>
        </w:rPr>
      </w:pPr>
    </w:p>
    <w:p>
      <w:pPr>
        <w:pStyle w:val="85"/>
        <w:spacing w:line="360" w:lineRule="auto"/>
        <w:rPr>
          <w:rFonts w:asciiTheme="majorEastAsia" w:hAnsiTheme="majorEastAsia" w:eastAsiaTheme="majorEastAsia"/>
          <w:sz w:val="18"/>
          <w:szCs w:val="18"/>
        </w:rPr>
      </w:pPr>
      <w:r>
        <w:rPr>
          <w:rFonts w:asciiTheme="majorEastAsia" w:hAnsiTheme="majorEastAsia" w:eastAsiaTheme="majorEastAsia"/>
          <w:b/>
          <w:bCs/>
          <w:sz w:val="27"/>
          <w:szCs w:val="27"/>
        </w:rPr>
        <w:t>项目名称：</w:t>
      </w:r>
    </w:p>
    <w:p>
      <w:pPr>
        <w:pStyle w:val="85"/>
        <w:spacing w:line="360" w:lineRule="auto"/>
        <w:rPr>
          <w:rFonts w:asciiTheme="majorEastAsia" w:hAnsiTheme="majorEastAsia" w:eastAsiaTheme="majorEastAsia"/>
          <w:sz w:val="18"/>
          <w:szCs w:val="18"/>
        </w:rPr>
      </w:pPr>
    </w:p>
    <w:p>
      <w:pPr>
        <w:pStyle w:val="85"/>
        <w:spacing w:line="360" w:lineRule="auto"/>
        <w:rPr>
          <w:rFonts w:asciiTheme="majorEastAsia" w:hAnsiTheme="majorEastAsia" w:eastAsiaTheme="majorEastAsia"/>
          <w:sz w:val="18"/>
          <w:szCs w:val="18"/>
        </w:rPr>
      </w:pPr>
      <w:r>
        <w:rPr>
          <w:rFonts w:asciiTheme="majorEastAsia" w:hAnsiTheme="majorEastAsia" w:eastAsiaTheme="majorEastAsia"/>
          <w:b/>
          <w:bCs/>
          <w:sz w:val="27"/>
          <w:szCs w:val="27"/>
        </w:rPr>
        <w:t>项目编号：</w:t>
      </w:r>
    </w:p>
    <w:p>
      <w:pPr>
        <w:pStyle w:val="85"/>
        <w:spacing w:line="360" w:lineRule="auto"/>
        <w:rPr>
          <w:rFonts w:asciiTheme="majorEastAsia" w:hAnsiTheme="majorEastAsia" w:eastAsiaTheme="majorEastAsia"/>
          <w:sz w:val="18"/>
          <w:szCs w:val="18"/>
        </w:rPr>
      </w:pPr>
    </w:p>
    <w:p>
      <w:pPr>
        <w:pStyle w:val="85"/>
        <w:spacing w:line="360" w:lineRule="auto"/>
        <w:rPr>
          <w:rFonts w:asciiTheme="majorEastAsia" w:hAnsiTheme="majorEastAsia" w:eastAsiaTheme="majorEastAsia"/>
          <w:b/>
          <w:bCs/>
          <w:sz w:val="27"/>
          <w:szCs w:val="27"/>
        </w:rPr>
      </w:pPr>
      <w:r>
        <w:rPr>
          <w:rFonts w:asciiTheme="majorEastAsia" w:hAnsiTheme="majorEastAsia" w:eastAsiaTheme="majorEastAsia"/>
          <w:b/>
          <w:bCs/>
          <w:sz w:val="27"/>
          <w:szCs w:val="27"/>
        </w:rPr>
        <w:t>项目开标日期：</w:t>
      </w:r>
    </w:p>
    <w:p>
      <w:pPr>
        <w:pStyle w:val="85"/>
        <w:spacing w:line="360" w:lineRule="auto"/>
        <w:rPr>
          <w:rFonts w:asciiTheme="majorEastAsia" w:hAnsiTheme="majorEastAsia" w:eastAsiaTheme="majorEastAsia"/>
          <w:b/>
          <w:bCs/>
          <w:sz w:val="27"/>
          <w:szCs w:val="27"/>
        </w:rPr>
      </w:pPr>
    </w:p>
    <w:p>
      <w:pPr>
        <w:pStyle w:val="85"/>
        <w:spacing w:line="360" w:lineRule="auto"/>
        <w:rPr>
          <w:rFonts w:asciiTheme="majorEastAsia" w:hAnsiTheme="majorEastAsia" w:eastAsiaTheme="majorEastAsia"/>
          <w:b/>
          <w:bCs/>
          <w:sz w:val="27"/>
          <w:szCs w:val="27"/>
        </w:rPr>
      </w:pPr>
      <w:r>
        <w:rPr>
          <w:rFonts w:asciiTheme="majorEastAsia" w:hAnsiTheme="majorEastAsia" w:eastAsiaTheme="majorEastAsia"/>
          <w:b/>
          <w:bCs/>
          <w:sz w:val="27"/>
          <w:szCs w:val="27"/>
        </w:rPr>
        <w:t>联系</w:t>
      </w:r>
      <w:r>
        <w:rPr>
          <w:rFonts w:hint="eastAsia" w:asciiTheme="majorEastAsia" w:hAnsiTheme="majorEastAsia" w:eastAsiaTheme="majorEastAsia"/>
          <w:b/>
          <w:bCs/>
          <w:sz w:val="27"/>
          <w:szCs w:val="27"/>
        </w:rPr>
        <w:t>方式</w:t>
      </w:r>
      <w:r>
        <w:rPr>
          <w:rFonts w:asciiTheme="majorEastAsia" w:hAnsiTheme="majorEastAsia" w:eastAsiaTheme="majorEastAsia"/>
          <w:b/>
          <w:bCs/>
          <w:sz w:val="27"/>
          <w:szCs w:val="27"/>
        </w:rPr>
        <w:t>：</w:t>
      </w:r>
    </w:p>
    <w:p>
      <w:pPr>
        <w:pStyle w:val="85"/>
        <w:spacing w:line="360" w:lineRule="auto"/>
        <w:rPr>
          <w:rFonts w:asciiTheme="majorEastAsia" w:hAnsiTheme="majorEastAsia" w:eastAsiaTheme="majorEastAsia"/>
          <w:b/>
          <w:bCs/>
          <w:sz w:val="27"/>
          <w:szCs w:val="27"/>
        </w:rPr>
      </w:pPr>
    </w:p>
    <w:p>
      <w:pPr>
        <w:pStyle w:val="85"/>
        <w:spacing w:line="360" w:lineRule="auto"/>
        <w:rPr>
          <w:rFonts w:asciiTheme="majorEastAsia" w:hAnsiTheme="majorEastAsia" w:eastAsiaTheme="majorEastAsia"/>
          <w:sz w:val="18"/>
          <w:szCs w:val="18"/>
        </w:rPr>
      </w:pPr>
      <w:r>
        <w:rPr>
          <w:rFonts w:asciiTheme="majorEastAsia" w:hAnsiTheme="majorEastAsia" w:eastAsiaTheme="majorEastAsia"/>
          <w:b/>
          <w:bCs/>
          <w:sz w:val="27"/>
          <w:szCs w:val="27"/>
        </w:rPr>
        <w:t>联系电子邮箱：</w:t>
      </w:r>
    </w:p>
    <w:p>
      <w:pPr>
        <w:pStyle w:val="16"/>
        <w:jc w:val="center"/>
        <w:rPr>
          <w:rFonts w:cs="宋体" w:asciiTheme="majorEastAsia" w:hAnsiTheme="majorEastAsia" w:eastAsiaTheme="majorEastAsia"/>
          <w:b/>
          <w:sz w:val="48"/>
          <w:szCs w:val="48"/>
        </w:rPr>
        <w:sectPr>
          <w:footerReference r:id="rId13" w:type="first"/>
          <w:footerReference r:id="rId12" w:type="default"/>
          <w:pgSz w:w="11906" w:h="16838"/>
          <w:pgMar w:top="1440" w:right="1080" w:bottom="1440" w:left="1080" w:header="851" w:footer="907" w:gutter="0"/>
          <w:pgNumType w:fmt="decimal"/>
          <w:cols w:space="720" w:num="1"/>
          <w:titlePg/>
          <w:docGrid w:type="lines" w:linePitch="312" w:charSpace="0"/>
        </w:sectPr>
      </w:pPr>
    </w:p>
    <w:p>
      <w:pPr>
        <w:pStyle w:val="16"/>
        <w:jc w:val="center"/>
        <w:rPr>
          <w:rFonts w:cs="宋体" w:asciiTheme="majorEastAsia" w:hAnsiTheme="majorEastAsia" w:eastAsiaTheme="majorEastAsia"/>
          <w:b/>
          <w:sz w:val="48"/>
          <w:szCs w:val="48"/>
        </w:rPr>
      </w:pPr>
      <w:r>
        <w:rPr>
          <w:rFonts w:cs="宋体" w:asciiTheme="majorEastAsia" w:hAnsiTheme="majorEastAsia" w:eastAsiaTheme="majorEastAsia"/>
          <w:b/>
          <w:sz w:val="48"/>
          <w:szCs w:val="48"/>
        </w:rPr>
        <w:t>目     录</w:t>
      </w:r>
    </w:p>
    <w:p>
      <w:pPr>
        <w:pStyle w:val="16"/>
        <w:tabs>
          <w:tab w:val="left" w:pos="4011"/>
        </w:tabs>
        <w:rPr>
          <w:rFonts w:cs="宋体" w:asciiTheme="majorEastAsia" w:hAnsiTheme="majorEastAsia" w:eastAsiaTheme="majorEastAsia"/>
          <w:b/>
          <w:sz w:val="48"/>
          <w:szCs w:val="48"/>
        </w:rPr>
      </w:pPr>
      <w:r>
        <w:rPr>
          <w:rFonts w:cs="宋体" w:asciiTheme="majorEastAsia" w:hAnsiTheme="majorEastAsia" w:eastAsiaTheme="majorEastAsia"/>
          <w:b/>
          <w:sz w:val="48"/>
          <w:szCs w:val="48"/>
        </w:rPr>
        <w:tab/>
      </w:r>
      <w:permStart w:id="0" w:edGrp="everyone"/>
      <w:permEnd w:id="0"/>
    </w:p>
    <w:p>
      <w:pPr>
        <w:pStyle w:val="16"/>
        <w:rPr>
          <w:rFonts w:cs="宋体" w:asciiTheme="majorEastAsia" w:hAnsiTheme="majorEastAsia" w:eastAsiaTheme="majorEastAsia"/>
          <w:b/>
          <w:sz w:val="48"/>
          <w:szCs w:val="48"/>
        </w:rPr>
      </w:pPr>
    </w:p>
    <w:p>
      <w:pPr>
        <w:pStyle w:val="20"/>
        <w:tabs>
          <w:tab w:val="right" w:leader="dot" w:pos="9746"/>
        </w:tabs>
        <w:rPr>
          <w:rFonts w:asciiTheme="majorEastAsia" w:hAnsiTheme="majorEastAsia" w:eastAsiaTheme="majorEastAsia"/>
          <w:b/>
          <w:sz w:val="28"/>
          <w:szCs w:val="36"/>
        </w:rPr>
      </w:pPr>
      <w:r>
        <w:rPr>
          <w:rFonts w:hint="eastAsia" w:cs="宋体" w:asciiTheme="majorEastAsia" w:hAnsiTheme="majorEastAsia" w:eastAsiaTheme="majorEastAsia"/>
          <w:b/>
          <w:bCs/>
          <w:sz w:val="56"/>
          <w:szCs w:val="56"/>
          <w:highlight w:val="yellow"/>
        </w:rPr>
        <w:fldChar w:fldCharType="begin"/>
      </w:r>
      <w:r>
        <w:rPr>
          <w:rFonts w:cs="宋体" w:asciiTheme="majorEastAsia" w:hAnsiTheme="majorEastAsia" w:eastAsiaTheme="majorEastAsia"/>
          <w:b/>
          <w:bCs/>
          <w:sz w:val="56"/>
          <w:szCs w:val="56"/>
          <w:highlight w:val="yellow"/>
        </w:rPr>
        <w:instrText xml:space="preserve"> TOC \o "1-3" \h \z \u </w:instrText>
      </w:r>
      <w:r>
        <w:rPr>
          <w:rFonts w:hint="eastAsia" w:cs="宋体" w:asciiTheme="majorEastAsia" w:hAnsiTheme="majorEastAsia" w:eastAsiaTheme="majorEastAsia"/>
          <w:b/>
          <w:bCs/>
          <w:sz w:val="56"/>
          <w:szCs w:val="56"/>
          <w:highlight w:val="yellow"/>
        </w:rPr>
        <w:fldChar w:fldCharType="separate"/>
      </w:r>
      <w:r>
        <w:fldChar w:fldCharType="begin"/>
      </w:r>
      <w:r>
        <w:instrText xml:space="preserve"> HYPERLINK \l "_Toc26249" </w:instrText>
      </w:r>
      <w:r>
        <w:fldChar w:fldCharType="separate"/>
      </w:r>
      <w:r>
        <w:rPr>
          <w:rFonts w:hint="eastAsia" w:cs="宋体" w:asciiTheme="majorEastAsia" w:hAnsiTheme="majorEastAsia" w:eastAsiaTheme="majorEastAsia"/>
          <w:b/>
          <w:sz w:val="28"/>
          <w:szCs w:val="36"/>
        </w:rPr>
        <w:t>第一章公告</w:t>
      </w:r>
      <w:r>
        <w:rPr>
          <w:rFonts w:asciiTheme="majorEastAsia" w:hAnsiTheme="majorEastAsia" w:eastAsiaTheme="majorEastAsia"/>
          <w:b/>
          <w:sz w:val="28"/>
          <w:szCs w:val="36"/>
        </w:rPr>
        <w:tab/>
      </w:r>
      <w:r>
        <w:rPr>
          <w:rFonts w:asciiTheme="majorEastAsia" w:hAnsiTheme="majorEastAsia" w:eastAsiaTheme="majorEastAsia"/>
          <w:b/>
          <w:sz w:val="28"/>
          <w:szCs w:val="36"/>
        </w:rPr>
        <w:t>1</w:t>
      </w:r>
      <w:r>
        <w:rPr>
          <w:rFonts w:asciiTheme="majorEastAsia" w:hAnsiTheme="majorEastAsia" w:eastAsiaTheme="majorEastAsia"/>
          <w:b/>
          <w:sz w:val="28"/>
          <w:szCs w:val="36"/>
        </w:rPr>
        <w:fldChar w:fldCharType="end"/>
      </w:r>
    </w:p>
    <w:p>
      <w:pPr>
        <w:pStyle w:val="20"/>
        <w:tabs>
          <w:tab w:val="right" w:leader="dot" w:pos="9746"/>
        </w:tabs>
        <w:rPr>
          <w:rFonts w:asciiTheme="majorEastAsia" w:hAnsiTheme="majorEastAsia" w:eastAsiaTheme="majorEastAsia"/>
          <w:b/>
          <w:sz w:val="28"/>
          <w:szCs w:val="36"/>
        </w:rPr>
      </w:pPr>
      <w:r>
        <w:fldChar w:fldCharType="begin"/>
      </w:r>
      <w:r>
        <w:instrText xml:space="preserve"> HYPERLINK \l "_Toc32448" </w:instrText>
      </w:r>
      <w:r>
        <w:fldChar w:fldCharType="separate"/>
      </w:r>
      <w:r>
        <w:rPr>
          <w:rFonts w:hint="eastAsia" w:cs="宋体" w:asciiTheme="majorEastAsia" w:hAnsiTheme="majorEastAsia" w:eastAsiaTheme="majorEastAsia"/>
          <w:b/>
          <w:sz w:val="28"/>
          <w:szCs w:val="36"/>
        </w:rPr>
        <w:t>第二章服务需求一览表</w:t>
      </w:r>
      <w:r>
        <w:rPr>
          <w:rFonts w:asciiTheme="majorEastAsia" w:hAnsiTheme="majorEastAsia" w:eastAsiaTheme="majorEastAsia"/>
          <w:b/>
          <w:sz w:val="28"/>
          <w:szCs w:val="36"/>
        </w:rPr>
        <w:tab/>
      </w:r>
      <w:r>
        <w:rPr>
          <w:rFonts w:asciiTheme="majorEastAsia" w:hAnsiTheme="majorEastAsia" w:eastAsiaTheme="majorEastAsia"/>
          <w:b/>
          <w:sz w:val="28"/>
          <w:szCs w:val="36"/>
        </w:rPr>
        <w:t>4</w:t>
      </w:r>
      <w:r>
        <w:rPr>
          <w:rFonts w:asciiTheme="majorEastAsia" w:hAnsiTheme="majorEastAsia" w:eastAsiaTheme="majorEastAsia"/>
          <w:b/>
          <w:sz w:val="28"/>
          <w:szCs w:val="36"/>
        </w:rPr>
        <w:fldChar w:fldCharType="end"/>
      </w:r>
    </w:p>
    <w:p>
      <w:pPr>
        <w:pStyle w:val="20"/>
        <w:tabs>
          <w:tab w:val="right" w:leader="dot" w:pos="9746"/>
        </w:tabs>
        <w:rPr>
          <w:rFonts w:asciiTheme="majorEastAsia" w:hAnsiTheme="majorEastAsia" w:eastAsiaTheme="majorEastAsia"/>
          <w:b/>
          <w:sz w:val="28"/>
          <w:szCs w:val="36"/>
        </w:rPr>
      </w:pPr>
      <w:r>
        <w:fldChar w:fldCharType="begin"/>
      </w:r>
      <w:r>
        <w:instrText xml:space="preserve"> HYPERLINK \l "_Toc2133" </w:instrText>
      </w:r>
      <w:r>
        <w:fldChar w:fldCharType="separate"/>
      </w:r>
      <w:r>
        <w:rPr>
          <w:rFonts w:hint="eastAsia" w:cs="宋体" w:asciiTheme="majorEastAsia" w:hAnsiTheme="majorEastAsia" w:eastAsiaTheme="majorEastAsia"/>
          <w:b/>
          <w:sz w:val="28"/>
          <w:szCs w:val="36"/>
        </w:rPr>
        <w:t>第三章评审方法</w:t>
      </w:r>
      <w:r>
        <w:rPr>
          <w:rFonts w:asciiTheme="majorEastAsia" w:hAnsiTheme="majorEastAsia" w:eastAsiaTheme="majorEastAsia"/>
          <w:b/>
          <w:sz w:val="28"/>
          <w:szCs w:val="36"/>
        </w:rPr>
        <w:tab/>
      </w:r>
      <w:r>
        <w:rPr>
          <w:rFonts w:asciiTheme="majorEastAsia" w:hAnsiTheme="majorEastAsia" w:eastAsiaTheme="majorEastAsia"/>
          <w:b/>
          <w:sz w:val="28"/>
          <w:szCs w:val="36"/>
        </w:rPr>
        <w:fldChar w:fldCharType="begin"/>
      </w:r>
      <w:r>
        <w:rPr>
          <w:rFonts w:asciiTheme="majorEastAsia" w:hAnsiTheme="majorEastAsia" w:eastAsiaTheme="majorEastAsia"/>
          <w:b/>
          <w:sz w:val="28"/>
          <w:szCs w:val="36"/>
        </w:rPr>
        <w:instrText xml:space="preserve"> PAGEREF _Toc2133 </w:instrText>
      </w:r>
      <w:r>
        <w:rPr>
          <w:rFonts w:asciiTheme="majorEastAsia" w:hAnsiTheme="majorEastAsia" w:eastAsiaTheme="majorEastAsia"/>
          <w:b/>
          <w:sz w:val="28"/>
          <w:szCs w:val="36"/>
        </w:rPr>
        <w:fldChar w:fldCharType="separate"/>
      </w:r>
      <w:r>
        <w:rPr>
          <w:rFonts w:asciiTheme="majorEastAsia" w:hAnsiTheme="majorEastAsia" w:eastAsiaTheme="majorEastAsia"/>
          <w:b/>
          <w:sz w:val="28"/>
          <w:szCs w:val="36"/>
        </w:rPr>
        <w:t>24</w:t>
      </w:r>
      <w:r>
        <w:rPr>
          <w:rFonts w:asciiTheme="majorEastAsia" w:hAnsiTheme="majorEastAsia" w:eastAsiaTheme="majorEastAsia"/>
          <w:b/>
          <w:sz w:val="28"/>
          <w:szCs w:val="36"/>
        </w:rPr>
        <w:fldChar w:fldCharType="end"/>
      </w:r>
      <w:r>
        <w:rPr>
          <w:rFonts w:asciiTheme="majorEastAsia" w:hAnsiTheme="majorEastAsia" w:eastAsiaTheme="majorEastAsia"/>
          <w:b/>
          <w:sz w:val="28"/>
          <w:szCs w:val="36"/>
        </w:rPr>
        <w:fldChar w:fldCharType="end"/>
      </w:r>
    </w:p>
    <w:p>
      <w:pPr>
        <w:pStyle w:val="20"/>
        <w:tabs>
          <w:tab w:val="right" w:leader="dot" w:pos="9746"/>
        </w:tabs>
        <w:rPr>
          <w:rFonts w:asciiTheme="majorEastAsia" w:hAnsiTheme="majorEastAsia" w:eastAsiaTheme="majorEastAsia"/>
          <w:b/>
          <w:sz w:val="28"/>
          <w:szCs w:val="36"/>
        </w:rPr>
      </w:pPr>
      <w:r>
        <w:fldChar w:fldCharType="begin"/>
      </w:r>
      <w:r>
        <w:instrText xml:space="preserve"> HYPERLINK \l "_Toc27800" </w:instrText>
      </w:r>
      <w:r>
        <w:fldChar w:fldCharType="separate"/>
      </w:r>
      <w:r>
        <w:rPr>
          <w:rFonts w:cs="宋体" w:asciiTheme="majorEastAsia" w:hAnsiTheme="majorEastAsia" w:eastAsiaTheme="majorEastAsia"/>
          <w:b/>
          <w:sz w:val="28"/>
          <w:szCs w:val="36"/>
        </w:rPr>
        <w:t>第四章  投标人须知</w:t>
      </w:r>
      <w:r>
        <w:rPr>
          <w:rFonts w:asciiTheme="majorEastAsia" w:hAnsiTheme="majorEastAsia" w:eastAsiaTheme="majorEastAsia"/>
          <w:b/>
          <w:sz w:val="28"/>
          <w:szCs w:val="36"/>
        </w:rPr>
        <w:tab/>
      </w:r>
      <w:r>
        <w:rPr>
          <w:rFonts w:asciiTheme="majorEastAsia" w:hAnsiTheme="majorEastAsia" w:eastAsiaTheme="majorEastAsia"/>
          <w:b/>
          <w:sz w:val="28"/>
          <w:szCs w:val="36"/>
        </w:rPr>
        <w:t>8</w:t>
      </w:r>
      <w:r>
        <w:rPr>
          <w:rFonts w:asciiTheme="majorEastAsia" w:hAnsiTheme="majorEastAsia" w:eastAsiaTheme="majorEastAsia"/>
          <w:b/>
          <w:sz w:val="28"/>
          <w:szCs w:val="36"/>
        </w:rPr>
        <w:fldChar w:fldCharType="end"/>
      </w:r>
      <w:r>
        <w:rPr>
          <w:rFonts w:asciiTheme="majorEastAsia" w:hAnsiTheme="majorEastAsia" w:eastAsiaTheme="majorEastAsia"/>
          <w:b/>
          <w:sz w:val="28"/>
          <w:szCs w:val="36"/>
        </w:rPr>
        <w:t>3</w:t>
      </w:r>
    </w:p>
    <w:p>
      <w:pPr>
        <w:pStyle w:val="21"/>
        <w:tabs>
          <w:tab w:val="right" w:leader="dot" w:pos="9746"/>
        </w:tabs>
        <w:ind w:left="440"/>
        <w:rPr>
          <w:rFonts w:asciiTheme="majorEastAsia" w:hAnsiTheme="majorEastAsia" w:eastAsiaTheme="majorEastAsia"/>
          <w:b/>
          <w:sz w:val="28"/>
          <w:szCs w:val="36"/>
        </w:rPr>
      </w:pPr>
      <w:r>
        <w:fldChar w:fldCharType="begin"/>
      </w:r>
      <w:r>
        <w:instrText xml:space="preserve"> HYPERLINK \l "_Toc5564" </w:instrText>
      </w:r>
      <w:r>
        <w:fldChar w:fldCharType="separate"/>
      </w:r>
      <w:r>
        <w:rPr>
          <w:rFonts w:cs="宋体" w:asciiTheme="majorEastAsia" w:hAnsiTheme="majorEastAsia" w:eastAsiaTheme="majorEastAsia"/>
          <w:b/>
          <w:sz w:val="28"/>
          <w:szCs w:val="40"/>
        </w:rPr>
        <w:t>一    总则</w:t>
      </w:r>
      <w:r>
        <w:rPr>
          <w:rFonts w:asciiTheme="majorEastAsia" w:hAnsiTheme="majorEastAsia" w:eastAsiaTheme="majorEastAsia"/>
          <w:b/>
          <w:sz w:val="28"/>
          <w:szCs w:val="36"/>
        </w:rPr>
        <w:tab/>
      </w:r>
      <w:r>
        <w:rPr>
          <w:rFonts w:asciiTheme="majorEastAsia" w:hAnsiTheme="majorEastAsia" w:eastAsiaTheme="majorEastAsia"/>
          <w:b/>
          <w:sz w:val="28"/>
          <w:szCs w:val="36"/>
        </w:rPr>
        <w:t>8</w:t>
      </w:r>
      <w:r>
        <w:rPr>
          <w:rFonts w:asciiTheme="majorEastAsia" w:hAnsiTheme="majorEastAsia" w:eastAsiaTheme="majorEastAsia"/>
          <w:b/>
          <w:sz w:val="28"/>
          <w:szCs w:val="36"/>
        </w:rPr>
        <w:fldChar w:fldCharType="end"/>
      </w:r>
      <w:r>
        <w:rPr>
          <w:rFonts w:asciiTheme="majorEastAsia" w:hAnsiTheme="majorEastAsia" w:eastAsiaTheme="majorEastAsia"/>
          <w:b/>
          <w:sz w:val="28"/>
          <w:szCs w:val="36"/>
        </w:rPr>
        <w:t>6</w:t>
      </w:r>
    </w:p>
    <w:p>
      <w:pPr>
        <w:pStyle w:val="21"/>
        <w:tabs>
          <w:tab w:val="right" w:leader="dot" w:pos="9746"/>
        </w:tabs>
        <w:ind w:left="440"/>
        <w:rPr>
          <w:rFonts w:asciiTheme="majorEastAsia" w:hAnsiTheme="majorEastAsia" w:eastAsiaTheme="majorEastAsia"/>
          <w:b/>
          <w:sz w:val="28"/>
          <w:szCs w:val="36"/>
        </w:rPr>
      </w:pPr>
      <w:r>
        <w:fldChar w:fldCharType="begin"/>
      </w:r>
      <w:r>
        <w:instrText xml:space="preserve"> HYPERLINK \l "_Toc19901" </w:instrText>
      </w:r>
      <w:r>
        <w:fldChar w:fldCharType="separate"/>
      </w:r>
      <w:r>
        <w:rPr>
          <w:rFonts w:cs="宋体" w:asciiTheme="majorEastAsia" w:hAnsiTheme="majorEastAsia" w:eastAsiaTheme="majorEastAsia"/>
          <w:b/>
          <w:sz w:val="28"/>
          <w:szCs w:val="40"/>
        </w:rPr>
        <w:t>二    公开招标文件</w:t>
      </w:r>
      <w:r>
        <w:rPr>
          <w:rFonts w:asciiTheme="majorEastAsia" w:hAnsiTheme="majorEastAsia" w:eastAsiaTheme="majorEastAsia"/>
          <w:b/>
          <w:sz w:val="28"/>
          <w:szCs w:val="36"/>
        </w:rPr>
        <w:tab/>
      </w:r>
      <w:r>
        <w:rPr>
          <w:rFonts w:asciiTheme="majorEastAsia" w:hAnsiTheme="majorEastAsia" w:eastAsiaTheme="majorEastAsia"/>
          <w:b/>
          <w:sz w:val="28"/>
          <w:szCs w:val="36"/>
        </w:rPr>
        <w:t>8</w:t>
      </w:r>
      <w:r>
        <w:rPr>
          <w:rFonts w:asciiTheme="majorEastAsia" w:hAnsiTheme="majorEastAsia" w:eastAsiaTheme="majorEastAsia"/>
          <w:b/>
          <w:sz w:val="28"/>
          <w:szCs w:val="36"/>
        </w:rPr>
        <w:fldChar w:fldCharType="end"/>
      </w:r>
      <w:r>
        <w:rPr>
          <w:rFonts w:asciiTheme="majorEastAsia" w:hAnsiTheme="majorEastAsia" w:eastAsiaTheme="majorEastAsia"/>
          <w:b/>
          <w:sz w:val="28"/>
          <w:szCs w:val="36"/>
        </w:rPr>
        <w:t>9</w:t>
      </w:r>
    </w:p>
    <w:p>
      <w:pPr>
        <w:pStyle w:val="21"/>
        <w:tabs>
          <w:tab w:val="right" w:leader="dot" w:pos="9746"/>
        </w:tabs>
        <w:ind w:left="440"/>
        <w:rPr>
          <w:rFonts w:asciiTheme="majorEastAsia" w:hAnsiTheme="majorEastAsia" w:eastAsiaTheme="majorEastAsia"/>
          <w:b/>
          <w:sz w:val="28"/>
          <w:szCs w:val="36"/>
        </w:rPr>
      </w:pPr>
      <w:r>
        <w:fldChar w:fldCharType="begin"/>
      </w:r>
      <w:r>
        <w:instrText xml:space="preserve"> HYPERLINK \l "_Toc11232" </w:instrText>
      </w:r>
      <w:r>
        <w:fldChar w:fldCharType="separate"/>
      </w:r>
      <w:r>
        <w:rPr>
          <w:rFonts w:cs="宋体" w:asciiTheme="majorEastAsia" w:hAnsiTheme="majorEastAsia" w:eastAsiaTheme="majorEastAsia"/>
          <w:b/>
          <w:sz w:val="28"/>
          <w:szCs w:val="40"/>
        </w:rPr>
        <w:t>三    投标文件</w:t>
      </w:r>
      <w:r>
        <w:rPr>
          <w:rFonts w:asciiTheme="majorEastAsia" w:hAnsiTheme="majorEastAsia" w:eastAsiaTheme="majorEastAsia"/>
          <w:b/>
          <w:sz w:val="28"/>
          <w:szCs w:val="36"/>
        </w:rPr>
        <w:tab/>
      </w:r>
      <w:r>
        <w:rPr>
          <w:rFonts w:asciiTheme="majorEastAsia" w:hAnsiTheme="majorEastAsia" w:eastAsiaTheme="majorEastAsia"/>
          <w:b/>
          <w:sz w:val="28"/>
          <w:szCs w:val="36"/>
        </w:rPr>
        <w:fldChar w:fldCharType="begin"/>
      </w:r>
      <w:r>
        <w:rPr>
          <w:rFonts w:asciiTheme="majorEastAsia" w:hAnsiTheme="majorEastAsia" w:eastAsiaTheme="majorEastAsia"/>
          <w:b/>
          <w:sz w:val="28"/>
          <w:szCs w:val="36"/>
        </w:rPr>
        <w:instrText xml:space="preserve"> PAGEREF _Toc11232 </w:instrText>
      </w:r>
      <w:r>
        <w:rPr>
          <w:rFonts w:asciiTheme="majorEastAsia" w:hAnsiTheme="majorEastAsia" w:eastAsiaTheme="majorEastAsia"/>
          <w:b/>
          <w:sz w:val="28"/>
          <w:szCs w:val="36"/>
        </w:rPr>
        <w:fldChar w:fldCharType="separate"/>
      </w:r>
      <w:r>
        <w:rPr>
          <w:rFonts w:asciiTheme="majorEastAsia" w:hAnsiTheme="majorEastAsia" w:eastAsiaTheme="majorEastAsia"/>
          <w:b/>
          <w:sz w:val="28"/>
          <w:szCs w:val="36"/>
        </w:rPr>
        <w:t>35</w:t>
      </w:r>
      <w:r>
        <w:rPr>
          <w:rFonts w:asciiTheme="majorEastAsia" w:hAnsiTheme="majorEastAsia" w:eastAsiaTheme="majorEastAsia"/>
          <w:b/>
          <w:sz w:val="28"/>
          <w:szCs w:val="36"/>
        </w:rPr>
        <w:fldChar w:fldCharType="end"/>
      </w:r>
      <w:r>
        <w:rPr>
          <w:rFonts w:asciiTheme="majorEastAsia" w:hAnsiTheme="majorEastAsia" w:eastAsiaTheme="majorEastAsia"/>
          <w:b/>
          <w:sz w:val="28"/>
          <w:szCs w:val="36"/>
        </w:rPr>
        <w:fldChar w:fldCharType="end"/>
      </w:r>
    </w:p>
    <w:p>
      <w:pPr>
        <w:pStyle w:val="21"/>
        <w:tabs>
          <w:tab w:val="right" w:leader="dot" w:pos="9746"/>
        </w:tabs>
        <w:ind w:left="440"/>
        <w:rPr>
          <w:rFonts w:asciiTheme="majorEastAsia" w:hAnsiTheme="majorEastAsia" w:eastAsiaTheme="majorEastAsia"/>
          <w:b/>
          <w:sz w:val="28"/>
          <w:szCs w:val="36"/>
        </w:rPr>
      </w:pPr>
      <w:r>
        <w:fldChar w:fldCharType="begin"/>
      </w:r>
      <w:r>
        <w:instrText xml:space="preserve"> HYPERLINK \l "_Toc23984" </w:instrText>
      </w:r>
      <w:r>
        <w:fldChar w:fldCharType="separate"/>
      </w:r>
      <w:r>
        <w:rPr>
          <w:rFonts w:cs="宋体" w:asciiTheme="majorEastAsia" w:hAnsiTheme="majorEastAsia" w:eastAsiaTheme="majorEastAsia"/>
          <w:b/>
          <w:sz w:val="28"/>
          <w:szCs w:val="40"/>
        </w:rPr>
        <w:t>四    投标</w:t>
      </w:r>
      <w:r>
        <w:rPr>
          <w:rFonts w:asciiTheme="majorEastAsia" w:hAnsiTheme="majorEastAsia" w:eastAsiaTheme="majorEastAsia"/>
          <w:b/>
          <w:sz w:val="28"/>
          <w:szCs w:val="36"/>
        </w:rPr>
        <w:tab/>
      </w:r>
      <w:r>
        <w:rPr>
          <w:rFonts w:asciiTheme="majorEastAsia" w:hAnsiTheme="majorEastAsia" w:eastAsiaTheme="majorEastAsia"/>
          <w:b/>
          <w:sz w:val="28"/>
          <w:szCs w:val="36"/>
        </w:rPr>
        <w:t>9</w:t>
      </w:r>
      <w:r>
        <w:rPr>
          <w:rFonts w:asciiTheme="majorEastAsia" w:hAnsiTheme="majorEastAsia" w:eastAsiaTheme="majorEastAsia"/>
          <w:b/>
          <w:sz w:val="28"/>
          <w:szCs w:val="36"/>
        </w:rPr>
        <w:fldChar w:fldCharType="end"/>
      </w:r>
      <w:r>
        <w:rPr>
          <w:rFonts w:asciiTheme="majorEastAsia" w:hAnsiTheme="majorEastAsia" w:eastAsiaTheme="majorEastAsia"/>
          <w:b/>
          <w:sz w:val="28"/>
          <w:szCs w:val="36"/>
        </w:rPr>
        <w:t>4</w:t>
      </w:r>
    </w:p>
    <w:p>
      <w:pPr>
        <w:pStyle w:val="21"/>
        <w:tabs>
          <w:tab w:val="right" w:leader="dot" w:pos="9746"/>
        </w:tabs>
        <w:ind w:left="440"/>
        <w:rPr>
          <w:rFonts w:asciiTheme="majorEastAsia" w:hAnsiTheme="majorEastAsia" w:eastAsiaTheme="majorEastAsia"/>
          <w:b/>
          <w:sz w:val="28"/>
          <w:szCs w:val="36"/>
        </w:rPr>
      </w:pPr>
      <w:r>
        <w:fldChar w:fldCharType="begin"/>
      </w:r>
      <w:r>
        <w:instrText xml:space="preserve"> HYPERLINK \l "_Toc1928" </w:instrText>
      </w:r>
      <w:r>
        <w:fldChar w:fldCharType="separate"/>
      </w:r>
      <w:r>
        <w:rPr>
          <w:rFonts w:cs="宋体" w:asciiTheme="majorEastAsia" w:hAnsiTheme="majorEastAsia" w:eastAsiaTheme="majorEastAsia"/>
          <w:b/>
          <w:sz w:val="28"/>
          <w:szCs w:val="40"/>
        </w:rPr>
        <w:t>五  开标、资格审查与评标</w:t>
      </w:r>
      <w:r>
        <w:rPr>
          <w:rFonts w:asciiTheme="majorEastAsia" w:hAnsiTheme="majorEastAsia" w:eastAsiaTheme="majorEastAsia"/>
          <w:b/>
          <w:sz w:val="28"/>
          <w:szCs w:val="36"/>
        </w:rPr>
        <w:tab/>
      </w:r>
      <w:r>
        <w:rPr>
          <w:rFonts w:asciiTheme="majorEastAsia" w:hAnsiTheme="majorEastAsia" w:eastAsiaTheme="majorEastAsia"/>
          <w:b/>
          <w:sz w:val="28"/>
          <w:szCs w:val="36"/>
        </w:rPr>
        <w:t>9</w:t>
      </w:r>
      <w:r>
        <w:rPr>
          <w:rFonts w:asciiTheme="majorEastAsia" w:hAnsiTheme="majorEastAsia" w:eastAsiaTheme="majorEastAsia"/>
          <w:b/>
          <w:sz w:val="28"/>
          <w:szCs w:val="36"/>
        </w:rPr>
        <w:fldChar w:fldCharType="end"/>
      </w:r>
      <w:r>
        <w:rPr>
          <w:rFonts w:asciiTheme="majorEastAsia" w:hAnsiTheme="majorEastAsia" w:eastAsiaTheme="majorEastAsia"/>
          <w:b/>
          <w:sz w:val="28"/>
          <w:szCs w:val="36"/>
        </w:rPr>
        <w:t>5</w:t>
      </w:r>
    </w:p>
    <w:p>
      <w:pPr>
        <w:pStyle w:val="21"/>
        <w:tabs>
          <w:tab w:val="right" w:leader="dot" w:pos="9746"/>
        </w:tabs>
        <w:ind w:left="440"/>
        <w:rPr>
          <w:rFonts w:asciiTheme="majorEastAsia" w:hAnsiTheme="majorEastAsia" w:eastAsiaTheme="majorEastAsia"/>
          <w:b/>
          <w:sz w:val="28"/>
          <w:szCs w:val="36"/>
        </w:rPr>
      </w:pPr>
      <w:r>
        <w:fldChar w:fldCharType="begin"/>
      </w:r>
      <w:r>
        <w:instrText xml:space="preserve"> HYPERLINK \l "_Toc8281" </w:instrText>
      </w:r>
      <w:r>
        <w:fldChar w:fldCharType="separate"/>
      </w:r>
      <w:r>
        <w:rPr>
          <w:rFonts w:cs="宋体" w:asciiTheme="majorEastAsia" w:hAnsiTheme="majorEastAsia" w:eastAsiaTheme="majorEastAsia"/>
          <w:b/>
          <w:sz w:val="28"/>
          <w:szCs w:val="40"/>
        </w:rPr>
        <w:t>六    合同授予</w:t>
      </w:r>
      <w:r>
        <w:rPr>
          <w:rFonts w:asciiTheme="majorEastAsia" w:hAnsiTheme="majorEastAsia" w:eastAsiaTheme="majorEastAsia"/>
          <w:b/>
          <w:sz w:val="28"/>
          <w:szCs w:val="36"/>
        </w:rPr>
        <w:tab/>
      </w:r>
      <w:r>
        <w:rPr>
          <w:rFonts w:asciiTheme="majorEastAsia" w:hAnsiTheme="majorEastAsia" w:eastAsiaTheme="majorEastAsia"/>
          <w:b/>
          <w:sz w:val="28"/>
          <w:szCs w:val="36"/>
        </w:rPr>
        <w:t>9</w:t>
      </w:r>
      <w:r>
        <w:rPr>
          <w:rFonts w:asciiTheme="majorEastAsia" w:hAnsiTheme="majorEastAsia" w:eastAsiaTheme="majorEastAsia"/>
          <w:b/>
          <w:sz w:val="28"/>
          <w:szCs w:val="36"/>
        </w:rPr>
        <w:fldChar w:fldCharType="end"/>
      </w:r>
      <w:r>
        <w:rPr>
          <w:rFonts w:asciiTheme="majorEastAsia" w:hAnsiTheme="majorEastAsia" w:eastAsiaTheme="majorEastAsia"/>
          <w:b/>
          <w:sz w:val="28"/>
          <w:szCs w:val="36"/>
        </w:rPr>
        <w:t>9</w:t>
      </w:r>
    </w:p>
    <w:p>
      <w:pPr>
        <w:pStyle w:val="21"/>
        <w:tabs>
          <w:tab w:val="right" w:leader="dot" w:pos="9746"/>
        </w:tabs>
        <w:ind w:left="440"/>
        <w:rPr>
          <w:rFonts w:asciiTheme="majorEastAsia" w:hAnsiTheme="majorEastAsia" w:eastAsiaTheme="majorEastAsia"/>
          <w:b/>
          <w:sz w:val="28"/>
          <w:szCs w:val="36"/>
        </w:rPr>
      </w:pPr>
      <w:r>
        <w:fldChar w:fldCharType="begin"/>
      </w:r>
      <w:r>
        <w:instrText xml:space="preserve"> HYPERLINK \l "_Toc22087" </w:instrText>
      </w:r>
      <w:r>
        <w:fldChar w:fldCharType="separate"/>
      </w:r>
      <w:r>
        <w:rPr>
          <w:rFonts w:cs="宋体" w:asciiTheme="majorEastAsia" w:hAnsiTheme="majorEastAsia" w:eastAsiaTheme="majorEastAsia"/>
          <w:b/>
          <w:sz w:val="28"/>
          <w:szCs w:val="40"/>
        </w:rPr>
        <w:t>七    其他事项</w:t>
      </w:r>
      <w:r>
        <w:rPr>
          <w:rFonts w:asciiTheme="majorEastAsia" w:hAnsiTheme="majorEastAsia" w:eastAsiaTheme="majorEastAsia"/>
          <w:b/>
          <w:sz w:val="28"/>
          <w:szCs w:val="36"/>
        </w:rPr>
        <w:tab/>
      </w:r>
      <w:r>
        <w:rPr>
          <w:rFonts w:asciiTheme="majorEastAsia" w:hAnsiTheme="majorEastAsia" w:eastAsiaTheme="majorEastAsia"/>
          <w:b/>
          <w:sz w:val="28"/>
          <w:szCs w:val="36"/>
        </w:rPr>
        <w:t>1</w:t>
      </w:r>
      <w:r>
        <w:rPr>
          <w:rFonts w:asciiTheme="majorEastAsia" w:hAnsiTheme="majorEastAsia" w:eastAsiaTheme="majorEastAsia"/>
          <w:b/>
          <w:sz w:val="28"/>
          <w:szCs w:val="36"/>
        </w:rPr>
        <w:fldChar w:fldCharType="end"/>
      </w:r>
      <w:r>
        <w:rPr>
          <w:rFonts w:asciiTheme="majorEastAsia" w:hAnsiTheme="majorEastAsia" w:eastAsiaTheme="majorEastAsia"/>
          <w:b/>
          <w:sz w:val="28"/>
          <w:szCs w:val="36"/>
        </w:rPr>
        <w:t>00</w:t>
      </w:r>
    </w:p>
    <w:p>
      <w:pPr>
        <w:pStyle w:val="20"/>
        <w:tabs>
          <w:tab w:val="right" w:leader="dot" w:pos="9746"/>
        </w:tabs>
        <w:rPr>
          <w:rFonts w:asciiTheme="majorEastAsia" w:hAnsiTheme="majorEastAsia" w:eastAsiaTheme="majorEastAsia"/>
          <w:b/>
          <w:sz w:val="28"/>
          <w:szCs w:val="36"/>
        </w:rPr>
      </w:pPr>
      <w:r>
        <w:fldChar w:fldCharType="begin"/>
      </w:r>
      <w:r>
        <w:instrText xml:space="preserve"> HYPERLINK \l "_Toc10506" </w:instrText>
      </w:r>
      <w:r>
        <w:fldChar w:fldCharType="separate"/>
      </w:r>
      <w:r>
        <w:rPr>
          <w:rFonts w:cs="宋体" w:asciiTheme="majorEastAsia" w:hAnsiTheme="majorEastAsia" w:eastAsiaTheme="majorEastAsia"/>
          <w:b/>
          <w:sz w:val="28"/>
          <w:szCs w:val="36"/>
        </w:rPr>
        <w:t>第五章  投标文件格式</w:t>
      </w:r>
      <w:r>
        <w:rPr>
          <w:rFonts w:asciiTheme="majorEastAsia" w:hAnsiTheme="majorEastAsia" w:eastAsiaTheme="majorEastAsia"/>
          <w:b/>
          <w:sz w:val="28"/>
          <w:szCs w:val="36"/>
        </w:rPr>
        <w:tab/>
      </w:r>
      <w:r>
        <w:rPr>
          <w:rFonts w:asciiTheme="majorEastAsia" w:hAnsiTheme="majorEastAsia" w:eastAsiaTheme="majorEastAsia"/>
          <w:b/>
          <w:sz w:val="28"/>
          <w:szCs w:val="36"/>
        </w:rPr>
        <w:t>1</w:t>
      </w:r>
      <w:r>
        <w:rPr>
          <w:rFonts w:asciiTheme="majorEastAsia" w:hAnsiTheme="majorEastAsia" w:eastAsiaTheme="majorEastAsia"/>
          <w:b/>
          <w:sz w:val="28"/>
          <w:szCs w:val="36"/>
        </w:rPr>
        <w:fldChar w:fldCharType="end"/>
      </w:r>
      <w:r>
        <w:rPr>
          <w:rFonts w:asciiTheme="majorEastAsia" w:hAnsiTheme="majorEastAsia" w:eastAsiaTheme="majorEastAsia"/>
          <w:b/>
          <w:sz w:val="28"/>
          <w:szCs w:val="36"/>
        </w:rPr>
        <w:t>01</w:t>
      </w:r>
    </w:p>
    <w:p>
      <w:pPr>
        <w:pStyle w:val="20"/>
        <w:tabs>
          <w:tab w:val="right" w:leader="dot" w:pos="9746"/>
        </w:tabs>
        <w:rPr>
          <w:rFonts w:asciiTheme="majorEastAsia" w:hAnsiTheme="majorEastAsia" w:eastAsiaTheme="majorEastAsia"/>
          <w:b/>
          <w:sz w:val="28"/>
          <w:szCs w:val="36"/>
        </w:rPr>
      </w:pPr>
      <w:r>
        <w:fldChar w:fldCharType="begin"/>
      </w:r>
      <w:r>
        <w:instrText xml:space="preserve"> HYPERLINK \l "_Toc12816" </w:instrText>
      </w:r>
      <w:r>
        <w:fldChar w:fldCharType="separate"/>
      </w:r>
      <w:r>
        <w:rPr>
          <w:rFonts w:cs="宋体" w:asciiTheme="majorEastAsia" w:hAnsiTheme="majorEastAsia" w:eastAsiaTheme="majorEastAsia"/>
          <w:b/>
          <w:sz w:val="28"/>
          <w:szCs w:val="48"/>
        </w:rPr>
        <w:t>第六章  合同条款及格式</w:t>
      </w:r>
      <w:r>
        <w:rPr>
          <w:rFonts w:asciiTheme="majorEastAsia" w:hAnsiTheme="majorEastAsia" w:eastAsiaTheme="majorEastAsia"/>
          <w:b/>
          <w:sz w:val="28"/>
          <w:szCs w:val="36"/>
        </w:rPr>
        <w:tab/>
      </w:r>
      <w:r>
        <w:rPr>
          <w:rFonts w:asciiTheme="majorEastAsia" w:hAnsiTheme="majorEastAsia" w:eastAsiaTheme="majorEastAsia"/>
          <w:b/>
          <w:sz w:val="28"/>
          <w:szCs w:val="36"/>
        </w:rPr>
        <w:t>1</w:t>
      </w:r>
      <w:r>
        <w:rPr>
          <w:rFonts w:asciiTheme="majorEastAsia" w:hAnsiTheme="majorEastAsia" w:eastAsiaTheme="majorEastAsia"/>
          <w:b/>
          <w:sz w:val="28"/>
          <w:szCs w:val="36"/>
        </w:rPr>
        <w:fldChar w:fldCharType="end"/>
      </w:r>
      <w:r>
        <w:rPr>
          <w:rFonts w:asciiTheme="majorEastAsia" w:hAnsiTheme="majorEastAsia" w:eastAsiaTheme="majorEastAsia"/>
          <w:b/>
          <w:sz w:val="28"/>
          <w:szCs w:val="36"/>
        </w:rPr>
        <w:t>14</w:t>
      </w:r>
    </w:p>
    <w:p>
      <w:pPr>
        <w:pStyle w:val="64"/>
        <w:tabs>
          <w:tab w:val="right" w:leader="dot" w:pos="9660"/>
        </w:tabs>
        <w:spacing w:before="0" w:after="0" w:line="600" w:lineRule="exact"/>
        <w:rPr>
          <w:rFonts w:cs="宋体" w:asciiTheme="majorEastAsia" w:hAnsiTheme="majorEastAsia" w:eastAsiaTheme="majorEastAsia"/>
          <w:b w:val="0"/>
          <w:bCs w:val="0"/>
          <w:caps w:val="0"/>
          <w:sz w:val="72"/>
          <w:szCs w:val="72"/>
        </w:rPr>
      </w:pPr>
      <w:r>
        <w:rPr>
          <w:rFonts w:hint="eastAsia" w:cs="宋体" w:asciiTheme="majorEastAsia" w:hAnsiTheme="majorEastAsia" w:eastAsiaTheme="majorEastAsia"/>
          <w:sz w:val="24"/>
          <w:szCs w:val="56"/>
          <w:highlight w:val="yellow"/>
        </w:rPr>
        <w:fldChar w:fldCharType="end"/>
      </w:r>
      <w:bookmarkStart w:id="0" w:name="_Toc139966433"/>
      <w:bookmarkStart w:id="1" w:name="_Toc139967217"/>
      <w:bookmarkStart w:id="2" w:name="_Toc213325920"/>
      <w:bookmarkStart w:id="3" w:name="_Toc213206171"/>
      <w:bookmarkStart w:id="4" w:name="_Toc139966426"/>
      <w:bookmarkStart w:id="5" w:name="_Toc139967210"/>
    </w:p>
    <w:p>
      <w:pPr>
        <w:pStyle w:val="16"/>
        <w:jc w:val="center"/>
        <w:rPr>
          <w:rFonts w:cs="宋体" w:asciiTheme="majorEastAsia" w:hAnsiTheme="majorEastAsia" w:eastAsiaTheme="majorEastAsia"/>
          <w:b/>
          <w:bCs/>
          <w:caps/>
          <w:sz w:val="28"/>
          <w:szCs w:val="28"/>
        </w:rPr>
      </w:pPr>
    </w:p>
    <w:p>
      <w:pPr>
        <w:pStyle w:val="65"/>
        <w:widowControl w:val="0"/>
        <w:numPr>
          <w:ilvl w:val="255"/>
          <w:numId w:val="0"/>
        </w:numPr>
        <w:spacing w:after="156" w:line="500" w:lineRule="exact"/>
        <w:outlineLvl w:val="0"/>
        <w:rPr>
          <w:rFonts w:cs="宋体" w:asciiTheme="majorEastAsia" w:hAnsiTheme="majorEastAsia" w:eastAsiaTheme="majorEastAsia"/>
          <w:b/>
          <w:bCs/>
          <w:caps/>
          <w:sz w:val="28"/>
          <w:szCs w:val="28"/>
        </w:rPr>
        <w:sectPr>
          <w:pgSz w:w="11906" w:h="16838"/>
          <w:pgMar w:top="1440" w:right="1080" w:bottom="1440" w:left="1080" w:header="851" w:footer="907" w:gutter="0"/>
          <w:pgNumType w:fmt="decimal"/>
          <w:cols w:space="720" w:num="1"/>
          <w:titlePg/>
          <w:docGrid w:type="lines" w:linePitch="312" w:charSpace="0"/>
        </w:sectPr>
      </w:pPr>
    </w:p>
    <w:p>
      <w:pPr>
        <w:pStyle w:val="65"/>
        <w:widowControl w:val="0"/>
        <w:numPr>
          <w:ilvl w:val="255"/>
          <w:numId w:val="0"/>
        </w:numPr>
        <w:spacing w:after="156" w:line="500" w:lineRule="exact"/>
        <w:jc w:val="center"/>
        <w:outlineLvl w:val="0"/>
        <w:rPr>
          <w:rFonts w:cs="宋体" w:asciiTheme="majorEastAsia" w:hAnsiTheme="majorEastAsia" w:eastAsiaTheme="majorEastAsia"/>
          <w:b/>
          <w:sz w:val="36"/>
        </w:rPr>
      </w:pPr>
      <w:bookmarkStart w:id="6" w:name="_Toc26249"/>
      <w:r>
        <w:rPr>
          <w:rFonts w:hint="eastAsia" w:cs="宋体" w:asciiTheme="majorEastAsia" w:hAnsiTheme="majorEastAsia" w:eastAsiaTheme="majorEastAsia"/>
          <w:b/>
          <w:sz w:val="36"/>
        </w:rPr>
        <w:t>第一章</w:t>
      </w:r>
      <w:bookmarkStart w:id="7" w:name="_Toc452363802"/>
      <w:r>
        <w:rPr>
          <w:rFonts w:hint="eastAsia" w:cs="宋体" w:asciiTheme="majorEastAsia" w:hAnsiTheme="majorEastAsia" w:eastAsiaTheme="majorEastAsia"/>
          <w:b/>
          <w:sz w:val="36"/>
        </w:rPr>
        <w:t>公告</w:t>
      </w:r>
      <w:bookmarkEnd w:id="6"/>
      <w:bookmarkEnd w:id="7"/>
    </w:p>
    <w:bookmarkEnd w:id="0"/>
    <w:bookmarkEnd w:id="1"/>
    <w:bookmarkEnd w:id="2"/>
    <w:bookmarkEnd w:id="3"/>
    <w:p>
      <w:pPr>
        <w:pStyle w:val="65"/>
        <w:widowControl w:val="0"/>
        <w:spacing w:after="156" w:line="500" w:lineRule="exact"/>
        <w:ind w:firstLine="0" w:firstLineChars="0"/>
        <w:jc w:val="center"/>
        <w:rPr>
          <w:rFonts w:cs="宋体" w:asciiTheme="majorEastAsia" w:hAnsiTheme="majorEastAsia" w:eastAsiaTheme="majorEastAsia"/>
          <w:b/>
          <w:sz w:val="36"/>
        </w:rPr>
      </w:pPr>
      <w:r>
        <w:rPr>
          <w:rFonts w:hint="eastAsia" w:cs="宋体" w:asciiTheme="majorEastAsia" w:hAnsiTheme="majorEastAsia" w:eastAsiaTheme="majorEastAsia"/>
          <w:b/>
          <w:sz w:val="36"/>
        </w:rPr>
        <w:t>公开招标公告</w:t>
      </w:r>
    </w:p>
    <w:tbl>
      <w:tblPr>
        <w:tblStyle w:val="2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22"/>
              <w:spacing w:before="75" w:beforeAutospacing="0" w:after="75" w:afterAutospacing="0" w:line="360" w:lineRule="auto"/>
              <w:rPr>
                <w:rFonts w:asciiTheme="majorEastAsia" w:hAnsiTheme="majorEastAsia" w:eastAsiaTheme="majorEastAsia"/>
              </w:rPr>
            </w:pPr>
            <w:bookmarkStart w:id="8" w:name="_Toc450053769"/>
            <w:bookmarkStart w:id="9" w:name="_Toc139967215"/>
            <w:bookmarkStart w:id="10" w:name="_Toc213325921"/>
            <w:bookmarkStart w:id="11" w:name="_Toc213206172"/>
            <w:bookmarkStart w:id="12" w:name="_Toc139966431"/>
            <w:r>
              <w:rPr>
                <w:rFonts w:hint="eastAsia" w:asciiTheme="majorEastAsia" w:hAnsiTheme="majorEastAsia" w:eastAsiaTheme="majorEastAsia"/>
              </w:rPr>
              <w:t>项目概况</w:t>
            </w:r>
            <w:r>
              <w:rPr>
                <w:rFonts w:asciiTheme="majorEastAsia" w:hAnsiTheme="majorEastAsia" w:eastAsiaTheme="majorEastAsia"/>
              </w:rPr>
              <w:t>:</w:t>
            </w:r>
          </w:p>
          <w:p>
            <w:pPr>
              <w:pStyle w:val="22"/>
              <w:wordWrap w:val="0"/>
              <w:spacing w:before="75" w:beforeAutospacing="0" w:after="75" w:afterAutospacing="0" w:line="360" w:lineRule="auto"/>
              <w:rPr>
                <w:rFonts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u w:val="single"/>
              </w:rPr>
              <w:t>中国（广西）自由贸易试验区南宁片区统计信息应用系统（项目编号：NNZC2020-G3-990116-GXYZ）</w:t>
            </w:r>
            <w:r>
              <w:rPr>
                <w:rFonts w:hint="eastAsia" w:asciiTheme="majorEastAsia" w:hAnsiTheme="majorEastAsia" w:eastAsiaTheme="majorEastAsia"/>
              </w:rPr>
              <w:t>采购项目的潜在投标人应在</w:t>
            </w:r>
            <w:r>
              <w:rPr>
                <w:rFonts w:hint="eastAsia" w:asciiTheme="majorEastAsia" w:hAnsiTheme="majorEastAsia" w:eastAsiaTheme="majorEastAsia"/>
                <w:u w:val="single"/>
              </w:rPr>
              <w:t>南宁市公共资源交易平台</w:t>
            </w:r>
            <w:r>
              <w:rPr>
                <w:rFonts w:asciiTheme="majorEastAsia" w:hAnsiTheme="majorEastAsia" w:eastAsiaTheme="majorEastAsia"/>
                <w:u w:val="single"/>
              </w:rPr>
              <w:t>(https://www.nnggzy.org.cn/gxnnhy)</w:t>
            </w:r>
            <w:r>
              <w:rPr>
                <w:rFonts w:hint="eastAsia" w:asciiTheme="majorEastAsia" w:hAnsiTheme="majorEastAsia" w:eastAsiaTheme="majorEastAsia"/>
              </w:rPr>
              <w:t>的信息公告处自行下载获取本项目招标文件，并于</w:t>
            </w:r>
            <w:r>
              <w:rPr>
                <w:rFonts w:asciiTheme="majorEastAsia" w:hAnsiTheme="majorEastAsia" w:eastAsiaTheme="majorEastAsia"/>
                <w:u w:val="single"/>
              </w:rPr>
              <w:t>2020年</w:t>
            </w:r>
            <w:r>
              <w:rPr>
                <w:rFonts w:hint="eastAsia" w:asciiTheme="majorEastAsia" w:hAnsiTheme="majorEastAsia" w:eastAsiaTheme="majorEastAsia"/>
                <w:u w:val="single"/>
                <w:lang w:val="en-US" w:eastAsia="zh-CN"/>
              </w:rPr>
              <w:t>10</w:t>
            </w:r>
            <w:r>
              <w:rPr>
                <w:rFonts w:hint="eastAsia" w:asciiTheme="majorEastAsia" w:hAnsiTheme="majorEastAsia" w:eastAsiaTheme="majorEastAsia"/>
                <w:u w:val="single"/>
              </w:rPr>
              <w:t>月</w:t>
            </w:r>
            <w:r>
              <w:rPr>
                <w:rFonts w:hint="eastAsia" w:asciiTheme="majorEastAsia" w:hAnsiTheme="majorEastAsia" w:eastAsiaTheme="majorEastAsia"/>
                <w:u w:val="single"/>
                <w:lang w:val="en-US" w:eastAsia="zh-CN"/>
              </w:rPr>
              <w:t>20</w:t>
            </w:r>
            <w:r>
              <w:rPr>
                <w:rFonts w:hint="eastAsia" w:asciiTheme="majorEastAsia" w:hAnsiTheme="majorEastAsia" w:eastAsiaTheme="majorEastAsia"/>
                <w:u w:val="single"/>
              </w:rPr>
              <w:t>日</w:t>
            </w:r>
            <w:r>
              <w:rPr>
                <w:rFonts w:hint="eastAsia" w:asciiTheme="majorEastAsia" w:hAnsiTheme="majorEastAsia" w:eastAsiaTheme="majorEastAsia"/>
                <w:u w:val="single"/>
                <w:lang w:val="en-US" w:eastAsia="zh-CN"/>
              </w:rPr>
              <w:t>09</w:t>
            </w:r>
            <w:r>
              <w:rPr>
                <w:rFonts w:hint="eastAsia" w:asciiTheme="majorEastAsia" w:hAnsiTheme="majorEastAsia" w:eastAsiaTheme="majorEastAsia"/>
                <w:u w:val="single"/>
              </w:rPr>
              <w:t>点</w:t>
            </w:r>
            <w:r>
              <w:rPr>
                <w:rFonts w:hint="eastAsia" w:asciiTheme="majorEastAsia" w:hAnsiTheme="majorEastAsia" w:eastAsiaTheme="majorEastAsia"/>
                <w:u w:val="single"/>
                <w:lang w:val="en-US" w:eastAsia="zh-CN"/>
              </w:rPr>
              <w:t>30</w:t>
            </w:r>
            <w:r>
              <w:rPr>
                <w:rFonts w:hint="eastAsia" w:asciiTheme="majorEastAsia" w:hAnsiTheme="majorEastAsia" w:eastAsiaTheme="majorEastAsia"/>
                <w:u w:val="single"/>
              </w:rPr>
              <w:t>分</w:t>
            </w:r>
            <w:r>
              <w:rPr>
                <w:rFonts w:hint="eastAsia" w:asciiTheme="majorEastAsia" w:hAnsiTheme="majorEastAsia" w:eastAsiaTheme="majorEastAsia"/>
              </w:rPr>
              <w:t>（北京时间）前</w:t>
            </w:r>
            <w:bookmarkStart w:id="55" w:name="_GoBack"/>
            <w:bookmarkEnd w:id="55"/>
            <w:r>
              <w:rPr>
                <w:rFonts w:hint="eastAsia" w:asciiTheme="majorEastAsia" w:hAnsiTheme="majorEastAsia" w:eastAsiaTheme="majorEastAsia"/>
              </w:rPr>
              <w:t>递交投标文件。</w:t>
            </w:r>
          </w:p>
        </w:tc>
      </w:tr>
    </w:tbl>
    <w:p>
      <w:pPr>
        <w:pStyle w:val="22"/>
        <w:spacing w:before="75" w:beforeAutospacing="0" w:after="75" w:afterAutospacing="0" w:line="360" w:lineRule="auto"/>
        <w:rPr>
          <w:rFonts w:asciiTheme="majorEastAsia" w:hAnsiTheme="majorEastAsia" w:eastAsiaTheme="majorEastAsia"/>
        </w:rPr>
      </w:pPr>
      <w:r>
        <w:rPr>
          <w:rStyle w:val="28"/>
          <w:rFonts w:hint="eastAsia" w:asciiTheme="majorEastAsia" w:hAnsiTheme="majorEastAsia" w:eastAsiaTheme="majorEastAsia"/>
        </w:rPr>
        <w:t>一、项目基本情况：</w:t>
      </w:r>
    </w:p>
    <w:p>
      <w:pPr>
        <w:pStyle w:val="22"/>
        <w:spacing w:before="75" w:beforeAutospacing="0" w:after="75" w:afterAutospacing="0" w:line="360" w:lineRule="auto"/>
        <w:ind w:firstLine="240" w:firstLineChars="100"/>
        <w:rPr>
          <w:rFonts w:asciiTheme="majorEastAsia" w:hAnsiTheme="majorEastAsia" w:eastAsiaTheme="majorEastAsia"/>
        </w:rPr>
      </w:pPr>
      <w:r>
        <w:rPr>
          <w:rFonts w:hint="eastAsia" w:asciiTheme="majorEastAsia" w:hAnsiTheme="majorEastAsia" w:eastAsiaTheme="majorEastAsia"/>
        </w:rPr>
        <w:t>项目编号：NNZC2020-G3-990116-GXYZ</w:t>
      </w:r>
    </w:p>
    <w:p>
      <w:pPr>
        <w:pStyle w:val="22"/>
        <w:spacing w:before="75" w:beforeAutospacing="0" w:after="75" w:afterAutospacing="0" w:line="360" w:lineRule="auto"/>
        <w:ind w:firstLine="240" w:firstLineChars="100"/>
        <w:rPr>
          <w:rFonts w:asciiTheme="majorEastAsia" w:hAnsiTheme="majorEastAsia" w:eastAsiaTheme="majorEastAsia"/>
        </w:rPr>
      </w:pPr>
      <w:r>
        <w:rPr>
          <w:rFonts w:hint="eastAsia" w:asciiTheme="majorEastAsia" w:hAnsiTheme="majorEastAsia" w:eastAsiaTheme="majorEastAsia"/>
        </w:rPr>
        <w:t>项目名称：中国（广西）自由贸易试验区南宁片区统计信息应用系统</w:t>
      </w:r>
    </w:p>
    <w:p>
      <w:pPr>
        <w:pStyle w:val="22"/>
        <w:spacing w:before="75" w:beforeAutospacing="0" w:after="75" w:afterAutospacing="0" w:line="360" w:lineRule="auto"/>
        <w:ind w:firstLine="240" w:firstLineChars="100"/>
        <w:rPr>
          <w:rFonts w:asciiTheme="majorEastAsia" w:hAnsiTheme="majorEastAsia" w:eastAsiaTheme="majorEastAsia"/>
        </w:rPr>
      </w:pPr>
      <w:r>
        <w:rPr>
          <w:rFonts w:hint="eastAsia" w:asciiTheme="majorEastAsia" w:hAnsiTheme="majorEastAsia" w:eastAsiaTheme="majorEastAsia"/>
        </w:rPr>
        <w:t>采购计划文号：</w:t>
      </w:r>
      <w:r>
        <w:fldChar w:fldCharType="begin"/>
      </w:r>
      <w:r>
        <w:instrText xml:space="preserve"> HYPERLINK "https://pay.zcygov.cn/purchaseplan_front/" \l "/plan/list/detail?id=1000000000003386152&amp;encrypt=5ea8bbc818bd200408bcbb07ff8c6096" \t "https://bidding.zcygov.cn/xmgl/projectQuery/_blank" </w:instrText>
      </w:r>
      <w:r>
        <w:fldChar w:fldCharType="separate"/>
      </w:r>
      <w:r>
        <w:rPr>
          <w:rFonts w:hint="eastAsia" w:asciiTheme="majorEastAsia" w:hAnsiTheme="majorEastAsia" w:eastAsiaTheme="majorEastAsia"/>
        </w:rPr>
        <w:t>[2020]NCCJA075-001</w:t>
      </w:r>
      <w:r>
        <w:rPr>
          <w:rFonts w:hint="eastAsia" w:asciiTheme="majorEastAsia" w:hAnsiTheme="majorEastAsia" w:eastAsiaTheme="majorEastAsia"/>
        </w:rPr>
        <w:fldChar w:fldCharType="end"/>
      </w:r>
    </w:p>
    <w:p>
      <w:pPr>
        <w:pStyle w:val="22"/>
        <w:spacing w:before="75" w:beforeAutospacing="0" w:after="75" w:afterAutospacing="0" w:line="360" w:lineRule="auto"/>
        <w:ind w:firstLine="240" w:firstLineChars="100"/>
        <w:rPr>
          <w:rFonts w:asciiTheme="majorEastAsia" w:hAnsiTheme="majorEastAsia" w:eastAsiaTheme="majorEastAsia"/>
        </w:rPr>
      </w:pPr>
      <w:r>
        <w:rPr>
          <w:rFonts w:hint="eastAsia" w:asciiTheme="majorEastAsia" w:hAnsiTheme="majorEastAsia" w:eastAsiaTheme="majorEastAsia"/>
        </w:rPr>
        <w:t>预算金额：人民币贰佰伍拾伍万贰仟捌佰元整</w:t>
      </w:r>
      <w:r>
        <w:rPr>
          <w:rFonts w:asciiTheme="majorEastAsia" w:hAnsiTheme="majorEastAsia" w:eastAsiaTheme="majorEastAsia"/>
        </w:rPr>
        <w:t>(￥2552800.00元)</w:t>
      </w:r>
    </w:p>
    <w:p>
      <w:pPr>
        <w:pStyle w:val="22"/>
        <w:spacing w:before="75" w:beforeAutospacing="0" w:after="75" w:afterAutospacing="0" w:line="360" w:lineRule="auto"/>
        <w:ind w:firstLine="240" w:firstLineChars="100"/>
        <w:rPr>
          <w:rFonts w:asciiTheme="majorEastAsia" w:hAnsiTheme="majorEastAsia" w:eastAsiaTheme="majorEastAsia"/>
        </w:rPr>
      </w:pPr>
      <w:r>
        <w:rPr>
          <w:rFonts w:hint="eastAsia" w:asciiTheme="majorEastAsia" w:hAnsiTheme="majorEastAsia" w:eastAsiaTheme="majorEastAsia"/>
        </w:rPr>
        <w:t>最高限价为：人民币贰佰伍拾伍万贰仟捌佰元整</w:t>
      </w:r>
      <w:r>
        <w:rPr>
          <w:rFonts w:asciiTheme="majorEastAsia" w:hAnsiTheme="majorEastAsia" w:eastAsiaTheme="majorEastAsia"/>
        </w:rPr>
        <w:t>(￥2552800.00元)</w:t>
      </w:r>
    </w:p>
    <w:p>
      <w:pPr>
        <w:pStyle w:val="22"/>
        <w:spacing w:before="75" w:beforeAutospacing="0" w:after="75" w:afterAutospacing="0" w:line="360" w:lineRule="auto"/>
        <w:ind w:firstLine="240" w:firstLineChars="100"/>
        <w:rPr>
          <w:rFonts w:asciiTheme="majorEastAsia" w:hAnsiTheme="majorEastAsia" w:eastAsiaTheme="majorEastAsia"/>
        </w:rPr>
      </w:pPr>
      <w:r>
        <w:rPr>
          <w:rFonts w:hint="eastAsia" w:asciiTheme="majorEastAsia" w:hAnsiTheme="majorEastAsia" w:eastAsiaTheme="majorEastAsia"/>
        </w:rPr>
        <w:t>采购需求：</w:t>
      </w:r>
    </w:p>
    <w:tbl>
      <w:tblPr>
        <w:tblStyle w:val="26"/>
        <w:tblW w:w="925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80"/>
        <w:gridCol w:w="1688"/>
        <w:gridCol w:w="1275"/>
        <w:gridCol w:w="561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3"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360" w:lineRule="auto"/>
              <w:jc w:val="center"/>
              <w:rPr>
                <w:rFonts w:ascii="宋体" w:hAnsi="宋体" w:eastAsia="宋体"/>
                <w:b/>
                <w:sz w:val="24"/>
                <w:szCs w:val="24"/>
              </w:rPr>
            </w:pPr>
            <w:r>
              <w:rPr>
                <w:rFonts w:hint="eastAsia" w:ascii="宋体" w:hAnsi="宋体" w:eastAsia="宋体"/>
                <w:b/>
                <w:sz w:val="24"/>
                <w:szCs w:val="24"/>
              </w:rPr>
              <w:t>项号</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服务名称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数量</w:t>
            </w:r>
          </w:p>
        </w:tc>
        <w:tc>
          <w:tcPr>
            <w:tcW w:w="56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服务内容及要求（详见服务需求一览表）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6"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auto"/>
              <w:jc w:val="center"/>
              <w:rPr>
                <w:rFonts w:ascii="宋体" w:hAnsi="宋体" w:eastAsia="宋体"/>
                <w:color w:val="FF0000"/>
                <w:sz w:val="24"/>
                <w:szCs w:val="24"/>
              </w:rPr>
            </w:pPr>
            <w:r>
              <w:rPr>
                <w:rFonts w:ascii="新宋体" w:hAnsi="新宋体" w:eastAsia="新宋体" w:cs="新宋体"/>
                <w:sz w:val="24"/>
                <w:szCs w:val="24"/>
              </w:rPr>
              <w:t>1</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auto"/>
              <w:jc w:val="center"/>
              <w:textAlignment w:val="center"/>
              <w:rPr>
                <w:rFonts w:ascii="宋体" w:hAnsi="宋体" w:eastAsia="宋体"/>
                <w:color w:val="FF0000"/>
                <w:sz w:val="24"/>
                <w:szCs w:val="24"/>
              </w:rPr>
            </w:pPr>
            <w:r>
              <w:rPr>
                <w:rFonts w:hint="eastAsia" w:ascii="新宋体" w:hAnsi="新宋体" w:eastAsia="新宋体" w:cs="新宋体"/>
                <w:sz w:val="24"/>
                <w:szCs w:val="24"/>
              </w:rPr>
              <w:t>统计指标上报子系统</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auto"/>
              <w:jc w:val="center"/>
              <w:textAlignment w:val="center"/>
              <w:rPr>
                <w:rFonts w:ascii="宋体" w:hAnsi="宋体" w:eastAsia="宋体"/>
                <w:color w:val="FF0000"/>
                <w:sz w:val="24"/>
                <w:szCs w:val="24"/>
              </w:rPr>
            </w:pPr>
            <w:r>
              <w:rPr>
                <w:rFonts w:ascii="新宋体" w:hAnsi="新宋体" w:eastAsia="新宋体" w:cs="新宋体"/>
                <w:sz w:val="24"/>
                <w:szCs w:val="24"/>
              </w:rPr>
              <w:t>1项</w:t>
            </w:r>
          </w:p>
        </w:tc>
        <w:tc>
          <w:tcPr>
            <w:tcW w:w="5612" w:type="dxa"/>
            <w:tcBorders>
              <w:top w:val="single" w:color="auto" w:sz="4" w:space="0"/>
              <w:left w:val="single" w:color="auto" w:sz="4" w:space="0"/>
              <w:bottom w:val="single" w:color="auto" w:sz="4" w:space="0"/>
              <w:right w:val="single" w:color="auto" w:sz="4" w:space="0"/>
            </w:tcBorders>
            <w:shd w:val="clear" w:color="auto" w:fill="auto"/>
          </w:tcPr>
          <w:p>
            <w:pPr>
              <w:spacing w:after="0" w:line="360" w:lineRule="auto"/>
              <w:ind w:firstLine="480" w:firstLineChars="200"/>
              <w:textAlignment w:val="center"/>
              <w:rPr>
                <w:rFonts w:ascii="新宋体" w:hAnsi="新宋体" w:eastAsia="新宋体" w:cs="新宋体"/>
                <w:color w:val="auto"/>
                <w:sz w:val="24"/>
                <w:szCs w:val="24"/>
              </w:rPr>
            </w:pPr>
            <w:r>
              <w:rPr>
                <w:rFonts w:hint="eastAsia" w:ascii="新宋体" w:hAnsi="新宋体" w:eastAsia="新宋体" w:cs="新宋体"/>
                <w:color w:val="auto"/>
                <w:sz w:val="24"/>
                <w:szCs w:val="24"/>
              </w:rPr>
              <w:t>统计指标上报系统主要基于自贸区各机构的报表上报工作，优化以往文件上报和纸质版上报的方式，为各部门提供旬报、月报、季报、年报以及企业名单情况表等线上填报功能，支持退回和撤销，支持数据核查、数据校验、数据修改、进度跟踪及填报历史查看功能。系统能够自动根据提醒规则发送提醒信息给各单位相关人员，助力各部门按时按质完成统计报表上报工作。主要包括以下内容：</w:t>
            </w:r>
          </w:p>
          <w:p>
            <w:pPr>
              <w:pStyle w:val="2"/>
              <w:snapToGrid w:val="0"/>
              <w:spacing w:after="0"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1、个人中心</w:t>
            </w:r>
          </w:p>
          <w:p>
            <w:pPr>
              <w:pStyle w:val="2"/>
              <w:snapToGrid w:val="0"/>
              <w:spacing w:after="0"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个人中心是业务人员进入系统的认证入口。可进行个人日常操作：修改个人信息、本单位信息，查看本单位的待办和已办事项，查看系统内发布的通知公告信息。</w:t>
            </w:r>
          </w:p>
          <w:p>
            <w:pPr>
              <w:pStyle w:val="18"/>
              <w:rPr>
                <w:rFonts w:ascii="宋体" w:hAnsi="宋体" w:eastAsia="宋体"/>
                <w:color w:val="auto"/>
                <w:sz w:val="24"/>
                <w:szCs w:val="24"/>
              </w:rPr>
            </w:pPr>
            <w:r>
              <w:rPr>
                <w:rFonts w:hint="eastAsia" w:ascii="宋体" w:hAnsi="宋体" w:eastAsia="宋体"/>
                <w:color w:val="auto"/>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6"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auto"/>
              <w:jc w:val="center"/>
              <w:rPr>
                <w:rFonts w:ascii="宋体" w:hAnsi="宋体" w:eastAsia="宋体"/>
                <w:sz w:val="24"/>
                <w:szCs w:val="24"/>
              </w:rPr>
            </w:pPr>
            <w:r>
              <w:rPr>
                <w:rFonts w:ascii="新宋体" w:hAnsi="新宋体" w:eastAsia="新宋体" w:cs="新宋体"/>
                <w:sz w:val="24"/>
                <w:szCs w:val="24"/>
              </w:rPr>
              <w:t>2</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auto"/>
              <w:jc w:val="center"/>
              <w:textAlignment w:val="center"/>
              <w:rPr>
                <w:rFonts w:ascii="宋体" w:hAnsi="宋体" w:eastAsia="宋体"/>
                <w:sz w:val="24"/>
                <w:szCs w:val="24"/>
              </w:rPr>
            </w:pPr>
            <w:r>
              <w:rPr>
                <w:rFonts w:hint="eastAsia" w:ascii="新宋体" w:hAnsi="新宋体" w:eastAsia="新宋体" w:cs="新宋体"/>
                <w:sz w:val="24"/>
                <w:szCs w:val="24"/>
              </w:rPr>
              <w:t>统计指标上报管理子系统</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auto"/>
              <w:jc w:val="center"/>
              <w:textAlignment w:val="center"/>
              <w:rPr>
                <w:rFonts w:ascii="宋体" w:hAnsi="宋体" w:eastAsia="宋体"/>
                <w:sz w:val="24"/>
                <w:szCs w:val="24"/>
              </w:rPr>
            </w:pPr>
            <w:r>
              <w:rPr>
                <w:rFonts w:ascii="新宋体" w:hAnsi="新宋体" w:eastAsia="新宋体" w:cs="新宋体"/>
                <w:sz w:val="24"/>
                <w:szCs w:val="24"/>
              </w:rPr>
              <w:t>1项</w:t>
            </w:r>
          </w:p>
        </w:tc>
        <w:tc>
          <w:tcPr>
            <w:tcW w:w="5612" w:type="dxa"/>
            <w:tcBorders>
              <w:top w:val="single" w:color="auto" w:sz="4" w:space="0"/>
              <w:left w:val="single" w:color="auto" w:sz="4" w:space="0"/>
              <w:bottom w:val="single" w:color="auto" w:sz="4" w:space="0"/>
              <w:right w:val="single" w:color="auto" w:sz="4" w:space="0"/>
            </w:tcBorders>
            <w:shd w:val="clear" w:color="auto" w:fill="auto"/>
          </w:tcPr>
          <w:p>
            <w:pPr>
              <w:spacing w:after="0" w:line="360" w:lineRule="auto"/>
              <w:ind w:firstLine="480" w:firstLineChars="200"/>
              <w:rPr>
                <w:rFonts w:ascii="新宋体" w:hAnsi="新宋体" w:eastAsia="新宋体" w:cs="新宋体"/>
                <w:color w:val="auto"/>
                <w:sz w:val="24"/>
                <w:szCs w:val="24"/>
              </w:rPr>
            </w:pPr>
            <w:r>
              <w:rPr>
                <w:rFonts w:hint="eastAsia" w:ascii="新宋体" w:hAnsi="新宋体" w:eastAsia="新宋体" w:cs="新宋体"/>
                <w:color w:val="auto"/>
                <w:sz w:val="24"/>
                <w:szCs w:val="24"/>
              </w:rPr>
              <w:t>统计指标上报管理子系统为统计部门提供报送类型维护、填报提醒设置等基础维护，支持通过多维度图表的方式掌握旬报、月报、年报以及企业名单情况表等填报进展及上报情况，提供原始企业名录、自贸区企业名录、五百强企业名录等分类的企业名录管理功能，支持对企业名录标识登记机关、存量</w:t>
            </w:r>
            <w:r>
              <w:rPr>
                <w:rFonts w:ascii="新宋体" w:hAnsi="新宋体" w:eastAsia="新宋体" w:cs="新宋体"/>
                <w:color w:val="auto"/>
                <w:sz w:val="24"/>
                <w:szCs w:val="24"/>
              </w:rPr>
              <w:t>/新增/注销、内资</w:t>
            </w:r>
            <w:r>
              <w:rPr>
                <w:rFonts w:hint="eastAsia" w:ascii="新宋体" w:hAnsi="新宋体" w:eastAsia="新宋体" w:cs="新宋体"/>
                <w:color w:val="auto"/>
                <w:sz w:val="24"/>
                <w:szCs w:val="24"/>
              </w:rPr>
              <w:t>、</w:t>
            </w:r>
            <w:r>
              <w:rPr>
                <w:rFonts w:ascii="新宋体" w:hAnsi="新宋体" w:eastAsia="新宋体" w:cs="新宋体"/>
                <w:color w:val="auto"/>
                <w:sz w:val="24"/>
                <w:szCs w:val="24"/>
              </w:rPr>
              <w:t>外资、百强企业标识等功能。</w:t>
            </w:r>
          </w:p>
          <w:p>
            <w:pPr>
              <w:pStyle w:val="2"/>
              <w:snapToGrid w:val="0"/>
              <w:spacing w:after="0" w:line="360" w:lineRule="auto"/>
              <w:ind w:firstLine="480" w:firstLineChars="200"/>
              <w:rPr>
                <w:rFonts w:ascii="新宋体" w:hAnsi="新宋体" w:eastAsia="新宋体" w:cs="新宋体"/>
                <w:color w:val="auto"/>
                <w:sz w:val="24"/>
              </w:rPr>
            </w:pPr>
            <w:r>
              <w:rPr>
                <w:rFonts w:ascii="新宋体" w:hAnsi="新宋体" w:eastAsia="新宋体" w:cs="新宋体"/>
                <w:color w:val="auto"/>
                <w:sz w:val="24"/>
              </w:rPr>
              <w:t>1</w:t>
            </w:r>
            <w:r>
              <w:rPr>
                <w:rFonts w:hint="eastAsia" w:ascii="新宋体" w:hAnsi="新宋体" w:eastAsia="新宋体" w:cs="新宋体"/>
                <w:color w:val="auto"/>
                <w:sz w:val="24"/>
              </w:rPr>
              <w:t>、系统管理</w:t>
            </w:r>
          </w:p>
          <w:p>
            <w:pPr>
              <w:pStyle w:val="2"/>
              <w:snapToGrid w:val="0"/>
              <w:spacing w:after="0" w:line="360" w:lineRule="auto"/>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提供人-用户-权限这三者进行关联的操作，包括部门管理、岗位管理、菜单管理、用户管理、权限管理等功能。</w:t>
            </w:r>
          </w:p>
          <w:p>
            <w:pPr>
              <w:pStyle w:val="18"/>
              <w:rPr>
                <w:rFonts w:ascii="宋体" w:hAnsi="宋体" w:eastAsia="宋体"/>
                <w:color w:val="auto"/>
                <w:sz w:val="24"/>
                <w:szCs w:val="24"/>
              </w:rPr>
            </w:pPr>
            <w:r>
              <w:rPr>
                <w:rFonts w:hint="eastAsia" w:ascii="宋体" w:hAnsi="宋体" w:eastAsia="宋体"/>
                <w:color w:val="auto"/>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6"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auto"/>
              <w:jc w:val="center"/>
              <w:rPr>
                <w:rFonts w:ascii="宋体" w:hAnsi="宋体" w:eastAsia="宋体"/>
                <w:sz w:val="24"/>
                <w:szCs w:val="24"/>
              </w:rPr>
            </w:pPr>
            <w:r>
              <w:rPr>
                <w:rFonts w:ascii="新宋体" w:hAnsi="新宋体" w:eastAsia="新宋体" w:cs="新宋体"/>
                <w:sz w:val="24"/>
                <w:szCs w:val="24"/>
              </w:rPr>
              <w:t>3</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auto"/>
              <w:jc w:val="center"/>
              <w:textAlignment w:val="center"/>
              <w:rPr>
                <w:rFonts w:ascii="宋体" w:hAnsi="宋体" w:eastAsia="宋体"/>
                <w:sz w:val="24"/>
                <w:szCs w:val="24"/>
              </w:rPr>
            </w:pPr>
            <w:r>
              <w:rPr>
                <w:rFonts w:hint="eastAsia" w:ascii="新宋体" w:hAnsi="新宋体" w:eastAsia="新宋体" w:cs="新宋体"/>
                <w:sz w:val="24"/>
                <w:szCs w:val="24"/>
              </w:rPr>
              <w:t>基础辅助子系统</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auto"/>
              <w:jc w:val="center"/>
              <w:textAlignment w:val="center"/>
              <w:rPr>
                <w:rFonts w:ascii="宋体" w:hAnsi="宋体" w:eastAsia="宋体"/>
                <w:sz w:val="24"/>
                <w:szCs w:val="24"/>
              </w:rPr>
            </w:pPr>
            <w:r>
              <w:rPr>
                <w:rFonts w:ascii="新宋体" w:hAnsi="新宋体" w:eastAsia="新宋体" w:cs="新宋体"/>
                <w:sz w:val="24"/>
                <w:szCs w:val="24"/>
              </w:rPr>
              <w:t>1项</w:t>
            </w:r>
          </w:p>
        </w:tc>
        <w:tc>
          <w:tcPr>
            <w:tcW w:w="5612" w:type="dxa"/>
            <w:tcBorders>
              <w:top w:val="single" w:color="auto" w:sz="4" w:space="0"/>
              <w:left w:val="single" w:color="auto" w:sz="4" w:space="0"/>
              <w:bottom w:val="single" w:color="auto" w:sz="4" w:space="0"/>
              <w:right w:val="single" w:color="auto" w:sz="4" w:space="0"/>
            </w:tcBorders>
            <w:shd w:val="clear" w:color="auto" w:fill="auto"/>
          </w:tcPr>
          <w:p>
            <w:pPr>
              <w:spacing w:after="0" w:line="360" w:lineRule="auto"/>
              <w:ind w:firstLine="480" w:firstLineChars="200"/>
              <w:textAlignment w:val="center"/>
              <w:rPr>
                <w:rFonts w:ascii="新宋体" w:hAnsi="新宋体" w:eastAsia="新宋体" w:cs="新宋体"/>
                <w:sz w:val="24"/>
                <w:szCs w:val="24"/>
              </w:rPr>
            </w:pPr>
            <w:r>
              <w:rPr>
                <w:rFonts w:hint="eastAsia" w:ascii="新宋体" w:hAnsi="新宋体" w:eastAsia="新宋体" w:cs="新宋体"/>
                <w:sz w:val="24"/>
                <w:szCs w:val="24"/>
              </w:rPr>
              <w:t>基础辅助子系统主要实现审批流程管理与信息发布。</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1</w:t>
            </w:r>
            <w:r>
              <w:rPr>
                <w:rFonts w:hint="eastAsia" w:ascii="新宋体" w:hAnsi="新宋体" w:eastAsia="新宋体" w:cs="新宋体"/>
                <w:sz w:val="24"/>
              </w:rPr>
              <w:t>、审批流程管理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为统计指标管理等业务提供审批流程配置、发起、审核、结束等基础流程功能。</w:t>
            </w:r>
          </w:p>
          <w:p>
            <w:pPr>
              <w:pStyle w:val="18"/>
              <w:rPr>
                <w:rFonts w:ascii="宋体" w:hAnsi="宋体" w:eastAsia="宋体"/>
                <w:sz w:val="24"/>
                <w:szCs w:val="24"/>
              </w:rPr>
            </w:pP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6"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auto"/>
              <w:jc w:val="center"/>
              <w:rPr>
                <w:rFonts w:ascii="新宋体" w:hAnsi="新宋体" w:eastAsia="新宋体" w:cs="新宋体"/>
                <w:sz w:val="24"/>
                <w:szCs w:val="24"/>
              </w:rPr>
            </w:pPr>
            <w:r>
              <w:rPr>
                <w:rFonts w:hint="eastAsia" w:ascii="新宋体" w:hAnsi="新宋体" w:eastAsia="新宋体" w:cs="新宋体"/>
                <w:sz w:val="24"/>
                <w:szCs w:val="24"/>
              </w:rPr>
              <w:t>...</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auto"/>
              <w:jc w:val="center"/>
              <w:textAlignment w:val="center"/>
              <w:rPr>
                <w:rFonts w:ascii="新宋体" w:hAnsi="新宋体" w:eastAsia="新宋体" w:cs="新宋体"/>
                <w:sz w:val="24"/>
                <w:szCs w:val="24"/>
              </w:rPr>
            </w:pPr>
            <w:r>
              <w:rPr>
                <w:rFonts w:hint="eastAsia" w:ascii="新宋体" w:hAnsi="新宋体" w:eastAsia="新宋体" w:cs="新宋体"/>
                <w:sz w:val="24"/>
                <w:szCs w:val="24"/>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auto"/>
              <w:jc w:val="center"/>
              <w:textAlignment w:val="center"/>
              <w:rPr>
                <w:rFonts w:ascii="新宋体" w:hAnsi="新宋体" w:eastAsia="新宋体" w:cs="新宋体"/>
                <w:sz w:val="24"/>
                <w:szCs w:val="24"/>
              </w:rPr>
            </w:pPr>
            <w:r>
              <w:rPr>
                <w:rFonts w:hint="eastAsia" w:ascii="新宋体" w:hAnsi="新宋体" w:eastAsia="新宋体" w:cs="新宋体"/>
                <w:sz w:val="24"/>
                <w:szCs w:val="24"/>
              </w:rPr>
              <w:t>...</w:t>
            </w:r>
          </w:p>
        </w:tc>
        <w:tc>
          <w:tcPr>
            <w:tcW w:w="5612" w:type="dxa"/>
            <w:tcBorders>
              <w:top w:val="single" w:color="auto" w:sz="4" w:space="0"/>
              <w:left w:val="single" w:color="auto" w:sz="4" w:space="0"/>
              <w:bottom w:val="single" w:color="auto" w:sz="4" w:space="0"/>
              <w:right w:val="single" w:color="auto" w:sz="4" w:space="0"/>
            </w:tcBorders>
            <w:shd w:val="clear" w:color="auto" w:fill="auto"/>
          </w:tcPr>
          <w:p>
            <w:pPr>
              <w:pStyle w:val="18"/>
              <w:rPr>
                <w:rFonts w:ascii="宋体" w:hAnsi="宋体" w:eastAsia="宋体"/>
                <w:sz w:val="24"/>
                <w:szCs w:val="24"/>
              </w:rPr>
            </w:pPr>
            <w:r>
              <w:rPr>
                <w:rFonts w:hint="eastAsia" w:ascii="宋体" w:hAnsi="宋体" w:eastAsia="宋体"/>
                <w:sz w:val="24"/>
                <w:szCs w:val="24"/>
              </w:rPr>
              <w:t>...</w:t>
            </w:r>
          </w:p>
        </w:tc>
      </w:tr>
    </w:tbl>
    <w:p>
      <w:pPr>
        <w:pStyle w:val="22"/>
        <w:spacing w:before="75" w:beforeAutospacing="0" w:after="75" w:afterAutospacing="0" w:line="360" w:lineRule="auto"/>
        <w:ind w:firstLine="240" w:firstLineChars="100"/>
        <w:rPr>
          <w:rFonts w:asciiTheme="majorEastAsia" w:hAnsiTheme="majorEastAsia" w:eastAsiaTheme="majorEastAsia"/>
        </w:rPr>
      </w:pPr>
      <w:r>
        <w:rPr>
          <w:rFonts w:hint="eastAsia" w:asciiTheme="majorEastAsia" w:hAnsiTheme="majorEastAsia" w:eastAsiaTheme="majorEastAsia"/>
        </w:rPr>
        <w:t>如需进一步了解详细内容，详见公开招标文件。</w:t>
      </w:r>
    </w:p>
    <w:p>
      <w:pPr>
        <w:pStyle w:val="22"/>
        <w:spacing w:before="75" w:beforeAutospacing="0" w:after="75" w:afterAutospacing="0" w:line="360" w:lineRule="auto"/>
        <w:ind w:firstLine="240" w:firstLineChars="100"/>
        <w:rPr>
          <w:rFonts w:asciiTheme="majorEastAsia" w:hAnsiTheme="majorEastAsia" w:eastAsiaTheme="majorEastAsia"/>
        </w:rPr>
      </w:pPr>
      <w:r>
        <w:rPr>
          <w:rFonts w:hint="eastAsia" w:asciiTheme="majorEastAsia" w:hAnsiTheme="majorEastAsia" w:eastAsiaTheme="majorEastAsia"/>
        </w:rPr>
        <w:t>合同履行期限：详见公开招标文件。</w:t>
      </w:r>
    </w:p>
    <w:p>
      <w:pPr>
        <w:pStyle w:val="22"/>
        <w:spacing w:before="75" w:beforeAutospacing="0" w:after="75" w:afterAutospacing="0" w:line="360" w:lineRule="auto"/>
        <w:rPr>
          <w:rFonts w:asciiTheme="majorEastAsia" w:hAnsiTheme="majorEastAsia" w:eastAsiaTheme="majorEastAsia"/>
        </w:rPr>
      </w:pPr>
      <w:r>
        <w:rPr>
          <w:rStyle w:val="28"/>
          <w:rFonts w:hint="eastAsia" w:asciiTheme="majorEastAsia" w:hAnsiTheme="majorEastAsia" w:eastAsiaTheme="majorEastAsia"/>
        </w:rPr>
        <w:t>二、申请人的资格要求：</w:t>
      </w:r>
    </w:p>
    <w:p>
      <w:pPr>
        <w:pStyle w:val="22"/>
        <w:spacing w:before="75" w:beforeAutospacing="0" w:after="75" w:afterAutospacing="0" w:line="360" w:lineRule="auto"/>
        <w:ind w:firstLine="420"/>
        <w:rPr>
          <w:rFonts w:asciiTheme="majorEastAsia" w:hAnsiTheme="majorEastAsia" w:eastAsiaTheme="majorEastAsia"/>
        </w:rPr>
      </w:pPr>
      <w:r>
        <w:rPr>
          <w:rFonts w:asciiTheme="majorEastAsia" w:hAnsiTheme="majorEastAsia" w:eastAsiaTheme="majorEastAsia"/>
        </w:rPr>
        <w:t>1、符合《中华人民共和国政府采购法》第二十二条规定；</w:t>
      </w:r>
    </w:p>
    <w:p>
      <w:pPr>
        <w:pStyle w:val="22"/>
        <w:spacing w:before="75" w:beforeAutospacing="0" w:after="75" w:afterAutospacing="0" w:line="360" w:lineRule="auto"/>
        <w:ind w:firstLine="420"/>
        <w:rPr>
          <w:rFonts w:asciiTheme="majorEastAsia" w:hAnsiTheme="majorEastAsia" w:eastAsiaTheme="majorEastAsia"/>
        </w:rPr>
      </w:pPr>
      <w:r>
        <w:rPr>
          <w:rFonts w:asciiTheme="majorEastAsia" w:hAnsiTheme="majorEastAsia" w:eastAsiaTheme="majorEastAsia"/>
        </w:rPr>
        <w:t>2、本项目需落实的政府采购政策：本项目适用政府采购促进中小企业、监狱企业发展、促进残疾人就业、节能环保等有关政策，具体详见招标文件；</w:t>
      </w:r>
    </w:p>
    <w:p>
      <w:pPr>
        <w:pStyle w:val="22"/>
        <w:spacing w:before="75" w:beforeAutospacing="0" w:after="75" w:afterAutospacing="0" w:line="360" w:lineRule="auto"/>
        <w:ind w:firstLine="420"/>
        <w:rPr>
          <w:rFonts w:asciiTheme="majorEastAsia" w:hAnsiTheme="majorEastAsia" w:eastAsiaTheme="majorEastAsia"/>
        </w:rPr>
      </w:pPr>
      <w:r>
        <w:rPr>
          <w:rFonts w:asciiTheme="majorEastAsia" w:hAnsiTheme="majorEastAsia" w:eastAsiaTheme="majorEastAsia"/>
        </w:rPr>
        <w:t>3、本项目的特定资格要求：无</w:t>
      </w:r>
    </w:p>
    <w:p>
      <w:pPr>
        <w:pStyle w:val="22"/>
        <w:spacing w:before="75" w:beforeAutospacing="0" w:after="75" w:afterAutospacing="0" w:line="360" w:lineRule="auto"/>
        <w:ind w:firstLine="420"/>
        <w:rPr>
          <w:rFonts w:asciiTheme="majorEastAsia" w:hAnsiTheme="majorEastAsia" w:eastAsiaTheme="majorEastAsia"/>
        </w:rPr>
      </w:pPr>
      <w:r>
        <w:rPr>
          <w:rFonts w:asciiTheme="majorEastAsia" w:hAnsiTheme="majorEastAsia" w:eastAsiaTheme="majorEastAsia"/>
        </w:rPr>
        <w:t>4、具有国内法人资格，注册经营范围满足所采购内容的供应商；</w:t>
      </w:r>
    </w:p>
    <w:p>
      <w:pPr>
        <w:pStyle w:val="22"/>
        <w:wordWrap w:val="0"/>
        <w:spacing w:before="75" w:beforeAutospacing="0" w:after="75" w:afterAutospacing="0" w:line="360" w:lineRule="auto"/>
        <w:ind w:firstLine="420"/>
        <w:rPr>
          <w:rFonts w:asciiTheme="majorEastAsia" w:hAnsiTheme="majorEastAsia" w:eastAsiaTheme="majorEastAsia"/>
        </w:rPr>
      </w:pPr>
      <w:r>
        <w:rPr>
          <w:rFonts w:asciiTheme="majorEastAsia" w:hAnsiTheme="majorEastAsia" w:eastAsiaTheme="majorEastAsia"/>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spacing w:before="75" w:beforeAutospacing="0" w:after="75" w:afterAutospacing="0" w:line="360" w:lineRule="auto"/>
        <w:ind w:firstLine="420"/>
        <w:rPr>
          <w:rFonts w:asciiTheme="majorEastAsia" w:hAnsiTheme="majorEastAsia" w:eastAsiaTheme="majorEastAsia"/>
        </w:rPr>
      </w:pPr>
      <w:r>
        <w:rPr>
          <w:rFonts w:asciiTheme="majorEastAsia" w:hAnsiTheme="majorEastAsia" w:eastAsiaTheme="majorEastAsia"/>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22"/>
        <w:spacing w:before="75" w:beforeAutospacing="0" w:after="75" w:afterAutospacing="0" w:line="360" w:lineRule="auto"/>
        <w:ind w:firstLine="420"/>
        <w:rPr>
          <w:rFonts w:asciiTheme="majorEastAsia" w:hAnsiTheme="majorEastAsia" w:eastAsiaTheme="majorEastAsia"/>
        </w:rPr>
      </w:pPr>
      <w:r>
        <w:rPr>
          <w:rFonts w:asciiTheme="majorEastAsia" w:hAnsiTheme="majorEastAsia" w:eastAsiaTheme="majorEastAsia"/>
        </w:rPr>
        <w:t>7、本项目不接受联合体投标。</w:t>
      </w:r>
    </w:p>
    <w:p>
      <w:pPr>
        <w:pStyle w:val="22"/>
        <w:spacing w:before="75" w:beforeAutospacing="0" w:after="75" w:afterAutospacing="0" w:line="360" w:lineRule="auto"/>
        <w:rPr>
          <w:rFonts w:asciiTheme="majorEastAsia" w:hAnsiTheme="majorEastAsia" w:eastAsiaTheme="majorEastAsia"/>
        </w:rPr>
      </w:pPr>
      <w:r>
        <w:rPr>
          <w:rStyle w:val="28"/>
          <w:rFonts w:hint="eastAsia" w:asciiTheme="majorEastAsia" w:hAnsiTheme="majorEastAsia" w:eastAsiaTheme="majorEastAsia"/>
        </w:rPr>
        <w:t>三、获取招标文件：</w:t>
      </w:r>
    </w:p>
    <w:p>
      <w:pPr>
        <w:pStyle w:val="22"/>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时间：</w:t>
      </w:r>
      <w:r>
        <w:rPr>
          <w:rFonts w:asciiTheme="majorEastAsia" w:hAnsiTheme="majorEastAsia" w:eastAsiaTheme="majorEastAsia"/>
        </w:rPr>
        <w:t>2020年</w:t>
      </w:r>
      <w:r>
        <w:rPr>
          <w:rFonts w:hint="eastAsia" w:asciiTheme="majorEastAsia" w:hAnsiTheme="majorEastAsia" w:eastAsiaTheme="majorEastAsia"/>
          <w:lang w:val="en-US" w:eastAsia="zh-CN"/>
        </w:rPr>
        <w:t>9</w:t>
      </w:r>
      <w:r>
        <w:rPr>
          <w:rFonts w:hint="eastAsia" w:asciiTheme="majorEastAsia" w:hAnsiTheme="majorEastAsia" w:eastAsiaTheme="majorEastAsia"/>
        </w:rPr>
        <w:t>月</w:t>
      </w:r>
      <w:r>
        <w:rPr>
          <w:rFonts w:hint="eastAsia" w:asciiTheme="majorEastAsia" w:hAnsiTheme="majorEastAsia" w:eastAsiaTheme="majorEastAsia"/>
          <w:lang w:val="en-US" w:eastAsia="zh-CN"/>
        </w:rPr>
        <w:t>29</w:t>
      </w:r>
      <w:r>
        <w:rPr>
          <w:rFonts w:hint="eastAsia" w:asciiTheme="majorEastAsia" w:hAnsiTheme="majorEastAsia" w:eastAsiaTheme="majorEastAsia"/>
        </w:rPr>
        <w:t>日至</w:t>
      </w:r>
      <w:r>
        <w:rPr>
          <w:rFonts w:asciiTheme="majorEastAsia" w:hAnsiTheme="majorEastAsia" w:eastAsiaTheme="majorEastAsia"/>
        </w:rPr>
        <w:t>2020年</w:t>
      </w:r>
      <w:r>
        <w:rPr>
          <w:rFonts w:hint="eastAsia" w:asciiTheme="majorEastAsia" w:hAnsiTheme="majorEastAsia" w:eastAsiaTheme="majorEastAsia"/>
          <w:lang w:val="en-US" w:eastAsia="zh-CN"/>
        </w:rPr>
        <w:t>10</w:t>
      </w:r>
      <w:r>
        <w:rPr>
          <w:rFonts w:hint="eastAsia" w:asciiTheme="majorEastAsia" w:hAnsiTheme="majorEastAsia" w:eastAsiaTheme="majorEastAsia"/>
        </w:rPr>
        <w:t>月</w:t>
      </w:r>
      <w:r>
        <w:rPr>
          <w:rFonts w:hint="eastAsia" w:asciiTheme="majorEastAsia" w:hAnsiTheme="majorEastAsia" w:eastAsiaTheme="majorEastAsia"/>
          <w:lang w:val="en-US" w:eastAsia="zh-CN"/>
        </w:rPr>
        <w:t>12</w:t>
      </w:r>
      <w:r>
        <w:rPr>
          <w:rFonts w:hint="eastAsia" w:asciiTheme="majorEastAsia" w:hAnsiTheme="majorEastAsia" w:eastAsiaTheme="majorEastAsia"/>
        </w:rPr>
        <w:t>日</w:t>
      </w:r>
    </w:p>
    <w:p>
      <w:pPr>
        <w:pStyle w:val="22"/>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地址：南宁市公共资源交易平台</w:t>
      </w:r>
      <w:r>
        <w:rPr>
          <w:rFonts w:asciiTheme="majorEastAsia" w:hAnsiTheme="majorEastAsia" w:eastAsiaTheme="majorEastAsia"/>
        </w:rPr>
        <w:t>(https://www.nnggzy.org.cn/gxnnhy)的信息公告处。</w:t>
      </w:r>
    </w:p>
    <w:p>
      <w:pPr>
        <w:pStyle w:val="22"/>
        <w:wordWrap w:val="0"/>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方式：本项目不发放纸质文件，投标人自行在南宁市公共资源交易平台</w:t>
      </w:r>
      <w:r>
        <w:rPr>
          <w:rFonts w:asciiTheme="majorEastAsia" w:hAnsiTheme="majorEastAsia" w:eastAsiaTheme="majorEastAsia"/>
        </w:rPr>
        <w:t>(https://www.nnggzy.org.cn/gxnnhy)的信息公告处下载采购文件。</w:t>
      </w:r>
    </w:p>
    <w:p>
      <w:pPr>
        <w:pStyle w:val="22"/>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售价：</w:t>
      </w:r>
      <w:r>
        <w:rPr>
          <w:rFonts w:asciiTheme="majorEastAsia" w:hAnsiTheme="majorEastAsia" w:eastAsiaTheme="majorEastAsia"/>
        </w:rPr>
        <w:t>0元。</w:t>
      </w:r>
    </w:p>
    <w:p>
      <w:pPr>
        <w:pStyle w:val="22"/>
        <w:spacing w:before="75" w:beforeAutospacing="0" w:after="75" w:afterAutospacing="0" w:line="360" w:lineRule="auto"/>
        <w:rPr>
          <w:rFonts w:asciiTheme="majorEastAsia" w:hAnsiTheme="majorEastAsia" w:eastAsiaTheme="majorEastAsia"/>
        </w:rPr>
      </w:pPr>
      <w:r>
        <w:rPr>
          <w:rStyle w:val="28"/>
          <w:rFonts w:hint="eastAsia" w:asciiTheme="majorEastAsia" w:hAnsiTheme="majorEastAsia" w:eastAsiaTheme="majorEastAsia"/>
        </w:rPr>
        <w:t>四、提交投标文件截止时间、开标时间和地点：</w:t>
      </w:r>
    </w:p>
    <w:p>
      <w:pPr>
        <w:pStyle w:val="22"/>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时间：</w:t>
      </w:r>
      <w:r>
        <w:rPr>
          <w:rFonts w:asciiTheme="majorEastAsia" w:hAnsiTheme="majorEastAsia" w:eastAsiaTheme="majorEastAsia"/>
        </w:rPr>
        <w:t>2020年</w:t>
      </w:r>
      <w:r>
        <w:rPr>
          <w:rFonts w:hint="eastAsia" w:asciiTheme="majorEastAsia" w:hAnsiTheme="majorEastAsia" w:eastAsiaTheme="majorEastAsia"/>
          <w:lang w:val="en-US" w:eastAsia="zh-CN"/>
        </w:rPr>
        <w:t>10</w:t>
      </w:r>
      <w:r>
        <w:rPr>
          <w:rFonts w:hint="eastAsia" w:asciiTheme="majorEastAsia" w:hAnsiTheme="majorEastAsia" w:eastAsiaTheme="majorEastAsia"/>
        </w:rPr>
        <w:t>月</w:t>
      </w:r>
      <w:r>
        <w:rPr>
          <w:rFonts w:hint="eastAsia" w:asciiTheme="majorEastAsia" w:hAnsiTheme="majorEastAsia" w:eastAsiaTheme="majorEastAsia"/>
          <w:lang w:val="en-US" w:eastAsia="zh-CN"/>
        </w:rPr>
        <w:t>20</w:t>
      </w:r>
      <w:r>
        <w:rPr>
          <w:rFonts w:hint="eastAsia" w:asciiTheme="majorEastAsia" w:hAnsiTheme="majorEastAsia" w:eastAsiaTheme="majorEastAsia"/>
        </w:rPr>
        <w:t>日</w:t>
      </w:r>
      <w:r>
        <w:rPr>
          <w:rFonts w:hint="eastAsia" w:asciiTheme="majorEastAsia" w:hAnsiTheme="majorEastAsia" w:eastAsiaTheme="majorEastAsia"/>
          <w:lang w:val="en-US" w:eastAsia="zh-CN"/>
        </w:rPr>
        <w:t>09</w:t>
      </w:r>
      <w:r>
        <w:rPr>
          <w:rFonts w:hint="eastAsia" w:asciiTheme="majorEastAsia" w:hAnsiTheme="majorEastAsia" w:eastAsiaTheme="majorEastAsia"/>
        </w:rPr>
        <w:t>时</w:t>
      </w:r>
      <w:r>
        <w:rPr>
          <w:rFonts w:hint="eastAsia" w:asciiTheme="majorEastAsia" w:hAnsiTheme="majorEastAsia" w:eastAsiaTheme="majorEastAsia"/>
          <w:lang w:val="en-US" w:eastAsia="zh-CN"/>
        </w:rPr>
        <w:t>30</w:t>
      </w:r>
      <w:r>
        <w:rPr>
          <w:rFonts w:hint="eastAsia" w:asciiTheme="majorEastAsia" w:hAnsiTheme="majorEastAsia" w:eastAsiaTheme="majorEastAsia"/>
        </w:rPr>
        <w:t>分（北京时间）</w:t>
      </w:r>
    </w:p>
    <w:p>
      <w:pPr>
        <w:pStyle w:val="22"/>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地点：南宁市良庆区玉洞大道</w:t>
      </w:r>
      <w:r>
        <w:rPr>
          <w:rFonts w:asciiTheme="majorEastAsia" w:hAnsiTheme="majorEastAsia" w:eastAsiaTheme="majorEastAsia"/>
        </w:rPr>
        <w:t>33号（青少年活动中心旁）市民中心9楼南宁市公共资源交易中心（具体详见9楼电子显示屏场地安排）。</w:t>
      </w:r>
      <w:r>
        <w:rPr>
          <w:rFonts w:hint="eastAsia" w:asciiTheme="majorEastAsia" w:hAnsiTheme="majorEastAsia" w:eastAsiaTheme="majorEastAsia"/>
          <w:b/>
          <w:bCs/>
        </w:rPr>
        <w:t>为做好疫情防控工作，本项目的投标文件通过邮寄快递的方式送达，具体要求详见关于投标文件邮寄形式的通知。</w:t>
      </w:r>
    </w:p>
    <w:p>
      <w:pPr>
        <w:pStyle w:val="22"/>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开标时间：</w:t>
      </w:r>
      <w:r>
        <w:rPr>
          <w:rFonts w:asciiTheme="majorEastAsia" w:hAnsiTheme="majorEastAsia" w:eastAsiaTheme="majorEastAsia"/>
        </w:rPr>
        <w:t>2020年</w:t>
      </w:r>
      <w:r>
        <w:rPr>
          <w:rFonts w:hint="eastAsia" w:asciiTheme="majorEastAsia" w:hAnsiTheme="majorEastAsia" w:eastAsiaTheme="majorEastAsia"/>
          <w:lang w:val="en-US" w:eastAsia="zh-CN"/>
        </w:rPr>
        <w:t>10</w:t>
      </w:r>
      <w:r>
        <w:rPr>
          <w:rFonts w:hint="eastAsia" w:asciiTheme="majorEastAsia" w:hAnsiTheme="majorEastAsia" w:eastAsiaTheme="majorEastAsia"/>
        </w:rPr>
        <w:t>月</w:t>
      </w:r>
      <w:r>
        <w:rPr>
          <w:rFonts w:hint="eastAsia" w:asciiTheme="majorEastAsia" w:hAnsiTheme="majorEastAsia" w:eastAsiaTheme="majorEastAsia"/>
          <w:lang w:val="en-US" w:eastAsia="zh-CN"/>
        </w:rPr>
        <w:t>20</w:t>
      </w:r>
      <w:r>
        <w:rPr>
          <w:rFonts w:hint="eastAsia" w:asciiTheme="majorEastAsia" w:hAnsiTheme="majorEastAsia" w:eastAsiaTheme="majorEastAsia"/>
        </w:rPr>
        <w:t>日</w:t>
      </w:r>
      <w:r>
        <w:rPr>
          <w:rFonts w:hint="eastAsia" w:asciiTheme="majorEastAsia" w:hAnsiTheme="majorEastAsia" w:eastAsiaTheme="majorEastAsia"/>
          <w:lang w:val="en-US" w:eastAsia="zh-CN"/>
        </w:rPr>
        <w:t>09</w:t>
      </w:r>
      <w:r>
        <w:rPr>
          <w:rFonts w:hint="eastAsia" w:asciiTheme="majorEastAsia" w:hAnsiTheme="majorEastAsia" w:eastAsiaTheme="majorEastAsia"/>
        </w:rPr>
        <w:t>时</w:t>
      </w:r>
      <w:r>
        <w:rPr>
          <w:rFonts w:hint="eastAsia" w:asciiTheme="majorEastAsia" w:hAnsiTheme="majorEastAsia" w:eastAsiaTheme="majorEastAsia"/>
          <w:lang w:val="en-US" w:eastAsia="zh-CN"/>
        </w:rPr>
        <w:t>30</w:t>
      </w:r>
      <w:r>
        <w:rPr>
          <w:rFonts w:hint="eastAsia" w:asciiTheme="majorEastAsia" w:hAnsiTheme="majorEastAsia" w:eastAsiaTheme="majorEastAsia"/>
        </w:rPr>
        <w:t>分（北京时间） </w:t>
      </w:r>
    </w:p>
    <w:p>
      <w:pPr>
        <w:pStyle w:val="22"/>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开标地点：南宁市良庆区玉洞大道</w:t>
      </w:r>
      <w:r>
        <w:rPr>
          <w:rFonts w:asciiTheme="majorEastAsia" w:hAnsiTheme="majorEastAsia" w:eastAsiaTheme="majorEastAsia"/>
        </w:rPr>
        <w:t>33号（市青少年活动中心旁）南宁市市民中心9楼南宁市公共资源交易中心（具体详见9楼电子显示屏场地安排） </w:t>
      </w:r>
    </w:p>
    <w:p>
      <w:pPr>
        <w:pStyle w:val="22"/>
        <w:spacing w:before="75" w:beforeAutospacing="0" w:after="75" w:afterAutospacing="0" w:line="360" w:lineRule="auto"/>
        <w:rPr>
          <w:rFonts w:asciiTheme="majorEastAsia" w:hAnsiTheme="majorEastAsia" w:eastAsiaTheme="majorEastAsia"/>
        </w:rPr>
      </w:pPr>
      <w:r>
        <w:rPr>
          <w:rStyle w:val="28"/>
          <w:rFonts w:hint="eastAsia" w:asciiTheme="majorEastAsia" w:hAnsiTheme="majorEastAsia" w:eastAsiaTheme="majorEastAsia"/>
        </w:rPr>
        <w:t>五、公告期限：</w:t>
      </w:r>
    </w:p>
    <w:p>
      <w:pPr>
        <w:pStyle w:val="22"/>
        <w:spacing w:before="75" w:beforeAutospacing="0" w:after="75" w:afterAutospacing="0" w:line="360" w:lineRule="auto"/>
        <w:ind w:firstLine="420"/>
        <w:rPr>
          <w:rFonts w:asciiTheme="majorEastAsia" w:hAnsiTheme="majorEastAsia" w:eastAsiaTheme="majorEastAsia"/>
        </w:rPr>
      </w:pPr>
      <w:r>
        <w:rPr>
          <w:rFonts w:hint="eastAsia" w:asciiTheme="majorEastAsia" w:hAnsiTheme="majorEastAsia" w:eastAsiaTheme="majorEastAsia"/>
        </w:rPr>
        <w:t>自本公告发布之日起</w:t>
      </w:r>
      <w:r>
        <w:rPr>
          <w:rFonts w:asciiTheme="majorEastAsia" w:hAnsiTheme="majorEastAsia" w:eastAsiaTheme="majorEastAsia"/>
        </w:rPr>
        <w:t>5个工作日（2020年</w:t>
      </w:r>
      <w:r>
        <w:rPr>
          <w:rFonts w:hint="eastAsia" w:asciiTheme="majorEastAsia" w:hAnsiTheme="majorEastAsia" w:eastAsiaTheme="majorEastAsia"/>
          <w:lang w:val="en-US" w:eastAsia="zh-CN"/>
        </w:rPr>
        <w:t>9</w:t>
      </w:r>
      <w:r>
        <w:rPr>
          <w:rFonts w:hint="eastAsia" w:asciiTheme="majorEastAsia" w:hAnsiTheme="majorEastAsia" w:eastAsiaTheme="majorEastAsia"/>
        </w:rPr>
        <w:t>月</w:t>
      </w:r>
      <w:r>
        <w:rPr>
          <w:rFonts w:hint="eastAsia" w:asciiTheme="majorEastAsia" w:hAnsiTheme="majorEastAsia" w:eastAsiaTheme="majorEastAsia"/>
          <w:lang w:val="en-US" w:eastAsia="zh-CN"/>
        </w:rPr>
        <w:t>29</w:t>
      </w:r>
      <w:r>
        <w:rPr>
          <w:rFonts w:hint="eastAsia" w:asciiTheme="majorEastAsia" w:hAnsiTheme="majorEastAsia" w:eastAsiaTheme="majorEastAsia"/>
        </w:rPr>
        <w:t>日至</w:t>
      </w:r>
      <w:r>
        <w:rPr>
          <w:rFonts w:asciiTheme="majorEastAsia" w:hAnsiTheme="majorEastAsia" w:eastAsiaTheme="majorEastAsia"/>
        </w:rPr>
        <w:t>2020年</w:t>
      </w:r>
      <w:r>
        <w:rPr>
          <w:rFonts w:hint="eastAsia" w:asciiTheme="majorEastAsia" w:hAnsiTheme="majorEastAsia" w:eastAsiaTheme="majorEastAsia"/>
          <w:lang w:val="en-US" w:eastAsia="zh-CN"/>
        </w:rPr>
        <w:t>10</w:t>
      </w:r>
      <w:r>
        <w:rPr>
          <w:rFonts w:hint="eastAsia" w:asciiTheme="majorEastAsia" w:hAnsiTheme="majorEastAsia" w:eastAsiaTheme="majorEastAsia"/>
        </w:rPr>
        <w:t>月</w:t>
      </w:r>
      <w:r>
        <w:rPr>
          <w:rFonts w:hint="eastAsia" w:asciiTheme="majorEastAsia" w:hAnsiTheme="majorEastAsia" w:eastAsiaTheme="majorEastAsia"/>
          <w:lang w:val="en-US" w:eastAsia="zh-CN"/>
        </w:rPr>
        <w:t>12</w:t>
      </w:r>
      <w:r>
        <w:rPr>
          <w:rFonts w:hint="eastAsia" w:asciiTheme="majorEastAsia" w:hAnsiTheme="majorEastAsia" w:eastAsiaTheme="majorEastAsia"/>
        </w:rPr>
        <w:t>日结束）。</w:t>
      </w:r>
    </w:p>
    <w:p>
      <w:pPr>
        <w:pStyle w:val="22"/>
        <w:numPr>
          <w:ilvl w:val="0"/>
          <w:numId w:val="3"/>
        </w:numPr>
        <w:spacing w:before="75" w:beforeAutospacing="0" w:after="75" w:afterAutospacing="0" w:line="360" w:lineRule="auto"/>
        <w:rPr>
          <w:rStyle w:val="28"/>
          <w:rFonts w:asciiTheme="majorEastAsia" w:hAnsiTheme="majorEastAsia" w:eastAsiaTheme="majorEastAsia"/>
        </w:rPr>
      </w:pPr>
      <w:r>
        <w:rPr>
          <w:rStyle w:val="28"/>
          <w:rFonts w:hint="eastAsia" w:asciiTheme="majorEastAsia" w:hAnsiTheme="majorEastAsia" w:eastAsiaTheme="majorEastAsia"/>
        </w:rPr>
        <w:t>其他补充事项：</w:t>
      </w:r>
    </w:p>
    <w:p>
      <w:pPr>
        <w:pStyle w:val="22"/>
        <w:spacing w:before="75" w:beforeAutospacing="0" w:after="75" w:afterAutospacing="0" w:line="360" w:lineRule="auto"/>
        <w:ind w:firstLine="720" w:firstLineChars="300"/>
        <w:rPr>
          <w:rFonts w:asciiTheme="majorEastAsia" w:hAnsiTheme="majorEastAsia" w:eastAsiaTheme="majorEastAsia"/>
        </w:rPr>
      </w:pPr>
      <w:r>
        <w:rPr>
          <w:rFonts w:hint="eastAsia" w:asciiTheme="majorEastAsia" w:hAnsiTheme="majorEastAsia" w:eastAsiaTheme="majorEastAsia"/>
        </w:rPr>
        <w:t>网上查询地址：</w:t>
      </w:r>
      <w:r>
        <w:fldChar w:fldCharType="begin"/>
      </w:r>
      <w:r>
        <w:instrText xml:space="preserve"> HYPERLINK </w:instrText>
      </w:r>
      <w:r>
        <w:fldChar w:fldCharType="separate"/>
      </w:r>
      <w:r>
        <w:rPr>
          <w:rFonts w:asciiTheme="majorEastAsia" w:hAnsiTheme="majorEastAsia" w:eastAsiaTheme="majorEastAsia"/>
        </w:rPr>
        <w:t xml:space="preserve">www.ccgp.gov.cn（中国政府采购网）， http://zfcg.gxzf.gov.cn/（广西壮族自治区政府采购网），www.nnggzy.org.cn </w:t>
      </w:r>
      <w:r>
        <w:rPr>
          <w:rFonts w:hint="eastAsia" w:asciiTheme="majorEastAsia" w:hAnsiTheme="majorEastAsia" w:eastAsiaTheme="majorEastAsia"/>
        </w:rPr>
        <w:t>（南宁市公共资源交易中心网）</w:t>
      </w:r>
      <w:r>
        <w:rPr>
          <w:rFonts w:hint="eastAsia" w:asciiTheme="majorEastAsia" w:hAnsiTheme="majorEastAsia" w:eastAsiaTheme="majorEastAsia"/>
        </w:rPr>
        <w:fldChar w:fldCharType="end"/>
      </w:r>
    </w:p>
    <w:p>
      <w:pPr>
        <w:pStyle w:val="22"/>
        <w:spacing w:before="75" w:beforeAutospacing="0" w:after="75" w:afterAutospacing="0" w:line="360" w:lineRule="auto"/>
        <w:rPr>
          <w:rFonts w:asciiTheme="majorEastAsia" w:hAnsiTheme="majorEastAsia" w:eastAsiaTheme="majorEastAsia"/>
        </w:rPr>
      </w:pPr>
      <w:r>
        <w:rPr>
          <w:rStyle w:val="28"/>
          <w:rFonts w:hint="eastAsia" w:asciiTheme="majorEastAsia" w:hAnsiTheme="majorEastAsia" w:eastAsiaTheme="majorEastAsia"/>
        </w:rPr>
        <w:t>七、对本次招标提出询问，请按以下方式联系。</w:t>
      </w:r>
    </w:p>
    <w:p>
      <w:pPr>
        <w:pStyle w:val="22"/>
        <w:spacing w:before="75" w:beforeAutospacing="0" w:after="75" w:afterAutospacing="0" w:line="360" w:lineRule="auto"/>
        <w:ind w:right="840" w:firstLine="420"/>
        <w:rPr>
          <w:rFonts w:asciiTheme="majorEastAsia" w:hAnsiTheme="majorEastAsia" w:eastAsiaTheme="majorEastAsia"/>
        </w:rPr>
      </w:pPr>
      <w:r>
        <w:rPr>
          <w:rFonts w:asciiTheme="majorEastAsia" w:hAnsiTheme="majorEastAsia" w:eastAsiaTheme="majorEastAsia"/>
        </w:rPr>
        <w:t>1.采购人信息：</w:t>
      </w:r>
    </w:p>
    <w:p>
      <w:pPr>
        <w:pStyle w:val="22"/>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名称：中国(广西)自由贸易试验区南宁片区建设工作领导小组办公室</w:t>
      </w:r>
    </w:p>
    <w:p>
      <w:pPr>
        <w:pStyle w:val="22"/>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地址：</w:t>
      </w:r>
      <w:r>
        <w:rPr>
          <w:rFonts w:hint="eastAsia" w:eastAsiaTheme="majorEastAsia"/>
        </w:rPr>
        <w:t>南宁市良庆区云英路8号</w:t>
      </w:r>
    </w:p>
    <w:p>
      <w:pPr>
        <w:pStyle w:val="22"/>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联系人及电话：张工；</w:t>
      </w:r>
      <w:r>
        <w:rPr>
          <w:rFonts w:asciiTheme="majorEastAsia" w:hAnsiTheme="majorEastAsia" w:eastAsiaTheme="majorEastAsia"/>
        </w:rPr>
        <w:t>0771-</w:t>
      </w:r>
      <w:r>
        <w:rPr>
          <w:rFonts w:hint="eastAsia" w:asciiTheme="majorEastAsia" w:hAnsiTheme="majorEastAsia" w:eastAsiaTheme="majorEastAsia"/>
        </w:rPr>
        <w:t>4919309</w:t>
      </w:r>
    </w:p>
    <w:p>
      <w:pPr>
        <w:pStyle w:val="22"/>
        <w:spacing w:before="75" w:beforeAutospacing="0" w:after="75" w:afterAutospacing="0" w:line="360" w:lineRule="auto"/>
        <w:ind w:right="840" w:firstLine="420"/>
        <w:rPr>
          <w:rFonts w:asciiTheme="majorEastAsia" w:hAnsiTheme="majorEastAsia" w:eastAsiaTheme="majorEastAsia"/>
        </w:rPr>
      </w:pPr>
      <w:r>
        <w:rPr>
          <w:rFonts w:asciiTheme="majorEastAsia" w:hAnsiTheme="majorEastAsia" w:eastAsiaTheme="majorEastAsia"/>
        </w:rPr>
        <w:t>2.采购代理机构信息：</w:t>
      </w:r>
    </w:p>
    <w:p>
      <w:pPr>
        <w:pStyle w:val="22"/>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名称：广西邕政采购代理有限公司</w:t>
      </w:r>
    </w:p>
    <w:p>
      <w:pPr>
        <w:pStyle w:val="22"/>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联系地址：南宁市青秀区思贤路</w:t>
      </w:r>
      <w:r>
        <w:rPr>
          <w:rFonts w:asciiTheme="majorEastAsia" w:hAnsiTheme="majorEastAsia" w:eastAsiaTheme="majorEastAsia"/>
        </w:rPr>
        <w:t>45号创投中心16A层</w:t>
      </w:r>
    </w:p>
    <w:p>
      <w:pPr>
        <w:pStyle w:val="22"/>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项目联系人及联系电话：</w:t>
      </w:r>
      <w:r>
        <w:rPr>
          <w:rFonts w:hint="eastAsia" w:asciiTheme="majorEastAsia" w:hAnsiTheme="majorEastAsia" w:eastAsiaTheme="majorEastAsia"/>
          <w:lang w:eastAsia="zh-CN"/>
        </w:rPr>
        <w:t>蔺工、罗工</w:t>
      </w:r>
      <w:r>
        <w:rPr>
          <w:rFonts w:asciiTheme="majorEastAsia" w:hAnsiTheme="majorEastAsia" w:eastAsiaTheme="majorEastAsia"/>
        </w:rPr>
        <w:t xml:space="preserve">  0771-2442850 </w:t>
      </w:r>
    </w:p>
    <w:p>
      <w:pPr>
        <w:pStyle w:val="22"/>
        <w:spacing w:before="75" w:beforeAutospacing="0" w:after="75" w:afterAutospacing="0" w:line="360" w:lineRule="auto"/>
        <w:ind w:right="840" w:firstLine="420"/>
        <w:rPr>
          <w:rFonts w:asciiTheme="majorEastAsia" w:hAnsiTheme="majorEastAsia" w:eastAsiaTheme="majorEastAsia"/>
        </w:rPr>
      </w:pPr>
      <w:r>
        <w:rPr>
          <w:rFonts w:asciiTheme="majorEastAsia" w:hAnsiTheme="majorEastAsia" w:eastAsiaTheme="majorEastAsia"/>
        </w:rPr>
        <w:t>3.项目联系方式</w:t>
      </w:r>
    </w:p>
    <w:p>
      <w:pPr>
        <w:pStyle w:val="22"/>
        <w:spacing w:before="75" w:beforeAutospacing="0" w:after="75" w:afterAutospacing="0" w:line="360" w:lineRule="auto"/>
        <w:ind w:right="840" w:firstLine="420"/>
        <w:rPr>
          <w:rFonts w:hint="eastAsia" w:asciiTheme="majorEastAsia" w:hAnsiTheme="majorEastAsia" w:eastAsiaTheme="majorEastAsia"/>
          <w:lang w:eastAsia="zh-CN"/>
        </w:rPr>
      </w:pPr>
      <w:r>
        <w:rPr>
          <w:rFonts w:hint="eastAsia" w:asciiTheme="majorEastAsia" w:hAnsiTheme="majorEastAsia" w:eastAsiaTheme="majorEastAsia"/>
        </w:rPr>
        <w:t>项目联系人：</w:t>
      </w:r>
      <w:r>
        <w:rPr>
          <w:rFonts w:hint="eastAsia" w:asciiTheme="majorEastAsia" w:hAnsiTheme="majorEastAsia" w:eastAsiaTheme="majorEastAsia"/>
          <w:lang w:eastAsia="zh-CN"/>
        </w:rPr>
        <w:t>蔺工、罗工</w:t>
      </w:r>
    </w:p>
    <w:p>
      <w:pPr>
        <w:pStyle w:val="22"/>
        <w:spacing w:before="75" w:beforeAutospacing="0" w:after="75" w:afterAutospacing="0" w:line="360" w:lineRule="auto"/>
        <w:ind w:right="840" w:firstLine="420"/>
        <w:rPr>
          <w:rFonts w:asciiTheme="majorEastAsia" w:hAnsiTheme="majorEastAsia" w:eastAsiaTheme="majorEastAsia"/>
        </w:rPr>
      </w:pPr>
      <w:r>
        <w:rPr>
          <w:rFonts w:hint="eastAsia" w:asciiTheme="majorEastAsia" w:hAnsiTheme="majorEastAsia" w:eastAsiaTheme="majorEastAsia"/>
        </w:rPr>
        <w:t>电话：</w:t>
      </w:r>
      <w:r>
        <w:rPr>
          <w:rFonts w:asciiTheme="majorEastAsia" w:hAnsiTheme="majorEastAsia" w:eastAsiaTheme="majorEastAsia"/>
        </w:rPr>
        <w:t xml:space="preserve">0771-2442850 </w:t>
      </w:r>
    </w:p>
    <w:p>
      <w:pPr>
        <w:spacing w:line="360" w:lineRule="auto"/>
        <w:ind w:firstLine="2880" w:firstLineChars="1200"/>
        <w:jc w:val="both"/>
        <w:rPr>
          <w:rFonts w:asciiTheme="majorEastAsia" w:hAnsiTheme="majorEastAsia" w:eastAsiaTheme="majorEastAsia"/>
          <w:b/>
          <w:sz w:val="36"/>
          <w:szCs w:val="20"/>
        </w:rPr>
      </w:pPr>
      <w:r>
        <w:rPr>
          <w:rFonts w:asciiTheme="majorEastAsia" w:hAnsiTheme="majorEastAsia" w:eastAsiaTheme="majorEastAsia"/>
          <w:sz w:val="24"/>
          <w:szCs w:val="24"/>
        </w:rPr>
        <w:t xml:space="preserve">                           发布日期：2020年</w:t>
      </w:r>
      <w:r>
        <w:rPr>
          <w:rFonts w:hint="eastAsia" w:asciiTheme="majorEastAsia" w:hAnsiTheme="majorEastAsia" w:eastAsiaTheme="majorEastAsia"/>
          <w:sz w:val="24"/>
          <w:szCs w:val="24"/>
          <w:lang w:val="en-US" w:eastAsia="zh-CN"/>
        </w:rPr>
        <w:t>9</w:t>
      </w:r>
      <w:r>
        <w:rPr>
          <w:rFonts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28</w:t>
      </w:r>
      <w:r>
        <w:rPr>
          <w:rFonts w:asciiTheme="majorEastAsia" w:hAnsiTheme="majorEastAsia" w:eastAsiaTheme="majorEastAsia"/>
          <w:sz w:val="24"/>
          <w:szCs w:val="24"/>
        </w:rPr>
        <w:t>日</w:t>
      </w:r>
      <w:r>
        <w:rPr>
          <w:rFonts w:asciiTheme="majorEastAsia" w:hAnsiTheme="majorEastAsia" w:eastAsiaTheme="majorEastAsia"/>
          <w:b/>
          <w:sz w:val="36"/>
        </w:rPr>
        <w:br w:type="page"/>
      </w:r>
      <w:bookmarkEnd w:id="8"/>
    </w:p>
    <w:p>
      <w:pPr>
        <w:pStyle w:val="65"/>
        <w:widowControl w:val="0"/>
        <w:numPr>
          <w:ilvl w:val="255"/>
          <w:numId w:val="0"/>
        </w:numPr>
        <w:spacing w:after="156" w:line="500" w:lineRule="exact"/>
        <w:jc w:val="center"/>
        <w:outlineLvl w:val="0"/>
        <w:rPr>
          <w:rFonts w:cs="宋体" w:asciiTheme="majorEastAsia" w:hAnsiTheme="majorEastAsia" w:eastAsiaTheme="majorEastAsia"/>
          <w:b/>
          <w:sz w:val="36"/>
        </w:rPr>
      </w:pPr>
      <w:bookmarkStart w:id="13" w:name="_Toc32448"/>
      <w:r>
        <w:rPr>
          <w:rFonts w:hint="eastAsia" w:cs="宋体" w:asciiTheme="majorEastAsia" w:hAnsiTheme="majorEastAsia" w:eastAsiaTheme="majorEastAsia"/>
          <w:b/>
          <w:sz w:val="36"/>
        </w:rPr>
        <w:t>第二章服务需求一览表</w:t>
      </w:r>
      <w:bookmarkEnd w:id="13"/>
    </w:p>
    <w:p>
      <w:pPr>
        <w:spacing w:line="340" w:lineRule="exact"/>
        <w:rPr>
          <w:rFonts w:asciiTheme="majorEastAsia" w:hAnsiTheme="majorEastAsia" w:eastAsiaTheme="majorEastAsia"/>
          <w:b/>
          <w:sz w:val="24"/>
        </w:rPr>
      </w:pPr>
      <w:r>
        <w:rPr>
          <w:rFonts w:hint="eastAsia" w:asciiTheme="majorEastAsia" w:hAnsiTheme="majorEastAsia" w:eastAsiaTheme="majorEastAsia"/>
          <w:b/>
          <w:sz w:val="24"/>
        </w:rPr>
        <w:t>说明：</w:t>
      </w:r>
    </w:p>
    <w:p>
      <w:pPr>
        <w:ind w:left="6" w:firstLine="412" w:firstLineChars="172"/>
        <w:rPr>
          <w:rFonts w:asciiTheme="majorEastAsia" w:hAnsiTheme="majorEastAsia" w:eastAsiaTheme="majorEastAsia"/>
          <w:b/>
          <w:bCs/>
          <w:sz w:val="24"/>
        </w:rPr>
      </w:pPr>
      <w:r>
        <w:rPr>
          <w:rFonts w:asciiTheme="majorEastAsia" w:hAnsiTheme="majorEastAsia" w:eastAsiaTheme="majorEastAsia"/>
          <w:sz w:val="24"/>
        </w:rPr>
        <w:t>1、</w:t>
      </w:r>
      <w:r>
        <w:rPr>
          <w:rFonts w:hint="eastAsia" w:asciiTheme="majorEastAsia" w:hAnsiTheme="majorEastAsia" w:eastAsiaTheme="majorEastAsia"/>
          <w:b/>
          <w:bCs/>
          <w:sz w:val="24"/>
        </w:rPr>
        <w:t>本服务需求一览表中标注★号的部分为实质性要求和条件。</w:t>
      </w:r>
    </w:p>
    <w:p>
      <w:pPr>
        <w:ind w:left="6" w:firstLine="412" w:firstLineChars="172"/>
        <w:rPr>
          <w:rFonts w:asciiTheme="majorEastAsia" w:hAnsiTheme="majorEastAsia" w:eastAsiaTheme="majorEastAsia"/>
          <w:sz w:val="24"/>
        </w:rPr>
      </w:pPr>
      <w:r>
        <w:rPr>
          <w:rFonts w:asciiTheme="majorEastAsia" w:hAnsiTheme="majorEastAsia" w:eastAsiaTheme="majorEastAsia"/>
          <w:sz w:val="24"/>
        </w:rPr>
        <w:t>2、本服务需求一览表中内容如与第六章“合同条款及格式”相关条款不一致的，以本表为准。</w:t>
      </w:r>
    </w:p>
    <w:p>
      <w:pPr>
        <w:pStyle w:val="16"/>
        <w:ind w:left="240" w:leftChars="109" w:firstLine="217" w:firstLineChars="90"/>
        <w:rPr>
          <w:rFonts w:cs="宋体" w:asciiTheme="majorEastAsia" w:hAnsiTheme="majorEastAsia" w:eastAsiaTheme="majorEastAsia"/>
          <w:b/>
          <w:sz w:val="24"/>
        </w:rPr>
      </w:pPr>
      <w:r>
        <w:rPr>
          <w:rFonts w:cs="宋体" w:asciiTheme="majorEastAsia" w:hAnsiTheme="majorEastAsia" w:eastAsiaTheme="majorEastAsia"/>
          <w:b/>
          <w:sz w:val="24"/>
        </w:rPr>
        <w:t>3、本次服务采购最高限价为：</w:t>
      </w:r>
      <w:r>
        <w:rPr>
          <w:rFonts w:hint="eastAsia" w:cs="宋体" w:asciiTheme="majorEastAsia" w:hAnsiTheme="majorEastAsia" w:eastAsiaTheme="majorEastAsia"/>
          <w:b/>
          <w:sz w:val="24"/>
        </w:rPr>
        <w:t>人民币贰佰伍拾伍万贰仟捌佰元整</w:t>
      </w:r>
      <w:r>
        <w:rPr>
          <w:rFonts w:cs="宋体" w:asciiTheme="majorEastAsia" w:hAnsiTheme="majorEastAsia" w:eastAsiaTheme="majorEastAsia"/>
          <w:b/>
          <w:sz w:val="24"/>
        </w:rPr>
        <w:t>(￥2552800.00元)</w:t>
      </w:r>
    </w:p>
    <w:tbl>
      <w:tblPr>
        <w:tblStyle w:val="26"/>
        <w:tblpPr w:leftFromText="180" w:rightFromText="180" w:vertAnchor="text" w:horzAnchor="page" w:tblpX="543" w:tblpY="324"/>
        <w:tblOverlap w:val="never"/>
        <w:tblW w:w="10920" w:type="dxa"/>
        <w:tblInd w:w="0" w:type="dxa"/>
        <w:tblLayout w:type="fixed"/>
        <w:tblCellMar>
          <w:top w:w="0" w:type="dxa"/>
          <w:left w:w="0" w:type="dxa"/>
          <w:bottom w:w="0" w:type="dxa"/>
          <w:right w:w="0" w:type="dxa"/>
        </w:tblCellMar>
      </w:tblPr>
      <w:tblGrid>
        <w:gridCol w:w="714"/>
        <w:gridCol w:w="1508"/>
        <w:gridCol w:w="763"/>
        <w:gridCol w:w="5683"/>
        <w:gridCol w:w="2252"/>
      </w:tblGrid>
      <w:tr>
        <w:tblPrEx>
          <w:tblCellMar>
            <w:top w:w="0" w:type="dxa"/>
            <w:left w:w="0" w:type="dxa"/>
            <w:bottom w:w="0" w:type="dxa"/>
            <w:right w:w="0" w:type="dxa"/>
          </w:tblCellMar>
        </w:tblPrEx>
        <w:trPr>
          <w:trHeight w:val="826"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outlineLvl w:val="0"/>
              <w:rPr>
                <w:rFonts w:ascii="新宋体" w:hAnsi="新宋体" w:eastAsia="新宋体" w:cs="新宋体"/>
                <w:b/>
                <w:sz w:val="24"/>
                <w:szCs w:val="24"/>
              </w:rPr>
            </w:pPr>
            <w:r>
              <w:rPr>
                <w:rFonts w:hint="eastAsia" w:ascii="新宋体" w:hAnsi="新宋体" w:eastAsia="新宋体" w:cs="新宋体"/>
                <w:b/>
                <w:sz w:val="24"/>
                <w:szCs w:val="24"/>
              </w:rPr>
              <w:t>序号</w:t>
            </w:r>
          </w:p>
        </w:tc>
        <w:tc>
          <w:tcPr>
            <w:tcW w:w="150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outlineLvl w:val="0"/>
              <w:rPr>
                <w:rFonts w:ascii="新宋体" w:hAnsi="新宋体" w:eastAsia="新宋体" w:cs="新宋体"/>
                <w:b/>
                <w:sz w:val="24"/>
                <w:szCs w:val="24"/>
              </w:rPr>
            </w:pPr>
            <w:r>
              <w:rPr>
                <w:rFonts w:hint="eastAsia" w:ascii="新宋体" w:hAnsi="新宋体" w:eastAsia="新宋体" w:cs="新宋体"/>
                <w:b/>
                <w:sz w:val="24"/>
                <w:szCs w:val="24"/>
              </w:rPr>
              <w:t>服务名称</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line="360" w:lineRule="auto"/>
              <w:jc w:val="center"/>
              <w:outlineLvl w:val="0"/>
              <w:rPr>
                <w:rFonts w:ascii="新宋体" w:hAnsi="新宋体" w:eastAsia="新宋体" w:cs="新宋体"/>
                <w:b/>
                <w:sz w:val="24"/>
                <w:szCs w:val="24"/>
              </w:rPr>
            </w:pPr>
            <w:r>
              <w:rPr>
                <w:rFonts w:hint="eastAsia" w:ascii="新宋体" w:hAnsi="新宋体" w:eastAsia="新宋体" w:cs="新宋体"/>
                <w:b/>
                <w:sz w:val="24"/>
                <w:szCs w:val="24"/>
              </w:rPr>
              <w:t>数量</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line="360" w:lineRule="auto"/>
              <w:jc w:val="center"/>
              <w:outlineLvl w:val="0"/>
              <w:rPr>
                <w:rFonts w:ascii="新宋体" w:hAnsi="新宋体" w:eastAsia="新宋体" w:cs="新宋体"/>
                <w:b/>
                <w:sz w:val="24"/>
                <w:szCs w:val="24"/>
              </w:rPr>
            </w:pPr>
            <w:r>
              <w:rPr>
                <w:rFonts w:hint="eastAsia" w:ascii="新宋体" w:hAnsi="新宋体" w:eastAsia="新宋体" w:cs="新宋体"/>
                <w:b/>
                <w:sz w:val="24"/>
                <w:szCs w:val="24"/>
              </w:rPr>
              <w:t>服务内容及要求</w:t>
            </w:r>
          </w:p>
        </w:tc>
        <w:tc>
          <w:tcPr>
            <w:tcW w:w="2252" w:type="dxa"/>
            <w:tcBorders>
              <w:top w:val="single" w:color="auto" w:sz="4" w:space="0"/>
              <w:left w:val="nil"/>
              <w:bottom w:val="single" w:color="auto" w:sz="4" w:space="0"/>
              <w:right w:val="single" w:color="auto" w:sz="4" w:space="0"/>
            </w:tcBorders>
            <w:vAlign w:val="center"/>
          </w:tcPr>
          <w:p>
            <w:pPr>
              <w:spacing w:after="0" w:line="360" w:lineRule="auto"/>
              <w:jc w:val="center"/>
              <w:outlineLvl w:val="0"/>
              <w:rPr>
                <w:rFonts w:ascii="新宋体" w:hAnsi="新宋体" w:eastAsia="新宋体" w:cs="新宋体"/>
                <w:b/>
                <w:sz w:val="24"/>
                <w:szCs w:val="24"/>
              </w:rPr>
            </w:pPr>
            <w:r>
              <w:rPr>
                <w:rFonts w:hint="eastAsia" w:ascii="新宋体" w:hAnsi="新宋体" w:eastAsia="新宋体" w:cs="新宋体"/>
                <w:b/>
                <w:sz w:val="24"/>
                <w:szCs w:val="24"/>
              </w:rPr>
              <w:t>分项最高限价（元）</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新宋体" w:hAnsi="新宋体" w:eastAsia="新宋体" w:cs="新宋体"/>
                <w:sz w:val="24"/>
                <w:szCs w:val="24"/>
              </w:rPr>
            </w:pPr>
            <w:r>
              <w:rPr>
                <w:rFonts w:ascii="新宋体" w:hAnsi="新宋体" w:eastAsia="新宋体" w:cs="新宋体"/>
                <w:sz w:val="24"/>
                <w:szCs w:val="24"/>
              </w:rPr>
              <w:t>1</w:t>
            </w:r>
          </w:p>
        </w:tc>
        <w:tc>
          <w:tcPr>
            <w:tcW w:w="150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textAlignment w:val="center"/>
              <w:rPr>
                <w:rFonts w:ascii="新宋体" w:hAnsi="新宋体" w:eastAsia="新宋体" w:cs="新宋体"/>
                <w:sz w:val="24"/>
                <w:szCs w:val="24"/>
              </w:rPr>
            </w:pPr>
            <w:r>
              <w:rPr>
                <w:rFonts w:hint="eastAsia" w:ascii="新宋体" w:hAnsi="新宋体" w:eastAsia="新宋体" w:cs="新宋体"/>
                <w:sz w:val="24"/>
                <w:szCs w:val="24"/>
              </w:rPr>
              <w:t>统计指标上报子系统</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line="360" w:lineRule="auto"/>
              <w:jc w:val="center"/>
              <w:textAlignment w:val="center"/>
              <w:rPr>
                <w:rFonts w:ascii="新宋体" w:hAnsi="新宋体" w:eastAsia="新宋体" w:cs="新宋体"/>
                <w:sz w:val="24"/>
                <w:szCs w:val="24"/>
              </w:rPr>
            </w:pPr>
            <w:r>
              <w:rPr>
                <w:rFonts w:ascii="新宋体" w:hAnsi="新宋体" w:eastAsia="新宋体" w:cs="新宋体"/>
                <w:sz w:val="24"/>
                <w:szCs w:val="24"/>
              </w:rPr>
              <w:t>1项</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line="360" w:lineRule="auto"/>
              <w:ind w:firstLine="480" w:firstLineChars="200"/>
              <w:textAlignment w:val="center"/>
              <w:rPr>
                <w:rFonts w:ascii="新宋体" w:hAnsi="新宋体" w:eastAsia="新宋体" w:cs="新宋体"/>
                <w:sz w:val="24"/>
                <w:szCs w:val="24"/>
              </w:rPr>
            </w:pPr>
            <w:r>
              <w:rPr>
                <w:rFonts w:hint="eastAsia" w:ascii="新宋体" w:hAnsi="新宋体" w:eastAsia="新宋体" w:cs="新宋体"/>
                <w:sz w:val="24"/>
                <w:szCs w:val="24"/>
              </w:rPr>
              <w:t>统计指标上报系统主要基于自贸区各机构的报表上报工作，优化以往文件上报和纸质版上报的方式，为各部门提供旬报、月报、季报、年报以及企业名单情况表等线上填报功能，支持退回和撤销，支持数据核查、数据校验、数据修改、进度跟踪及填报历史查看功能。系统能够自动根据提醒规则发送提醒信息给各单位相关人员，助力各部门按时按质完成统计报表上报工作。主要包括以下内容：</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1、个人中心</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个人中心是业务人员进入系统的认证入口。可进行个人日常操作：修改个人信息、本单位信息，查看本单位的待办和已办事项，查看系统内发布的通知公告信息。</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（1）登录认证</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账号密码认证是指用户输入账号密码进行登录认证，其中账号可以是系统管理员分配的账号、用户的手机号、邮箱地址、用户名称等，密码为系统管理员设定的密码或者用户自定义密码。</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w:t>
            </w:r>
            <w:r>
              <w:rPr>
                <w:rFonts w:ascii="新宋体" w:hAnsi="新宋体" w:eastAsia="新宋体" w:cs="新宋体"/>
                <w:sz w:val="24"/>
              </w:rPr>
              <w:t>2</w:t>
            </w:r>
            <w:r>
              <w:rPr>
                <w:rFonts w:hint="eastAsia" w:ascii="新宋体" w:hAnsi="新宋体" w:eastAsia="新宋体" w:cs="新宋体"/>
                <w:sz w:val="24"/>
              </w:rPr>
              <w:t>）个人信息维护</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支持对个人基本信息进行修改。</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w:t>
            </w:r>
            <w:r>
              <w:rPr>
                <w:rFonts w:ascii="新宋体" w:hAnsi="新宋体" w:eastAsia="新宋体" w:cs="新宋体"/>
                <w:sz w:val="24"/>
              </w:rPr>
              <w:t>3</w:t>
            </w:r>
            <w:r>
              <w:rPr>
                <w:rFonts w:hint="eastAsia" w:ascii="新宋体" w:hAnsi="新宋体" w:eastAsia="新宋体" w:cs="新宋体"/>
                <w:sz w:val="24"/>
              </w:rPr>
              <w:t>）待办事项</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用户可以通过待办事项可以查看本单位或本人应上报但还未完成的上报事项。</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w:t>
            </w:r>
            <w:r>
              <w:rPr>
                <w:rFonts w:ascii="新宋体" w:hAnsi="新宋体" w:eastAsia="新宋体" w:cs="新宋体"/>
                <w:sz w:val="24"/>
              </w:rPr>
              <w:t>4</w:t>
            </w:r>
            <w:r>
              <w:rPr>
                <w:rFonts w:hint="eastAsia" w:ascii="新宋体" w:hAnsi="新宋体" w:eastAsia="新宋体" w:cs="新宋体"/>
                <w:sz w:val="24"/>
              </w:rPr>
              <w:t>）通知公告</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用户可以查看自贸区办公室下发的通知公告信息，随时了解信息上报的相关要求。</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w:t>
            </w:r>
            <w:r>
              <w:rPr>
                <w:rFonts w:ascii="新宋体" w:hAnsi="新宋体" w:eastAsia="新宋体" w:cs="新宋体"/>
                <w:sz w:val="24"/>
              </w:rPr>
              <w:t>5</w:t>
            </w:r>
            <w:r>
              <w:rPr>
                <w:rFonts w:hint="eastAsia" w:ascii="新宋体" w:hAnsi="新宋体" w:eastAsia="新宋体" w:cs="新宋体"/>
                <w:sz w:val="24"/>
              </w:rPr>
              <w:t>）密码修改</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用户可以修改登录密码。</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2</w:t>
            </w:r>
            <w:r>
              <w:rPr>
                <w:rFonts w:hint="eastAsia" w:ascii="新宋体" w:hAnsi="新宋体" w:eastAsia="新宋体" w:cs="新宋体"/>
                <w:sz w:val="24"/>
              </w:rPr>
              <w:t>、统计指标填报</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用户填报完旬报、月报、季报、年报、企业名单等信息后，提交部门负责人进行审核，支持退回和撤销，操作人员填报完成后可以选择保存或者提交，支持数据核查、数据校验、数据修改、进度跟踪及填报历史查看功能。</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（1）报表上报</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包含旬报、月报、季报、年报、企业信息报表，填报完成后提交部门管理人审核，支持退回和撤消填报信息。业务操作人员填报完内容时，可选择保存或提交，保存操作单据状态为拟制中状态，支持下次可继续编辑。</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w:t>
            </w:r>
            <w:r>
              <w:rPr>
                <w:rFonts w:ascii="新宋体" w:hAnsi="新宋体" w:eastAsia="新宋体" w:cs="新宋体"/>
                <w:sz w:val="24"/>
              </w:rPr>
              <w:t>2</w:t>
            </w:r>
            <w:r>
              <w:rPr>
                <w:rFonts w:hint="eastAsia" w:ascii="新宋体" w:hAnsi="新宋体" w:eastAsia="新宋体" w:cs="新宋体"/>
                <w:sz w:val="24"/>
              </w:rPr>
              <w:t>）报表导出</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包含自贸试验区简表、自由贸易试验区示意图、自贸试验区方案改革试点任务实施情况表、自贸试验区主要经济指标情况表、自贸试验区管理架构情况表可以导出为电子文档。</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（3）数据校验</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信息填报服务端提供数据的核查功能，提供多种形式的核查功能。</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（4）报表审核</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部门管理人员查看业务操作员提交的报表信息，如果判断有错误信息，可以打回到拟制状态，让业务操作员修改后再提交。审核通过后不可修改。</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w:t>
            </w:r>
            <w:r>
              <w:rPr>
                <w:rFonts w:ascii="新宋体" w:hAnsi="新宋体" w:eastAsia="新宋体" w:cs="新宋体"/>
                <w:sz w:val="24"/>
              </w:rPr>
              <w:t>5</w:t>
            </w:r>
            <w:r>
              <w:rPr>
                <w:rFonts w:hint="eastAsia" w:ascii="新宋体" w:hAnsi="新宋体" w:eastAsia="新宋体" w:cs="新宋体"/>
                <w:sz w:val="24"/>
              </w:rPr>
              <w:t>）进度跟踪</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提供进度追踪功能，系统用户可以针对与自身相关的事件进行实施追踪，跟进上报事项的执行进度。</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w:t>
            </w:r>
            <w:r>
              <w:rPr>
                <w:rFonts w:ascii="新宋体" w:hAnsi="新宋体" w:eastAsia="新宋体" w:cs="新宋体"/>
                <w:sz w:val="24"/>
              </w:rPr>
              <w:t>6</w:t>
            </w:r>
            <w:r>
              <w:rPr>
                <w:rFonts w:hint="eastAsia" w:ascii="新宋体" w:hAnsi="新宋体" w:eastAsia="新宋体" w:cs="新宋体"/>
                <w:sz w:val="24"/>
              </w:rPr>
              <w:t>）填报历史查看</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支持业务操作人员和部门管理人员翻查历史填报记录及填报详情，支持按报表名称关键字查询和报表期次期间数据查询。已经上报的记录不可再修改。</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3、接收催报提醒</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根据系统设置好的催报提醒规则，填报人可以收到系统自动根据规则发送的提醒信息。</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（1）任务提醒</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根据设置好的提醒规则，向各单位上报业务人员发送系统提醒信息，业务人员可在催报信息中查阅到。</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w:t>
            </w:r>
            <w:r>
              <w:rPr>
                <w:rFonts w:ascii="新宋体" w:hAnsi="新宋体" w:eastAsia="新宋体" w:cs="新宋体"/>
                <w:sz w:val="24"/>
              </w:rPr>
              <w:t>2</w:t>
            </w:r>
            <w:r>
              <w:rPr>
                <w:rFonts w:hint="eastAsia" w:ascii="新宋体" w:hAnsi="新宋体" w:eastAsia="新宋体" w:cs="新宋体"/>
                <w:sz w:val="24"/>
              </w:rPr>
              <w:t>）催报信息</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可以通过查看催报信息，以便了解本单位还需尽快上报的事项。</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4</w:t>
            </w:r>
            <w:r>
              <w:rPr>
                <w:rFonts w:hint="eastAsia" w:ascii="新宋体" w:hAnsi="新宋体" w:eastAsia="新宋体" w:cs="新宋体"/>
                <w:sz w:val="24"/>
              </w:rPr>
              <w:t>、上报报表</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（1）上报统计</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上报统计按分类报送类型统计本单位当月、当季、年度或历史应报、已报、未报、逾期等报送工作情况，支持图表展示。</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（2）审核统计</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审核统计按按分类报送类型统计本单位当月、当季或历史已审核、待审核、未审核等报送工作情况，支持图表展示。</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（3）催报统计</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催报统计按按分类报送类型统计本单位当月、当季或历史催报次数情况，支持图表展示。</w:t>
            </w:r>
          </w:p>
        </w:tc>
        <w:tc>
          <w:tcPr>
            <w:tcW w:w="2252" w:type="dxa"/>
            <w:tcBorders>
              <w:top w:val="single" w:color="auto" w:sz="4" w:space="0"/>
              <w:left w:val="nil"/>
              <w:bottom w:val="single" w:color="auto" w:sz="4" w:space="0"/>
              <w:right w:val="single" w:color="auto" w:sz="4" w:space="0"/>
            </w:tcBorders>
            <w:vAlign w:val="center"/>
          </w:tcPr>
          <w:p>
            <w:pPr>
              <w:spacing w:after="0" w:line="360" w:lineRule="auto"/>
              <w:jc w:val="center"/>
              <w:rPr>
                <w:rFonts w:ascii="新宋体" w:hAnsi="新宋体" w:eastAsia="新宋体" w:cs="新宋体"/>
                <w:b/>
                <w:sz w:val="24"/>
                <w:szCs w:val="24"/>
              </w:rPr>
            </w:pPr>
            <w:r>
              <w:rPr>
                <w:rFonts w:ascii="新宋体" w:hAnsi="新宋体" w:eastAsia="新宋体" w:cs="新宋体"/>
                <w:sz w:val="24"/>
                <w:szCs w:val="24"/>
              </w:rPr>
              <w:t>2116</w:t>
            </w:r>
            <w:r>
              <w:rPr>
                <w:rFonts w:hint="eastAsia" w:ascii="新宋体" w:hAnsi="新宋体" w:eastAsia="新宋体" w:cs="新宋体"/>
                <w:sz w:val="24"/>
                <w:szCs w:val="24"/>
              </w:rPr>
              <w:t>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新宋体" w:hAnsi="新宋体" w:eastAsia="新宋体" w:cs="新宋体"/>
                <w:sz w:val="24"/>
                <w:szCs w:val="24"/>
              </w:rPr>
            </w:pPr>
            <w:r>
              <w:rPr>
                <w:rFonts w:ascii="新宋体" w:hAnsi="新宋体" w:eastAsia="新宋体" w:cs="新宋体"/>
                <w:sz w:val="24"/>
                <w:szCs w:val="24"/>
              </w:rPr>
              <w:t>2</w:t>
            </w:r>
          </w:p>
        </w:tc>
        <w:tc>
          <w:tcPr>
            <w:tcW w:w="150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textAlignment w:val="center"/>
              <w:rPr>
                <w:rFonts w:ascii="新宋体" w:hAnsi="新宋体" w:eastAsia="新宋体" w:cs="新宋体"/>
                <w:sz w:val="24"/>
                <w:szCs w:val="24"/>
              </w:rPr>
            </w:pPr>
            <w:r>
              <w:rPr>
                <w:rFonts w:hint="eastAsia" w:ascii="新宋体" w:hAnsi="新宋体" w:eastAsia="新宋体" w:cs="新宋体"/>
                <w:sz w:val="24"/>
                <w:szCs w:val="24"/>
              </w:rPr>
              <w:t>统计指标上报管理子系统</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line="360" w:lineRule="auto"/>
              <w:jc w:val="center"/>
              <w:textAlignment w:val="center"/>
              <w:rPr>
                <w:rFonts w:ascii="新宋体" w:hAnsi="新宋体" w:eastAsia="新宋体" w:cs="新宋体"/>
                <w:sz w:val="24"/>
                <w:szCs w:val="24"/>
              </w:rPr>
            </w:pPr>
            <w:r>
              <w:rPr>
                <w:rFonts w:ascii="新宋体" w:hAnsi="新宋体" w:eastAsia="新宋体" w:cs="新宋体"/>
                <w:sz w:val="24"/>
                <w:szCs w:val="24"/>
              </w:rPr>
              <w:t>1项</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统计指标上报管理子系统为统计部门提供报送类型维护、填报提醒设置等基础维护，支持通过多维度图表的方式掌握旬报、月报、年报以及企业名单情况表等填报进展及上报情况，提供原始企业名录、自贸区企业名录、五百强企业名录等分类的企业名录管理功能，支持对企业名录标识登记机关、存量</w:t>
            </w:r>
            <w:r>
              <w:rPr>
                <w:rFonts w:ascii="新宋体" w:hAnsi="新宋体" w:eastAsia="新宋体" w:cs="新宋体"/>
                <w:sz w:val="24"/>
                <w:szCs w:val="24"/>
              </w:rPr>
              <w:t>/新增/注销、内资</w:t>
            </w:r>
            <w:r>
              <w:rPr>
                <w:rFonts w:hint="eastAsia" w:ascii="新宋体" w:hAnsi="新宋体" w:eastAsia="新宋体" w:cs="新宋体"/>
                <w:sz w:val="24"/>
                <w:szCs w:val="24"/>
              </w:rPr>
              <w:t>、</w:t>
            </w:r>
            <w:r>
              <w:rPr>
                <w:rFonts w:ascii="新宋体" w:hAnsi="新宋体" w:eastAsia="新宋体" w:cs="新宋体"/>
                <w:sz w:val="24"/>
                <w:szCs w:val="24"/>
              </w:rPr>
              <w:t>外资、百强企业标识等功能。</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1</w:t>
            </w:r>
            <w:r>
              <w:rPr>
                <w:rFonts w:hint="eastAsia" w:ascii="新宋体" w:hAnsi="新宋体" w:eastAsia="新宋体" w:cs="新宋体"/>
                <w:sz w:val="24"/>
              </w:rPr>
              <w:t>、系统管理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提供人-用户-权限这三者进行关联的操作，包括部门管理、岗位管理、菜单管理、用户管理、权限管理等功能。</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（1）部门管理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对系统内部门数据进行管理，包括部门名称、负责人、部门状态等。支持多级部门维护，以树形结构展示。</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（2）岗位管理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对系统内岗位数据进行管理，包括岗位名称、岗位状态和备注等。支持对系统内的岗位进行新增，修改，查询，删除功能。</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（3）菜单管理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对系统内菜单和按钮数据进行管理，包括菜单名称、请求地址、类型、权限标识，上线菜单等内容，支持树级展示。</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（4）用户管理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对系统内的用户数据进行管理，包括用户角色，用户名，用户类型，用户编号，用户创建时间，用户录入人（即登录系统的当前操作人员），用户登录密码，登录记录数据等。</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（5）权限管理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对系统内的用户进行权限管理，按不同权限其角色分为系统管理员，业务审核员，业务操作员等角色。</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2</w:t>
            </w:r>
            <w:r>
              <w:rPr>
                <w:rFonts w:hint="eastAsia" w:ascii="新宋体" w:hAnsi="新宋体" w:eastAsia="新宋体" w:cs="新宋体"/>
                <w:sz w:val="24"/>
              </w:rPr>
              <w:t>、填报提醒设置</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系统管理员或统计局管理人员可以通过填报提醒设置功能按月报分类和季报分类分别设置自动填报提醒，也支持按月报或季报统一设置提醒，提醒规则可以修改。系统自动根据设置好的提醒规则对下一个月或下一个季度的报送事项提醒信息发送到各单位相关人员。</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3</w:t>
            </w:r>
            <w:r>
              <w:rPr>
                <w:rFonts w:hint="eastAsia" w:ascii="新宋体" w:hAnsi="新宋体" w:eastAsia="新宋体" w:cs="新宋体"/>
                <w:sz w:val="24"/>
              </w:rPr>
              <w:t>、统计指标上报管理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提供对统计指标的上报管理功能，包括进度跟踪、数据汇总、填报催报、旬报数据管理、月报数据管理、季报数据管理、年报数据管理、企业数据管理。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w:t>
            </w:r>
            <w:r>
              <w:rPr>
                <w:rFonts w:ascii="新宋体" w:hAnsi="新宋体" w:eastAsia="新宋体" w:cs="新宋体"/>
                <w:sz w:val="24"/>
              </w:rPr>
              <w:t>1</w:t>
            </w:r>
            <w:r>
              <w:rPr>
                <w:rFonts w:hint="eastAsia" w:ascii="新宋体" w:hAnsi="新宋体" w:eastAsia="新宋体" w:cs="新宋体"/>
                <w:sz w:val="24"/>
              </w:rPr>
              <w:t>）进度跟踪</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提供进度追踪功能，各单位报表负责人可以查看各单位月报和季报的实时上报进度情况。</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w:t>
            </w:r>
            <w:r>
              <w:rPr>
                <w:rFonts w:ascii="新宋体" w:hAnsi="新宋体" w:eastAsia="新宋体" w:cs="新宋体"/>
                <w:sz w:val="24"/>
              </w:rPr>
              <w:t>2</w:t>
            </w:r>
            <w:r>
              <w:rPr>
                <w:rFonts w:hint="eastAsia" w:ascii="新宋体" w:hAnsi="新宋体" w:eastAsia="新宋体" w:cs="新宋体"/>
                <w:sz w:val="24"/>
              </w:rPr>
              <w:t>）填报催报</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对已经逾期上报的信息填报事项可以进行人工催报，催报的信息可以实时推送到各单位相关人员。</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w:t>
            </w:r>
            <w:r>
              <w:rPr>
                <w:rFonts w:ascii="新宋体" w:hAnsi="新宋体" w:eastAsia="新宋体" w:cs="新宋体"/>
                <w:sz w:val="24"/>
              </w:rPr>
              <w:t>3</w:t>
            </w:r>
            <w:r>
              <w:rPr>
                <w:rFonts w:hint="eastAsia" w:ascii="新宋体" w:hAnsi="新宋体" w:eastAsia="新宋体" w:cs="新宋体"/>
                <w:sz w:val="24"/>
              </w:rPr>
              <w:t>）月报数据管理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提供月报数据管理功能，可以查询各单位已经上报的月报数据情况，支持按类别、按单位等多维度进行查询。</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w:t>
            </w:r>
            <w:r>
              <w:rPr>
                <w:rFonts w:ascii="新宋体" w:hAnsi="新宋体" w:eastAsia="新宋体" w:cs="新宋体"/>
                <w:sz w:val="24"/>
              </w:rPr>
              <w:t>4</w:t>
            </w:r>
            <w:r>
              <w:rPr>
                <w:rFonts w:hint="eastAsia" w:ascii="新宋体" w:hAnsi="新宋体" w:eastAsia="新宋体" w:cs="新宋体"/>
                <w:sz w:val="24"/>
              </w:rPr>
              <w:t>）旬报数据管理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提供旬报数据管理功能，可以查询各单位已经上报的旬报数据情况，支持按类别、按单位等多维度进行查询。</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w:t>
            </w:r>
            <w:r>
              <w:rPr>
                <w:rFonts w:ascii="新宋体" w:hAnsi="新宋体" w:eastAsia="新宋体" w:cs="新宋体"/>
                <w:sz w:val="24"/>
              </w:rPr>
              <w:t>5</w:t>
            </w:r>
            <w:r>
              <w:rPr>
                <w:rFonts w:hint="eastAsia" w:ascii="新宋体" w:hAnsi="新宋体" w:eastAsia="新宋体" w:cs="新宋体"/>
                <w:sz w:val="24"/>
              </w:rPr>
              <w:t>）年报数据管理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提供年报数据管理功能，可以查询各单位已经上报的年报数据情况，支持按类别、按单位等多维度进行查询。</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w:t>
            </w:r>
            <w:r>
              <w:rPr>
                <w:rFonts w:ascii="新宋体" w:hAnsi="新宋体" w:eastAsia="新宋体" w:cs="新宋体"/>
                <w:sz w:val="24"/>
              </w:rPr>
              <w:t>6</w:t>
            </w:r>
            <w:r>
              <w:rPr>
                <w:rFonts w:hint="eastAsia" w:ascii="新宋体" w:hAnsi="新宋体" w:eastAsia="新宋体" w:cs="新宋体"/>
                <w:sz w:val="24"/>
              </w:rPr>
              <w:t>）企业数据管理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提供企业数据管理功能，可以查询各单位已经上报的企业数据信息，支持按类别、按单位等多维度进行查询。</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4</w:t>
            </w:r>
            <w:r>
              <w:rPr>
                <w:rFonts w:hint="eastAsia" w:ascii="新宋体" w:hAnsi="新宋体" w:eastAsia="新宋体" w:cs="新宋体"/>
                <w:sz w:val="24"/>
              </w:rPr>
              <w:t>、企业名录管理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提供对企业名录的管理功能，自贸区企业名录支持对企业名录标识登记机关、存量/新增/注销、内资/外资、百强企业标识等功能。</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w:t>
            </w:r>
            <w:r>
              <w:rPr>
                <w:rFonts w:ascii="新宋体" w:hAnsi="新宋体" w:eastAsia="新宋体" w:cs="新宋体"/>
                <w:sz w:val="24"/>
              </w:rPr>
              <w:t>1</w:t>
            </w:r>
            <w:r>
              <w:rPr>
                <w:rFonts w:hint="eastAsia" w:ascii="新宋体" w:hAnsi="新宋体" w:eastAsia="新宋体" w:cs="新宋体"/>
                <w:sz w:val="24"/>
              </w:rPr>
              <w:t>）自贸区企业名录</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根据良庆区统计局（内资）、高新区统计局（内资）、市市场监督局（外资）、市行政审批局（内资）提供的企业数据，经过地址匹配入库后，形成自贸区企业名录。业务人员可对名录进行增、删、改、查操作，维持自贸区企业名录的准确性。</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w:t>
            </w:r>
            <w:r>
              <w:rPr>
                <w:rFonts w:ascii="新宋体" w:hAnsi="新宋体" w:eastAsia="新宋体" w:cs="新宋体"/>
                <w:sz w:val="24"/>
              </w:rPr>
              <w:t>2</w:t>
            </w:r>
            <w:r>
              <w:rPr>
                <w:rFonts w:hint="eastAsia" w:ascii="新宋体" w:hAnsi="新宋体" w:eastAsia="新宋体" w:cs="新宋体"/>
                <w:sz w:val="24"/>
              </w:rPr>
              <w:t>）企业标识管理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企业标识管理是针对已进入企业名录的企业进行标签化的操作，便于各种业务统计。</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目前需求的内资、外资；新增、存量等标签，作为系统内置标签固化在系统中。出于业务扩展的需要，留出自定义标签功能，用于业务人员自行新建、删除、修改标签，如营收过亿标签、信用良好企业标签等等，便于更好的管理。</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5</w:t>
            </w:r>
            <w:r>
              <w:rPr>
                <w:rFonts w:hint="eastAsia" w:ascii="新宋体" w:hAnsi="新宋体" w:eastAsia="新宋体" w:cs="新宋体"/>
                <w:sz w:val="24"/>
              </w:rPr>
              <w:t>、上报情况统计</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对报表进行上报情况统计，支持催报统计及提醒统计。</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（1）上报统计</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上报统计按分类报送类型统计本单位当月、当季、年度或历史应报、已报、未报、逾期等报送工作情况，支持图表展示。</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（2）审核统计</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审核统计按按分类报送类型统计本单位当月、当季或历史已审核、待审核、未审核等报送工作情况，支持图表展示。</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（3）催报统计</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催报统计按按分类报送类型统计本单位当月、当季或历史催报次数情况，支持图表展示。</w:t>
            </w:r>
          </w:p>
        </w:tc>
        <w:tc>
          <w:tcPr>
            <w:tcW w:w="2252" w:type="dxa"/>
            <w:tcBorders>
              <w:top w:val="single" w:color="auto" w:sz="4" w:space="0"/>
              <w:left w:val="nil"/>
              <w:bottom w:val="single" w:color="auto" w:sz="4" w:space="0"/>
              <w:right w:val="single" w:color="auto" w:sz="4" w:space="0"/>
            </w:tcBorders>
            <w:vAlign w:val="center"/>
          </w:tcPr>
          <w:p>
            <w:pPr>
              <w:spacing w:after="0" w:line="360" w:lineRule="auto"/>
              <w:jc w:val="center"/>
              <w:rPr>
                <w:rFonts w:ascii="新宋体" w:hAnsi="新宋体" w:eastAsia="新宋体" w:cs="新宋体"/>
                <w:b/>
                <w:kern w:val="2"/>
                <w:sz w:val="24"/>
                <w:szCs w:val="24"/>
              </w:rPr>
            </w:pPr>
            <w:r>
              <w:rPr>
                <w:rFonts w:ascii="新宋体" w:hAnsi="新宋体" w:eastAsia="新宋体" w:cs="新宋体"/>
                <w:sz w:val="24"/>
                <w:szCs w:val="24"/>
              </w:rPr>
              <w:t>2822</w:t>
            </w:r>
            <w:r>
              <w:rPr>
                <w:rFonts w:hint="eastAsia" w:ascii="新宋体" w:hAnsi="新宋体" w:eastAsia="新宋体" w:cs="新宋体"/>
                <w:sz w:val="24"/>
                <w:szCs w:val="24"/>
              </w:rPr>
              <w:t>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新宋体" w:hAnsi="新宋体" w:eastAsia="新宋体" w:cs="新宋体"/>
                <w:kern w:val="2"/>
                <w:sz w:val="24"/>
                <w:szCs w:val="24"/>
              </w:rPr>
            </w:pPr>
            <w:r>
              <w:rPr>
                <w:rFonts w:ascii="新宋体" w:hAnsi="新宋体" w:eastAsia="新宋体" w:cs="新宋体"/>
                <w:sz w:val="24"/>
                <w:szCs w:val="24"/>
              </w:rPr>
              <w:t>3</w:t>
            </w:r>
          </w:p>
        </w:tc>
        <w:tc>
          <w:tcPr>
            <w:tcW w:w="150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textAlignment w:val="center"/>
              <w:rPr>
                <w:rFonts w:ascii="新宋体" w:hAnsi="新宋体" w:eastAsia="新宋体" w:cs="新宋体"/>
                <w:kern w:val="2"/>
                <w:sz w:val="24"/>
                <w:szCs w:val="24"/>
              </w:rPr>
            </w:pPr>
            <w:r>
              <w:rPr>
                <w:rFonts w:hint="eastAsia" w:ascii="新宋体" w:hAnsi="新宋体" w:eastAsia="新宋体" w:cs="新宋体"/>
                <w:sz w:val="24"/>
                <w:szCs w:val="24"/>
              </w:rPr>
              <w:t>基础辅助子系统</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line="360" w:lineRule="auto"/>
              <w:jc w:val="center"/>
              <w:textAlignment w:val="center"/>
              <w:rPr>
                <w:rFonts w:ascii="新宋体" w:hAnsi="新宋体" w:eastAsia="新宋体" w:cs="新宋体"/>
                <w:kern w:val="2"/>
                <w:sz w:val="24"/>
                <w:szCs w:val="24"/>
              </w:rPr>
            </w:pPr>
            <w:r>
              <w:rPr>
                <w:rFonts w:ascii="新宋体" w:hAnsi="新宋体" w:eastAsia="新宋体" w:cs="新宋体"/>
                <w:sz w:val="24"/>
                <w:szCs w:val="24"/>
              </w:rPr>
              <w:t>1项</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line="360" w:lineRule="auto"/>
              <w:ind w:firstLine="480" w:firstLineChars="200"/>
              <w:textAlignment w:val="center"/>
              <w:rPr>
                <w:rFonts w:ascii="新宋体" w:hAnsi="新宋体" w:eastAsia="新宋体" w:cs="新宋体"/>
                <w:sz w:val="24"/>
                <w:szCs w:val="24"/>
              </w:rPr>
            </w:pPr>
            <w:r>
              <w:rPr>
                <w:rFonts w:hint="eastAsia" w:ascii="新宋体" w:hAnsi="新宋体" w:eastAsia="新宋体" w:cs="新宋体"/>
                <w:sz w:val="24"/>
                <w:szCs w:val="24"/>
              </w:rPr>
              <w:t>基础辅助子系统主要实现审批流程管理与信息发布。</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1</w:t>
            </w:r>
            <w:r>
              <w:rPr>
                <w:rFonts w:hint="eastAsia" w:ascii="新宋体" w:hAnsi="新宋体" w:eastAsia="新宋体" w:cs="新宋体"/>
                <w:sz w:val="24"/>
              </w:rPr>
              <w:t>、审批流程管理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为统计指标管理等业务提供审批流程配置、发起、审核、结束等基础流程功能。</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2</w:t>
            </w:r>
            <w:r>
              <w:rPr>
                <w:rFonts w:hint="eastAsia" w:ascii="新宋体" w:hAnsi="新宋体" w:eastAsia="新宋体" w:cs="新宋体"/>
                <w:sz w:val="24"/>
              </w:rPr>
              <w:t>、信息发布</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面向统计指标上报子系统提供栏目管理和信息发布功能。包含分类自定义、通知通告发布。</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w:t>
            </w:r>
            <w:r>
              <w:rPr>
                <w:rFonts w:ascii="新宋体" w:hAnsi="新宋体" w:eastAsia="新宋体" w:cs="新宋体"/>
                <w:sz w:val="24"/>
              </w:rPr>
              <w:t>1</w:t>
            </w:r>
            <w:r>
              <w:rPr>
                <w:rFonts w:hint="eastAsia" w:ascii="新宋体" w:hAnsi="新宋体" w:eastAsia="新宋体" w:cs="新宋体"/>
                <w:sz w:val="24"/>
              </w:rPr>
              <w:t>）分类自定义</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用户可设置发布消息的分类名称，方便通知通告等消息的分类管理，便于查阅。</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（2）通知通告发布</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提供各类信息的发布管理，实现各类信息的编写、审核、发布，根据所选栏目和信息分类对外发布。</w:t>
            </w:r>
          </w:p>
        </w:tc>
        <w:tc>
          <w:tcPr>
            <w:tcW w:w="2252" w:type="dxa"/>
            <w:tcBorders>
              <w:top w:val="single" w:color="auto" w:sz="4" w:space="0"/>
              <w:left w:val="nil"/>
              <w:bottom w:val="single" w:color="auto" w:sz="4" w:space="0"/>
              <w:right w:val="single" w:color="auto" w:sz="4" w:space="0"/>
            </w:tcBorders>
            <w:vAlign w:val="center"/>
          </w:tcPr>
          <w:p>
            <w:pPr>
              <w:spacing w:after="0" w:line="360" w:lineRule="auto"/>
              <w:jc w:val="center"/>
              <w:rPr>
                <w:rFonts w:ascii="新宋体" w:hAnsi="新宋体" w:eastAsia="新宋体" w:cs="新宋体"/>
                <w:b/>
                <w:kern w:val="2"/>
                <w:sz w:val="24"/>
                <w:szCs w:val="24"/>
              </w:rPr>
            </w:pPr>
            <w:r>
              <w:rPr>
                <w:rFonts w:ascii="新宋体" w:hAnsi="新宋体" w:eastAsia="新宋体" w:cs="新宋体"/>
                <w:sz w:val="24"/>
                <w:szCs w:val="24"/>
              </w:rPr>
              <w:t>2449</w:t>
            </w:r>
            <w:r>
              <w:rPr>
                <w:rFonts w:hint="eastAsia" w:ascii="新宋体" w:hAnsi="新宋体" w:eastAsia="新宋体" w:cs="新宋体"/>
                <w:sz w:val="24"/>
                <w:szCs w:val="24"/>
              </w:rPr>
              <w:t>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新宋体" w:hAnsi="新宋体" w:eastAsia="新宋体" w:cs="新宋体"/>
                <w:kern w:val="2"/>
                <w:sz w:val="24"/>
                <w:szCs w:val="24"/>
              </w:rPr>
            </w:pPr>
            <w:r>
              <w:rPr>
                <w:rFonts w:ascii="新宋体" w:hAnsi="新宋体" w:eastAsia="新宋体" w:cs="新宋体"/>
                <w:sz w:val="24"/>
                <w:szCs w:val="24"/>
              </w:rPr>
              <w:t>4</w:t>
            </w:r>
          </w:p>
        </w:tc>
        <w:tc>
          <w:tcPr>
            <w:tcW w:w="150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textAlignment w:val="center"/>
              <w:rPr>
                <w:rFonts w:ascii="新宋体" w:hAnsi="新宋体" w:eastAsia="新宋体" w:cs="新宋体"/>
                <w:kern w:val="2"/>
                <w:sz w:val="24"/>
                <w:szCs w:val="24"/>
              </w:rPr>
            </w:pPr>
            <w:r>
              <w:rPr>
                <w:rFonts w:hint="eastAsia" w:ascii="新宋体" w:hAnsi="新宋体" w:eastAsia="新宋体" w:cs="新宋体"/>
                <w:sz w:val="24"/>
                <w:szCs w:val="24"/>
              </w:rPr>
              <w:t>自贸地图智能匹配子系统</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line="360" w:lineRule="auto"/>
              <w:jc w:val="center"/>
              <w:textAlignment w:val="center"/>
              <w:rPr>
                <w:rFonts w:ascii="新宋体" w:hAnsi="新宋体" w:eastAsia="新宋体" w:cs="新宋体"/>
                <w:kern w:val="2"/>
                <w:sz w:val="24"/>
                <w:szCs w:val="24"/>
              </w:rPr>
            </w:pPr>
            <w:r>
              <w:rPr>
                <w:rFonts w:ascii="新宋体" w:hAnsi="新宋体" w:eastAsia="新宋体" w:cs="新宋体"/>
                <w:sz w:val="24"/>
                <w:szCs w:val="24"/>
              </w:rPr>
              <w:t>1项</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调用地理信息数据、南宁市底图服务及地址匹配服务，完成自贸区南宁片区的地理信息边界描绘，通过企业地址反向解析、智能匹配等技术手段智能检索出在自贸区南宁片区范围内的企业信息，未能智能检索的企业做明显标识分发给相关部门用户进行人工匹配。匹配成功后进入自贸区南宁片区企业库。</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1</w:t>
            </w:r>
            <w:r>
              <w:rPr>
                <w:rFonts w:hint="eastAsia" w:ascii="新宋体" w:hAnsi="新宋体" w:eastAsia="新宋体" w:cs="新宋体"/>
                <w:sz w:val="24"/>
              </w:rPr>
              <w:t>、基础地理信息地图调用</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作为整个子系统的地图展示基础，可调用地图服务，作为一张图展示的基础地理信息底图。</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2</w:t>
            </w:r>
            <w:r>
              <w:rPr>
                <w:rFonts w:hint="eastAsia" w:ascii="新宋体" w:hAnsi="新宋体" w:eastAsia="新宋体" w:cs="新宋体"/>
                <w:sz w:val="24"/>
              </w:rPr>
              <w:t>、自贸区南宁片区专题地图加载</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调用地理信息数据，并可以加载到基础底图上显示。提供企业专题图图层信息加载展示，个性化展示自贸区入驻企业分布情况。同时提供企业信息查询展示功能，通过点选、搜索定位等功能管关联展示企业法人、营收信息、经营范围等属性，实现通过地图管理查询企业详细。</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3</w:t>
            </w:r>
            <w:r>
              <w:rPr>
                <w:rFonts w:hint="eastAsia" w:ascii="新宋体" w:hAnsi="新宋体" w:eastAsia="新宋体" w:cs="新宋体"/>
                <w:sz w:val="24"/>
              </w:rPr>
              <w:t>、地名地址数据接入</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采用调用地名地址在线服务，实现在电子地图实现地名地址查询和定位功能。</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4</w:t>
            </w:r>
            <w:r>
              <w:rPr>
                <w:rFonts w:hint="eastAsia" w:ascii="新宋体" w:hAnsi="新宋体" w:eastAsia="新宋体" w:cs="新宋体"/>
                <w:sz w:val="24"/>
              </w:rPr>
              <w:t>、地址匹配</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通过调用地址匹配服务，实现通过企业名称和地址进匹配获取该地址解析后的经纬度信息，作为地址匹配的数据支撑。</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5、企业匹配</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将系统存量数据与增量数据的经纬度信息进行匹配，获取自贸区内的企业信息，构建完整的自贸区企业分布专题图。</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（1）智能匹配</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根据关键字等技术，对在库的企业名录进行智能匹配，智能检索出在自贸区南宁片区范围内的企业信息。</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（2）人工匹配</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基于智能匹配失败的数据进行人工匹配。</w:t>
            </w:r>
          </w:p>
        </w:tc>
        <w:tc>
          <w:tcPr>
            <w:tcW w:w="2252" w:type="dxa"/>
            <w:tcBorders>
              <w:top w:val="single" w:color="auto" w:sz="4" w:space="0"/>
              <w:left w:val="nil"/>
              <w:bottom w:val="single" w:color="auto" w:sz="4" w:space="0"/>
              <w:right w:val="single" w:color="auto" w:sz="4" w:space="0"/>
            </w:tcBorders>
            <w:vAlign w:val="center"/>
          </w:tcPr>
          <w:p>
            <w:pPr>
              <w:spacing w:after="0" w:line="360" w:lineRule="auto"/>
              <w:jc w:val="center"/>
              <w:rPr>
                <w:rFonts w:ascii="新宋体" w:hAnsi="新宋体" w:eastAsia="新宋体" w:cs="新宋体"/>
                <w:b/>
                <w:kern w:val="2"/>
                <w:sz w:val="24"/>
                <w:szCs w:val="24"/>
              </w:rPr>
            </w:pPr>
            <w:r>
              <w:rPr>
                <w:rFonts w:ascii="新宋体" w:hAnsi="新宋体" w:eastAsia="新宋体" w:cs="新宋体"/>
                <w:sz w:val="24"/>
                <w:szCs w:val="24"/>
              </w:rPr>
              <w:t>5844</w:t>
            </w:r>
            <w:r>
              <w:rPr>
                <w:rFonts w:hint="eastAsia" w:ascii="新宋体" w:hAnsi="新宋体" w:eastAsia="新宋体" w:cs="新宋体"/>
                <w:sz w:val="24"/>
                <w:szCs w:val="24"/>
              </w:rPr>
              <w:t>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新宋体" w:hAnsi="新宋体" w:eastAsia="新宋体" w:cs="新宋体"/>
                <w:kern w:val="2"/>
                <w:sz w:val="24"/>
                <w:szCs w:val="24"/>
              </w:rPr>
            </w:pPr>
            <w:r>
              <w:rPr>
                <w:rFonts w:ascii="新宋体" w:hAnsi="新宋体" w:eastAsia="新宋体" w:cs="新宋体"/>
                <w:sz w:val="24"/>
                <w:szCs w:val="24"/>
              </w:rPr>
              <w:t>5</w:t>
            </w:r>
          </w:p>
        </w:tc>
        <w:tc>
          <w:tcPr>
            <w:tcW w:w="150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textAlignment w:val="center"/>
              <w:rPr>
                <w:rFonts w:ascii="新宋体" w:hAnsi="新宋体" w:eastAsia="新宋体" w:cs="新宋体"/>
                <w:kern w:val="2"/>
                <w:sz w:val="24"/>
                <w:szCs w:val="24"/>
              </w:rPr>
            </w:pPr>
            <w:r>
              <w:rPr>
                <w:rFonts w:hint="eastAsia" w:ascii="新宋体" w:hAnsi="新宋体" w:eastAsia="新宋体" w:cs="新宋体"/>
                <w:sz w:val="24"/>
                <w:szCs w:val="24"/>
              </w:rPr>
              <w:t>统计数据处理子系统</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line="360" w:lineRule="auto"/>
              <w:jc w:val="center"/>
              <w:textAlignment w:val="center"/>
              <w:rPr>
                <w:rFonts w:ascii="新宋体" w:hAnsi="新宋体" w:eastAsia="新宋体" w:cs="新宋体"/>
                <w:kern w:val="2"/>
                <w:sz w:val="24"/>
                <w:szCs w:val="24"/>
              </w:rPr>
            </w:pPr>
            <w:r>
              <w:rPr>
                <w:rFonts w:ascii="新宋体" w:hAnsi="新宋体" w:eastAsia="新宋体" w:cs="新宋体"/>
                <w:sz w:val="24"/>
                <w:szCs w:val="24"/>
              </w:rPr>
              <w:t>1项</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统计数据处理子系统涵盖系统整个生命周期，是数据应用的支撑中心，涵盖数据归集、数据处理存档、异议处理，让数据有迹可循，统计精准。</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1</w:t>
            </w:r>
            <w:r>
              <w:rPr>
                <w:rFonts w:hint="eastAsia" w:ascii="新宋体" w:hAnsi="新宋体" w:eastAsia="新宋体" w:cs="新宋体"/>
                <w:sz w:val="24"/>
              </w:rPr>
              <w:t>、数据归集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数据归集是以统计指标为基础，根据业务需要全面归集信息为系统提供数据支撑。归集信息包括对市行政审批局、市市场监督管理局、良庆区统计局（内资）、高新区统计局、市统计局的多源数据分别建库，实现数据对账、采集统计等功能。</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2</w:t>
            </w:r>
            <w:r>
              <w:rPr>
                <w:rFonts w:hint="eastAsia" w:ascii="新宋体" w:hAnsi="新宋体" w:eastAsia="新宋体" w:cs="新宋体"/>
                <w:sz w:val="24"/>
              </w:rPr>
              <w:t>、数据处理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数据处理实现数据的批处理运算、非结构数据文件的临时存储、关键数据的结构化存储、运算结果输出等。主要包含数据清洗、数据转换、数据关联、数据标识等功能。</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（1）数据清洗</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针对数据源可能出现的数据二义性、不完整、违反业务规则等问题，将有问题的纪录先剔除出来，根据实际情况调整相应的清洗操作。包括不一致数据处理、逻辑错误检测、缺失数据处理等。</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（2）数据转换</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即数据标准化，以业务需求为导向，主要通过数据的按需加工转换，如格式转换、数据拆分、数据合并等处理工作，把格式异构、含意异构的数据加工转换成更加统一、更好理解的数据信息。</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（3）数据关联</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将各类数据与基准数据（比如以市场监督局数据为准）进行比对，例如比对企业信息时，先用企业名称和统一社会信用代码作为唯一确定一家企业的关键字，在没有统一社会信用代码的情况下，再用企业名称和工商注册号来唯一确定一家企业若比对一致，则将地址信息与反解析信息整合至自贸区系统信息库中，方便其他业务场景调用；若比对存在不一致，比对结果分别注明每一项数据是否一致，以及不一致时比对基准相应值，将这些不一致信息存储至身份差异表，并反馈数据源单位，经确认后重新比对和处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（4）数据标识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给数据打上标签，比如500强企业、营收过亿企业等。信息的标识可采用即时标识、定期标识、人工触发标识三种标识模式。</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3</w:t>
            </w:r>
            <w:r>
              <w:rPr>
                <w:rFonts w:hint="eastAsia" w:ascii="新宋体" w:hAnsi="新宋体" w:eastAsia="新宋体" w:cs="新宋体"/>
                <w:sz w:val="24"/>
              </w:rPr>
              <w:t>、日志管理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主要记录各类数据的变化信息，比如数据处理前后的差异等。数据日志管理包括数据追溯管理和归集监测，其中数据追溯确保数据的可追溯性、正确性、完整性、一致性，需提供共享数据查询、数据追溯、数据修正等功能。归集监测提供各类数据采集、交换、处理的详细统计分析报表，并提供数据交换过程的动态监测和分析。</w:t>
            </w:r>
          </w:p>
        </w:tc>
        <w:tc>
          <w:tcPr>
            <w:tcW w:w="2252" w:type="dxa"/>
            <w:tcBorders>
              <w:top w:val="single" w:color="auto" w:sz="4" w:space="0"/>
              <w:left w:val="nil"/>
              <w:bottom w:val="single" w:color="auto" w:sz="4" w:space="0"/>
              <w:right w:val="single" w:color="auto" w:sz="4" w:space="0"/>
            </w:tcBorders>
            <w:vAlign w:val="center"/>
          </w:tcPr>
          <w:p>
            <w:pPr>
              <w:spacing w:after="0" w:line="360" w:lineRule="auto"/>
              <w:jc w:val="center"/>
              <w:rPr>
                <w:rFonts w:ascii="新宋体" w:hAnsi="新宋体" w:eastAsia="新宋体" w:cs="新宋体"/>
                <w:b/>
                <w:kern w:val="2"/>
                <w:sz w:val="24"/>
                <w:szCs w:val="24"/>
              </w:rPr>
            </w:pPr>
            <w:r>
              <w:rPr>
                <w:rFonts w:ascii="新宋体" w:hAnsi="新宋体" w:eastAsia="新宋体" w:cs="新宋体"/>
                <w:sz w:val="24"/>
                <w:szCs w:val="24"/>
              </w:rPr>
              <w:t>3670</w:t>
            </w:r>
            <w:r>
              <w:rPr>
                <w:rFonts w:hint="eastAsia" w:ascii="新宋体" w:hAnsi="新宋体" w:eastAsia="新宋体" w:cs="新宋体"/>
                <w:sz w:val="24"/>
                <w:szCs w:val="24"/>
              </w:rPr>
              <w:t>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新宋体" w:hAnsi="新宋体" w:eastAsia="新宋体" w:cs="新宋体"/>
                <w:kern w:val="2"/>
                <w:sz w:val="24"/>
                <w:szCs w:val="24"/>
              </w:rPr>
            </w:pPr>
            <w:r>
              <w:rPr>
                <w:rFonts w:ascii="新宋体" w:hAnsi="新宋体" w:eastAsia="新宋体" w:cs="新宋体"/>
                <w:sz w:val="24"/>
                <w:szCs w:val="24"/>
              </w:rPr>
              <w:t>6</w:t>
            </w:r>
          </w:p>
        </w:tc>
        <w:tc>
          <w:tcPr>
            <w:tcW w:w="150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textAlignment w:val="center"/>
              <w:rPr>
                <w:rFonts w:ascii="新宋体" w:hAnsi="新宋体" w:eastAsia="新宋体" w:cs="新宋体"/>
                <w:kern w:val="2"/>
                <w:sz w:val="24"/>
                <w:szCs w:val="24"/>
              </w:rPr>
            </w:pPr>
            <w:r>
              <w:rPr>
                <w:rFonts w:hint="eastAsia" w:ascii="新宋体" w:hAnsi="新宋体" w:eastAsia="新宋体" w:cs="新宋体"/>
                <w:sz w:val="24"/>
                <w:szCs w:val="24"/>
              </w:rPr>
              <w:t>数据监测预警子系统</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line="360" w:lineRule="auto"/>
              <w:jc w:val="center"/>
              <w:textAlignment w:val="center"/>
              <w:rPr>
                <w:rFonts w:ascii="新宋体" w:hAnsi="新宋体" w:eastAsia="新宋体" w:cs="新宋体"/>
                <w:kern w:val="2"/>
                <w:sz w:val="24"/>
                <w:szCs w:val="24"/>
              </w:rPr>
            </w:pPr>
            <w:r>
              <w:rPr>
                <w:rFonts w:ascii="新宋体" w:hAnsi="新宋体" w:eastAsia="新宋体" w:cs="新宋体"/>
                <w:sz w:val="24"/>
                <w:szCs w:val="24"/>
              </w:rPr>
              <w:t>1项</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监测预警子系统实现业务部门的监测信息的汇集、相关信息的抽取，并据此进行风险分析，把分析结果直观的展现在决策者面前作为预测预警或事件处置的依据。</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1</w:t>
            </w:r>
            <w:r>
              <w:rPr>
                <w:rFonts w:hint="eastAsia" w:ascii="新宋体" w:hAnsi="新宋体" w:eastAsia="新宋体" w:cs="新宋体"/>
                <w:sz w:val="24"/>
              </w:rPr>
              <w:t>、指标预警值设置</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可针对报表的填报指标，也可针对具体的主体数据，达到对整个自贸区数据的监控预警目的。根据业务需要，从现有系统数据表中指定数据项、或某几项数据项的规则组合，形成预警指标项。</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2</w:t>
            </w:r>
            <w:r>
              <w:rPr>
                <w:rFonts w:hint="eastAsia" w:ascii="新宋体" w:hAnsi="新宋体" w:eastAsia="新宋体" w:cs="新宋体"/>
                <w:sz w:val="24"/>
              </w:rPr>
              <w:t>、预警规则管理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预警规则是针对预警指标的一种边界或质量监控。系统支持内置预警规则和用户自定义规则。</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3</w:t>
            </w:r>
            <w:r>
              <w:rPr>
                <w:rFonts w:hint="eastAsia" w:ascii="新宋体" w:hAnsi="新宋体" w:eastAsia="新宋体" w:cs="新宋体"/>
                <w:sz w:val="24"/>
              </w:rPr>
              <w:t>、预警消息管理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把预警事件和具体系统用户进行关联，当预警事件发生时，將事件推送给具体的用户。主要包含事件记录、事件推送、事件处理等功能。</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（1）预警消息记录</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预警事件应由预警指标项、预警规则等信息构成，提供预警事件全记录。</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（2）消息推送</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将发生的预警事件推送给指定业务人员。事件推送功能关联预警指标、预警规则、系统用户，通过配置推送规则，即关联预警指标-预警规则-系统用户，可实现将发生的预警事件推送给具体指定的用户，加速预警处理过程。</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（3）消息处理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推送过来的事件，明确事件处理方法，由接受到推送的业务人员跟进处理。</w:t>
            </w:r>
          </w:p>
        </w:tc>
        <w:tc>
          <w:tcPr>
            <w:tcW w:w="2252" w:type="dxa"/>
            <w:tcBorders>
              <w:top w:val="single" w:color="auto" w:sz="4" w:space="0"/>
              <w:left w:val="nil"/>
              <w:bottom w:val="single" w:color="auto" w:sz="4" w:space="0"/>
              <w:right w:val="single" w:color="auto" w:sz="4" w:space="0"/>
            </w:tcBorders>
            <w:vAlign w:val="center"/>
          </w:tcPr>
          <w:p>
            <w:pPr>
              <w:spacing w:after="0" w:line="360" w:lineRule="auto"/>
              <w:jc w:val="center"/>
              <w:rPr>
                <w:rFonts w:ascii="新宋体" w:hAnsi="新宋体" w:eastAsia="新宋体" w:cs="新宋体"/>
                <w:b/>
                <w:kern w:val="2"/>
                <w:sz w:val="24"/>
                <w:szCs w:val="24"/>
              </w:rPr>
            </w:pPr>
            <w:r>
              <w:rPr>
                <w:rFonts w:ascii="新宋体" w:hAnsi="新宋体" w:eastAsia="新宋体" w:cs="新宋体"/>
                <w:sz w:val="24"/>
                <w:szCs w:val="24"/>
              </w:rPr>
              <w:t>2855</w:t>
            </w:r>
            <w:r>
              <w:rPr>
                <w:rFonts w:hint="eastAsia" w:ascii="新宋体" w:hAnsi="新宋体" w:eastAsia="新宋体" w:cs="新宋体"/>
                <w:sz w:val="24"/>
                <w:szCs w:val="24"/>
              </w:rPr>
              <w:t>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新宋体" w:hAnsi="新宋体" w:eastAsia="新宋体" w:cs="新宋体"/>
                <w:kern w:val="2"/>
                <w:sz w:val="24"/>
                <w:szCs w:val="24"/>
              </w:rPr>
            </w:pPr>
            <w:r>
              <w:rPr>
                <w:rFonts w:ascii="新宋体" w:hAnsi="新宋体" w:eastAsia="新宋体" w:cs="新宋体"/>
                <w:sz w:val="24"/>
                <w:szCs w:val="24"/>
              </w:rPr>
              <w:t>7</w:t>
            </w:r>
          </w:p>
        </w:tc>
        <w:tc>
          <w:tcPr>
            <w:tcW w:w="150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textAlignment w:val="center"/>
              <w:rPr>
                <w:rFonts w:ascii="新宋体" w:hAnsi="新宋体" w:eastAsia="新宋体" w:cs="新宋体"/>
                <w:sz w:val="24"/>
                <w:szCs w:val="24"/>
              </w:rPr>
            </w:pPr>
            <w:r>
              <w:rPr>
                <w:rFonts w:hint="eastAsia" w:ascii="新宋体" w:hAnsi="新宋体" w:eastAsia="新宋体" w:cs="新宋体"/>
                <w:sz w:val="24"/>
                <w:szCs w:val="24"/>
              </w:rPr>
              <w:t>决策分析子系统</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line="360" w:lineRule="auto"/>
              <w:jc w:val="center"/>
              <w:textAlignment w:val="center"/>
              <w:rPr>
                <w:rFonts w:ascii="新宋体" w:hAnsi="新宋体" w:eastAsia="新宋体" w:cs="新宋体"/>
                <w:sz w:val="24"/>
                <w:szCs w:val="24"/>
              </w:rPr>
            </w:pPr>
            <w:r>
              <w:rPr>
                <w:rFonts w:ascii="新宋体" w:hAnsi="新宋体" w:eastAsia="新宋体" w:cs="新宋体"/>
                <w:sz w:val="24"/>
                <w:szCs w:val="24"/>
              </w:rPr>
              <w:t>1项</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决策分析子系统直观的展示系统中的业务数据，将现有系统数据库中存储的历史的、当前的数据集成到统一的环境中，形成数据一致性好、可比性强、共享度高、挖掘容易的信息体系。同时制定可对业务活动进行多层次、多方位、综合性统计、分析、报告的方法，为系统用户分析数据提供便捷的系统支持和数据支撑。</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1</w:t>
            </w:r>
            <w:r>
              <w:rPr>
                <w:rFonts w:hint="eastAsia" w:ascii="新宋体" w:hAnsi="新宋体" w:eastAsia="新宋体" w:cs="新宋体"/>
                <w:sz w:val="24"/>
              </w:rPr>
              <w:t>、宏观数据总览</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通过柱状图、散点图、折线图、环状图、饼图等多维度图表联动展示自贸区南宁片区内经济发展情况，根据填报周期定期更新数据展示图表，为政府部门宏观决策、经济管理提供决策参考。</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2</w:t>
            </w:r>
            <w:r>
              <w:rPr>
                <w:rFonts w:hint="eastAsia" w:ascii="新宋体" w:hAnsi="新宋体" w:eastAsia="新宋体" w:cs="新宋体"/>
                <w:sz w:val="24"/>
              </w:rPr>
              <w:t>、统计数据报表</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通过多维度图表展示旬报、月报、年报以及企业名单情况表等填报进展及上报情况，及时提醒、督促各部门按时填报统计数据，确保统计数据的准确性、时效性。</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（1）报表上报情况统计</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基于系统的组织架构，按照旬报、月报等不同类型报表的上报时间，按上报状态直观的标识出各单位报表上报情况。同时将每一次的上报情况进行存档，标识当期各单位的上报情况。</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（2）上报提醒情况统计</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基于系统的组织架构，统计各单位系统提醒、催报提醒的数据，利于业务管理人员排除延迟上报风险。</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3</w:t>
            </w:r>
            <w:r>
              <w:rPr>
                <w:rFonts w:hint="eastAsia" w:ascii="新宋体" w:hAnsi="新宋体" w:eastAsia="新宋体" w:cs="新宋体"/>
                <w:sz w:val="24"/>
              </w:rPr>
              <w:t>、经济指标分析</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通过多维度图表展示南宁片区各项经济指标的情况及数据情况，全面准确把握经济运行态势，以便及时研究解决经济运行中存在的困难和问题，提高经济运行调度精准性，加强对南片区经济运行情况的监测、分析和研判。</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（1）产业分析</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根据系统数据资源进行农业、工业、服务业等产业结构的发展变化的规律及分析。产业分析可以根据产值或者劳动力进行分析，同时支持各行业结构分析。</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（2）百强企业分析</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根据百强企业标签，对其各项经济指标进行统计，实现柱状图、饼图、线图等方式的数据展现。</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4</w:t>
            </w:r>
            <w:r>
              <w:rPr>
                <w:rFonts w:hint="eastAsia" w:ascii="新宋体" w:hAnsi="新宋体" w:eastAsia="新宋体" w:cs="新宋体"/>
                <w:sz w:val="24"/>
              </w:rPr>
              <w:t>、企业画像</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根据系统接口对接或手工上报的企业基本信息描绘出广西自贸区南宁片区企业画像。画像构建成功后，可通过企业画像查询进行查看。</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（1）企业基本信息展现</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集中展示企业名称、统一社会信用代码、注册资本、行业类别、企业规模、主管登记机关等基本信息。</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（2）标签展示</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通过对数据上报、数据接口等不同数据来源的数据进行数据获取，进行企业的基本信息收集。然后可以通过标签展示功能集中展示企业的核心标签。</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（3）核心经营数据统计</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针对年度营业收入、年度纳税额等企业核心经营数据，通过图表等方式直观的展示企业的运营情况。</w:t>
            </w:r>
          </w:p>
        </w:tc>
        <w:tc>
          <w:tcPr>
            <w:tcW w:w="2252" w:type="dxa"/>
            <w:tcBorders>
              <w:top w:val="single" w:color="auto" w:sz="4" w:space="0"/>
              <w:left w:val="nil"/>
              <w:bottom w:val="single" w:color="auto" w:sz="4" w:space="0"/>
              <w:right w:val="single" w:color="auto" w:sz="4" w:space="0"/>
            </w:tcBorders>
            <w:vAlign w:val="center"/>
          </w:tcPr>
          <w:p>
            <w:pPr>
              <w:spacing w:after="0" w:line="360" w:lineRule="auto"/>
              <w:jc w:val="center"/>
              <w:rPr>
                <w:rFonts w:ascii="新宋体" w:hAnsi="新宋体" w:eastAsia="新宋体" w:cs="新宋体"/>
                <w:b/>
                <w:sz w:val="24"/>
                <w:szCs w:val="24"/>
              </w:rPr>
            </w:pPr>
            <w:r>
              <w:rPr>
                <w:rFonts w:ascii="新宋体" w:hAnsi="新宋体" w:eastAsia="新宋体" w:cs="新宋体"/>
                <w:sz w:val="24"/>
                <w:szCs w:val="24"/>
              </w:rPr>
              <w:t>3334</w:t>
            </w:r>
            <w:r>
              <w:rPr>
                <w:rFonts w:hint="eastAsia" w:ascii="新宋体" w:hAnsi="新宋体" w:eastAsia="新宋体" w:cs="新宋体"/>
                <w:sz w:val="24"/>
                <w:szCs w:val="24"/>
              </w:rPr>
              <w:t>00.00</w:t>
            </w:r>
          </w:p>
        </w:tc>
      </w:tr>
      <w:tr>
        <w:tblPrEx>
          <w:tblCellMar>
            <w:top w:w="0" w:type="dxa"/>
            <w:left w:w="0" w:type="dxa"/>
            <w:bottom w:w="0" w:type="dxa"/>
            <w:right w:w="0" w:type="dxa"/>
          </w:tblCellMar>
        </w:tblPrEx>
        <w:trPr>
          <w:trHeight w:val="577"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新宋体" w:hAnsi="新宋体" w:eastAsia="新宋体" w:cs="新宋体"/>
                <w:sz w:val="24"/>
                <w:szCs w:val="24"/>
              </w:rPr>
            </w:pPr>
            <w:r>
              <w:rPr>
                <w:rFonts w:ascii="新宋体" w:hAnsi="新宋体" w:eastAsia="新宋体" w:cs="新宋体"/>
                <w:sz w:val="24"/>
                <w:szCs w:val="24"/>
              </w:rPr>
              <w:t>8</w:t>
            </w:r>
          </w:p>
        </w:tc>
        <w:tc>
          <w:tcPr>
            <w:tcW w:w="150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textAlignment w:val="center"/>
              <w:rPr>
                <w:rFonts w:ascii="新宋体" w:hAnsi="新宋体" w:eastAsia="新宋体" w:cs="新宋体"/>
                <w:sz w:val="24"/>
                <w:szCs w:val="24"/>
              </w:rPr>
            </w:pPr>
            <w:r>
              <w:rPr>
                <w:rFonts w:hint="eastAsia" w:ascii="新宋体" w:hAnsi="新宋体" w:eastAsia="新宋体" w:cs="新宋体"/>
                <w:sz w:val="24"/>
                <w:szCs w:val="24"/>
              </w:rPr>
              <w:t>接口服务子系统</w:t>
            </w:r>
          </w:p>
        </w:tc>
        <w:tc>
          <w:tcPr>
            <w:tcW w:w="7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line="360" w:lineRule="auto"/>
              <w:jc w:val="center"/>
              <w:textAlignment w:val="center"/>
              <w:rPr>
                <w:rFonts w:ascii="新宋体" w:hAnsi="新宋体" w:eastAsia="新宋体" w:cs="新宋体"/>
                <w:sz w:val="24"/>
                <w:szCs w:val="24"/>
              </w:rPr>
            </w:pPr>
            <w:r>
              <w:rPr>
                <w:rFonts w:ascii="新宋体" w:hAnsi="新宋体" w:eastAsia="新宋体" w:cs="新宋体"/>
                <w:sz w:val="24"/>
                <w:szCs w:val="24"/>
              </w:rPr>
              <w:t>1项</w:t>
            </w:r>
          </w:p>
        </w:tc>
        <w:tc>
          <w:tcPr>
            <w:tcW w:w="56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接口服务系统一方面实现统一的标准接口服务，另一方面实现系统内部、自治区相关部门、各统计局之间数据共享与数据获取、横向纵向部门接口调用。</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1</w:t>
            </w:r>
            <w:r>
              <w:rPr>
                <w:rFonts w:hint="eastAsia" w:ascii="新宋体" w:hAnsi="新宋体" w:eastAsia="新宋体" w:cs="新宋体"/>
                <w:sz w:val="24"/>
              </w:rPr>
              <w:t>、与南宁市数据共享交换平台接口</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南宁市数据共享交换平台是管理全市智慧应用信息资源目录、支撑全市开展信息资源共享交换的基础设施。数据共享交换平台和各部门共享交换节点共同组成了南宁市信息资源共享交换体系，其中市数据共享交换平台是全市信息资源共享交换的中枢，部门共享交换节点是本部门和其他部门进行信息资源共享交换的公共设施。</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2</w:t>
            </w:r>
            <w:r>
              <w:rPr>
                <w:rFonts w:hint="eastAsia" w:ascii="新宋体" w:hAnsi="新宋体" w:eastAsia="新宋体" w:cs="新宋体"/>
                <w:sz w:val="24"/>
              </w:rPr>
              <w:t>、预留与良庆区统计局内部系统接口</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预留与良庆区统计局已建信息化系统接口。</w:t>
            </w:r>
          </w:p>
          <w:p>
            <w:pPr>
              <w:pStyle w:val="2"/>
              <w:snapToGrid w:val="0"/>
              <w:spacing w:after="0" w:line="360" w:lineRule="auto"/>
              <w:ind w:firstLine="480" w:firstLineChars="200"/>
              <w:rPr>
                <w:rFonts w:ascii="新宋体" w:hAnsi="新宋体" w:eastAsia="新宋体" w:cs="新宋体"/>
                <w:sz w:val="24"/>
              </w:rPr>
            </w:pPr>
            <w:r>
              <w:rPr>
                <w:rFonts w:ascii="新宋体" w:hAnsi="新宋体" w:eastAsia="新宋体" w:cs="新宋体"/>
                <w:sz w:val="24"/>
              </w:rPr>
              <w:t>3</w:t>
            </w:r>
            <w:r>
              <w:rPr>
                <w:rFonts w:hint="eastAsia" w:ascii="新宋体" w:hAnsi="新宋体" w:eastAsia="新宋体" w:cs="新宋体"/>
                <w:sz w:val="24"/>
              </w:rPr>
              <w:t xml:space="preserve">、统一标准接口服务 </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实现对接口定义管理，提供与其他相关应用系统的接口管理，对所有接口服务过程建立异常跟踪、日志跟踪及处理机制，确保接口程序稳定、健康运行。提供数据的溯源服务。主要包括API接口管理、数据开发API模块、数据溯源管理等功能。</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（1）API接口管理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API接口基础管理包括API接口定义、接口参数管理、调用规则等，此部分是接口的基础信息，也是所有外部系统调用的关键。</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该部分的功能包括：API接口定义、API参数设置、API参数规则、API结果返回参数定义、API结果返回设置、异常处理、接口执行日志。</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（2）数据开发API模块</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定制好参数规则。当接口接收到参数时根据参数规则通过数据处理子系统获取处理结果并返回给调用者。API分为内部接口和外部接口，内部接口主要提供给应用层和数据分析层使用，外部接口根据需要定点开放。</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（3）数据溯源管理</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详细地记录系统各个接口的活动信息，包括调用者、调用内容、调用时间、调用异常等信息，并把这些信息保进行存储，供用户随时查询接口使用情况和诊断接口故障信息。</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w:t>
            </w:r>
            <w:r>
              <w:rPr>
                <w:rFonts w:ascii="新宋体" w:hAnsi="新宋体" w:eastAsia="新宋体" w:cs="新宋体"/>
                <w:sz w:val="24"/>
              </w:rPr>
              <w:t>4</w:t>
            </w:r>
            <w:r>
              <w:rPr>
                <w:rFonts w:hint="eastAsia" w:ascii="新宋体" w:hAnsi="新宋体" w:eastAsia="新宋体" w:cs="新宋体"/>
                <w:sz w:val="24"/>
              </w:rPr>
              <w:t>、与南宁市智慧城市公共服务平台对接</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与南宁市智慧城市公共服务平台对接，实现数据交互。</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w:t>
            </w:r>
            <w:r>
              <w:rPr>
                <w:rFonts w:ascii="新宋体" w:hAnsi="新宋体" w:eastAsia="新宋体" w:cs="新宋体"/>
                <w:sz w:val="24"/>
              </w:rPr>
              <w:t>5</w:t>
            </w:r>
            <w:r>
              <w:rPr>
                <w:rFonts w:hint="eastAsia" w:ascii="新宋体" w:hAnsi="新宋体" w:eastAsia="新宋体" w:cs="新宋体"/>
                <w:sz w:val="24"/>
              </w:rPr>
              <w:t>、与南宁市政策兑现综合服务平台对接</w:t>
            </w:r>
          </w:p>
          <w:p>
            <w:pPr>
              <w:pStyle w:val="2"/>
              <w:snapToGrid w:val="0"/>
              <w:spacing w:after="0" w:line="360" w:lineRule="auto"/>
              <w:ind w:firstLine="480" w:firstLineChars="200"/>
              <w:rPr>
                <w:rFonts w:ascii="新宋体" w:hAnsi="新宋体" w:eastAsia="新宋体" w:cs="新宋体"/>
                <w:sz w:val="24"/>
              </w:rPr>
            </w:pPr>
            <w:r>
              <w:rPr>
                <w:rFonts w:hint="eastAsia" w:ascii="新宋体" w:hAnsi="新宋体" w:eastAsia="新宋体" w:cs="新宋体"/>
                <w:sz w:val="24"/>
              </w:rPr>
              <w:t>与南宁市政策兑现综合服务平台对接，实现数据交互。</w:t>
            </w:r>
          </w:p>
        </w:tc>
        <w:tc>
          <w:tcPr>
            <w:tcW w:w="2252" w:type="dxa"/>
            <w:tcBorders>
              <w:top w:val="single" w:color="auto" w:sz="4" w:space="0"/>
              <w:left w:val="nil"/>
              <w:bottom w:val="single" w:color="auto" w:sz="4" w:space="0"/>
              <w:right w:val="single" w:color="auto" w:sz="4" w:space="0"/>
            </w:tcBorders>
            <w:vAlign w:val="center"/>
          </w:tcPr>
          <w:p>
            <w:pPr>
              <w:spacing w:after="0" w:line="360" w:lineRule="auto"/>
              <w:jc w:val="center"/>
              <w:rPr>
                <w:rFonts w:ascii="新宋体" w:hAnsi="新宋体" w:eastAsia="新宋体" w:cs="新宋体"/>
                <w:b/>
                <w:sz w:val="24"/>
                <w:szCs w:val="24"/>
              </w:rPr>
            </w:pPr>
            <w:r>
              <w:rPr>
                <w:rFonts w:ascii="新宋体" w:hAnsi="新宋体" w:eastAsia="新宋体" w:cs="新宋体"/>
                <w:sz w:val="24"/>
                <w:szCs w:val="24"/>
              </w:rPr>
              <w:t>2438</w:t>
            </w:r>
            <w:r>
              <w:rPr>
                <w:rFonts w:hint="eastAsia" w:ascii="新宋体" w:hAnsi="新宋体" w:eastAsia="新宋体" w:cs="新宋体"/>
                <w:sz w:val="24"/>
                <w:szCs w:val="24"/>
              </w:rPr>
              <w:t>00.00</w:t>
            </w:r>
          </w:p>
        </w:tc>
      </w:tr>
      <w:tr>
        <w:tblPrEx>
          <w:tblCellMar>
            <w:top w:w="0" w:type="dxa"/>
            <w:left w:w="0" w:type="dxa"/>
            <w:bottom w:w="0" w:type="dxa"/>
            <w:right w:w="0" w:type="dxa"/>
          </w:tblCellMar>
        </w:tblPrEx>
        <w:trPr>
          <w:trHeight w:val="577" w:hRule="atLeast"/>
        </w:trPr>
        <w:tc>
          <w:tcPr>
            <w:tcW w:w="2985" w:type="dxa"/>
            <w:gridSpan w:val="3"/>
            <w:tcBorders>
              <w:top w:val="single" w:color="auto" w:sz="4" w:space="0"/>
              <w:left w:val="single" w:color="auto" w:sz="4" w:space="0"/>
              <w:bottom w:val="single" w:color="auto" w:sz="4" w:space="0"/>
              <w:right w:val="single" w:color="auto" w:sz="4" w:space="0"/>
            </w:tcBorders>
          </w:tcPr>
          <w:p>
            <w:pPr>
              <w:spacing w:after="0" w:line="360" w:lineRule="auto"/>
              <w:jc w:val="center"/>
              <w:rPr>
                <w:rFonts w:ascii="新宋体" w:hAnsi="新宋体" w:eastAsia="新宋体" w:cs="新宋体"/>
                <w:sz w:val="24"/>
                <w:szCs w:val="24"/>
              </w:rPr>
            </w:pPr>
            <w:r>
              <w:rPr>
                <w:rFonts w:hint="eastAsia" w:ascii="新宋体" w:hAnsi="新宋体" w:eastAsia="新宋体" w:cs="新宋体"/>
                <w:sz w:val="24"/>
                <w:szCs w:val="24"/>
              </w:rPr>
              <w:t>本项目最高限价合计（元）</w:t>
            </w:r>
          </w:p>
        </w:tc>
        <w:tc>
          <w:tcPr>
            <w:tcW w:w="7935"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after="0" w:line="360" w:lineRule="auto"/>
              <w:jc w:val="both"/>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2552800.00元</w:t>
            </w:r>
          </w:p>
        </w:tc>
      </w:tr>
      <w:tr>
        <w:tblPrEx>
          <w:tblCellMar>
            <w:top w:w="0" w:type="dxa"/>
            <w:left w:w="0" w:type="dxa"/>
            <w:bottom w:w="0" w:type="dxa"/>
            <w:right w:w="0" w:type="dxa"/>
          </w:tblCellMar>
        </w:tblPrEx>
        <w:trPr>
          <w:trHeight w:val="90"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新宋体" w:hAnsi="新宋体" w:eastAsia="新宋体" w:cs="新宋体"/>
                <w:b/>
                <w:bCs/>
                <w:sz w:val="24"/>
                <w:szCs w:val="24"/>
              </w:rPr>
            </w:pPr>
            <w:r>
              <w:rPr>
                <w:rFonts w:hint="eastAsia" w:ascii="新宋体" w:hAnsi="新宋体" w:eastAsia="新宋体" w:cs="新宋体"/>
                <w:b/>
                <w:bCs/>
                <w:sz w:val="24"/>
                <w:szCs w:val="24"/>
              </w:rPr>
              <w:t>商</w:t>
            </w:r>
          </w:p>
          <w:p>
            <w:pPr>
              <w:spacing w:after="0" w:line="360" w:lineRule="auto"/>
              <w:jc w:val="center"/>
              <w:rPr>
                <w:rFonts w:ascii="新宋体" w:hAnsi="新宋体" w:eastAsia="新宋体" w:cs="新宋体"/>
                <w:b/>
                <w:bCs/>
                <w:sz w:val="24"/>
                <w:szCs w:val="24"/>
              </w:rPr>
            </w:pPr>
            <w:r>
              <w:rPr>
                <w:rFonts w:hint="eastAsia" w:ascii="新宋体" w:hAnsi="新宋体" w:eastAsia="新宋体" w:cs="新宋体"/>
                <w:b/>
                <w:bCs/>
                <w:sz w:val="24"/>
                <w:szCs w:val="24"/>
              </w:rPr>
              <w:t>务</w:t>
            </w:r>
          </w:p>
          <w:p>
            <w:pPr>
              <w:spacing w:after="0" w:line="360" w:lineRule="auto"/>
              <w:jc w:val="center"/>
              <w:rPr>
                <w:rFonts w:ascii="新宋体" w:hAnsi="新宋体" w:eastAsia="新宋体" w:cs="新宋体"/>
                <w:b/>
                <w:bCs/>
                <w:sz w:val="24"/>
                <w:szCs w:val="24"/>
              </w:rPr>
            </w:pPr>
            <w:r>
              <w:rPr>
                <w:rFonts w:hint="eastAsia" w:ascii="新宋体" w:hAnsi="新宋体" w:eastAsia="新宋体" w:cs="新宋体"/>
                <w:b/>
                <w:bCs/>
                <w:sz w:val="24"/>
                <w:szCs w:val="24"/>
              </w:rPr>
              <w:t>条</w:t>
            </w:r>
          </w:p>
          <w:p>
            <w:pPr>
              <w:spacing w:after="0" w:line="360" w:lineRule="auto"/>
              <w:jc w:val="center"/>
              <w:rPr>
                <w:rFonts w:ascii="新宋体" w:hAnsi="新宋体" w:eastAsia="新宋体" w:cs="新宋体"/>
                <w:i/>
                <w:iCs/>
                <w:sz w:val="24"/>
                <w:szCs w:val="24"/>
              </w:rPr>
            </w:pPr>
            <w:r>
              <w:rPr>
                <w:rFonts w:hint="eastAsia" w:ascii="新宋体" w:hAnsi="新宋体" w:eastAsia="新宋体" w:cs="新宋体"/>
                <w:b/>
                <w:bCs/>
                <w:sz w:val="24"/>
                <w:szCs w:val="24"/>
              </w:rPr>
              <w:t>款</w:t>
            </w:r>
          </w:p>
        </w:tc>
        <w:tc>
          <w:tcPr>
            <w:tcW w:w="10206"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一、合同签订期：自中标通知书发出之日起</w:t>
            </w:r>
            <w:r>
              <w:rPr>
                <w:rFonts w:ascii="新宋体" w:hAnsi="新宋体" w:eastAsia="新宋体" w:cs="新宋体"/>
                <w:sz w:val="24"/>
                <w:szCs w:val="24"/>
              </w:rPr>
              <w:t>10</w:t>
            </w:r>
            <w:r>
              <w:rPr>
                <w:rFonts w:hint="eastAsia" w:ascii="新宋体" w:hAnsi="新宋体" w:eastAsia="新宋体" w:cs="新宋体"/>
                <w:sz w:val="24"/>
                <w:szCs w:val="24"/>
              </w:rPr>
              <w:t>日内；若因中标供应商自身原因未能在约定的时间内与采购人签订合同的，采购人有权报监督部门终止合同签订，中标供应商自行承担由此产生的后果。</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★二、提交服务成果时间：自合同签订之日起</w:t>
            </w:r>
            <w:r>
              <w:rPr>
                <w:rFonts w:ascii="新宋体" w:hAnsi="新宋体" w:eastAsia="新宋体" w:cs="新宋体"/>
                <w:sz w:val="24"/>
                <w:szCs w:val="24"/>
              </w:rPr>
              <w:t>7</w:t>
            </w:r>
            <w:r>
              <w:rPr>
                <w:rFonts w:hint="eastAsia" w:ascii="新宋体" w:hAnsi="新宋体" w:eastAsia="新宋体" w:cs="新宋体"/>
                <w:sz w:val="24"/>
                <w:szCs w:val="24"/>
              </w:rPr>
              <w:t>日内完成本项目的深化设计方案及系统软件原型；自合同签订之日起</w:t>
            </w:r>
            <w:r>
              <w:rPr>
                <w:rFonts w:ascii="新宋体" w:hAnsi="新宋体" w:eastAsia="新宋体" w:cs="新宋体"/>
                <w:sz w:val="24"/>
                <w:szCs w:val="24"/>
              </w:rPr>
              <w:t>30</w:t>
            </w:r>
            <w:r>
              <w:rPr>
                <w:rFonts w:hint="eastAsia" w:ascii="新宋体" w:hAnsi="新宋体" w:eastAsia="新宋体" w:cs="新宋体"/>
                <w:sz w:val="24"/>
                <w:szCs w:val="24"/>
              </w:rPr>
              <w:t>日内完成全部软件开发、部署完成并符合验收条件，提交所有成果。</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三、交付地点：南宁市采购人指定地点。</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四、开发与实施要求：</w:t>
            </w:r>
          </w:p>
          <w:p>
            <w:pPr>
              <w:spacing w:after="0" w:line="360" w:lineRule="auto"/>
              <w:ind w:firstLine="480" w:firstLineChars="200"/>
              <w:rPr>
                <w:rFonts w:ascii="新宋体" w:hAnsi="新宋体" w:eastAsia="新宋体" w:cs="新宋体"/>
                <w:color w:val="auto"/>
                <w:sz w:val="24"/>
                <w:szCs w:val="24"/>
              </w:rPr>
            </w:pPr>
            <w:r>
              <w:rPr>
                <w:rFonts w:hint="eastAsia" w:ascii="新宋体" w:hAnsi="新宋体" w:eastAsia="新宋体" w:cs="新宋体"/>
                <w:sz w:val="24"/>
                <w:szCs w:val="24"/>
              </w:rPr>
              <w:t>★</w:t>
            </w:r>
            <w:r>
              <w:rPr>
                <w:rFonts w:ascii="新宋体" w:hAnsi="新宋体" w:eastAsia="新宋体" w:cs="新宋体"/>
                <w:sz w:val="24"/>
                <w:szCs w:val="24"/>
              </w:rPr>
              <w:t>1、本次项目的应用软件为定制开发，应用软件开发与实施工作要求投标人制定提供详细的系统整体设计方案、</w:t>
            </w:r>
            <w:r>
              <w:rPr>
                <w:rFonts w:ascii="新宋体" w:hAnsi="新宋体" w:eastAsia="新宋体" w:cs="新宋体"/>
                <w:color w:val="auto"/>
                <w:sz w:val="24"/>
                <w:szCs w:val="24"/>
              </w:rPr>
              <w:t>软件开发、系统实施方案，项目实施方案必须条理清晰，方案明确，软件开发思路清晰，架构先进，开发进度计划合理，实施推广方案到位和验收措施合理、完备。</w:t>
            </w:r>
          </w:p>
          <w:p>
            <w:pPr>
              <w:spacing w:after="0" w:line="360" w:lineRule="auto"/>
              <w:ind w:firstLine="480" w:firstLineChars="200"/>
              <w:rPr>
                <w:rFonts w:ascii="新宋体" w:hAnsi="新宋体" w:eastAsia="新宋体" w:cs="新宋体"/>
                <w:color w:val="auto"/>
                <w:sz w:val="24"/>
                <w:szCs w:val="24"/>
              </w:rPr>
            </w:pPr>
            <w:r>
              <w:rPr>
                <w:rFonts w:hint="eastAsia" w:ascii="新宋体" w:hAnsi="新宋体" w:eastAsia="新宋体" w:cs="新宋体"/>
                <w:color w:val="auto"/>
                <w:sz w:val="24"/>
                <w:szCs w:val="24"/>
              </w:rPr>
              <w:t>★</w:t>
            </w:r>
            <w:r>
              <w:rPr>
                <w:rFonts w:ascii="新宋体" w:hAnsi="新宋体" w:eastAsia="新宋体" w:cs="新宋体"/>
                <w:color w:val="auto"/>
                <w:sz w:val="24"/>
                <w:szCs w:val="24"/>
              </w:rPr>
              <w:t>2、项目启动至竣工验收期间，中标</w:t>
            </w:r>
            <w:r>
              <w:rPr>
                <w:rFonts w:hint="eastAsia" w:ascii="新宋体" w:hAnsi="新宋体" w:eastAsia="新宋体" w:cs="新宋体"/>
                <w:color w:val="auto"/>
                <w:sz w:val="24"/>
                <w:szCs w:val="24"/>
              </w:rPr>
              <w:t>供应商</w:t>
            </w:r>
            <w:r>
              <w:rPr>
                <w:rFonts w:ascii="新宋体" w:hAnsi="新宋体" w:eastAsia="新宋体" w:cs="新宋体"/>
                <w:color w:val="auto"/>
                <w:sz w:val="24"/>
                <w:szCs w:val="24"/>
              </w:rPr>
              <w:t>须安排项目团队应当驻</w:t>
            </w:r>
            <w:r>
              <w:rPr>
                <w:rFonts w:hint="eastAsia" w:ascii="新宋体" w:hAnsi="新宋体" w:eastAsia="新宋体" w:cs="新宋体"/>
                <w:color w:val="auto"/>
                <w:sz w:val="24"/>
                <w:szCs w:val="24"/>
                <w:lang w:val="en-US" w:eastAsia="zh-CN"/>
              </w:rPr>
              <w:t>场</w:t>
            </w:r>
            <w:r>
              <w:rPr>
                <w:rFonts w:ascii="新宋体" w:hAnsi="新宋体" w:eastAsia="新宋体" w:cs="新宋体"/>
                <w:color w:val="auto"/>
                <w:sz w:val="24"/>
                <w:szCs w:val="24"/>
              </w:rPr>
              <w:t>开展项目工作。项目团队至少须提供25</w:t>
            </w:r>
            <w:r>
              <w:rPr>
                <w:rFonts w:hint="eastAsia" w:ascii="新宋体" w:hAnsi="新宋体" w:eastAsia="新宋体" w:cs="新宋体"/>
                <w:color w:val="auto"/>
                <w:sz w:val="24"/>
                <w:szCs w:val="24"/>
              </w:rPr>
              <w:t>名（含</w:t>
            </w:r>
            <w:r>
              <w:rPr>
                <w:rFonts w:ascii="新宋体" w:hAnsi="新宋体" w:eastAsia="新宋体" w:cs="新宋体"/>
                <w:color w:val="auto"/>
                <w:sz w:val="24"/>
                <w:szCs w:val="24"/>
              </w:rPr>
              <w:t>25</w:t>
            </w:r>
            <w:r>
              <w:rPr>
                <w:rFonts w:hint="eastAsia" w:ascii="新宋体" w:hAnsi="新宋体" w:eastAsia="新宋体" w:cs="新宋体"/>
                <w:color w:val="auto"/>
                <w:sz w:val="24"/>
                <w:szCs w:val="24"/>
              </w:rPr>
              <w:t>名）以上的开发人员（包括系统开发、接口对接、数据采集等）（投标人须在投标文件中提供本项目驻场开发团队成员本项目截标日前半年内投标人为其连续缴纳</w:t>
            </w:r>
            <w:r>
              <w:rPr>
                <w:rFonts w:ascii="新宋体" w:hAnsi="新宋体" w:eastAsia="新宋体" w:cs="新宋体"/>
                <w:color w:val="auto"/>
                <w:sz w:val="24"/>
                <w:szCs w:val="24"/>
              </w:rPr>
              <w:t>3个月及以上的社保证明清晰复印件），工作时间是5天*8小时（每周）。项目中途未经采购人书面同意不允许更换项目主要负责人员。如果中标</w:t>
            </w:r>
            <w:r>
              <w:rPr>
                <w:rFonts w:hint="eastAsia" w:ascii="新宋体" w:hAnsi="新宋体" w:eastAsia="新宋体" w:cs="新宋体"/>
                <w:color w:val="auto"/>
                <w:sz w:val="24"/>
                <w:szCs w:val="24"/>
              </w:rPr>
              <w:t>供应商</w:t>
            </w:r>
            <w:r>
              <w:rPr>
                <w:rFonts w:ascii="新宋体" w:hAnsi="新宋体" w:eastAsia="新宋体" w:cs="新宋体"/>
                <w:color w:val="auto"/>
                <w:sz w:val="24"/>
                <w:szCs w:val="24"/>
              </w:rPr>
              <w:t>确因无法抗拒的原因必须更换项目人员时，必须向采购人提交书面申请，经</w:t>
            </w:r>
            <w:r>
              <w:rPr>
                <w:rFonts w:hint="eastAsia" w:ascii="新宋体" w:hAnsi="新宋体" w:eastAsia="新宋体" w:cs="新宋体"/>
                <w:color w:val="auto"/>
                <w:sz w:val="24"/>
                <w:szCs w:val="24"/>
              </w:rPr>
              <w:t>采购人</w:t>
            </w:r>
            <w:r>
              <w:rPr>
                <w:rFonts w:ascii="新宋体" w:hAnsi="新宋体" w:eastAsia="新宋体" w:cs="新宋体"/>
                <w:color w:val="auto"/>
                <w:sz w:val="24"/>
                <w:szCs w:val="24"/>
              </w:rPr>
              <w:t>同意后，提供一名具有同等或更高资历、熟悉相关业务的人员替换该职位。同时，软件开发与实施过程所需一切工具（含开发工具）、仪表等设备或工具均由中标</w:t>
            </w:r>
            <w:r>
              <w:rPr>
                <w:rFonts w:hint="eastAsia" w:ascii="新宋体" w:hAnsi="新宋体" w:eastAsia="新宋体" w:cs="新宋体"/>
                <w:color w:val="auto"/>
                <w:sz w:val="24"/>
                <w:szCs w:val="24"/>
              </w:rPr>
              <w:t>供应商</w:t>
            </w:r>
            <w:r>
              <w:rPr>
                <w:rFonts w:ascii="新宋体" w:hAnsi="新宋体" w:eastAsia="新宋体" w:cs="新宋体"/>
                <w:color w:val="auto"/>
                <w:sz w:val="24"/>
                <w:szCs w:val="24"/>
              </w:rPr>
              <w:t>自行负责。</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color w:val="auto"/>
                <w:sz w:val="24"/>
                <w:szCs w:val="24"/>
              </w:rPr>
              <w:t>★</w:t>
            </w:r>
            <w:r>
              <w:rPr>
                <w:rFonts w:ascii="新宋体" w:hAnsi="新宋体" w:eastAsia="新宋体" w:cs="新宋体"/>
                <w:color w:val="auto"/>
                <w:sz w:val="24"/>
                <w:szCs w:val="24"/>
              </w:rPr>
              <w:t>3、中标</w:t>
            </w:r>
            <w:r>
              <w:rPr>
                <w:rFonts w:hint="eastAsia" w:ascii="新宋体" w:hAnsi="新宋体" w:eastAsia="新宋体" w:cs="新宋体"/>
                <w:color w:val="auto"/>
                <w:sz w:val="24"/>
                <w:szCs w:val="24"/>
              </w:rPr>
              <w:t>供应商</w:t>
            </w:r>
            <w:r>
              <w:rPr>
                <w:rFonts w:ascii="新宋体" w:hAnsi="新宋体" w:eastAsia="新宋体" w:cs="新宋体"/>
                <w:color w:val="auto"/>
                <w:sz w:val="24"/>
                <w:szCs w:val="24"/>
              </w:rPr>
              <w:t>需要提供完整且</w:t>
            </w:r>
            <w:r>
              <w:rPr>
                <w:rFonts w:hint="eastAsia" w:ascii="新宋体" w:hAnsi="新宋体" w:eastAsia="新宋体" w:cs="新宋体"/>
                <w:color w:val="auto"/>
                <w:sz w:val="24"/>
                <w:szCs w:val="24"/>
                <w:lang w:val="en-US" w:eastAsia="zh-CN"/>
              </w:rPr>
              <w:t>符合</w:t>
            </w:r>
            <w:r>
              <w:rPr>
                <w:rFonts w:ascii="新宋体" w:hAnsi="新宋体" w:eastAsia="新宋体" w:cs="新宋体"/>
                <w:color w:val="auto"/>
                <w:sz w:val="24"/>
                <w:szCs w:val="24"/>
              </w:rPr>
              <w:t>国家标准的项目工程文档，主要包括：系统需求规格说明书、系统概要设计、系统详细设计、系统安装部署方案、测试用例与有关测试文档、系统实施手册、管理员手册、用户使用手册、系统维护手册、软</w:t>
            </w:r>
            <w:r>
              <w:rPr>
                <w:rFonts w:ascii="新宋体" w:hAnsi="新宋体" w:eastAsia="新宋体" w:cs="新宋体"/>
                <w:sz w:val="24"/>
                <w:szCs w:val="24"/>
              </w:rPr>
              <w:t xml:space="preserve">件安装介质等文档及全部软件源代码。开发过程中发生要求变更、设计调整等情况时，要有规范的、可回溯的记录文档。产品和所有技术文档要具有严格的一致性。 </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五、培训要求</w:t>
            </w:r>
          </w:p>
          <w:p>
            <w:pPr>
              <w:spacing w:after="0" w:line="360" w:lineRule="auto"/>
              <w:ind w:firstLine="480" w:firstLineChars="200"/>
              <w:rPr>
                <w:rFonts w:ascii="新宋体" w:hAnsi="新宋体" w:eastAsia="新宋体" w:cs="新宋体"/>
                <w:sz w:val="24"/>
                <w:szCs w:val="24"/>
              </w:rPr>
            </w:pPr>
            <w:r>
              <w:rPr>
                <w:rFonts w:ascii="新宋体" w:hAnsi="新宋体" w:eastAsia="新宋体" w:cs="新宋体"/>
                <w:sz w:val="24"/>
                <w:szCs w:val="24"/>
              </w:rPr>
              <w:t>1、中标</w:t>
            </w:r>
            <w:r>
              <w:rPr>
                <w:rFonts w:hint="eastAsia" w:ascii="新宋体" w:hAnsi="新宋体" w:eastAsia="新宋体" w:cs="新宋体"/>
                <w:sz w:val="24"/>
                <w:szCs w:val="24"/>
              </w:rPr>
              <w:t>供应商</w:t>
            </w:r>
            <w:r>
              <w:rPr>
                <w:rFonts w:ascii="新宋体" w:hAnsi="新宋体" w:eastAsia="新宋体" w:cs="新宋体"/>
                <w:sz w:val="24"/>
                <w:szCs w:val="24"/>
              </w:rPr>
              <w:t>须制定完整的培训计划，经采购人确认后方可实施培训；</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2、在项目终验前和质保期内分别对采购人及项目各使用单位免费开展不少于2次的集中现场培训（具体培训人数、时间及地点由采购人确定），确保培训对象对系统的整体结构、基本原理、操作规范、运行规程、管理维护等方面获得全面了解，使其能够独立开展系统的运行、操作、维护等工作。</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3、中标</w:t>
            </w:r>
            <w:r>
              <w:rPr>
                <w:rFonts w:hint="eastAsia" w:ascii="新宋体" w:hAnsi="新宋体" w:eastAsia="新宋体" w:cs="新宋体"/>
                <w:sz w:val="24"/>
                <w:szCs w:val="24"/>
              </w:rPr>
              <w:t>供应商</w:t>
            </w:r>
            <w:r>
              <w:rPr>
                <w:rFonts w:ascii="新宋体" w:hAnsi="新宋体" w:eastAsia="新宋体" w:cs="新宋体"/>
                <w:sz w:val="24"/>
                <w:szCs w:val="24"/>
              </w:rPr>
              <w:t>需为培训工作提供培训教师以及培训所需的硬软件环境，培训费用由中标</w:t>
            </w:r>
            <w:r>
              <w:rPr>
                <w:rFonts w:hint="eastAsia" w:ascii="新宋体" w:hAnsi="新宋体" w:eastAsia="新宋体" w:cs="新宋体"/>
                <w:sz w:val="24"/>
                <w:szCs w:val="24"/>
              </w:rPr>
              <w:t>供应商</w:t>
            </w:r>
            <w:r>
              <w:rPr>
                <w:rFonts w:ascii="新宋体" w:hAnsi="新宋体" w:eastAsia="新宋体" w:cs="新宋体"/>
                <w:sz w:val="24"/>
                <w:szCs w:val="24"/>
              </w:rPr>
              <w:t>负责。</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六、质量保障要求：</w:t>
            </w:r>
          </w:p>
          <w:p>
            <w:pPr>
              <w:spacing w:after="0" w:line="360" w:lineRule="auto"/>
              <w:ind w:firstLine="480" w:firstLineChars="200"/>
              <w:rPr>
                <w:rFonts w:ascii="新宋体" w:hAnsi="新宋体" w:eastAsia="新宋体" w:cs="新宋体"/>
                <w:sz w:val="24"/>
                <w:szCs w:val="24"/>
              </w:rPr>
            </w:pPr>
            <w:r>
              <w:rPr>
                <w:rFonts w:ascii="新宋体" w:hAnsi="新宋体" w:eastAsia="新宋体" w:cs="新宋体"/>
                <w:sz w:val="24"/>
                <w:szCs w:val="24"/>
              </w:rPr>
              <w:t>1、投标人应确保其开发的产品以及所提供产品的完整性、实用性，保证全部系统及时投入正常运行。若因投标人提供的产品不满足要求、不合理，或者所提供的技术支持和服务不全面，而导致系统无法实现或不能完全实现的状况，投标人负全部责任。</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2、权属要求</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1）项目范围内应采购人要求进行系统开发所取得的软件成果，有关的知识产权均属于采购人享有（不含第三方产品和中标</w:t>
            </w:r>
            <w:r>
              <w:rPr>
                <w:rFonts w:hint="eastAsia" w:ascii="新宋体" w:hAnsi="新宋体" w:eastAsia="新宋体" w:cs="新宋体"/>
                <w:sz w:val="24"/>
                <w:szCs w:val="24"/>
              </w:rPr>
              <w:t>供应商</w:t>
            </w:r>
            <w:r>
              <w:rPr>
                <w:rFonts w:ascii="新宋体" w:hAnsi="新宋体" w:eastAsia="新宋体" w:cs="新宋体"/>
                <w:sz w:val="24"/>
                <w:szCs w:val="24"/>
              </w:rPr>
              <w:t>独立产品的代码）。采购人可以在其业务范围内充分自由地利用这些成果开展业务活动。中标</w:t>
            </w:r>
            <w:r>
              <w:rPr>
                <w:rFonts w:hint="eastAsia" w:ascii="新宋体" w:hAnsi="新宋体" w:eastAsia="新宋体" w:cs="新宋体"/>
                <w:sz w:val="24"/>
                <w:szCs w:val="24"/>
              </w:rPr>
              <w:t>供应商</w:t>
            </w:r>
            <w:r>
              <w:rPr>
                <w:rFonts w:ascii="新宋体" w:hAnsi="新宋体" w:eastAsia="新宋体" w:cs="新宋体"/>
                <w:sz w:val="24"/>
                <w:szCs w:val="24"/>
              </w:rPr>
              <w:t>应当依采购人的要求，提供一切必要的信息和采取一切必要的行动，包括申请、注册、登记等，协助采购人取得和行使有关的知识产权。项目服务成果有关的发明权、署名权（依照法律规定应由中标</w:t>
            </w:r>
            <w:r>
              <w:rPr>
                <w:rFonts w:hint="eastAsia" w:ascii="新宋体" w:hAnsi="新宋体" w:eastAsia="新宋体" w:cs="新宋体"/>
                <w:sz w:val="24"/>
                <w:szCs w:val="24"/>
              </w:rPr>
              <w:t>供应商</w:t>
            </w:r>
            <w:r>
              <w:rPr>
                <w:rFonts w:ascii="新宋体" w:hAnsi="新宋体" w:eastAsia="新宋体" w:cs="新宋体"/>
                <w:sz w:val="24"/>
                <w:szCs w:val="24"/>
              </w:rPr>
              <w:t>署名的除外）等精神权利归采购人享有，中标</w:t>
            </w:r>
            <w:r>
              <w:rPr>
                <w:rFonts w:hint="eastAsia" w:ascii="新宋体" w:hAnsi="新宋体" w:eastAsia="新宋体" w:cs="新宋体"/>
                <w:sz w:val="24"/>
                <w:szCs w:val="24"/>
              </w:rPr>
              <w:t>供应商</w:t>
            </w:r>
            <w:r>
              <w:rPr>
                <w:rFonts w:ascii="新宋体" w:hAnsi="新宋体" w:eastAsia="新宋体" w:cs="新宋体"/>
                <w:sz w:val="24"/>
                <w:szCs w:val="24"/>
              </w:rPr>
              <w:t>应尊重采购人的精神权利并协助采购人行使这些权利。</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2）中标</w:t>
            </w:r>
            <w:r>
              <w:rPr>
                <w:rFonts w:hint="eastAsia" w:ascii="新宋体" w:hAnsi="新宋体" w:eastAsia="新宋体" w:cs="新宋体"/>
                <w:sz w:val="24"/>
                <w:szCs w:val="24"/>
              </w:rPr>
              <w:t>供应商</w:t>
            </w:r>
            <w:r>
              <w:rPr>
                <w:rFonts w:ascii="新宋体" w:hAnsi="新宋体" w:eastAsia="新宋体" w:cs="新宋体"/>
                <w:sz w:val="24"/>
                <w:szCs w:val="24"/>
              </w:rPr>
              <w:t>在为采购人提供开发服务期间，出于项目的需要使用任何第三方的软件知识产权的产品，中标</w:t>
            </w:r>
            <w:r>
              <w:rPr>
                <w:rFonts w:hint="eastAsia" w:ascii="新宋体" w:hAnsi="新宋体" w:eastAsia="新宋体" w:cs="新宋体"/>
                <w:sz w:val="24"/>
                <w:szCs w:val="24"/>
              </w:rPr>
              <w:t>供应商</w:t>
            </w:r>
            <w:r>
              <w:rPr>
                <w:rFonts w:ascii="新宋体" w:hAnsi="新宋体" w:eastAsia="新宋体" w:cs="新宋体"/>
                <w:sz w:val="24"/>
                <w:szCs w:val="24"/>
              </w:rPr>
              <w:t>需具有对该产品合法所有权或使用权或分许可权，在不侵犯第三方合法权益的情况下使用，使用第三方产品产生的费用纳入本项目的开发成本。中标</w:t>
            </w:r>
            <w:r>
              <w:rPr>
                <w:rFonts w:hint="eastAsia" w:ascii="新宋体" w:hAnsi="新宋体" w:eastAsia="新宋体" w:cs="新宋体"/>
                <w:sz w:val="24"/>
                <w:szCs w:val="24"/>
              </w:rPr>
              <w:t>供应商</w:t>
            </w:r>
            <w:r>
              <w:rPr>
                <w:rFonts w:ascii="新宋体" w:hAnsi="新宋体" w:eastAsia="新宋体" w:cs="新宋体"/>
                <w:sz w:val="24"/>
                <w:szCs w:val="24"/>
              </w:rPr>
              <w:t>违反本条规定而产生侵权纠纷，导致采购人不能正常运行本项目开发的系统，则中标</w:t>
            </w:r>
            <w:r>
              <w:rPr>
                <w:rFonts w:hint="eastAsia" w:ascii="新宋体" w:hAnsi="新宋体" w:eastAsia="新宋体" w:cs="新宋体"/>
                <w:sz w:val="24"/>
                <w:szCs w:val="24"/>
              </w:rPr>
              <w:t>供应商</w:t>
            </w:r>
            <w:r>
              <w:rPr>
                <w:rFonts w:ascii="新宋体" w:hAnsi="新宋体" w:eastAsia="新宋体" w:cs="新宋体"/>
                <w:sz w:val="24"/>
                <w:szCs w:val="24"/>
              </w:rPr>
              <w:t>负责赔偿采购人由此造成的全部损失。</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3）中标</w:t>
            </w:r>
            <w:r>
              <w:rPr>
                <w:rFonts w:hint="eastAsia" w:ascii="新宋体" w:hAnsi="新宋体" w:eastAsia="新宋体" w:cs="新宋体"/>
                <w:sz w:val="24"/>
                <w:szCs w:val="24"/>
              </w:rPr>
              <w:t>供应商</w:t>
            </w:r>
            <w:r>
              <w:rPr>
                <w:rFonts w:ascii="新宋体" w:hAnsi="新宋体" w:eastAsia="新宋体" w:cs="新宋体"/>
                <w:sz w:val="24"/>
                <w:szCs w:val="24"/>
              </w:rPr>
              <w:t>需提供为本项目开发的所有运行程序、代码、工程文档（不含第三方产品和中标</w:t>
            </w:r>
            <w:r>
              <w:rPr>
                <w:rFonts w:hint="eastAsia" w:ascii="新宋体" w:hAnsi="新宋体" w:eastAsia="新宋体" w:cs="新宋体"/>
                <w:sz w:val="24"/>
                <w:szCs w:val="24"/>
              </w:rPr>
              <w:t>供应商</w:t>
            </w:r>
            <w:r>
              <w:rPr>
                <w:rFonts w:ascii="新宋体" w:hAnsi="新宋体" w:eastAsia="新宋体" w:cs="新宋体"/>
                <w:sz w:val="24"/>
                <w:szCs w:val="24"/>
              </w:rPr>
              <w:t>独立产品的代码）给采购人。</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4）中标</w:t>
            </w:r>
            <w:r>
              <w:rPr>
                <w:rFonts w:hint="eastAsia" w:ascii="新宋体" w:hAnsi="新宋体" w:eastAsia="新宋体" w:cs="新宋体"/>
                <w:sz w:val="24"/>
                <w:szCs w:val="24"/>
              </w:rPr>
              <w:t>供应商</w:t>
            </w:r>
            <w:r>
              <w:rPr>
                <w:rFonts w:ascii="新宋体" w:hAnsi="新宋体" w:eastAsia="新宋体" w:cs="新宋体"/>
                <w:sz w:val="24"/>
                <w:szCs w:val="24"/>
              </w:rPr>
              <w:t>提供的第三方软件产品（数据库、操作系统、中间件、安全防护软件等）的使用许可证为永久许可证，采购人可以永久使用所有软件、技术文档和介质。</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5）采购人有自行对该产品、技术文档和介质做额外的拷贝备份的使用权。</w:t>
            </w:r>
          </w:p>
          <w:p>
            <w:pPr>
              <w:spacing w:after="0" w:line="360" w:lineRule="auto"/>
              <w:ind w:firstLine="480" w:firstLineChars="200"/>
              <w:rPr>
                <w:rFonts w:ascii="新宋体" w:hAnsi="新宋体" w:eastAsia="新宋体" w:cs="新宋体"/>
                <w:sz w:val="24"/>
                <w:szCs w:val="24"/>
              </w:rPr>
            </w:pPr>
            <w:r>
              <w:rPr>
                <w:rFonts w:ascii="新宋体" w:hAnsi="新宋体" w:eastAsia="新宋体" w:cs="新宋体"/>
                <w:sz w:val="24"/>
                <w:szCs w:val="24"/>
              </w:rPr>
              <w:t>3、技术文档的要求</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1）中标</w:t>
            </w:r>
            <w:r>
              <w:rPr>
                <w:rFonts w:hint="eastAsia" w:ascii="新宋体" w:hAnsi="新宋体" w:eastAsia="新宋体" w:cs="新宋体"/>
                <w:sz w:val="24"/>
                <w:szCs w:val="24"/>
              </w:rPr>
              <w:t>供应商</w:t>
            </w:r>
            <w:r>
              <w:rPr>
                <w:rFonts w:ascii="新宋体" w:hAnsi="新宋体" w:eastAsia="新宋体" w:cs="新宋体"/>
                <w:sz w:val="24"/>
                <w:szCs w:val="24"/>
              </w:rPr>
              <w:t>需向采购人提供软件的全套介质光盘的同时，应提供每套软件的配套的全部技术文档。</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2）中标</w:t>
            </w:r>
            <w:r>
              <w:rPr>
                <w:rFonts w:hint="eastAsia" w:ascii="新宋体" w:hAnsi="新宋体" w:eastAsia="新宋体" w:cs="新宋体"/>
                <w:sz w:val="24"/>
                <w:szCs w:val="24"/>
              </w:rPr>
              <w:t>供应商</w:t>
            </w:r>
            <w:r>
              <w:rPr>
                <w:rFonts w:ascii="新宋体" w:hAnsi="新宋体" w:eastAsia="新宋体" w:cs="新宋体"/>
                <w:sz w:val="24"/>
                <w:szCs w:val="24"/>
              </w:rPr>
              <w:t>提供的技术文档应与其提供的软件相一致，技术文档应该全面、完整、详细。中标</w:t>
            </w:r>
            <w:r>
              <w:rPr>
                <w:rFonts w:hint="eastAsia" w:ascii="新宋体" w:hAnsi="新宋体" w:eastAsia="新宋体" w:cs="新宋体"/>
                <w:sz w:val="24"/>
                <w:szCs w:val="24"/>
              </w:rPr>
              <w:t>供应商</w:t>
            </w:r>
            <w:r>
              <w:rPr>
                <w:rFonts w:ascii="新宋体" w:hAnsi="新宋体" w:eastAsia="新宋体" w:cs="新宋体"/>
                <w:sz w:val="24"/>
                <w:szCs w:val="24"/>
              </w:rPr>
              <w:t>向采购人提供的所有技术文档资料均应采用中文。</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3）中标</w:t>
            </w:r>
            <w:r>
              <w:rPr>
                <w:rFonts w:hint="eastAsia" w:ascii="新宋体" w:hAnsi="新宋体" w:eastAsia="新宋体" w:cs="新宋体"/>
                <w:sz w:val="24"/>
                <w:szCs w:val="24"/>
              </w:rPr>
              <w:t>供应商</w:t>
            </w:r>
            <w:r>
              <w:rPr>
                <w:rFonts w:ascii="新宋体" w:hAnsi="新宋体" w:eastAsia="新宋体" w:cs="新宋体"/>
                <w:sz w:val="24"/>
                <w:szCs w:val="24"/>
              </w:rPr>
              <w:t>提供的技术文档应能够满足采购人对产品安装、使用、维护、应用开发的需要。中标</w:t>
            </w:r>
            <w:r>
              <w:rPr>
                <w:rFonts w:hint="eastAsia" w:ascii="新宋体" w:hAnsi="新宋体" w:eastAsia="新宋体" w:cs="新宋体"/>
                <w:sz w:val="24"/>
                <w:szCs w:val="24"/>
              </w:rPr>
              <w:t>供应商</w:t>
            </w:r>
            <w:r>
              <w:rPr>
                <w:rFonts w:ascii="新宋体" w:hAnsi="新宋体" w:eastAsia="新宋体" w:cs="新宋体"/>
                <w:sz w:val="24"/>
                <w:szCs w:val="24"/>
              </w:rPr>
              <w:t>提供的技术文档范围至少应包括：技术参考手册、用户手册（用于安装、操作、维护、故障排除等）。</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4）项目开发与实施后，</w:t>
            </w:r>
            <w:r>
              <w:rPr>
                <w:rFonts w:hint="eastAsia" w:ascii="新宋体" w:hAnsi="新宋体" w:eastAsia="新宋体" w:cs="新宋体"/>
                <w:sz w:val="24"/>
                <w:szCs w:val="24"/>
              </w:rPr>
              <w:t>中标供应商</w:t>
            </w:r>
            <w:r>
              <w:rPr>
                <w:rFonts w:ascii="新宋体" w:hAnsi="新宋体" w:eastAsia="新宋体" w:cs="新宋体"/>
                <w:sz w:val="24"/>
                <w:szCs w:val="24"/>
              </w:rPr>
              <w:t>必须提供详细的软硬件测试报告、安装使用状况、试运行记录、系统测试验收文档、操作手册以及设备的说明书、维修书等文件（包括电子文档）。若上述资料不全，采购人有权拒绝验收。</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七、售后服务要求：</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1、质量保证期不少于1</w:t>
            </w:r>
            <w:r>
              <w:rPr>
                <w:rFonts w:hint="eastAsia" w:ascii="新宋体" w:hAnsi="新宋体" w:eastAsia="新宋体" w:cs="新宋体"/>
                <w:sz w:val="24"/>
                <w:szCs w:val="24"/>
              </w:rPr>
              <w:t>年（自最终验收合格之日起计）。投标人须提供服务质量保证承诺，免费质保期承诺，售后服务承诺，在质保期内，当行业标准、技术规范发生改变时，中标供应商须免费修改相关内容。</w:t>
            </w:r>
          </w:p>
          <w:p>
            <w:pPr>
              <w:spacing w:after="0" w:line="360" w:lineRule="auto"/>
              <w:ind w:firstLine="480" w:firstLineChars="200"/>
              <w:rPr>
                <w:rFonts w:ascii="新宋体" w:hAnsi="新宋体" w:eastAsia="新宋体" w:cs="新宋体"/>
                <w:sz w:val="24"/>
                <w:szCs w:val="24"/>
              </w:rPr>
            </w:pPr>
            <w:r>
              <w:rPr>
                <w:rFonts w:ascii="新宋体" w:hAnsi="新宋体" w:eastAsia="新宋体" w:cs="新宋体"/>
                <w:sz w:val="24"/>
                <w:szCs w:val="24"/>
              </w:rPr>
              <w:t>2、本地服务内容：</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1）质保期内，中标</w:t>
            </w:r>
            <w:r>
              <w:rPr>
                <w:rFonts w:hint="eastAsia" w:ascii="新宋体" w:hAnsi="新宋体" w:eastAsia="新宋体" w:cs="新宋体"/>
                <w:sz w:val="24"/>
                <w:szCs w:val="24"/>
              </w:rPr>
              <w:t>供应商</w:t>
            </w:r>
            <w:r>
              <w:rPr>
                <w:rFonts w:ascii="新宋体" w:hAnsi="新宋体" w:eastAsia="新宋体" w:cs="新宋体"/>
                <w:sz w:val="24"/>
                <w:szCs w:val="24"/>
              </w:rPr>
              <w:t>免费进行软件修改、完善和升级开发。如系统设计存在重大缺陷，导致无法运行或效率低下，须对系统进行结构性调整开发至满足使用要求。</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2）中标</w:t>
            </w:r>
            <w:r>
              <w:rPr>
                <w:rFonts w:hint="eastAsia" w:ascii="新宋体" w:hAnsi="新宋体" w:eastAsia="新宋体" w:cs="新宋体"/>
                <w:sz w:val="24"/>
                <w:szCs w:val="24"/>
              </w:rPr>
              <w:t>供应商</w:t>
            </w:r>
            <w:r>
              <w:rPr>
                <w:rFonts w:ascii="新宋体" w:hAnsi="新宋体" w:eastAsia="新宋体" w:cs="新宋体"/>
                <w:sz w:val="24"/>
                <w:szCs w:val="24"/>
              </w:rPr>
              <w:t>须确保项目使用的第三方软件版本数据接口须长期免费提供。</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 xml:space="preserve">3）项目质保期内，为确保平台的正常运作，投标人须提供驻采购人现场的驻场服务，须指派不少于10 </w:t>
            </w:r>
            <w:r>
              <w:rPr>
                <w:rFonts w:hint="eastAsia" w:ascii="新宋体" w:hAnsi="新宋体" w:eastAsia="新宋体" w:cs="新宋体"/>
                <w:sz w:val="24"/>
                <w:szCs w:val="24"/>
              </w:rPr>
              <w:t>名参与本项目的维护服务人员常驻项目现场（投标人须在投标文件中提供人员分工安排表，及本项目驻场维保团队成员最近半年内投标人为其连续缴纳</w:t>
            </w:r>
            <w:r>
              <w:rPr>
                <w:rFonts w:ascii="新宋体" w:hAnsi="新宋体" w:eastAsia="新宋体" w:cs="新宋体"/>
                <w:sz w:val="24"/>
                <w:szCs w:val="24"/>
              </w:rPr>
              <w:t>3个月及以上的社保证明清晰复印件），工作时间是5天*8小时（每周））提供技术服务及支撑运营服务。同时，软件开发与实施过程所需一切工具（含开发工具）、仪表等设备或工具均由中标</w:t>
            </w:r>
            <w:r>
              <w:rPr>
                <w:rFonts w:hint="eastAsia" w:ascii="新宋体" w:hAnsi="新宋体" w:eastAsia="新宋体" w:cs="新宋体"/>
                <w:sz w:val="24"/>
                <w:szCs w:val="24"/>
              </w:rPr>
              <w:t>供应商</w:t>
            </w:r>
            <w:r>
              <w:rPr>
                <w:rFonts w:ascii="新宋体" w:hAnsi="新宋体" w:eastAsia="新宋体" w:cs="新宋体"/>
                <w:sz w:val="24"/>
                <w:szCs w:val="24"/>
              </w:rPr>
              <w:t>自行负责。</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4）在质保期内提供免费的维护，期间如发生系统运作故障，或出现瑕疵与缺陷，中标</w:t>
            </w:r>
            <w:r>
              <w:rPr>
                <w:rFonts w:hint="eastAsia" w:ascii="新宋体" w:hAnsi="新宋体" w:eastAsia="新宋体" w:cs="新宋体"/>
                <w:sz w:val="24"/>
                <w:szCs w:val="24"/>
              </w:rPr>
              <w:t>供应商</w:t>
            </w:r>
            <w:r>
              <w:rPr>
                <w:rFonts w:ascii="新宋体" w:hAnsi="新宋体" w:eastAsia="新宋体" w:cs="新宋体"/>
                <w:sz w:val="24"/>
                <w:szCs w:val="24"/>
              </w:rPr>
              <w:t>需及时做出响应提供维护服务。</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5）中标</w:t>
            </w:r>
            <w:r>
              <w:rPr>
                <w:rFonts w:hint="eastAsia" w:ascii="新宋体" w:hAnsi="新宋体" w:eastAsia="新宋体" w:cs="新宋体"/>
                <w:sz w:val="24"/>
                <w:szCs w:val="24"/>
              </w:rPr>
              <w:t>供应商</w:t>
            </w:r>
            <w:r>
              <w:rPr>
                <w:rFonts w:ascii="新宋体" w:hAnsi="新宋体" w:eastAsia="新宋体" w:cs="新宋体"/>
                <w:sz w:val="24"/>
                <w:szCs w:val="24"/>
              </w:rPr>
              <w:t>应提供完整有效的成果及数据，对所开发的软件如出现漏洞（专业术语BUG），实行修改维护。</w:t>
            </w:r>
          </w:p>
          <w:p>
            <w:pPr>
              <w:spacing w:after="0" w:line="360" w:lineRule="auto"/>
              <w:ind w:firstLine="480" w:firstLineChars="200"/>
              <w:rPr>
                <w:rFonts w:ascii="新宋体" w:hAnsi="新宋体" w:eastAsia="新宋体" w:cs="新宋体"/>
                <w:sz w:val="24"/>
                <w:szCs w:val="24"/>
              </w:rPr>
            </w:pPr>
            <w:r>
              <w:rPr>
                <w:rFonts w:ascii="新宋体" w:hAnsi="新宋体" w:eastAsia="新宋体" w:cs="新宋体"/>
                <w:sz w:val="24"/>
                <w:szCs w:val="24"/>
              </w:rPr>
              <w:t>3、服务响应时间：</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 xml:space="preserve">1）提供7×24小时本地化技术服务支持。系统出现故障时，驻场技术人员须在半小时内响应，其它维护力量1 </w:t>
            </w:r>
            <w:r>
              <w:rPr>
                <w:rFonts w:hint="eastAsia" w:ascii="新宋体" w:hAnsi="新宋体" w:eastAsia="新宋体" w:cs="新宋体"/>
                <w:sz w:val="24"/>
                <w:szCs w:val="24"/>
              </w:rPr>
              <w:t>小时内到达采购人指定现场，</w:t>
            </w:r>
            <w:r>
              <w:rPr>
                <w:rFonts w:ascii="新宋体" w:hAnsi="新宋体" w:eastAsia="新宋体" w:cs="新宋体"/>
                <w:sz w:val="24"/>
                <w:szCs w:val="24"/>
              </w:rPr>
              <w:t xml:space="preserve">4 </w:t>
            </w:r>
            <w:r>
              <w:rPr>
                <w:rFonts w:hint="eastAsia" w:ascii="新宋体" w:hAnsi="新宋体" w:eastAsia="新宋体" w:cs="新宋体"/>
                <w:sz w:val="24"/>
                <w:szCs w:val="24"/>
              </w:rPr>
              <w:t>小时内解决故障并恢复系统运行。</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2）投标人须在投标文件中提供在重大节日、重大活动期间提供技术保障和服务保障的方案，并按方案要求提供保障工作。</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3）</w:t>
            </w:r>
            <w:r>
              <w:rPr>
                <w:rFonts w:hint="eastAsia" w:ascii="新宋体" w:hAnsi="新宋体" w:eastAsia="新宋体" w:cs="新宋体"/>
                <w:sz w:val="24"/>
                <w:szCs w:val="24"/>
              </w:rPr>
              <w:t>中标供应商</w:t>
            </w:r>
            <w:r>
              <w:rPr>
                <w:rFonts w:ascii="新宋体" w:hAnsi="新宋体" w:eastAsia="新宋体" w:cs="新宋体"/>
                <w:sz w:val="24"/>
                <w:szCs w:val="24"/>
              </w:rPr>
              <w:t>应制定软件运行维护、升级管理的详细方案，并由现场驻点人员按方案定期记录和实施升级服务，</w:t>
            </w:r>
            <w:r>
              <w:rPr>
                <w:rFonts w:hint="eastAsia" w:ascii="新宋体" w:hAnsi="新宋体" w:eastAsia="新宋体" w:cs="新宋体"/>
                <w:sz w:val="24"/>
                <w:szCs w:val="24"/>
              </w:rPr>
              <w:t>中标供应商</w:t>
            </w:r>
            <w:r>
              <w:rPr>
                <w:rFonts w:ascii="新宋体" w:hAnsi="新宋体" w:eastAsia="新宋体" w:cs="新宋体"/>
                <w:sz w:val="24"/>
                <w:szCs w:val="24"/>
              </w:rPr>
              <w:t xml:space="preserve">需要保证每个季度不少于1 </w:t>
            </w:r>
            <w:r>
              <w:rPr>
                <w:rFonts w:hint="eastAsia" w:ascii="新宋体" w:hAnsi="新宋体" w:eastAsia="新宋体" w:cs="新宋体"/>
                <w:sz w:val="24"/>
                <w:szCs w:val="24"/>
              </w:rPr>
              <w:t>次定期系统维护，并出具巡检及维护报告。</w:t>
            </w:r>
          </w:p>
          <w:p>
            <w:pPr>
              <w:spacing w:after="0" w:line="360" w:lineRule="auto"/>
              <w:ind w:firstLine="480" w:firstLineChars="200"/>
              <w:rPr>
                <w:rFonts w:ascii="新宋体" w:hAnsi="新宋体" w:eastAsia="新宋体" w:cs="新宋体"/>
                <w:sz w:val="24"/>
                <w:szCs w:val="24"/>
              </w:rPr>
            </w:pPr>
            <w:r>
              <w:rPr>
                <w:rFonts w:ascii="新宋体" w:hAnsi="新宋体" w:eastAsia="新宋体" w:cs="新宋体"/>
                <w:sz w:val="24"/>
                <w:szCs w:val="24"/>
              </w:rPr>
              <w:t>4、质保期后，</w:t>
            </w:r>
            <w:r>
              <w:rPr>
                <w:rFonts w:hint="eastAsia" w:ascii="新宋体" w:hAnsi="新宋体" w:eastAsia="新宋体" w:cs="新宋体"/>
                <w:sz w:val="24"/>
                <w:szCs w:val="24"/>
              </w:rPr>
              <w:t>中标供应商</w:t>
            </w:r>
            <w:r>
              <w:rPr>
                <w:rFonts w:ascii="新宋体" w:hAnsi="新宋体" w:eastAsia="新宋体" w:cs="新宋体"/>
                <w:sz w:val="24"/>
                <w:szCs w:val="24"/>
              </w:rPr>
              <w:t>应明确承诺继续优惠提供维护服务</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1）承诺提供系统升级、故障排除、性能调优、技术咨询等售后技术支持服务情况。</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2）对于产品安全问题应及时免费提供补丁；</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3）对于因软件设计等技术原因而引起的故障，</w:t>
            </w:r>
            <w:r>
              <w:rPr>
                <w:rFonts w:hint="eastAsia" w:ascii="新宋体" w:hAnsi="新宋体" w:eastAsia="新宋体" w:cs="新宋体"/>
                <w:sz w:val="24"/>
                <w:szCs w:val="24"/>
              </w:rPr>
              <w:t>中标供应商</w:t>
            </w:r>
            <w:r>
              <w:rPr>
                <w:rFonts w:ascii="新宋体" w:hAnsi="新宋体" w:eastAsia="新宋体" w:cs="新宋体"/>
                <w:sz w:val="24"/>
                <w:szCs w:val="24"/>
              </w:rPr>
              <w:t>应免费提供解决方案；</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4）质量保证期后，</w:t>
            </w:r>
            <w:r>
              <w:rPr>
                <w:rFonts w:hint="eastAsia" w:ascii="新宋体" w:hAnsi="新宋体" w:eastAsia="新宋体" w:cs="新宋体"/>
                <w:sz w:val="24"/>
                <w:szCs w:val="24"/>
              </w:rPr>
              <w:t>中标供应商</w:t>
            </w:r>
            <w:r>
              <w:rPr>
                <w:rFonts w:ascii="新宋体" w:hAnsi="新宋体" w:eastAsia="新宋体" w:cs="新宋体"/>
                <w:sz w:val="24"/>
                <w:szCs w:val="24"/>
              </w:rPr>
              <w:t xml:space="preserve">对软件升级收取服务费用需提供长期优惠折扣政策； </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5）免费质保期满前1个月内</w:t>
            </w:r>
            <w:r>
              <w:rPr>
                <w:rFonts w:hint="eastAsia" w:ascii="新宋体" w:hAnsi="新宋体" w:eastAsia="新宋体" w:cs="新宋体"/>
                <w:sz w:val="24"/>
                <w:szCs w:val="24"/>
              </w:rPr>
              <w:t>中标供应商</w:t>
            </w:r>
            <w:r>
              <w:rPr>
                <w:rFonts w:ascii="新宋体" w:hAnsi="新宋体" w:eastAsia="新宋体" w:cs="新宋体"/>
                <w:sz w:val="24"/>
                <w:szCs w:val="24"/>
              </w:rPr>
              <w:t>应负责对设备进行一次有第三方参与的免费全面检查、维护，如发现潜在问题，应出具正式报告，并负责排除，保证设备正常运行；</w:t>
            </w:r>
          </w:p>
          <w:p>
            <w:pPr>
              <w:spacing w:after="0" w:line="360" w:lineRule="auto"/>
              <w:ind w:firstLine="480" w:firstLineChars="200"/>
              <w:rPr>
                <w:rFonts w:ascii="新宋体" w:hAnsi="新宋体" w:eastAsia="新宋体" w:cs="新宋体"/>
                <w:sz w:val="24"/>
                <w:szCs w:val="24"/>
              </w:rPr>
            </w:pPr>
            <w:r>
              <w:rPr>
                <w:rFonts w:ascii="新宋体" w:hAnsi="新宋体" w:eastAsia="新宋体" w:cs="新宋体"/>
                <w:sz w:val="24"/>
                <w:szCs w:val="24"/>
              </w:rPr>
              <w:t>5、投标人设有技术服务热线，提供永久的电话咨询技术支持服务。并设有专门的用户反馈系统，方便用户问题咨询与投诉。</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八、投标报价：</w:t>
            </w:r>
          </w:p>
          <w:p>
            <w:pPr>
              <w:spacing w:after="0" w:line="360" w:lineRule="auto"/>
              <w:ind w:firstLine="480" w:firstLineChars="200"/>
              <w:rPr>
                <w:rFonts w:ascii="新宋体" w:hAnsi="新宋体" w:eastAsia="新宋体" w:cs="新宋体"/>
                <w:sz w:val="24"/>
                <w:szCs w:val="24"/>
              </w:rPr>
            </w:pPr>
            <w:r>
              <w:rPr>
                <w:rFonts w:ascii="新宋体" w:hAnsi="新宋体" w:eastAsia="新宋体" w:cs="新宋体"/>
                <w:sz w:val="24"/>
                <w:szCs w:val="24"/>
              </w:rPr>
              <w:t>1、投标报价为采购人指定地点的现场交货价，包括：</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1）服务的价格；</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2）其他费用（包括但不限于运输、装卸、软件开发、软件部署、调试、培训、技术支持、售后服务、检测、更新升级等费用）；</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3）必要的保险费用和各项税费；</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4）安装费用（包括但不限于各类软件、系统等的安装、集成、试运行等费用）；</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5）培训费用（包括但不限于场地费、教材等）；</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6）与各类相关系统对接的费用（含第三方接口费）；</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7）包括项目整体验收各项费用。</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8）包含项目通过最终验收产生的费用，以及项目质保期的维保费用、服务期的技术服务费用；</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9）包含整个项目所有需要的设备的采购、运输、安装、调试，系统布线、运行环境布置，所有外设、线缆、管材及埋管，电缆沟开挖填埋、管路敷设埋地处理及回填、水泥路面开凿恢复、等电位防雷接地处理等，并完成所有系统和服务，以及实施时对装</w:t>
            </w:r>
            <w:r>
              <w:rPr>
                <w:rFonts w:hint="eastAsia" w:ascii="新宋体" w:hAnsi="新宋体" w:eastAsia="新宋体" w:cs="新宋体"/>
                <w:sz w:val="24"/>
                <w:szCs w:val="24"/>
              </w:rPr>
              <w:t>饰面、其它专业造成的破坏进行修补等及其他所有成本及合同包含的应有环保、文明实施、安全实施、风险费、责任等费用。</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 xml:space="preserve">10）必要的设备安全设施（包含辅助设施）及措施费； </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w:t>
            </w:r>
            <w:r>
              <w:rPr>
                <w:rFonts w:ascii="新宋体" w:hAnsi="新宋体" w:eastAsia="新宋体" w:cs="新宋体"/>
                <w:sz w:val="24"/>
                <w:szCs w:val="24"/>
              </w:rPr>
              <w:t>11）实施期间业主有管理系统软件需求方面的变更，变更范围在工作量30%以内的费用包含在本项目招标费用中，超出工作量30%的按原投标报价50%计取增加费用。</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九、付款方式：</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合同生效后，中标供应商提供《项目整体深化设计方案》通过采购人认可、项目人员到位、完成本系统项目整体开发，项目试运行，采购人支付中标供应商</w:t>
            </w:r>
            <w:r>
              <w:rPr>
                <w:rFonts w:ascii="新宋体" w:hAnsi="新宋体" w:eastAsia="新宋体" w:cs="新宋体"/>
                <w:sz w:val="24"/>
                <w:szCs w:val="24"/>
              </w:rPr>
              <w:t>40%的合同款；</w:t>
            </w:r>
            <w:r>
              <w:rPr>
                <w:rFonts w:hint="eastAsia" w:ascii="新宋体" w:hAnsi="新宋体" w:eastAsia="新宋体" w:cs="新宋体"/>
                <w:sz w:val="24"/>
                <w:szCs w:val="24"/>
              </w:rPr>
              <w:t>项目初验合格，由采购人支付合同款的</w:t>
            </w:r>
            <w:r>
              <w:rPr>
                <w:rFonts w:ascii="新宋体" w:hAnsi="新宋体" w:eastAsia="新宋体" w:cs="新宋体"/>
                <w:sz w:val="24"/>
                <w:szCs w:val="24"/>
              </w:rPr>
              <w:t>40%金额；</w:t>
            </w:r>
            <w:r>
              <w:rPr>
                <w:rFonts w:hint="eastAsia" w:ascii="新宋体" w:hAnsi="新宋体" w:eastAsia="新宋体" w:cs="新宋体"/>
                <w:sz w:val="24"/>
                <w:szCs w:val="24"/>
              </w:rPr>
              <w:t>项目通过验收，结算经过南宁市财政局投资评审中心审核后采购人支付中标供应商</w:t>
            </w:r>
            <w:r>
              <w:rPr>
                <w:rFonts w:ascii="新宋体" w:hAnsi="新宋体" w:eastAsia="新宋体" w:cs="新宋体"/>
                <w:sz w:val="24"/>
                <w:szCs w:val="24"/>
              </w:rPr>
              <w:t>20%的合同款。</w:t>
            </w:r>
          </w:p>
          <w:p>
            <w:pPr>
              <w:spacing w:after="0"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十、系统验收要求：</w:t>
            </w:r>
          </w:p>
          <w:p>
            <w:pPr>
              <w:spacing w:after="0" w:line="360" w:lineRule="auto"/>
              <w:ind w:firstLine="480" w:firstLineChars="200"/>
              <w:rPr>
                <w:rFonts w:ascii="新宋体" w:hAnsi="新宋体" w:eastAsia="新宋体" w:cs="新宋体"/>
                <w:sz w:val="24"/>
                <w:szCs w:val="24"/>
              </w:rPr>
            </w:pPr>
            <w:r>
              <w:rPr>
                <w:rFonts w:ascii="新宋体" w:hAnsi="新宋体" w:eastAsia="新宋体" w:cs="新宋体"/>
                <w:sz w:val="24"/>
                <w:szCs w:val="24"/>
              </w:rPr>
              <w:t>1、</w:t>
            </w:r>
            <w:r>
              <w:rPr>
                <w:rFonts w:hint="eastAsia" w:ascii="新宋体" w:hAnsi="新宋体" w:eastAsia="新宋体" w:cs="新宋体"/>
                <w:sz w:val="24"/>
                <w:szCs w:val="24"/>
              </w:rPr>
              <w:t>中标供应商</w:t>
            </w:r>
            <w:r>
              <w:rPr>
                <w:rFonts w:ascii="新宋体" w:hAnsi="新宋体" w:eastAsia="新宋体" w:cs="新宋体"/>
                <w:sz w:val="24"/>
                <w:szCs w:val="24"/>
              </w:rPr>
              <w:t>签订合同后10日内由</w:t>
            </w:r>
            <w:r>
              <w:rPr>
                <w:rFonts w:hint="eastAsia" w:ascii="新宋体" w:hAnsi="新宋体" w:eastAsia="新宋体" w:cs="新宋体"/>
                <w:sz w:val="24"/>
                <w:szCs w:val="24"/>
              </w:rPr>
              <w:t>中标供应商</w:t>
            </w:r>
            <w:r>
              <w:rPr>
                <w:rFonts w:ascii="新宋体" w:hAnsi="新宋体" w:eastAsia="新宋体" w:cs="新宋体"/>
                <w:sz w:val="24"/>
                <w:szCs w:val="24"/>
              </w:rPr>
              <w:t>负责自行搭建环境，</w:t>
            </w:r>
            <w:r>
              <w:rPr>
                <w:rFonts w:hint="eastAsia" w:ascii="新宋体" w:hAnsi="新宋体" w:eastAsia="新宋体" w:cs="新宋体"/>
                <w:sz w:val="24"/>
                <w:szCs w:val="24"/>
              </w:rPr>
              <w:t>中标供应商</w:t>
            </w:r>
            <w:r>
              <w:rPr>
                <w:rFonts w:ascii="新宋体" w:hAnsi="新宋体" w:eastAsia="新宋体" w:cs="新宋体"/>
                <w:sz w:val="24"/>
                <w:szCs w:val="24"/>
              </w:rPr>
              <w:t>必须完成投标产品平台软件、硬件的初步测试工作；测试标准：满足招标文件要求；测试环境：根据采购人需要自行搭建测试环境；</w:t>
            </w:r>
            <w:r>
              <w:rPr>
                <w:rFonts w:hint="eastAsia" w:ascii="新宋体" w:hAnsi="新宋体" w:eastAsia="新宋体" w:cs="新宋体"/>
                <w:sz w:val="24"/>
                <w:szCs w:val="24"/>
              </w:rPr>
              <w:t>中标供应商</w:t>
            </w:r>
            <w:r>
              <w:rPr>
                <w:rFonts w:ascii="新宋体" w:hAnsi="新宋体" w:eastAsia="新宋体" w:cs="新宋体"/>
                <w:sz w:val="24"/>
                <w:szCs w:val="24"/>
              </w:rPr>
              <w:t>须自行准备包括但不限于相关必要的软件及硬件设备（按应标承诺要求）；对照招标文件的功能目标及技术指标核对检验，如测试不符合招标文件的技术需求及要求以及提供虚假承诺的，按相关法规规定作处理，</w:t>
            </w:r>
            <w:r>
              <w:rPr>
                <w:rFonts w:hint="eastAsia" w:ascii="新宋体" w:hAnsi="新宋体" w:eastAsia="新宋体" w:cs="新宋体"/>
                <w:sz w:val="24"/>
                <w:szCs w:val="24"/>
              </w:rPr>
              <w:t>中标供应商</w:t>
            </w:r>
            <w:r>
              <w:rPr>
                <w:rFonts w:ascii="新宋体" w:hAnsi="新宋体" w:eastAsia="新宋体" w:cs="新宋体"/>
                <w:sz w:val="24"/>
                <w:szCs w:val="24"/>
              </w:rPr>
              <w:t>承担所有责任和费用，并同时报同级政府采购监督管理部门。</w:t>
            </w:r>
          </w:p>
          <w:p>
            <w:pPr>
              <w:spacing w:after="0" w:line="360" w:lineRule="auto"/>
              <w:ind w:firstLine="480" w:firstLineChars="200"/>
              <w:rPr>
                <w:rFonts w:ascii="新宋体" w:hAnsi="新宋体" w:eastAsia="新宋体" w:cs="新宋体"/>
                <w:sz w:val="24"/>
                <w:szCs w:val="24"/>
              </w:rPr>
            </w:pPr>
            <w:r>
              <w:rPr>
                <w:rFonts w:ascii="新宋体" w:hAnsi="新宋体" w:eastAsia="新宋体" w:cs="新宋体"/>
                <w:sz w:val="24"/>
                <w:szCs w:val="24"/>
              </w:rPr>
              <w:t>2、验收方法：采购人邀请技术专家现场验收（竣工验收前将邀请第三方专业的检测机构协助验收）；测评机构出具测评报告、监理单位出具监理报告，验收由采购人负责。</w:t>
            </w:r>
          </w:p>
          <w:p>
            <w:pPr>
              <w:spacing w:after="0" w:line="360" w:lineRule="auto"/>
              <w:ind w:firstLine="480" w:firstLineChars="200"/>
              <w:rPr>
                <w:rFonts w:ascii="新宋体" w:hAnsi="新宋体" w:eastAsia="新宋体" w:cs="新宋体"/>
                <w:sz w:val="24"/>
                <w:szCs w:val="24"/>
              </w:rPr>
            </w:pPr>
            <w:r>
              <w:rPr>
                <w:rFonts w:ascii="新宋体" w:hAnsi="新宋体" w:eastAsia="新宋体" w:cs="新宋体"/>
                <w:sz w:val="24"/>
                <w:szCs w:val="24"/>
              </w:rPr>
              <w:t>3、验收资料要求：</w:t>
            </w:r>
            <w:r>
              <w:rPr>
                <w:rFonts w:hint="eastAsia" w:ascii="新宋体" w:hAnsi="新宋体" w:eastAsia="新宋体" w:cs="新宋体"/>
                <w:sz w:val="24"/>
                <w:szCs w:val="24"/>
              </w:rPr>
              <w:t>中标供应商</w:t>
            </w:r>
            <w:r>
              <w:rPr>
                <w:rFonts w:ascii="新宋体" w:hAnsi="新宋体" w:eastAsia="新宋体" w:cs="新宋体"/>
                <w:sz w:val="24"/>
                <w:szCs w:val="24"/>
              </w:rPr>
              <w:t>应将系统的全部有关产品开发说明书、软件开发源代码、需求规格说明书、项目整体深化设计方案、项目整体实施计划和方案、项目实施记录以及项目相关的技术规范等；用户使用和维护文档包括用户手册、系统管理维护手册等；测试计划及方案，培训计划和培训资料，以及验收相关材料等文档汇集成册交付采购人。交付物形式包括纸质文档和电子文档光盘。</w:t>
            </w:r>
          </w:p>
          <w:p>
            <w:pPr>
              <w:spacing w:after="0" w:line="360" w:lineRule="auto"/>
              <w:ind w:firstLine="480" w:firstLineChars="200"/>
              <w:rPr>
                <w:rFonts w:ascii="新宋体" w:hAnsi="新宋体" w:eastAsia="新宋体" w:cs="新宋体"/>
                <w:sz w:val="24"/>
                <w:szCs w:val="24"/>
              </w:rPr>
            </w:pPr>
            <w:r>
              <w:rPr>
                <w:rFonts w:ascii="新宋体" w:hAnsi="新宋体" w:eastAsia="新宋体" w:cs="新宋体"/>
                <w:sz w:val="24"/>
                <w:szCs w:val="24"/>
              </w:rPr>
              <w:t>4、安全与保密问题：</w:t>
            </w:r>
          </w:p>
          <w:p>
            <w:pPr>
              <w:spacing w:after="0" w:line="360" w:lineRule="auto"/>
              <w:rPr>
                <w:rFonts w:ascii="新宋体" w:hAnsi="新宋体" w:eastAsia="新宋体" w:cs="新宋体"/>
                <w:sz w:val="24"/>
                <w:szCs w:val="24"/>
              </w:rPr>
            </w:pPr>
            <w:r>
              <w:rPr>
                <w:rFonts w:hint="eastAsia" w:ascii="新宋体" w:hAnsi="新宋体" w:eastAsia="新宋体" w:cs="新宋体"/>
                <w:sz w:val="24"/>
                <w:szCs w:val="24"/>
              </w:rPr>
              <w:t>中标供应商应无条件接受项目采购人的保密约定，包括在合同期结束后承诺保密义务，并承担相应的涉密责任，未经许可不得对外泄露用户个人信息等机密信息。</w:t>
            </w:r>
          </w:p>
        </w:tc>
      </w:tr>
      <w:tr>
        <w:tblPrEx>
          <w:tblCellMar>
            <w:top w:w="0" w:type="dxa"/>
            <w:left w:w="0" w:type="dxa"/>
            <w:bottom w:w="0" w:type="dxa"/>
            <w:right w:w="0" w:type="dxa"/>
          </w:tblCellMar>
        </w:tblPrEx>
        <w:trPr>
          <w:trHeight w:val="90" w:hRule="atLeast"/>
        </w:trPr>
        <w:tc>
          <w:tcPr>
            <w:tcW w:w="71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新宋体" w:hAnsi="新宋体" w:eastAsia="新宋体" w:cs="新宋体"/>
                <w:b/>
                <w:bCs/>
                <w:sz w:val="24"/>
                <w:szCs w:val="24"/>
              </w:rPr>
            </w:pPr>
            <w:r>
              <w:rPr>
                <w:rFonts w:hint="eastAsia" w:ascii="新宋体" w:hAnsi="新宋体" w:eastAsia="新宋体" w:cs="新宋体"/>
                <w:sz w:val="24"/>
                <w:szCs w:val="24"/>
              </w:rPr>
              <w:t>其他</w:t>
            </w:r>
          </w:p>
        </w:tc>
        <w:tc>
          <w:tcPr>
            <w:tcW w:w="10206"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after="0" w:line="360" w:lineRule="auto"/>
              <w:ind w:left="121" w:leftChars="55" w:right="156" w:rightChars="71"/>
              <w:rPr>
                <w:rFonts w:ascii="新宋体" w:hAnsi="新宋体" w:eastAsia="新宋体" w:cs="新宋体"/>
                <w:sz w:val="24"/>
                <w:szCs w:val="24"/>
              </w:rPr>
            </w:pPr>
            <w:r>
              <w:rPr>
                <w:rFonts w:hint="eastAsia" w:ascii="新宋体" w:hAnsi="新宋体" w:eastAsia="新宋体" w:cs="新宋体"/>
                <w:sz w:val="24"/>
                <w:szCs w:val="24"/>
              </w:rPr>
              <w:t>本项目采购标的需执行的国家相关标准、行业标准、地方标准或其他强制性标准、规范等要求：</w:t>
            </w:r>
            <w:r>
              <w:rPr>
                <w:rFonts w:hint="eastAsia" w:ascii="新宋体" w:hAnsi="新宋体" w:eastAsia="新宋体" w:cs="新宋体"/>
                <w:sz w:val="24"/>
                <w:szCs w:val="24"/>
                <w:u w:val="single"/>
              </w:rPr>
              <w:t>无</w:t>
            </w:r>
            <w:r>
              <w:rPr>
                <w:rFonts w:ascii="新宋体" w:hAnsi="新宋体" w:eastAsia="新宋体" w:cs="新宋体"/>
                <w:sz w:val="24"/>
                <w:szCs w:val="24"/>
                <w:u w:val="single"/>
              </w:rPr>
              <w:t xml:space="preserve"> </w:t>
            </w:r>
            <w:r>
              <w:rPr>
                <w:rFonts w:hint="eastAsia" w:ascii="新宋体" w:hAnsi="新宋体" w:eastAsia="新宋体" w:cs="新宋体"/>
                <w:sz w:val="24"/>
                <w:szCs w:val="24"/>
                <w:u w:val="single"/>
              </w:rPr>
              <w:t>。</w:t>
            </w:r>
          </w:p>
        </w:tc>
      </w:tr>
      <w:bookmarkEnd w:id="9"/>
      <w:bookmarkEnd w:id="10"/>
      <w:bookmarkEnd w:id="11"/>
      <w:bookmarkEnd w:id="12"/>
    </w:tbl>
    <w:p>
      <w:pPr>
        <w:jc w:val="both"/>
        <w:rPr>
          <w:rFonts w:asciiTheme="majorEastAsia" w:hAnsiTheme="majorEastAsia" w:eastAsiaTheme="majorEastAsia"/>
          <w:b/>
          <w:bCs/>
          <w:sz w:val="28"/>
          <w:szCs w:val="28"/>
        </w:rPr>
        <w:sectPr>
          <w:footerReference r:id="rId14" w:type="default"/>
          <w:pgSz w:w="11906" w:h="16838"/>
          <w:pgMar w:top="1440" w:right="707" w:bottom="1098" w:left="851" w:header="851" w:footer="907" w:gutter="0"/>
          <w:pgNumType w:fmt="decimal"/>
          <w:cols w:space="720" w:num="1"/>
          <w:docGrid w:type="lines" w:linePitch="312" w:charSpace="0"/>
        </w:sectPr>
      </w:pPr>
      <w:bookmarkStart w:id="14" w:name="_Toc213325923"/>
      <w:bookmarkStart w:id="15" w:name="_Toc213206174"/>
    </w:p>
    <w:p>
      <w:pPr>
        <w:pStyle w:val="16"/>
        <w:jc w:val="center"/>
        <w:outlineLvl w:val="0"/>
        <w:rPr>
          <w:rFonts w:cs="宋体" w:asciiTheme="majorEastAsia" w:hAnsiTheme="majorEastAsia" w:eastAsiaTheme="majorEastAsia"/>
          <w:b/>
          <w:sz w:val="36"/>
        </w:rPr>
      </w:pPr>
      <w:bookmarkStart w:id="16" w:name="_Toc508092927"/>
      <w:bookmarkStart w:id="17" w:name="_Toc2133"/>
      <w:r>
        <w:rPr>
          <w:rFonts w:hint="eastAsia" w:cs="宋体" w:asciiTheme="majorEastAsia" w:hAnsiTheme="majorEastAsia" w:eastAsiaTheme="majorEastAsia"/>
          <w:b/>
          <w:sz w:val="36"/>
        </w:rPr>
        <w:t>第三章评审方法</w:t>
      </w:r>
      <w:bookmarkEnd w:id="16"/>
      <w:bookmarkEnd w:id="17"/>
    </w:p>
    <w:p>
      <w:pPr>
        <w:spacing w:after="0" w:line="440" w:lineRule="exact"/>
        <w:ind w:firstLine="562" w:firstLineChars="200"/>
        <w:jc w:val="center"/>
        <w:rPr>
          <w:rFonts w:asciiTheme="majorEastAsia" w:hAnsiTheme="majorEastAsia" w:eastAsiaTheme="majorEastAsia"/>
          <w:b/>
          <w:sz w:val="28"/>
          <w:szCs w:val="28"/>
        </w:rPr>
      </w:pPr>
      <w:bookmarkStart w:id="18" w:name="_Toc508092928"/>
      <w:r>
        <w:rPr>
          <w:rFonts w:hint="eastAsia" w:asciiTheme="majorEastAsia" w:hAnsiTheme="majorEastAsia" w:eastAsiaTheme="majorEastAsia"/>
          <w:b/>
          <w:sz w:val="28"/>
          <w:szCs w:val="28"/>
        </w:rPr>
        <w:t>综合评分法</w:t>
      </w:r>
    </w:p>
    <w:p>
      <w:pPr>
        <w:spacing w:after="0" w:line="440" w:lineRule="exact"/>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sz w:val="24"/>
          <w:szCs w:val="24"/>
        </w:rPr>
        <w:t>（一）评标委员会以招标文件为依据，对投标文件进行评审，对投标人的投标报价、技术文件及</w:t>
      </w:r>
      <w:r>
        <w:rPr>
          <w:rFonts w:hint="eastAsia" w:asciiTheme="majorEastAsia" w:hAnsiTheme="majorEastAsia" w:eastAsiaTheme="majorEastAsia"/>
          <w:color w:val="auto"/>
          <w:sz w:val="24"/>
          <w:szCs w:val="24"/>
          <w:highlight w:val="none"/>
        </w:rPr>
        <w:t>商务文件等三部分内容按百分制打分，其中价格分20</w:t>
      </w:r>
      <w:r>
        <w:rPr>
          <w:rFonts w:asciiTheme="majorEastAsia" w:hAnsiTheme="majorEastAsia" w:eastAsiaTheme="majorEastAsia"/>
          <w:color w:val="auto"/>
          <w:sz w:val="24"/>
          <w:szCs w:val="24"/>
          <w:highlight w:val="none"/>
        </w:rPr>
        <w:t>分，技术分</w:t>
      </w:r>
      <w:r>
        <w:rPr>
          <w:rFonts w:hint="eastAsia" w:asciiTheme="majorEastAsia" w:hAnsiTheme="majorEastAsia" w:eastAsiaTheme="majorEastAsia"/>
          <w:color w:val="auto"/>
          <w:sz w:val="24"/>
          <w:szCs w:val="24"/>
          <w:highlight w:val="none"/>
        </w:rPr>
        <w:t>54分</w:t>
      </w:r>
      <w:r>
        <w:rPr>
          <w:rFonts w:asciiTheme="majorEastAsia" w:hAnsiTheme="majorEastAsia" w:eastAsiaTheme="majorEastAsia"/>
          <w:color w:val="auto"/>
          <w:sz w:val="24"/>
          <w:szCs w:val="24"/>
          <w:highlight w:val="none"/>
        </w:rPr>
        <w:t>，商务分26</w:t>
      </w:r>
      <w:r>
        <w:rPr>
          <w:rFonts w:hint="eastAsia" w:asciiTheme="majorEastAsia" w:hAnsiTheme="majorEastAsia" w:eastAsiaTheme="majorEastAsia"/>
          <w:color w:val="auto"/>
          <w:sz w:val="24"/>
          <w:szCs w:val="24"/>
          <w:highlight w:val="none"/>
        </w:rPr>
        <w:t>分。（评审时，对于带有主观因素的评分，应由各评委独立进行定档打分。）</w:t>
      </w:r>
    </w:p>
    <w:p>
      <w:pPr>
        <w:spacing w:after="0" w:line="440" w:lineRule="exact"/>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（二）评分细则：（按四舍五入取至百分位）</w:t>
      </w:r>
    </w:p>
    <w:p>
      <w:pPr>
        <w:spacing w:after="0" w:line="440" w:lineRule="exact"/>
        <w:ind w:firstLine="482" w:firstLineChars="200"/>
        <w:rPr>
          <w:rFonts w:asciiTheme="majorEastAsia" w:hAnsiTheme="majorEastAsia" w:eastAsiaTheme="majorEastAsia"/>
          <w:b/>
          <w:color w:val="auto"/>
          <w:sz w:val="24"/>
          <w:szCs w:val="24"/>
          <w:highlight w:val="none"/>
        </w:rPr>
      </w:pPr>
      <w:r>
        <w:rPr>
          <w:rFonts w:asciiTheme="majorEastAsia" w:hAnsiTheme="majorEastAsia" w:eastAsiaTheme="majorEastAsia"/>
          <w:b/>
          <w:color w:val="auto"/>
          <w:sz w:val="24"/>
          <w:szCs w:val="24"/>
          <w:highlight w:val="none"/>
        </w:rPr>
        <w:t>1、价格分…………………………………………………………………………………</w:t>
      </w:r>
      <w:r>
        <w:rPr>
          <w:rFonts w:hint="eastAsia" w:asciiTheme="majorEastAsia" w:hAnsiTheme="majorEastAsia" w:eastAsiaTheme="majorEastAsia"/>
          <w:b/>
          <w:color w:val="auto"/>
          <w:sz w:val="24"/>
          <w:szCs w:val="24"/>
          <w:highlight w:val="none"/>
        </w:rPr>
        <w:t>2</w:t>
      </w:r>
      <w:r>
        <w:rPr>
          <w:rFonts w:asciiTheme="majorEastAsia" w:hAnsiTheme="majorEastAsia" w:eastAsiaTheme="majorEastAsia"/>
          <w:b/>
          <w:color w:val="auto"/>
          <w:sz w:val="24"/>
          <w:szCs w:val="24"/>
          <w:highlight w:val="none"/>
        </w:rPr>
        <w:t>0分</w:t>
      </w:r>
    </w:p>
    <w:p>
      <w:pPr>
        <w:pStyle w:val="16"/>
        <w:snapToGrid w:val="0"/>
        <w:spacing w:line="440" w:lineRule="exact"/>
        <w:ind w:firstLine="480" w:firstLineChars="200"/>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w:t>
      </w:r>
      <w:r>
        <w:rPr>
          <w:rFonts w:cs="宋体" w:asciiTheme="majorEastAsia" w:hAnsiTheme="majorEastAsia" w:eastAsiaTheme="majorEastAsia"/>
          <w:color w:val="auto"/>
          <w:sz w:val="24"/>
          <w:szCs w:val="24"/>
          <w:highlight w:val="none"/>
        </w:rPr>
        <w:t>1）对于非专门面向中小企业的项目，对小型和微型企业产品的价格给予</w:t>
      </w:r>
      <w:r>
        <w:rPr>
          <w:rFonts w:cs="宋体" w:asciiTheme="majorEastAsia" w:hAnsiTheme="majorEastAsia" w:eastAsiaTheme="majorEastAsia"/>
          <w:color w:val="auto"/>
          <w:sz w:val="24"/>
          <w:szCs w:val="24"/>
          <w:highlight w:val="none"/>
          <w:shd w:val="pct10" w:color="auto" w:fill="FFFFFF"/>
        </w:rPr>
        <w:t>6%</w:t>
      </w:r>
      <w:r>
        <w:rPr>
          <w:rFonts w:hint="eastAsia" w:cs="宋体" w:asciiTheme="majorEastAsia" w:hAnsiTheme="majorEastAsia" w:eastAsiaTheme="majorEastAsia"/>
          <w:color w:val="auto"/>
          <w:sz w:val="24"/>
          <w:szCs w:val="24"/>
          <w:highlight w:val="none"/>
        </w:rPr>
        <w:t>的价格扣除，扣除后的价格为评标价，即评标价＝投标报价×（</w:t>
      </w:r>
      <w:r>
        <w:rPr>
          <w:rFonts w:cs="宋体" w:asciiTheme="majorEastAsia" w:hAnsiTheme="majorEastAsia" w:eastAsiaTheme="majorEastAsia"/>
          <w:color w:val="auto"/>
          <w:sz w:val="24"/>
          <w:szCs w:val="24"/>
          <w:highlight w:val="none"/>
        </w:rPr>
        <w:t>1-</w:t>
      </w:r>
      <w:r>
        <w:rPr>
          <w:rFonts w:cs="宋体" w:asciiTheme="majorEastAsia" w:hAnsiTheme="majorEastAsia" w:eastAsiaTheme="majorEastAsia"/>
          <w:color w:val="auto"/>
          <w:sz w:val="24"/>
          <w:szCs w:val="24"/>
          <w:highlight w:val="none"/>
          <w:shd w:val="pct10" w:color="auto" w:fill="FFFFFF"/>
        </w:rPr>
        <w:t>6%</w:t>
      </w:r>
      <w:r>
        <w:rPr>
          <w:rFonts w:hint="eastAsia" w:cs="宋体" w:asciiTheme="majorEastAsia" w:hAnsiTheme="majorEastAsia" w:eastAsiaTheme="majorEastAsia"/>
          <w:color w:val="auto"/>
          <w:sz w:val="24"/>
          <w:szCs w:val="24"/>
          <w:highlight w:val="none"/>
        </w:rPr>
        <w:t>）；</w:t>
      </w:r>
      <w:r>
        <w:rPr>
          <w:rFonts w:hint="eastAsia" w:cs="宋体" w:asciiTheme="majorEastAsia" w:hAnsiTheme="majorEastAsia" w:eastAsiaTheme="majorEastAsia"/>
          <w:bCs/>
          <w:color w:val="auto"/>
          <w:sz w:val="24"/>
          <w:szCs w:val="24"/>
          <w:highlight w:val="none"/>
        </w:rPr>
        <w:t>（以投标人按第五章“投标文件格式”要求提供的《报价表》和《</w:t>
      </w:r>
      <w:r>
        <w:rPr>
          <w:rFonts w:hint="eastAsia" w:cs="宋体" w:asciiTheme="majorEastAsia" w:hAnsiTheme="majorEastAsia" w:eastAsiaTheme="majorEastAsia"/>
          <w:color w:val="auto"/>
          <w:sz w:val="24"/>
          <w:szCs w:val="24"/>
          <w:highlight w:val="none"/>
        </w:rPr>
        <w:t>中小企业声明函</w:t>
      </w:r>
      <w:r>
        <w:rPr>
          <w:rFonts w:hint="eastAsia" w:cs="宋体" w:asciiTheme="majorEastAsia" w:hAnsiTheme="majorEastAsia" w:eastAsiaTheme="majorEastAsia"/>
          <w:bCs/>
          <w:color w:val="auto"/>
          <w:sz w:val="24"/>
          <w:szCs w:val="24"/>
          <w:highlight w:val="none"/>
        </w:rPr>
        <w:t>》为评分依据）</w:t>
      </w:r>
    </w:p>
    <w:p>
      <w:pPr>
        <w:pStyle w:val="16"/>
        <w:snapToGrid w:val="0"/>
        <w:spacing w:line="440" w:lineRule="exact"/>
        <w:ind w:firstLine="480" w:firstLineChars="200"/>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w:t>
      </w:r>
      <w:r>
        <w:rPr>
          <w:rFonts w:cs="宋体" w:asciiTheme="majorEastAsia" w:hAnsiTheme="majorEastAsia" w:eastAsiaTheme="majorEastAsia"/>
          <w:color w:val="auto"/>
          <w:sz w:val="24"/>
          <w:szCs w:val="24"/>
          <w:highlight w:val="none"/>
        </w:rPr>
        <w:t>2）对大中型企业和其他自然人、法人或者其他组织与小型、微型企业组成联合体，且联合体协议中约定小型、微型企业的协议合同金额占到联合体协议合同总金额30%以上的，给予</w:t>
      </w:r>
      <w:r>
        <w:rPr>
          <w:rFonts w:cs="宋体" w:asciiTheme="majorEastAsia" w:hAnsiTheme="majorEastAsia" w:eastAsiaTheme="majorEastAsia"/>
          <w:color w:val="auto"/>
          <w:sz w:val="24"/>
          <w:szCs w:val="24"/>
          <w:highlight w:val="none"/>
          <w:shd w:val="pct10" w:color="auto" w:fill="FFFFFF"/>
        </w:rPr>
        <w:t>2%</w:t>
      </w:r>
      <w:r>
        <w:rPr>
          <w:rFonts w:hint="eastAsia" w:cs="宋体" w:asciiTheme="majorEastAsia" w:hAnsiTheme="majorEastAsia" w:eastAsiaTheme="majorEastAsia"/>
          <w:color w:val="auto"/>
          <w:sz w:val="24"/>
          <w:szCs w:val="24"/>
          <w:highlight w:val="none"/>
        </w:rPr>
        <w:t>的价格扣除，扣除后的价格为评标价，即评标价＝投标报价×（</w:t>
      </w:r>
      <w:r>
        <w:rPr>
          <w:rFonts w:cs="宋体" w:asciiTheme="majorEastAsia" w:hAnsiTheme="majorEastAsia" w:eastAsiaTheme="majorEastAsia"/>
          <w:color w:val="auto"/>
          <w:sz w:val="24"/>
          <w:szCs w:val="24"/>
          <w:highlight w:val="none"/>
        </w:rPr>
        <w:t>1-</w:t>
      </w:r>
      <w:r>
        <w:rPr>
          <w:rFonts w:cs="宋体" w:asciiTheme="majorEastAsia" w:hAnsiTheme="majorEastAsia" w:eastAsiaTheme="majorEastAsia"/>
          <w:color w:val="auto"/>
          <w:sz w:val="24"/>
          <w:szCs w:val="24"/>
          <w:highlight w:val="none"/>
          <w:shd w:val="pct10" w:color="auto" w:fill="FFFFFF"/>
        </w:rPr>
        <w:t>2%</w:t>
      </w:r>
      <w:r>
        <w:rPr>
          <w:rFonts w:hint="eastAsia" w:cs="宋体" w:asciiTheme="majorEastAsia" w:hAnsiTheme="majorEastAsia" w:eastAsiaTheme="majorEastAsia"/>
          <w:color w:val="auto"/>
          <w:sz w:val="24"/>
          <w:szCs w:val="24"/>
          <w:highlight w:val="none"/>
        </w:rPr>
        <w:t>）；</w:t>
      </w:r>
      <w:r>
        <w:rPr>
          <w:rFonts w:hint="eastAsia" w:cs="宋体" w:asciiTheme="majorEastAsia" w:hAnsiTheme="majorEastAsia" w:eastAsiaTheme="majorEastAsia"/>
          <w:bCs/>
          <w:color w:val="auto"/>
          <w:sz w:val="24"/>
          <w:szCs w:val="24"/>
          <w:highlight w:val="none"/>
        </w:rPr>
        <w:t>（以投标人按第五章“投标文件格式”要求提供的《报价表》、《中小企业声明函》和《联合体协议书》为评分依据）</w:t>
      </w:r>
    </w:p>
    <w:p>
      <w:pPr>
        <w:pStyle w:val="16"/>
        <w:snapToGrid w:val="0"/>
        <w:spacing w:line="440" w:lineRule="exact"/>
        <w:ind w:firstLine="480" w:firstLineChars="200"/>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w:t>
      </w:r>
      <w:r>
        <w:rPr>
          <w:rFonts w:cs="宋体" w:asciiTheme="majorEastAsia" w:hAnsiTheme="majorEastAsia" w:eastAsiaTheme="majorEastAsia"/>
          <w:color w:val="auto"/>
          <w:sz w:val="24"/>
          <w:szCs w:val="24"/>
          <w:highlight w:val="none"/>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6"/>
        <w:snapToGrid w:val="0"/>
        <w:spacing w:line="440" w:lineRule="exact"/>
        <w:ind w:firstLine="480" w:firstLineChars="200"/>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w:t>
      </w:r>
      <w:r>
        <w:rPr>
          <w:rFonts w:cs="宋体" w:asciiTheme="majorEastAsia" w:hAnsiTheme="majorEastAsia" w:eastAsiaTheme="majorEastAsia"/>
          <w:color w:val="auto"/>
          <w:sz w:val="24"/>
          <w:szCs w:val="24"/>
          <w:highlight w:val="none"/>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成交结果同时公告，接受社会监督。（以投标人按第五章“投标文件格式”要求提供的《报价表》和《残疾人福利性单位声明函》为评分依据）。</w:t>
      </w:r>
    </w:p>
    <w:p>
      <w:pPr>
        <w:pStyle w:val="16"/>
        <w:snapToGrid w:val="0"/>
        <w:spacing w:line="440" w:lineRule="exact"/>
        <w:ind w:firstLine="480" w:firstLineChars="200"/>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w:t>
      </w:r>
      <w:r>
        <w:rPr>
          <w:rFonts w:cs="宋体" w:asciiTheme="majorEastAsia" w:hAnsiTheme="majorEastAsia" w:eastAsiaTheme="majorEastAsia"/>
          <w:color w:val="auto"/>
          <w:sz w:val="24"/>
          <w:szCs w:val="24"/>
          <w:highlight w:val="none"/>
        </w:rPr>
        <w:t>5）除上述情况外，评标价＝投标报价；</w:t>
      </w:r>
    </w:p>
    <w:p>
      <w:pPr>
        <w:spacing w:after="0" w:line="440" w:lineRule="exact"/>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w:t>
      </w:r>
      <w:r>
        <w:rPr>
          <w:rFonts w:asciiTheme="majorEastAsia" w:hAnsiTheme="majorEastAsia" w:eastAsiaTheme="majorEastAsia"/>
          <w:color w:val="auto"/>
          <w:sz w:val="24"/>
          <w:szCs w:val="24"/>
          <w:highlight w:val="none"/>
        </w:rPr>
        <w:t>6）价格分计算公式：</w:t>
      </w:r>
    </w:p>
    <w:p>
      <w:pPr>
        <w:pStyle w:val="15"/>
        <w:snapToGrid w:val="0"/>
        <w:spacing w:line="440" w:lineRule="exact"/>
        <w:ind w:firstLine="464" w:firstLineChars="200"/>
        <w:rPr>
          <w:rFonts w:hint="default" w:cs="宋体" w:asciiTheme="majorEastAsia" w:hAnsiTheme="majorEastAsia" w:eastAsiaTheme="majorEastAsia"/>
          <w:color w:val="auto"/>
          <w:sz w:val="24"/>
          <w:szCs w:val="24"/>
          <w:highlight w:val="none"/>
        </w:rPr>
      </w:pPr>
      <w:r>
        <w:rPr>
          <w:rFonts w:hint="default" w:cs="宋体" w:asciiTheme="majorEastAsia" w:hAnsiTheme="majorEastAsia" w:eastAsiaTheme="majorEastAsia"/>
          <w:color w:val="auto"/>
          <w:sz w:val="24"/>
          <w:szCs w:val="24"/>
          <w:highlight w:val="none"/>
        </w:rPr>
        <w:t xml:space="preserve">           　　           投标人最低评标价金额</w:t>
      </w:r>
    </w:p>
    <w:p>
      <w:pPr>
        <w:pStyle w:val="15"/>
        <w:snapToGrid w:val="0"/>
        <w:spacing w:line="440" w:lineRule="exact"/>
        <w:ind w:firstLine="1160" w:firstLineChars="500"/>
        <w:rPr>
          <w:rFonts w:hint="default" w:cs="宋体" w:asciiTheme="majorEastAsia" w:hAnsiTheme="majorEastAsia" w:eastAsiaTheme="majorEastAsia"/>
          <w:color w:val="auto"/>
          <w:sz w:val="24"/>
          <w:szCs w:val="24"/>
          <w:highlight w:val="none"/>
        </w:rPr>
      </w:pPr>
      <w:r>
        <w:rPr>
          <w:rFonts w:hint="default" w:cs="宋体" w:asciiTheme="majorEastAsia" w:hAnsiTheme="majorEastAsia" w:eastAsiaTheme="majorEastAsia"/>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2129790</wp:posOffset>
                </wp:positionH>
                <wp:positionV relativeFrom="paragraph">
                  <wp:posOffset>106045</wp:posOffset>
                </wp:positionV>
                <wp:extent cx="16706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6706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7.7pt;margin-top:8.35pt;height:0pt;width:131.55pt;z-index:251660288;mso-width-relative:page;mso-height-relative:page;" filled="f" stroked="t" coordsize="21600,21600" o:gfxdata="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5tkr9cAAAAJAQAADwAAAAAAAAABACAA&#10;AAAiAAAAZHJzL2Rvd25yZXYueG1sUEsBAhQAFAAAAAgAh07iQM41A9nVAQAAmAMAAA4AAAAAAAAA&#10;AQAgAAAAJgEAAGRycy9lMm9Eb2MueG1sUEsFBgAAAAAGAAYAWQEAAG0FAAAAAA==&#10;">
                <v:fill on="f" focussize="0,0"/>
                <v:stroke color="#000000" joinstyle="round"/>
                <v:imagedata o:title=""/>
                <o:lock v:ext="edit" aspectratio="f"/>
              </v:line>
            </w:pict>
          </mc:Fallback>
        </mc:AlternateContent>
      </w:r>
      <w:r>
        <w:rPr>
          <w:rFonts w:cs="宋体" w:asciiTheme="majorEastAsia" w:hAnsiTheme="majorEastAsia" w:eastAsiaTheme="majorEastAsia"/>
          <w:color w:val="auto"/>
          <w:sz w:val="24"/>
          <w:szCs w:val="24"/>
          <w:highlight w:val="none"/>
        </w:rPr>
        <w:t>某投标人价格分＝                            ×2</w:t>
      </w:r>
      <w:r>
        <w:rPr>
          <w:rFonts w:hint="default" w:cs="宋体" w:asciiTheme="majorEastAsia" w:hAnsiTheme="majorEastAsia" w:eastAsiaTheme="majorEastAsia"/>
          <w:color w:val="auto"/>
          <w:sz w:val="24"/>
          <w:szCs w:val="24"/>
          <w:highlight w:val="none"/>
        </w:rPr>
        <w:t>0分</w:t>
      </w:r>
    </w:p>
    <w:p>
      <w:pPr>
        <w:pStyle w:val="15"/>
        <w:snapToGrid w:val="0"/>
        <w:spacing w:line="440" w:lineRule="exact"/>
        <w:ind w:firstLine="464" w:firstLineChars="200"/>
        <w:rPr>
          <w:rFonts w:hint="default" w:cs="宋体" w:asciiTheme="majorEastAsia" w:hAnsiTheme="majorEastAsia" w:eastAsiaTheme="majorEastAsia"/>
          <w:color w:val="auto"/>
          <w:kern w:val="0"/>
          <w:sz w:val="24"/>
          <w:szCs w:val="24"/>
          <w:highlight w:val="none"/>
        </w:rPr>
      </w:pPr>
      <w:r>
        <w:rPr>
          <w:rFonts w:hint="default" w:cs="宋体" w:asciiTheme="majorEastAsia" w:hAnsiTheme="majorEastAsia" w:eastAsiaTheme="majorEastAsia"/>
          <w:color w:val="auto"/>
          <w:sz w:val="24"/>
          <w:szCs w:val="24"/>
          <w:highlight w:val="none"/>
        </w:rPr>
        <w:t xml:space="preserve">                   　      某投标人评标价金额</w:t>
      </w:r>
    </w:p>
    <w:p>
      <w:pPr>
        <w:spacing w:after="0" w:line="384" w:lineRule="auto"/>
        <w:ind w:firstLine="482" w:firstLineChars="200"/>
        <w:rPr>
          <w:rFonts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2、技术分……………………………………………………………………………</w:t>
      </w:r>
      <w:r>
        <w:rPr>
          <w:rFonts w:hint="eastAsia" w:asciiTheme="majorEastAsia" w:hAnsiTheme="majorEastAsia" w:eastAsiaTheme="majorEastAsia"/>
          <w:b/>
          <w:color w:val="auto"/>
          <w:sz w:val="24"/>
          <w:highlight w:val="none"/>
        </w:rPr>
        <w:t>……</w:t>
      </w:r>
      <w:r>
        <w:rPr>
          <w:rFonts w:asciiTheme="majorEastAsia" w:hAnsiTheme="majorEastAsia" w:eastAsiaTheme="majorEastAsia"/>
          <w:b/>
          <w:color w:val="auto"/>
          <w:sz w:val="24"/>
          <w:highlight w:val="none"/>
        </w:rPr>
        <w:t>54</w:t>
      </w:r>
      <w:r>
        <w:rPr>
          <w:rFonts w:hint="eastAsia" w:asciiTheme="majorEastAsia" w:hAnsiTheme="majorEastAsia" w:eastAsiaTheme="majorEastAsia"/>
          <w:b/>
          <w:color w:val="auto"/>
          <w:sz w:val="24"/>
          <w:highlight w:val="none"/>
        </w:rPr>
        <w:t>分</w:t>
      </w:r>
    </w:p>
    <w:p>
      <w:pPr>
        <w:spacing w:after="0" w:line="384" w:lineRule="auto"/>
        <w:ind w:firstLine="482" w:firstLineChars="200"/>
        <w:rPr>
          <w:rFonts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w:t>
      </w:r>
      <w:r>
        <w:rPr>
          <w:rFonts w:ascii="新宋体" w:hAnsi="新宋体" w:eastAsia="新宋体" w:cs="新宋体"/>
          <w:b/>
          <w:bCs/>
          <w:color w:val="auto"/>
          <w:sz w:val="24"/>
          <w:szCs w:val="24"/>
          <w:highlight w:val="none"/>
        </w:rPr>
        <w:t>1）技术方案分（满分24</w:t>
      </w:r>
      <w:r>
        <w:rPr>
          <w:rFonts w:hint="eastAsia" w:ascii="新宋体" w:hAnsi="新宋体" w:eastAsia="新宋体" w:cs="新宋体"/>
          <w:b/>
          <w:bCs/>
          <w:color w:val="auto"/>
          <w:sz w:val="24"/>
          <w:szCs w:val="24"/>
          <w:highlight w:val="none"/>
        </w:rPr>
        <w:t>分，不提供方案或不满足一档不得分。）</w:t>
      </w:r>
    </w:p>
    <w:p>
      <w:pPr>
        <w:spacing w:after="0" w:line="384" w:lineRule="auto"/>
        <w:ind w:firstLine="480" w:firstLineChars="200"/>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一档(5分)：投标人对</w:t>
      </w:r>
      <w:r>
        <w:rPr>
          <w:rFonts w:hint="eastAsia" w:ascii="新宋体" w:hAnsi="新宋体" w:eastAsia="新宋体" w:cs="新宋体"/>
          <w:color w:val="auto"/>
          <w:sz w:val="24"/>
          <w:szCs w:val="24"/>
          <w:highlight w:val="none"/>
        </w:rPr>
        <w:t>项目</w:t>
      </w:r>
      <w:r>
        <w:rPr>
          <w:rFonts w:ascii="新宋体" w:hAnsi="新宋体" w:eastAsia="新宋体" w:cs="新宋体"/>
          <w:color w:val="auto"/>
          <w:sz w:val="24"/>
          <w:szCs w:val="24"/>
          <w:highlight w:val="none"/>
        </w:rPr>
        <w:t>需求理解不全，基本了解业务流程，技术方案简单，基本满足招标需要的。</w:t>
      </w:r>
    </w:p>
    <w:p>
      <w:pPr>
        <w:spacing w:after="0" w:line="384" w:lineRule="auto"/>
        <w:ind w:firstLine="480" w:firstLineChars="200"/>
        <w:rPr>
          <w:color w:val="auto"/>
          <w:highlight w:val="none"/>
        </w:rPr>
      </w:pPr>
      <w:r>
        <w:rPr>
          <w:rFonts w:ascii="新宋体" w:hAnsi="新宋体" w:eastAsia="新宋体" w:cs="新宋体"/>
          <w:color w:val="auto"/>
          <w:sz w:val="24"/>
          <w:szCs w:val="24"/>
          <w:highlight w:val="none"/>
        </w:rPr>
        <w:t>二档（10分）：在一档</w:t>
      </w:r>
      <w:r>
        <w:rPr>
          <w:rFonts w:hint="eastAsia" w:ascii="新宋体" w:hAnsi="新宋体" w:eastAsia="新宋体" w:cs="新宋体"/>
          <w:color w:val="auto"/>
          <w:sz w:val="24"/>
          <w:szCs w:val="24"/>
          <w:highlight w:val="none"/>
        </w:rPr>
        <w:t>的</w:t>
      </w:r>
      <w:r>
        <w:rPr>
          <w:rFonts w:ascii="新宋体" w:hAnsi="新宋体" w:eastAsia="新宋体" w:cs="新宋体"/>
          <w:color w:val="auto"/>
          <w:sz w:val="24"/>
          <w:szCs w:val="24"/>
          <w:highlight w:val="none"/>
        </w:rPr>
        <w:t>基础上，对总体需求基本理解，了解业务流程，技术方案基本可行，功能需求基本覆盖，系统架构可行</w:t>
      </w:r>
      <w:r>
        <w:rPr>
          <w:rFonts w:hint="eastAsia" w:ascii="新宋体" w:hAnsi="新宋体" w:eastAsia="新宋体" w:cs="新宋体"/>
          <w:color w:val="auto"/>
          <w:sz w:val="24"/>
          <w:szCs w:val="24"/>
          <w:highlight w:val="none"/>
        </w:rPr>
        <w:t>的</w:t>
      </w:r>
      <w:r>
        <w:rPr>
          <w:rFonts w:ascii="新宋体" w:hAnsi="新宋体" w:eastAsia="新宋体" w:cs="新宋体"/>
          <w:color w:val="auto"/>
          <w:sz w:val="24"/>
          <w:szCs w:val="24"/>
          <w:highlight w:val="none"/>
        </w:rPr>
        <w:t>。</w:t>
      </w:r>
    </w:p>
    <w:p>
      <w:pPr>
        <w:spacing w:after="0" w:line="384" w:lineRule="auto"/>
        <w:ind w:firstLine="480" w:firstLineChars="20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三档（15</w:t>
      </w:r>
      <w:r>
        <w:rPr>
          <w:rFonts w:ascii="新宋体" w:hAnsi="新宋体" w:eastAsia="新宋体" w:cs="新宋体"/>
          <w:color w:val="auto"/>
          <w:sz w:val="24"/>
          <w:szCs w:val="24"/>
          <w:highlight w:val="none"/>
        </w:rPr>
        <w:t>分）：</w:t>
      </w:r>
      <w:r>
        <w:rPr>
          <w:rFonts w:hint="eastAsia" w:ascii="新宋体" w:hAnsi="新宋体" w:eastAsia="新宋体" w:cs="新宋体"/>
          <w:color w:val="auto"/>
          <w:sz w:val="24"/>
          <w:szCs w:val="24"/>
          <w:highlight w:val="none"/>
        </w:rPr>
        <w:t>在二档的基础上</w:t>
      </w:r>
      <w:r>
        <w:rPr>
          <w:rFonts w:ascii="新宋体" w:hAnsi="新宋体" w:eastAsia="新宋体" w:cs="新宋体"/>
          <w:color w:val="auto"/>
          <w:sz w:val="24"/>
          <w:szCs w:val="24"/>
          <w:highlight w:val="none"/>
        </w:rPr>
        <w:t>投标人提供的技术方案对本项目建设现状把握较好，对项目业务及系统建设相关标准和规范理解到位，对项目建设需求分析详细全面，数据详实，针对性强，对项目建设重点、难点及风险分析透彻准确；</w:t>
      </w:r>
    </w:p>
    <w:p>
      <w:pPr>
        <w:spacing w:after="0" w:line="384" w:lineRule="auto"/>
        <w:ind w:firstLine="480" w:firstLineChars="200"/>
        <w:rPr>
          <w:rFonts w:ascii="新宋体" w:hAnsi="新宋体" w:eastAsia="新宋体" w:cs="新宋体"/>
          <w:b/>
          <w:color w:val="auto"/>
          <w:sz w:val="24"/>
          <w:szCs w:val="24"/>
          <w:highlight w:val="none"/>
        </w:rPr>
      </w:pPr>
      <w:r>
        <w:rPr>
          <w:rFonts w:hint="eastAsia" w:ascii="新宋体" w:hAnsi="新宋体" w:eastAsia="新宋体" w:cs="新宋体"/>
          <w:color w:val="auto"/>
          <w:sz w:val="24"/>
          <w:szCs w:val="24"/>
          <w:highlight w:val="none"/>
        </w:rPr>
        <w:t>四档（20</w:t>
      </w:r>
      <w:r>
        <w:rPr>
          <w:rFonts w:ascii="新宋体" w:hAnsi="新宋体" w:eastAsia="新宋体" w:cs="新宋体"/>
          <w:color w:val="auto"/>
          <w:sz w:val="24"/>
          <w:szCs w:val="24"/>
          <w:highlight w:val="none"/>
        </w:rPr>
        <w:t>分）：在</w:t>
      </w:r>
      <w:r>
        <w:rPr>
          <w:rFonts w:hint="eastAsia" w:ascii="新宋体" w:hAnsi="新宋体" w:eastAsia="新宋体" w:cs="新宋体"/>
          <w:color w:val="auto"/>
          <w:sz w:val="24"/>
          <w:szCs w:val="24"/>
          <w:highlight w:val="none"/>
        </w:rPr>
        <w:t>三</w:t>
      </w:r>
      <w:r>
        <w:rPr>
          <w:rFonts w:ascii="新宋体" w:hAnsi="新宋体" w:eastAsia="新宋体" w:cs="新宋体"/>
          <w:color w:val="auto"/>
          <w:sz w:val="24"/>
          <w:szCs w:val="24"/>
          <w:highlight w:val="none"/>
        </w:rPr>
        <w:t>档的基础上，投标人提供的项目技术方案详细描述了项目建设目标、建设内容、系统总体建设架构设计、及各业务功能系统的需求分析，完全符合项目建设要求。且项目小组成员有详细的介绍，项目小组成员配置须达到最低要求：拟投入人员至少配置高级需求分析师、CPDA数据分析师各1人</w:t>
      </w:r>
      <w:r>
        <w:rPr>
          <w:rFonts w:hint="eastAsia" w:ascii="新宋体" w:hAnsi="新宋体" w:eastAsia="新宋体" w:cs="新宋体"/>
          <w:b/>
          <w:color w:val="auto"/>
          <w:sz w:val="24"/>
          <w:szCs w:val="24"/>
          <w:highlight w:val="none"/>
        </w:rPr>
        <w:t>（须提供相关证明文件及投标人最近半年内为其连续缴纳</w:t>
      </w:r>
      <w:r>
        <w:rPr>
          <w:rFonts w:ascii="新宋体" w:hAnsi="新宋体" w:eastAsia="新宋体" w:cs="新宋体"/>
          <w:b/>
          <w:color w:val="auto"/>
          <w:sz w:val="24"/>
          <w:szCs w:val="24"/>
          <w:highlight w:val="none"/>
        </w:rPr>
        <w:t>3个月及以上的社保证明清楚复印件）；</w:t>
      </w:r>
    </w:p>
    <w:p>
      <w:pPr>
        <w:spacing w:after="0" w:line="384" w:lineRule="auto"/>
        <w:ind w:firstLine="480" w:firstLineChars="200"/>
        <w:rPr>
          <w:rFonts w:ascii="新宋体" w:hAnsi="新宋体" w:eastAsia="新宋体" w:cs="新宋体"/>
          <w:b/>
          <w:color w:val="auto"/>
          <w:sz w:val="24"/>
          <w:szCs w:val="24"/>
          <w:highlight w:val="none"/>
        </w:rPr>
      </w:pPr>
      <w:r>
        <w:rPr>
          <w:rFonts w:hint="eastAsia" w:ascii="新宋体" w:hAnsi="新宋体" w:eastAsia="新宋体" w:cs="新宋体"/>
          <w:color w:val="auto"/>
          <w:sz w:val="24"/>
          <w:szCs w:val="24"/>
          <w:highlight w:val="none"/>
        </w:rPr>
        <w:t>五档（</w:t>
      </w:r>
      <w:r>
        <w:rPr>
          <w:rFonts w:ascii="新宋体" w:hAnsi="新宋体" w:eastAsia="新宋体" w:cs="新宋体"/>
          <w:color w:val="auto"/>
          <w:sz w:val="24"/>
          <w:szCs w:val="24"/>
          <w:highlight w:val="none"/>
        </w:rPr>
        <w:t>24分）：在</w:t>
      </w:r>
      <w:r>
        <w:rPr>
          <w:rFonts w:hint="eastAsia" w:ascii="新宋体" w:hAnsi="新宋体" w:eastAsia="新宋体" w:cs="新宋体"/>
          <w:color w:val="auto"/>
          <w:sz w:val="24"/>
          <w:szCs w:val="24"/>
          <w:highlight w:val="none"/>
        </w:rPr>
        <w:t>四</w:t>
      </w:r>
      <w:r>
        <w:rPr>
          <w:rFonts w:ascii="新宋体" w:hAnsi="新宋体" w:eastAsia="新宋体" w:cs="新宋体"/>
          <w:color w:val="auto"/>
          <w:sz w:val="24"/>
          <w:szCs w:val="24"/>
          <w:highlight w:val="none"/>
        </w:rPr>
        <w:t>档要求的基础上，投标人提供应用系统的详细的设计方案、详细的接口数据说明，方案完全符合项目建设要求，方案详细全面、先进性及可操作性强，各项功能完整齐全、针对性强的。且项目小组成员有详细的介绍，项目小组成员配置须达到最低要求：拟投入人员至少配备高级需求分析师、CPDA数据分析师、高级数据库管理工程师、数据库系统工程师各1人</w:t>
      </w:r>
      <w:r>
        <w:rPr>
          <w:rFonts w:hint="eastAsia" w:ascii="新宋体" w:hAnsi="新宋体" w:eastAsia="新宋体" w:cs="新宋体"/>
          <w:b/>
          <w:color w:val="auto"/>
          <w:sz w:val="24"/>
          <w:szCs w:val="24"/>
          <w:highlight w:val="none"/>
        </w:rPr>
        <w:t>（须提供相关证明文件及投标人最近半年内为其连续缴纳</w:t>
      </w:r>
      <w:r>
        <w:rPr>
          <w:rFonts w:ascii="新宋体" w:hAnsi="新宋体" w:eastAsia="新宋体" w:cs="新宋体"/>
          <w:b/>
          <w:color w:val="auto"/>
          <w:sz w:val="24"/>
          <w:szCs w:val="24"/>
          <w:highlight w:val="none"/>
        </w:rPr>
        <w:t>3个月及以上的社保证明清楚复印件）。</w:t>
      </w:r>
    </w:p>
    <w:p>
      <w:pPr>
        <w:spacing w:after="0" w:line="384" w:lineRule="auto"/>
        <w:ind w:firstLine="482" w:firstLineChars="200"/>
        <w:rPr>
          <w:rFonts w:ascii="新宋体" w:hAnsi="新宋体" w:eastAsia="新宋体" w:cs="新宋体"/>
          <w:bCs/>
          <w:color w:val="auto"/>
          <w:sz w:val="24"/>
          <w:szCs w:val="24"/>
          <w:highlight w:val="none"/>
        </w:rPr>
      </w:pPr>
      <w:r>
        <w:rPr>
          <w:rFonts w:hint="eastAsia" w:ascii="新宋体" w:hAnsi="新宋体" w:eastAsia="新宋体" w:cs="新宋体"/>
          <w:b/>
          <w:bCs/>
          <w:color w:val="auto"/>
          <w:sz w:val="24"/>
          <w:szCs w:val="24"/>
          <w:highlight w:val="none"/>
        </w:rPr>
        <w:t>（2</w:t>
      </w:r>
      <w:r>
        <w:rPr>
          <w:rFonts w:ascii="新宋体" w:hAnsi="新宋体" w:eastAsia="新宋体" w:cs="新宋体"/>
          <w:b/>
          <w:bCs/>
          <w:color w:val="auto"/>
          <w:sz w:val="24"/>
          <w:szCs w:val="24"/>
          <w:highlight w:val="none"/>
        </w:rPr>
        <w:t>）实施方案分：（满分15</w:t>
      </w:r>
      <w:r>
        <w:rPr>
          <w:rFonts w:hint="eastAsia" w:ascii="新宋体" w:hAnsi="新宋体" w:eastAsia="新宋体" w:cs="新宋体"/>
          <w:b/>
          <w:bCs/>
          <w:color w:val="auto"/>
          <w:sz w:val="24"/>
          <w:szCs w:val="24"/>
          <w:highlight w:val="none"/>
        </w:rPr>
        <w:t>分，不提供方案或不满足一档不得分。）</w:t>
      </w:r>
    </w:p>
    <w:p>
      <w:pPr>
        <w:spacing w:after="0" w:line="384" w:lineRule="auto"/>
        <w:ind w:firstLine="480" w:firstLineChars="200"/>
        <w:rPr>
          <w:rFonts w:ascii="新宋体" w:hAnsi="新宋体" w:eastAsia="新宋体" w:cs="新宋体"/>
          <w:color w:val="auto"/>
          <w:sz w:val="24"/>
          <w:szCs w:val="24"/>
          <w:highlight w:val="none"/>
        </w:rPr>
      </w:pPr>
      <w:bookmarkStart w:id="19" w:name="_Hlk25420454"/>
      <w:r>
        <w:rPr>
          <w:rFonts w:hint="eastAsia" w:ascii="新宋体" w:hAnsi="新宋体" w:eastAsia="新宋体" w:cs="新宋体"/>
          <w:color w:val="auto"/>
          <w:sz w:val="24"/>
          <w:szCs w:val="24"/>
          <w:highlight w:val="none"/>
        </w:rPr>
        <w:t>一档（4分）：提供较简单的实施方案的，基本满足招标需要的；</w:t>
      </w:r>
    </w:p>
    <w:p>
      <w:pPr>
        <w:spacing w:after="0" w:line="384" w:lineRule="auto"/>
        <w:ind w:firstLine="480" w:firstLineChars="200"/>
        <w:rPr>
          <w:rFonts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二档（8分）：提供比较详细的软件实施方案，方案中对系统建设的软件部署、项目计划、功能方面测试方案、试运行方案、培训方案及验收方案等有具体描述的；</w:t>
      </w:r>
    </w:p>
    <w:p>
      <w:pPr>
        <w:spacing w:after="0" w:line="384" w:lineRule="auto"/>
        <w:ind w:firstLine="480" w:firstLineChars="200"/>
        <w:rPr>
          <w:rFonts w:ascii="新宋体" w:hAnsi="新宋体" w:eastAsia="新宋体" w:cs="新宋体"/>
          <w:b/>
          <w:color w:val="auto"/>
          <w:sz w:val="24"/>
          <w:szCs w:val="24"/>
          <w:highlight w:val="none"/>
        </w:rPr>
      </w:pPr>
      <w:r>
        <w:rPr>
          <w:rFonts w:hint="eastAsia" w:ascii="新宋体" w:hAnsi="新宋体" w:eastAsia="新宋体" w:cs="新宋体"/>
          <w:color w:val="auto"/>
          <w:sz w:val="24"/>
          <w:szCs w:val="24"/>
          <w:highlight w:val="none"/>
        </w:rPr>
        <w:t>三档（12分）：提供详细的软件实施方案</w:t>
      </w:r>
      <w:r>
        <w:rPr>
          <w:rFonts w:ascii="新宋体" w:hAnsi="新宋体" w:eastAsia="新宋体" w:cs="新宋体"/>
          <w:color w:val="auto"/>
          <w:sz w:val="24"/>
          <w:szCs w:val="24"/>
          <w:highlight w:val="none"/>
        </w:rPr>
        <w:t xml:space="preserve">,方案中系统建设的软件部署、项目计划、功能方面测试方案、试运行方案、及验收方案，内容可行、较为详细。提供的进度计划和工期保证措施较好，有质量保证措施、风险管理措施。 </w:t>
      </w:r>
      <w:r>
        <w:rPr>
          <w:rFonts w:hint="eastAsia" w:ascii="新宋体" w:hAnsi="新宋体" w:eastAsia="新宋体" w:cs="新宋体"/>
          <w:color w:val="auto"/>
          <w:sz w:val="24"/>
          <w:szCs w:val="24"/>
          <w:highlight w:val="none"/>
        </w:rPr>
        <w:t>拟投入人员至少配置</w:t>
      </w:r>
      <w:r>
        <w:rPr>
          <w:rFonts w:ascii="新宋体" w:hAnsi="新宋体" w:eastAsia="新宋体" w:cs="新宋体"/>
          <w:color w:val="auto"/>
          <w:sz w:val="24"/>
          <w:szCs w:val="24"/>
          <w:highlight w:val="none"/>
        </w:rPr>
        <w:t>PMP项目管理</w:t>
      </w:r>
      <w:r>
        <w:rPr>
          <w:rFonts w:hint="eastAsia" w:ascii="新宋体" w:hAnsi="新宋体" w:eastAsia="新宋体" w:cs="新宋体"/>
          <w:color w:val="auto"/>
          <w:sz w:val="24"/>
          <w:szCs w:val="24"/>
          <w:highlight w:val="none"/>
        </w:rPr>
        <w:t>师</w:t>
      </w:r>
      <w:r>
        <w:rPr>
          <w:rFonts w:hint="eastAsia" w:ascii="新宋体" w:hAnsi="新宋体" w:eastAsia="新宋体" w:cs="新宋体"/>
          <w:b/>
          <w:color w:val="auto"/>
          <w:sz w:val="24"/>
          <w:szCs w:val="24"/>
          <w:highlight w:val="none"/>
        </w:rPr>
        <w:t>（须提供项目管理专业人员资格认证证书及为其连续缴纳不少于</w:t>
      </w:r>
      <w:r>
        <w:rPr>
          <w:rFonts w:ascii="新宋体" w:hAnsi="新宋体" w:eastAsia="新宋体" w:cs="新宋体"/>
          <w:b/>
          <w:color w:val="auto"/>
          <w:sz w:val="24"/>
          <w:szCs w:val="24"/>
          <w:highlight w:val="none"/>
        </w:rPr>
        <w:t>3个月社保的证明复印件）。</w:t>
      </w:r>
    </w:p>
    <w:p>
      <w:pPr>
        <w:spacing w:after="0" w:line="384" w:lineRule="auto"/>
        <w:ind w:firstLine="480" w:firstLineChars="200"/>
        <w:rPr>
          <w:rFonts w:ascii="新宋体" w:hAnsi="新宋体" w:eastAsia="新宋体" w:cs="新宋体"/>
          <w:b/>
          <w:color w:val="auto"/>
          <w:sz w:val="24"/>
          <w:szCs w:val="24"/>
          <w:highlight w:val="none"/>
        </w:rPr>
      </w:pPr>
      <w:r>
        <w:rPr>
          <w:rFonts w:hint="eastAsia" w:ascii="新宋体" w:hAnsi="新宋体" w:eastAsia="新宋体" w:cs="新宋体"/>
          <w:color w:val="auto"/>
          <w:sz w:val="24"/>
          <w:szCs w:val="24"/>
          <w:highlight w:val="none"/>
        </w:rPr>
        <w:t>四档（</w:t>
      </w:r>
      <w:r>
        <w:rPr>
          <w:rFonts w:ascii="新宋体" w:hAnsi="新宋体" w:eastAsia="新宋体" w:cs="新宋体"/>
          <w:color w:val="auto"/>
          <w:sz w:val="24"/>
          <w:szCs w:val="24"/>
          <w:highlight w:val="none"/>
        </w:rPr>
        <w:t>15</w:t>
      </w:r>
      <w:r>
        <w:rPr>
          <w:rFonts w:hint="eastAsia" w:ascii="新宋体" w:hAnsi="新宋体" w:eastAsia="新宋体" w:cs="新宋体"/>
          <w:color w:val="auto"/>
          <w:sz w:val="24"/>
          <w:szCs w:val="24"/>
          <w:highlight w:val="none"/>
        </w:rPr>
        <w:t>分）：在满足二档要求的基础上，方案中有对现有的信息化情况进行详细的描述与分析，方案中有业务量分析，项目风险分析、项目效益分析，系统建设的部署、项目计划、试运行方案、系统软硬件部署方案、系统安全设计方案及验收方案，内容可行、详细，具有合理性、科学性、针对性，有进度计划和工期保证措施及赶工措施、实施安全保障措施、质量保证措施、风险管理体系。</w:t>
      </w:r>
      <w:bookmarkEnd w:id="19"/>
      <w:r>
        <w:rPr>
          <w:rFonts w:hint="eastAsia" w:ascii="新宋体" w:hAnsi="新宋体" w:eastAsia="新宋体" w:cs="新宋体"/>
          <w:color w:val="auto"/>
          <w:sz w:val="24"/>
          <w:szCs w:val="24"/>
          <w:highlight w:val="none"/>
        </w:rPr>
        <w:t>拟投入人员至少配置</w:t>
      </w:r>
      <w:r>
        <w:rPr>
          <w:rFonts w:ascii="新宋体" w:hAnsi="新宋体" w:eastAsia="新宋体" w:cs="新宋体"/>
          <w:color w:val="auto"/>
          <w:sz w:val="24"/>
          <w:szCs w:val="24"/>
          <w:highlight w:val="none"/>
        </w:rPr>
        <w:t>PMP项目管理</w:t>
      </w:r>
      <w:r>
        <w:rPr>
          <w:rFonts w:hint="eastAsia" w:ascii="新宋体" w:hAnsi="新宋体" w:eastAsia="新宋体" w:cs="新宋体"/>
          <w:color w:val="auto"/>
          <w:sz w:val="24"/>
          <w:szCs w:val="24"/>
          <w:highlight w:val="none"/>
        </w:rPr>
        <w:t>师、软件评测师各</w:t>
      </w:r>
      <w:r>
        <w:rPr>
          <w:rFonts w:ascii="新宋体" w:hAnsi="新宋体" w:eastAsia="新宋体" w:cs="新宋体"/>
          <w:color w:val="auto"/>
          <w:sz w:val="24"/>
          <w:szCs w:val="24"/>
          <w:highlight w:val="none"/>
        </w:rPr>
        <w:t>1人</w:t>
      </w:r>
      <w:r>
        <w:rPr>
          <w:rFonts w:hint="eastAsia" w:ascii="新宋体" w:hAnsi="新宋体" w:eastAsia="新宋体" w:cs="新宋体"/>
          <w:b/>
          <w:color w:val="auto"/>
          <w:sz w:val="24"/>
          <w:szCs w:val="24"/>
          <w:highlight w:val="none"/>
        </w:rPr>
        <w:t>（须提供项目管理专业人员资格认证证书复印件及投标人最近半年内为其连续缴纳不少于</w:t>
      </w:r>
      <w:r>
        <w:rPr>
          <w:rFonts w:ascii="新宋体" w:hAnsi="新宋体" w:eastAsia="新宋体" w:cs="新宋体"/>
          <w:b/>
          <w:color w:val="auto"/>
          <w:sz w:val="24"/>
          <w:szCs w:val="24"/>
          <w:highlight w:val="none"/>
        </w:rPr>
        <w:t>3个月社保的证明复印件）。</w:t>
      </w:r>
    </w:p>
    <w:p>
      <w:pPr>
        <w:spacing w:after="0" w:line="384" w:lineRule="auto"/>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（3）售后服务分（满分15分</w:t>
      </w:r>
      <w:r>
        <w:rPr>
          <w:rFonts w:hint="eastAsia" w:ascii="新宋体" w:hAnsi="新宋体" w:eastAsia="新宋体" w:cs="新宋体"/>
          <w:b/>
          <w:bCs/>
          <w:color w:val="auto"/>
          <w:sz w:val="24"/>
          <w:szCs w:val="24"/>
          <w:highlight w:val="none"/>
        </w:rPr>
        <w:t>，不满足一档不得分。</w:t>
      </w:r>
      <w:r>
        <w:rPr>
          <w:rFonts w:hint="eastAsia" w:ascii="宋体" w:hAnsi="宋体" w:eastAsia="宋体"/>
          <w:b/>
          <w:color w:val="auto"/>
          <w:sz w:val="24"/>
          <w:szCs w:val="24"/>
          <w:highlight w:val="none"/>
        </w:rPr>
        <w:t>）</w:t>
      </w:r>
    </w:p>
    <w:p>
      <w:pPr>
        <w:spacing w:after="0" w:line="384"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一档（</w:t>
      </w:r>
      <w:r>
        <w:rPr>
          <w:rFonts w:ascii="宋体" w:hAnsi="宋体" w:eastAsia="宋体"/>
          <w:bCs/>
          <w:color w:val="auto"/>
          <w:sz w:val="24"/>
          <w:szCs w:val="24"/>
          <w:highlight w:val="none"/>
        </w:rPr>
        <w:t>4分）：仅满足招标文件要求的；</w:t>
      </w:r>
      <w:r>
        <w:rPr>
          <w:rFonts w:hint="eastAsia" w:ascii="宋体" w:hAnsi="宋体" w:eastAsia="宋体"/>
          <w:bCs/>
          <w:color w:val="auto"/>
          <w:sz w:val="24"/>
          <w:szCs w:val="24"/>
          <w:highlight w:val="none"/>
        </w:rPr>
        <w:t>有较简单的售后服务方案，并承诺系统故障维修恢复正常使用时间不超过</w:t>
      </w:r>
      <w:r>
        <w:rPr>
          <w:rFonts w:ascii="宋体" w:hAnsi="宋体" w:eastAsia="宋体"/>
          <w:bCs/>
          <w:color w:val="auto"/>
          <w:sz w:val="24"/>
          <w:szCs w:val="24"/>
          <w:highlight w:val="none"/>
        </w:rPr>
        <w:t>4</w:t>
      </w:r>
      <w:r>
        <w:rPr>
          <w:rFonts w:hint="eastAsia" w:ascii="宋体" w:hAnsi="宋体" w:eastAsia="宋体"/>
          <w:bCs/>
          <w:color w:val="auto"/>
          <w:sz w:val="24"/>
          <w:szCs w:val="24"/>
          <w:highlight w:val="none"/>
        </w:rPr>
        <w:t>天；</w:t>
      </w:r>
      <w:r>
        <w:rPr>
          <w:rFonts w:ascii="宋体" w:hAnsi="宋体" w:eastAsia="宋体"/>
          <w:bCs/>
          <w:color w:val="auto"/>
          <w:sz w:val="24"/>
          <w:szCs w:val="24"/>
          <w:highlight w:val="none"/>
        </w:rPr>
        <w:t>拟投入本项目的维护人员不少于5人（提供投标人</w:t>
      </w:r>
      <w:r>
        <w:rPr>
          <w:rFonts w:hint="eastAsia" w:ascii="新宋体" w:hAnsi="新宋体" w:eastAsia="新宋体" w:cs="新宋体"/>
          <w:bCs/>
          <w:color w:val="auto"/>
          <w:sz w:val="24"/>
          <w:szCs w:val="24"/>
          <w:highlight w:val="none"/>
        </w:rPr>
        <w:t>最近</w:t>
      </w:r>
      <w:r>
        <w:rPr>
          <w:rFonts w:hint="eastAsia" w:ascii="宋体" w:hAnsi="宋体" w:eastAsia="宋体" w:cs="宋体"/>
          <w:bCs/>
          <w:color w:val="auto"/>
          <w:sz w:val="24"/>
          <w:szCs w:val="24"/>
          <w:highlight w:val="none"/>
        </w:rPr>
        <w:t>半年内</w:t>
      </w:r>
      <w:r>
        <w:rPr>
          <w:rFonts w:ascii="宋体" w:hAnsi="宋体" w:eastAsia="宋体"/>
          <w:bCs/>
          <w:color w:val="auto"/>
          <w:sz w:val="24"/>
          <w:szCs w:val="24"/>
          <w:highlight w:val="none"/>
        </w:rPr>
        <w:t>为其缴纳连续三个月社保</w:t>
      </w:r>
      <w:r>
        <w:rPr>
          <w:rFonts w:hint="eastAsia" w:ascii="宋体" w:hAnsi="宋体" w:eastAsia="宋体"/>
          <w:bCs/>
          <w:color w:val="auto"/>
          <w:sz w:val="24"/>
          <w:szCs w:val="24"/>
          <w:highlight w:val="none"/>
        </w:rPr>
        <w:t>的</w:t>
      </w:r>
      <w:r>
        <w:rPr>
          <w:rFonts w:ascii="宋体" w:hAnsi="宋体" w:eastAsia="宋体"/>
          <w:bCs/>
          <w:color w:val="auto"/>
          <w:sz w:val="24"/>
          <w:szCs w:val="24"/>
          <w:highlight w:val="none"/>
        </w:rPr>
        <w:t>证明材料复印件，原件备查），能提供快速的售后服务响应，并提供售后服务联系人姓名、电话、详细地址等信息。</w:t>
      </w:r>
    </w:p>
    <w:p>
      <w:pPr>
        <w:spacing w:after="0" w:line="384" w:lineRule="auto"/>
        <w:ind w:firstLine="480" w:firstLineChars="200"/>
        <w:rPr>
          <w:rFonts w:ascii="宋体" w:hAnsi="宋体"/>
          <w:bCs/>
          <w:color w:val="auto"/>
          <w:sz w:val="24"/>
          <w:highlight w:val="none"/>
        </w:rPr>
      </w:pPr>
      <w:r>
        <w:rPr>
          <w:rFonts w:hint="eastAsia" w:ascii="宋体" w:hAnsi="宋体" w:eastAsia="宋体"/>
          <w:bCs/>
          <w:color w:val="auto"/>
          <w:sz w:val="24"/>
          <w:szCs w:val="24"/>
          <w:highlight w:val="none"/>
        </w:rPr>
        <w:t>二档（</w:t>
      </w:r>
      <w:r>
        <w:rPr>
          <w:rFonts w:ascii="宋体" w:hAnsi="宋体" w:eastAsia="宋体"/>
          <w:bCs/>
          <w:color w:val="auto"/>
          <w:sz w:val="24"/>
          <w:szCs w:val="24"/>
          <w:highlight w:val="none"/>
        </w:rPr>
        <w:t>8分）：</w:t>
      </w:r>
      <w:r>
        <w:rPr>
          <w:rFonts w:hint="eastAsia" w:ascii="宋体" w:hAnsi="宋体" w:eastAsia="宋体"/>
          <w:bCs/>
          <w:color w:val="auto"/>
          <w:sz w:val="24"/>
          <w:szCs w:val="24"/>
          <w:highlight w:val="none"/>
        </w:rPr>
        <w:t>有较详细的</w:t>
      </w:r>
      <w:r>
        <w:rPr>
          <w:rFonts w:ascii="宋体" w:hAnsi="宋体" w:eastAsia="宋体"/>
          <w:bCs/>
          <w:color w:val="auto"/>
          <w:sz w:val="24"/>
          <w:szCs w:val="24"/>
          <w:highlight w:val="none"/>
        </w:rPr>
        <w:t>售后服务方案</w:t>
      </w:r>
      <w:r>
        <w:rPr>
          <w:rFonts w:hint="eastAsia" w:ascii="宋体" w:hAnsi="宋体" w:eastAsia="宋体"/>
          <w:bCs/>
          <w:color w:val="auto"/>
          <w:sz w:val="24"/>
          <w:szCs w:val="24"/>
          <w:highlight w:val="none"/>
        </w:rPr>
        <w:t>、</w:t>
      </w:r>
      <w:r>
        <w:rPr>
          <w:rFonts w:ascii="宋体" w:hAnsi="宋体" w:eastAsia="宋体"/>
          <w:bCs/>
          <w:color w:val="auto"/>
          <w:sz w:val="24"/>
          <w:szCs w:val="24"/>
          <w:highlight w:val="none"/>
        </w:rPr>
        <w:t>培训方案</w:t>
      </w:r>
      <w:r>
        <w:rPr>
          <w:rFonts w:hint="eastAsia" w:ascii="宋体" w:hAnsi="宋体" w:eastAsia="宋体"/>
          <w:bCs/>
          <w:color w:val="auto"/>
          <w:sz w:val="24"/>
          <w:szCs w:val="24"/>
          <w:highlight w:val="none"/>
        </w:rPr>
        <w:t>，</w:t>
      </w:r>
      <w:r>
        <w:rPr>
          <w:rFonts w:ascii="宋体" w:hAnsi="宋体" w:eastAsia="宋体"/>
          <w:bCs/>
          <w:color w:val="auto"/>
          <w:sz w:val="24"/>
          <w:szCs w:val="24"/>
          <w:highlight w:val="none"/>
        </w:rPr>
        <w:t>并承诺</w:t>
      </w:r>
      <w:r>
        <w:rPr>
          <w:rFonts w:hint="eastAsia" w:ascii="宋体" w:hAnsi="宋体" w:eastAsia="宋体"/>
          <w:bCs/>
          <w:color w:val="auto"/>
          <w:sz w:val="24"/>
          <w:szCs w:val="24"/>
          <w:highlight w:val="none"/>
        </w:rPr>
        <w:t>系统故障维修恢复正常使用时间不超过</w:t>
      </w:r>
      <w:r>
        <w:rPr>
          <w:rFonts w:ascii="宋体" w:hAnsi="宋体" w:eastAsia="宋体"/>
          <w:bCs/>
          <w:color w:val="auto"/>
          <w:sz w:val="24"/>
          <w:szCs w:val="24"/>
          <w:highlight w:val="none"/>
        </w:rPr>
        <w:t>3</w:t>
      </w:r>
      <w:r>
        <w:rPr>
          <w:rFonts w:hint="eastAsia" w:ascii="宋体" w:hAnsi="宋体" w:eastAsia="宋体"/>
          <w:bCs/>
          <w:color w:val="auto"/>
          <w:sz w:val="24"/>
          <w:szCs w:val="24"/>
          <w:highlight w:val="none"/>
        </w:rPr>
        <w:t>天</w:t>
      </w:r>
      <w:r>
        <w:rPr>
          <w:rFonts w:ascii="宋体" w:hAnsi="宋体" w:eastAsia="宋体"/>
          <w:bCs/>
          <w:color w:val="auto"/>
          <w:sz w:val="24"/>
          <w:szCs w:val="24"/>
          <w:highlight w:val="none"/>
        </w:rPr>
        <w:t>；拟投入本项目的维护人员不少于10人（提供投标人</w:t>
      </w:r>
      <w:r>
        <w:rPr>
          <w:rFonts w:hint="eastAsia" w:ascii="宋体" w:hAnsi="宋体" w:eastAsia="宋体" w:cs="新宋体"/>
          <w:bCs/>
          <w:color w:val="auto"/>
          <w:sz w:val="24"/>
          <w:szCs w:val="24"/>
          <w:highlight w:val="none"/>
        </w:rPr>
        <w:t>最近半年内</w:t>
      </w:r>
      <w:r>
        <w:rPr>
          <w:rFonts w:ascii="宋体" w:hAnsi="宋体" w:eastAsia="宋体"/>
          <w:bCs/>
          <w:color w:val="auto"/>
          <w:sz w:val="24"/>
          <w:szCs w:val="24"/>
          <w:highlight w:val="none"/>
        </w:rPr>
        <w:t>为其缴纳连续三个月社保</w:t>
      </w:r>
      <w:r>
        <w:rPr>
          <w:rFonts w:hint="eastAsia" w:ascii="宋体" w:hAnsi="宋体" w:eastAsia="宋体"/>
          <w:bCs/>
          <w:color w:val="auto"/>
          <w:sz w:val="24"/>
          <w:szCs w:val="24"/>
          <w:highlight w:val="none"/>
        </w:rPr>
        <w:t>的</w:t>
      </w:r>
      <w:r>
        <w:rPr>
          <w:rFonts w:ascii="宋体" w:hAnsi="宋体" w:eastAsia="宋体"/>
          <w:bCs/>
          <w:color w:val="auto"/>
          <w:sz w:val="24"/>
          <w:szCs w:val="24"/>
          <w:highlight w:val="none"/>
        </w:rPr>
        <w:t>证明材料复印件，原件备查），能提供快速的售后服务响应，并提供售后服务联系人姓名、电话、详细地址等信息。</w:t>
      </w:r>
    </w:p>
    <w:p>
      <w:pPr>
        <w:spacing w:after="0" w:line="384"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三档（</w:t>
      </w:r>
      <w:r>
        <w:rPr>
          <w:rFonts w:ascii="宋体" w:hAnsi="宋体" w:eastAsia="宋体"/>
          <w:bCs/>
          <w:color w:val="auto"/>
          <w:sz w:val="24"/>
          <w:szCs w:val="24"/>
          <w:highlight w:val="none"/>
        </w:rPr>
        <w:t>10分）：</w:t>
      </w:r>
      <w:r>
        <w:rPr>
          <w:rFonts w:hint="eastAsia" w:ascii="宋体" w:hAnsi="宋体" w:eastAsia="宋体"/>
          <w:bCs/>
          <w:color w:val="auto"/>
          <w:sz w:val="24"/>
          <w:szCs w:val="24"/>
          <w:highlight w:val="none"/>
        </w:rPr>
        <w:t>提供具体</w:t>
      </w:r>
      <w:r>
        <w:rPr>
          <w:rFonts w:ascii="宋体" w:hAnsi="宋体" w:eastAsia="宋体"/>
          <w:bCs/>
          <w:color w:val="auto"/>
          <w:sz w:val="24"/>
          <w:szCs w:val="24"/>
          <w:highlight w:val="none"/>
        </w:rPr>
        <w:t>的售后服务方案</w:t>
      </w:r>
      <w:r>
        <w:rPr>
          <w:rFonts w:hint="eastAsia" w:ascii="宋体" w:hAnsi="宋体" w:eastAsia="宋体"/>
          <w:bCs/>
          <w:color w:val="auto"/>
          <w:sz w:val="24"/>
          <w:szCs w:val="24"/>
          <w:highlight w:val="none"/>
        </w:rPr>
        <w:t>、</w:t>
      </w:r>
      <w:r>
        <w:rPr>
          <w:rFonts w:ascii="宋体" w:hAnsi="宋体" w:eastAsia="宋体"/>
          <w:bCs/>
          <w:color w:val="auto"/>
          <w:sz w:val="24"/>
          <w:szCs w:val="24"/>
          <w:highlight w:val="none"/>
        </w:rPr>
        <w:t>培训方案，有详细的售后服务流程、响应时间及质保期，针对本项目提供专门的售后服务支持，能提供快速的售后服务响应，并承诺</w:t>
      </w:r>
      <w:r>
        <w:rPr>
          <w:rFonts w:hint="eastAsia" w:ascii="宋体" w:hAnsi="宋体" w:eastAsia="宋体"/>
          <w:bCs/>
          <w:color w:val="auto"/>
          <w:sz w:val="24"/>
          <w:szCs w:val="24"/>
          <w:highlight w:val="none"/>
        </w:rPr>
        <w:t>系统故障维修恢复正常使用时间不超过</w:t>
      </w:r>
      <w:r>
        <w:rPr>
          <w:rFonts w:ascii="宋体" w:hAnsi="宋体" w:eastAsia="宋体"/>
          <w:bCs/>
          <w:color w:val="auto"/>
          <w:sz w:val="24"/>
          <w:szCs w:val="24"/>
          <w:highlight w:val="none"/>
        </w:rPr>
        <w:t>2天；拟投入本项目的维护人员不少于15人（提供投标人</w:t>
      </w:r>
      <w:r>
        <w:rPr>
          <w:rFonts w:hint="eastAsia" w:ascii="新宋体" w:hAnsi="新宋体" w:eastAsia="新宋体" w:cs="新宋体"/>
          <w:bCs/>
          <w:color w:val="auto"/>
          <w:sz w:val="24"/>
          <w:szCs w:val="24"/>
          <w:highlight w:val="none"/>
        </w:rPr>
        <w:t>最近半年内</w:t>
      </w:r>
      <w:r>
        <w:rPr>
          <w:rFonts w:ascii="宋体" w:hAnsi="宋体" w:eastAsia="宋体"/>
          <w:bCs/>
          <w:color w:val="auto"/>
          <w:sz w:val="24"/>
          <w:szCs w:val="24"/>
          <w:highlight w:val="none"/>
        </w:rPr>
        <w:t>为其连续三个月缴纳社保的证明材料复印件，原件备查），并提供售后服务联系人姓名、电话、详细地址等信息。</w:t>
      </w:r>
    </w:p>
    <w:p>
      <w:pPr>
        <w:spacing w:after="0" w:line="384"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rPr>
        <w:t>四档（</w:t>
      </w:r>
      <w:r>
        <w:rPr>
          <w:rFonts w:ascii="宋体" w:hAnsi="宋体" w:eastAsia="宋体"/>
          <w:bCs/>
          <w:color w:val="auto"/>
          <w:sz w:val="24"/>
          <w:szCs w:val="24"/>
          <w:highlight w:val="none"/>
        </w:rPr>
        <w:t>15分）：满足</w:t>
      </w:r>
      <w:r>
        <w:rPr>
          <w:rFonts w:hint="eastAsia" w:ascii="宋体" w:hAnsi="宋体" w:eastAsia="宋体"/>
          <w:bCs/>
          <w:color w:val="auto"/>
          <w:sz w:val="24"/>
          <w:szCs w:val="24"/>
          <w:highlight w:val="none"/>
        </w:rPr>
        <w:t>三</w:t>
      </w:r>
      <w:r>
        <w:rPr>
          <w:rFonts w:ascii="宋体" w:hAnsi="宋体" w:eastAsia="宋体"/>
          <w:bCs/>
          <w:color w:val="auto"/>
          <w:sz w:val="24"/>
          <w:szCs w:val="24"/>
          <w:highlight w:val="none"/>
        </w:rPr>
        <w:t>档要求，同时提供免费保修期外维修方案，及建立有专属备件库（提供相关证明文件），并承诺</w:t>
      </w:r>
      <w:r>
        <w:rPr>
          <w:rFonts w:hint="eastAsia" w:ascii="宋体" w:hAnsi="宋体" w:eastAsia="宋体"/>
          <w:bCs/>
          <w:color w:val="auto"/>
          <w:sz w:val="24"/>
          <w:szCs w:val="24"/>
          <w:highlight w:val="none"/>
        </w:rPr>
        <w:t>系统</w:t>
      </w:r>
      <w:r>
        <w:rPr>
          <w:rFonts w:ascii="宋体" w:hAnsi="宋体" w:eastAsia="宋体"/>
          <w:bCs/>
          <w:color w:val="auto"/>
          <w:sz w:val="24"/>
          <w:szCs w:val="24"/>
          <w:highlight w:val="none"/>
        </w:rPr>
        <w:t>在6个月内因质量问题发生故障无条件免费</w:t>
      </w:r>
      <w:r>
        <w:rPr>
          <w:rFonts w:hint="eastAsia" w:ascii="宋体" w:hAnsi="宋体" w:eastAsia="宋体"/>
          <w:bCs/>
          <w:color w:val="auto"/>
          <w:sz w:val="24"/>
          <w:szCs w:val="24"/>
          <w:highlight w:val="none"/>
        </w:rPr>
        <w:t>重新开发进行更换</w:t>
      </w:r>
      <w:r>
        <w:rPr>
          <w:rFonts w:ascii="宋体" w:hAnsi="宋体" w:eastAsia="宋体"/>
          <w:bCs/>
          <w:color w:val="auto"/>
          <w:sz w:val="24"/>
          <w:szCs w:val="24"/>
          <w:highlight w:val="none"/>
        </w:rPr>
        <w:t>的。拟投入本项目的维护人员不少于20人（提供投标人</w:t>
      </w:r>
      <w:r>
        <w:rPr>
          <w:rFonts w:hint="eastAsia" w:ascii="新宋体" w:hAnsi="新宋体" w:eastAsia="新宋体" w:cs="新宋体"/>
          <w:bCs/>
          <w:color w:val="auto"/>
          <w:sz w:val="24"/>
          <w:szCs w:val="24"/>
          <w:highlight w:val="none"/>
        </w:rPr>
        <w:t>最近半年内</w:t>
      </w:r>
      <w:r>
        <w:rPr>
          <w:rFonts w:ascii="宋体" w:hAnsi="宋体" w:eastAsia="宋体"/>
          <w:bCs/>
          <w:color w:val="auto"/>
          <w:sz w:val="24"/>
          <w:szCs w:val="24"/>
          <w:highlight w:val="none"/>
        </w:rPr>
        <w:t>为其连续三个月缴纳社保的证明材料复印件，原件备查），能提供快速的售后服务响应，并提供售后服务联系人姓名、电话、详细地址等信息。</w:t>
      </w:r>
    </w:p>
    <w:p>
      <w:pPr>
        <w:spacing w:after="0" w:line="384" w:lineRule="auto"/>
        <w:ind w:firstLine="482" w:firstLineChars="200"/>
        <w:rPr>
          <w:rFonts w:ascii="宋体" w:hAnsi="宋体" w:eastAsia="宋体"/>
          <w:b/>
          <w:color w:val="auto"/>
          <w:sz w:val="24"/>
          <w:szCs w:val="24"/>
          <w:highlight w:val="none"/>
        </w:rPr>
      </w:pPr>
      <w:r>
        <w:rPr>
          <w:rFonts w:ascii="宋体" w:hAnsi="宋体" w:eastAsia="宋体"/>
          <w:b/>
          <w:color w:val="auto"/>
          <w:sz w:val="24"/>
          <w:szCs w:val="24"/>
          <w:highlight w:val="none"/>
        </w:rPr>
        <w:t>3、商务分…………………………………………………………………………………</w:t>
      </w:r>
      <w:r>
        <w:rPr>
          <w:rFonts w:hint="eastAsia" w:ascii="宋体" w:hAnsi="宋体" w:eastAsia="宋体"/>
          <w:b/>
          <w:color w:val="auto"/>
          <w:sz w:val="24"/>
          <w:szCs w:val="24"/>
          <w:highlight w:val="none"/>
        </w:rPr>
        <w:t>26</w:t>
      </w:r>
      <w:r>
        <w:rPr>
          <w:rFonts w:ascii="宋体" w:hAnsi="宋体" w:eastAsia="宋体"/>
          <w:b/>
          <w:color w:val="auto"/>
          <w:sz w:val="24"/>
          <w:szCs w:val="24"/>
          <w:highlight w:val="none"/>
        </w:rPr>
        <w:t>分</w:t>
      </w:r>
    </w:p>
    <w:p>
      <w:pPr>
        <w:widowControl w:val="0"/>
        <w:adjustRightInd/>
        <w:spacing w:after="0" w:line="384" w:lineRule="auto"/>
        <w:ind w:firstLine="480"/>
        <w:jc w:val="both"/>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w:t>
      </w:r>
      <w:r>
        <w:rPr>
          <w:rFonts w:ascii="宋体" w:hAnsi="宋体" w:eastAsia="宋体" w:cs="Times New Roman"/>
          <w:color w:val="auto"/>
          <w:kern w:val="2"/>
          <w:sz w:val="24"/>
          <w:highlight w:val="none"/>
        </w:rPr>
        <w:t>1）</w:t>
      </w:r>
      <w:r>
        <w:rPr>
          <w:rFonts w:hint="eastAsia" w:ascii="宋体" w:hAnsi="宋体" w:eastAsia="宋体" w:cs="Times New Roman"/>
          <w:color w:val="auto"/>
          <w:kern w:val="2"/>
          <w:sz w:val="24"/>
          <w:highlight w:val="none"/>
        </w:rPr>
        <w:t>投标人具有软件能力成熟度模型集成（</w:t>
      </w:r>
      <w:r>
        <w:rPr>
          <w:rFonts w:ascii="宋体" w:hAnsi="宋体" w:eastAsia="宋体" w:cs="Times New Roman"/>
          <w:color w:val="auto"/>
          <w:kern w:val="2"/>
          <w:sz w:val="24"/>
          <w:highlight w:val="none"/>
        </w:rPr>
        <w:t>CMMI）3级或以上等级资质证书的，提供有效证书复印件,得2分；</w:t>
      </w:r>
    </w:p>
    <w:p>
      <w:pPr>
        <w:widowControl w:val="0"/>
        <w:adjustRightInd/>
        <w:spacing w:after="0" w:line="384" w:lineRule="auto"/>
        <w:ind w:firstLine="480"/>
        <w:jc w:val="both"/>
        <w:rPr>
          <w:rFonts w:ascii="宋体" w:hAnsi="宋体" w:eastAsia="宋体"/>
          <w:b/>
          <w:color w:val="auto"/>
          <w:sz w:val="24"/>
          <w:szCs w:val="24"/>
          <w:highlight w:val="none"/>
        </w:rPr>
      </w:pPr>
      <w:r>
        <w:rPr>
          <w:rFonts w:hint="eastAsia" w:ascii="宋体" w:hAnsi="宋体" w:eastAsia="宋体" w:cs="Times New Roman"/>
          <w:color w:val="auto"/>
          <w:kern w:val="2"/>
          <w:sz w:val="24"/>
          <w:highlight w:val="none"/>
        </w:rPr>
        <w:t>（</w:t>
      </w:r>
      <w:r>
        <w:rPr>
          <w:rFonts w:ascii="宋体" w:hAnsi="宋体" w:eastAsia="宋体" w:cs="Times New Roman"/>
          <w:color w:val="auto"/>
          <w:kern w:val="2"/>
          <w:sz w:val="24"/>
          <w:highlight w:val="none"/>
        </w:rPr>
        <w:t>2）2017年以来投标人具有类似软件开发项目业绩的（投标人须提供中标（成交）通知书、其对应的合同复印件并加盖公章、该项目在网络媒体发布的中标公告截图打印页，三份材料必须同时提供，否则不予认可），每提供一份得3分，满分24分；</w:t>
      </w:r>
    </w:p>
    <w:p>
      <w:pPr>
        <w:widowControl w:val="0"/>
        <w:adjustRightInd/>
        <w:spacing w:after="0" w:line="384" w:lineRule="auto"/>
        <w:ind w:firstLine="440"/>
        <w:jc w:val="both"/>
        <w:rPr>
          <w:rFonts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ascii="宋体" w:hAnsi="宋体" w:eastAsia="宋体" w:cs="Times New Roman"/>
          <w:color w:val="auto"/>
          <w:kern w:val="2"/>
          <w:sz w:val="24"/>
          <w:highlight w:val="none"/>
        </w:rPr>
        <w:t>）诚信分，投标人在截标日前1年内在政府采购活动中存在违约违规情形的（以财政部门出具的书面材料为评分依据），每次扣除3分，最高扣分6分扣完为止。</w:t>
      </w:r>
    </w:p>
    <w:p>
      <w:pPr>
        <w:tabs>
          <w:tab w:val="left" w:pos="6931"/>
        </w:tabs>
        <w:spacing w:line="384" w:lineRule="auto"/>
        <w:ind w:firstLine="361" w:firstLineChars="150"/>
        <w:rPr>
          <w:rFonts w:ascii="宋体" w:hAnsi="宋体" w:eastAsia="宋体"/>
          <w:b/>
          <w:sz w:val="24"/>
          <w:szCs w:val="24"/>
        </w:rPr>
      </w:pPr>
      <w:r>
        <w:rPr>
          <w:rFonts w:hint="eastAsia" w:ascii="宋体" w:hAnsi="宋体" w:eastAsia="宋体"/>
          <w:b/>
          <w:sz w:val="24"/>
          <w:szCs w:val="24"/>
        </w:rPr>
        <w:t>（三）总得分＝</w:t>
      </w:r>
      <w:r>
        <w:rPr>
          <w:rFonts w:ascii="宋体" w:hAnsi="宋体" w:eastAsia="宋体"/>
          <w:b/>
          <w:sz w:val="24"/>
          <w:szCs w:val="24"/>
        </w:rPr>
        <w:t>1＋2＋3</w:t>
      </w:r>
    </w:p>
    <w:p>
      <w:pPr>
        <w:tabs>
          <w:tab w:val="left" w:pos="6931"/>
        </w:tabs>
        <w:spacing w:line="384" w:lineRule="auto"/>
        <w:ind w:firstLine="361" w:firstLineChars="150"/>
        <w:rPr>
          <w:rFonts w:ascii="宋体" w:hAnsi="宋体" w:eastAsia="宋体"/>
          <w:b/>
          <w:sz w:val="24"/>
          <w:szCs w:val="24"/>
        </w:rPr>
      </w:pPr>
      <w:r>
        <w:rPr>
          <w:rFonts w:hint="eastAsia" w:ascii="宋体" w:hAnsi="宋体" w:eastAsia="宋体"/>
          <w:b/>
          <w:sz w:val="24"/>
          <w:szCs w:val="24"/>
        </w:rPr>
        <w:t>（四）中标标准：</w:t>
      </w:r>
    </w:p>
    <w:p>
      <w:pPr>
        <w:tabs>
          <w:tab w:val="left" w:pos="6931"/>
        </w:tabs>
        <w:spacing w:line="384" w:lineRule="auto"/>
        <w:ind w:firstLine="360" w:firstLineChars="150"/>
        <w:rPr>
          <w:rFonts w:ascii="宋体" w:hAnsi="宋体" w:eastAsia="宋体"/>
          <w:b/>
          <w:sz w:val="24"/>
          <w:szCs w:val="24"/>
        </w:rPr>
      </w:pPr>
      <w:r>
        <w:rPr>
          <w:rFonts w:hint="eastAsia" w:ascii="宋体" w:hAnsi="宋体" w:eastAsia="宋体"/>
          <w:sz w:val="24"/>
          <w:szCs w:val="24"/>
        </w:rPr>
        <w:t>（</w:t>
      </w:r>
      <w:r>
        <w:rPr>
          <w:rFonts w:ascii="宋体" w:hAnsi="宋体" w:eastAsia="宋体"/>
          <w:b/>
          <w:sz w:val="24"/>
          <w:szCs w:val="24"/>
        </w:rPr>
        <w:t>1）评标委员会将按总得分由高到低排列中标候选投标人顺序（总得分相同时，依次按投标报价低优先、技术分高优先、质量保证期长优先、提交服务成果时间短优先、处理问题到达时间短优先的顺序排列），并依照次序确定</w:t>
      </w:r>
      <w:r>
        <w:rPr>
          <w:rFonts w:hint="eastAsia" w:ascii="宋体" w:hAnsi="宋体" w:eastAsia="宋体"/>
          <w:b/>
          <w:sz w:val="24"/>
          <w:szCs w:val="24"/>
        </w:rPr>
        <w:t>中标供应商</w:t>
      </w:r>
      <w:r>
        <w:rPr>
          <w:rFonts w:ascii="宋体" w:hAnsi="宋体" w:eastAsia="宋体"/>
          <w:b/>
          <w:sz w:val="24"/>
          <w:szCs w:val="24"/>
        </w:rPr>
        <w:t>。</w:t>
      </w:r>
    </w:p>
    <w:p>
      <w:pPr>
        <w:pStyle w:val="2"/>
        <w:spacing w:line="384" w:lineRule="auto"/>
        <w:ind w:firstLine="482" w:firstLineChars="200"/>
        <w:rPr>
          <w:rFonts w:ascii="宋体" w:hAnsi="宋体" w:cs="宋体"/>
          <w:sz w:val="24"/>
        </w:rPr>
      </w:pPr>
      <w:r>
        <w:rPr>
          <w:rFonts w:hint="eastAsia" w:ascii="宋体" w:hAnsi="宋体" w:cs="宋体"/>
          <w:b/>
          <w:sz w:val="24"/>
        </w:rPr>
        <w:t>（</w:t>
      </w:r>
      <w:r>
        <w:rPr>
          <w:rFonts w:ascii="宋体" w:hAnsi="宋体" w:cs="宋体"/>
          <w:b/>
          <w:sz w:val="24"/>
        </w:rPr>
        <w:t>2）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w:t>
      </w:r>
    </w:p>
    <w:p>
      <w:pPr>
        <w:pStyle w:val="16"/>
        <w:spacing w:line="312" w:lineRule="auto"/>
        <w:jc w:val="center"/>
        <w:outlineLvl w:val="0"/>
        <w:rPr>
          <w:rFonts w:cs="宋体" w:asciiTheme="majorEastAsia" w:hAnsiTheme="majorEastAsia" w:eastAsiaTheme="majorEastAsia"/>
          <w:b/>
          <w:sz w:val="36"/>
        </w:rPr>
      </w:pPr>
      <w:r>
        <w:rPr>
          <w:rFonts w:asciiTheme="majorEastAsia" w:hAnsiTheme="majorEastAsia" w:eastAsiaTheme="majorEastAsia"/>
          <w:b/>
          <w:sz w:val="36"/>
        </w:rPr>
        <w:br w:type="page"/>
      </w:r>
      <w:bookmarkStart w:id="20" w:name="_Toc27800"/>
      <w:r>
        <w:rPr>
          <w:rFonts w:cs="宋体" w:asciiTheme="majorEastAsia" w:hAnsiTheme="majorEastAsia" w:eastAsiaTheme="majorEastAsia"/>
          <w:b/>
          <w:sz w:val="36"/>
        </w:rPr>
        <w:t>第四章  投标人须知</w:t>
      </w:r>
      <w:bookmarkEnd w:id="4"/>
      <w:bookmarkEnd w:id="5"/>
      <w:bookmarkEnd w:id="14"/>
      <w:bookmarkEnd w:id="15"/>
      <w:bookmarkEnd w:id="18"/>
      <w:bookmarkEnd w:id="20"/>
    </w:p>
    <w:p>
      <w:pPr>
        <w:pStyle w:val="16"/>
        <w:spacing w:line="720" w:lineRule="auto"/>
        <w:jc w:val="center"/>
        <w:rPr>
          <w:rFonts w:cs="宋体" w:asciiTheme="majorEastAsia" w:hAnsiTheme="majorEastAsia" w:eastAsiaTheme="majorEastAsia"/>
          <w:b/>
          <w:sz w:val="30"/>
          <w:szCs w:val="30"/>
        </w:rPr>
      </w:pPr>
      <w:r>
        <w:rPr>
          <w:rFonts w:cs="宋体" w:asciiTheme="majorEastAsia" w:hAnsiTheme="majorEastAsia" w:eastAsiaTheme="majorEastAsia"/>
          <w:b/>
          <w:sz w:val="30"/>
          <w:szCs w:val="30"/>
        </w:rPr>
        <w:t>投标人须知前附表</w:t>
      </w:r>
    </w:p>
    <w:p>
      <w:pPr>
        <w:pStyle w:val="16"/>
        <w:spacing w:line="460" w:lineRule="exact"/>
        <w:ind w:firstLine="420"/>
        <w:rPr>
          <w:rFonts w:cs="宋体" w:asciiTheme="majorEastAsia" w:hAnsiTheme="majorEastAsia" w:eastAsiaTheme="majorEastAsia"/>
          <w:b/>
          <w:sz w:val="24"/>
          <w:szCs w:val="24"/>
        </w:rPr>
      </w:pPr>
      <w:r>
        <w:rPr>
          <w:rFonts w:cs="宋体" w:asciiTheme="majorEastAsia" w:hAnsiTheme="majorEastAsia" w:eastAsiaTheme="majorEastAsia"/>
          <w:sz w:val="24"/>
          <w:szCs w:val="24"/>
        </w:rPr>
        <w:t>本表是关于本次采购项目的具体资料，是对后列条款的具体补充和修改。所有与本次采购有关的事宜，以本表规定的为准。</w:t>
      </w:r>
    </w:p>
    <w:tbl>
      <w:tblPr>
        <w:tblStyle w:val="26"/>
        <w:tblW w:w="100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551"/>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b/>
                <w:sz w:val="24"/>
                <w:szCs w:val="24"/>
              </w:rPr>
            </w:pPr>
            <w:r>
              <w:rPr>
                <w:rFonts w:cs="宋体" w:asciiTheme="majorEastAsia" w:hAnsiTheme="majorEastAsia" w:eastAsiaTheme="majorEastAsia"/>
                <w:b/>
                <w:sz w:val="24"/>
                <w:szCs w:val="24"/>
              </w:rPr>
              <w:t>条款号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b/>
                <w:sz w:val="24"/>
                <w:szCs w:val="24"/>
              </w:rPr>
            </w:pPr>
            <w:r>
              <w:rPr>
                <w:rFonts w:cs="宋体" w:asciiTheme="majorEastAsia" w:hAnsiTheme="majorEastAsia" w:eastAsiaTheme="majorEastAsia"/>
                <w:b/>
                <w:sz w:val="24"/>
                <w:szCs w:val="24"/>
              </w:rPr>
              <w:t>条款名称</w:t>
            </w:r>
          </w:p>
        </w:tc>
        <w:tc>
          <w:tcPr>
            <w:tcW w:w="6510" w:type="dxa"/>
            <w:tcBorders>
              <w:top w:val="single" w:color="auto" w:sz="4" w:space="0"/>
              <w:left w:val="single" w:color="auto" w:sz="4" w:space="0"/>
              <w:bottom w:val="single" w:color="auto" w:sz="4" w:space="0"/>
              <w:right w:val="single" w:color="auto" w:sz="4" w:space="0"/>
            </w:tcBorders>
          </w:tcPr>
          <w:p>
            <w:pPr>
              <w:pStyle w:val="16"/>
              <w:spacing w:line="400" w:lineRule="exact"/>
              <w:jc w:val="center"/>
              <w:rPr>
                <w:rFonts w:cs="宋体" w:asciiTheme="majorEastAsia" w:hAnsiTheme="majorEastAsia" w:eastAsiaTheme="majorEastAsia"/>
                <w:b/>
                <w:sz w:val="24"/>
                <w:szCs w:val="24"/>
              </w:rPr>
            </w:pPr>
            <w:r>
              <w:rPr>
                <w:rFonts w:cs="宋体" w:asciiTheme="majorEastAsia" w:hAnsiTheme="majorEastAsia" w:eastAsiaTheme="majorEastAsia"/>
                <w:b/>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1.1</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采购人</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名称：中国(广西)自由贸易试验区南宁片区建设工作领导小组办公室</w:t>
            </w:r>
          </w:p>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地址：</w:t>
            </w:r>
            <w:r>
              <w:rPr>
                <w:rFonts w:hint="eastAsia" w:hAnsi="宋体" w:eastAsiaTheme="majorEastAsia"/>
                <w:sz w:val="24"/>
                <w:szCs w:val="24"/>
              </w:rPr>
              <w:t>南宁市良庆区云英路8号</w:t>
            </w:r>
          </w:p>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联系人：张工</w:t>
            </w:r>
          </w:p>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电话： 0771-</w:t>
            </w:r>
            <w:r>
              <w:rPr>
                <w:rFonts w:hint="eastAsia" w:cs="宋体" w:asciiTheme="majorEastAsia" w:hAnsiTheme="majorEastAsia" w:eastAsiaTheme="majorEastAsia"/>
                <w:sz w:val="24"/>
                <w:szCs w:val="24"/>
              </w:rPr>
              <w:t>4919309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1.2</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采购代理机构</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名称：广西邕政采购代理有限公司</w:t>
            </w:r>
          </w:p>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地址：南宁市青秀区思贤路45号创投中心16A层</w:t>
            </w:r>
          </w:p>
          <w:p>
            <w:pPr>
              <w:pStyle w:val="16"/>
              <w:spacing w:line="400" w:lineRule="exact"/>
              <w:rPr>
                <w:rFonts w:hint="eastAsia" w:cs="宋体" w:asciiTheme="majorEastAsia" w:hAnsiTheme="majorEastAsia" w:eastAsiaTheme="majorEastAsia"/>
                <w:sz w:val="24"/>
                <w:szCs w:val="24"/>
                <w:lang w:eastAsia="zh-CN"/>
              </w:rPr>
            </w:pPr>
            <w:r>
              <w:rPr>
                <w:rFonts w:cs="宋体" w:asciiTheme="majorEastAsia" w:hAnsiTheme="majorEastAsia" w:eastAsiaTheme="majorEastAsia"/>
                <w:sz w:val="24"/>
                <w:szCs w:val="24"/>
              </w:rPr>
              <w:t>项目联系人：</w:t>
            </w:r>
            <w:r>
              <w:rPr>
                <w:rFonts w:hint="eastAsia" w:cs="宋体" w:asciiTheme="majorEastAsia" w:hAnsiTheme="majorEastAsia" w:eastAsiaTheme="majorEastAsia"/>
                <w:sz w:val="24"/>
                <w:szCs w:val="24"/>
                <w:lang w:eastAsia="zh-CN"/>
              </w:rPr>
              <w:t>蔺工、罗工</w:t>
            </w:r>
          </w:p>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1.3</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项目名称</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中国（广西）自由贸易试验区南宁片区统计信息应用系统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1.4</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项目编号</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NNZC2020-G3-990079-GXYZ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1.5</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采购预算</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人民币贰佰伍拾伍万贰仟捌佰元整</w:t>
            </w:r>
            <w:r>
              <w:rPr>
                <w:rFonts w:cs="宋体" w:asciiTheme="majorEastAsia" w:hAnsiTheme="majorEastAsia" w:eastAsiaTheme="majorEastAsia"/>
                <w:sz w:val="24"/>
                <w:szCs w:val="24"/>
              </w:rPr>
              <w:t>(￥2552800.00元)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1.7</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获取招标文件的方式</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1、本项目不发放纸质文件，投标人自行在南宁市公共资源交易平台(https://www.nnggzy.org.cn/gxnnzbw/)的信息公告处下载采购文件。</w:t>
            </w:r>
          </w:p>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2、采购文件每套售价0元。</w:t>
            </w:r>
          </w:p>
          <w:p>
            <w:pPr>
              <w:pStyle w:val="16"/>
              <w:spacing w:line="400" w:lineRule="exact"/>
              <w:rPr>
                <w:rFonts w:cs="宋体" w:asciiTheme="majorEastAsia" w:hAnsiTheme="majorEastAsia" w:eastAsiaTheme="majorEastAsia"/>
                <w:sz w:val="24"/>
              </w:rPr>
            </w:pPr>
            <w:r>
              <w:rPr>
                <w:rFonts w:cs="宋体" w:asciiTheme="majorEastAsia" w:hAnsiTheme="majorEastAsia" w:eastAsiaTheme="majorEastAsia"/>
                <w:sz w:val="24"/>
                <w:szCs w:val="24"/>
              </w:rPr>
              <w:t>3、本项目公开招标公告期限为公告发布之日起5个工作日（2020年</w:t>
            </w:r>
            <w:r>
              <w:rPr>
                <w:rFonts w:hint="eastAsia" w:cs="宋体" w:asciiTheme="majorEastAsia" w:hAnsiTheme="majorEastAsia" w:eastAsiaTheme="majorEastAsia"/>
                <w:sz w:val="24"/>
                <w:szCs w:val="24"/>
                <w:lang w:val="en-US" w:eastAsia="zh-CN"/>
              </w:rPr>
              <w:t>9</w:t>
            </w:r>
            <w:r>
              <w:rPr>
                <w:rFonts w:hint="eastAsia" w:cs="宋体" w:asciiTheme="majorEastAsia" w:hAnsiTheme="majorEastAsia" w:eastAsiaTheme="majorEastAsia"/>
                <w:sz w:val="24"/>
                <w:szCs w:val="24"/>
              </w:rPr>
              <w:t>月</w:t>
            </w:r>
            <w:r>
              <w:rPr>
                <w:rFonts w:hint="eastAsia" w:cs="宋体" w:asciiTheme="majorEastAsia" w:hAnsiTheme="majorEastAsia" w:eastAsiaTheme="majorEastAsia"/>
                <w:sz w:val="24"/>
                <w:szCs w:val="24"/>
                <w:lang w:val="en-US" w:eastAsia="zh-CN"/>
              </w:rPr>
              <w:t>29</w:t>
            </w:r>
            <w:r>
              <w:rPr>
                <w:rFonts w:hint="eastAsia" w:cs="宋体" w:asciiTheme="majorEastAsia" w:hAnsiTheme="majorEastAsia" w:eastAsiaTheme="majorEastAsia"/>
                <w:sz w:val="24"/>
                <w:szCs w:val="24"/>
              </w:rPr>
              <w:t>日至</w:t>
            </w:r>
            <w:r>
              <w:rPr>
                <w:rFonts w:cs="宋体" w:asciiTheme="majorEastAsia" w:hAnsiTheme="majorEastAsia" w:eastAsiaTheme="majorEastAsia"/>
                <w:sz w:val="24"/>
                <w:szCs w:val="24"/>
              </w:rPr>
              <w:t>2020年</w:t>
            </w:r>
            <w:r>
              <w:rPr>
                <w:rFonts w:hint="eastAsia" w:cs="宋体" w:asciiTheme="majorEastAsia" w:hAnsiTheme="majorEastAsia" w:eastAsiaTheme="majorEastAsia"/>
                <w:sz w:val="24"/>
                <w:szCs w:val="24"/>
                <w:lang w:val="en-US" w:eastAsia="zh-CN"/>
              </w:rPr>
              <w:t>10</w:t>
            </w:r>
            <w:r>
              <w:rPr>
                <w:rFonts w:hint="eastAsia" w:cs="宋体" w:asciiTheme="majorEastAsia" w:hAnsiTheme="majorEastAsia" w:eastAsiaTheme="majorEastAsia"/>
                <w:sz w:val="24"/>
                <w:szCs w:val="24"/>
              </w:rPr>
              <w:t>月</w:t>
            </w:r>
            <w:r>
              <w:rPr>
                <w:rFonts w:hint="eastAsia" w:cs="宋体" w:asciiTheme="majorEastAsia" w:hAnsiTheme="majorEastAsia" w:eastAsiaTheme="majorEastAsia"/>
                <w:sz w:val="24"/>
                <w:szCs w:val="24"/>
                <w:lang w:val="en-US" w:eastAsia="zh-CN"/>
              </w:rPr>
              <w:t>12</w:t>
            </w:r>
            <w:r>
              <w:rPr>
                <w:rFonts w:hint="eastAsia" w:cs="宋体" w:asciiTheme="majorEastAsia" w:hAnsiTheme="majorEastAsia" w:eastAsiaTheme="majorEastAsia"/>
                <w:sz w:val="24"/>
                <w:szCs w:val="24"/>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1.8</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预留采购份额</w:t>
            </w:r>
          </w:p>
        </w:tc>
        <w:tc>
          <w:tcPr>
            <w:tcW w:w="651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ajorEastAsia" w:hAnsiTheme="majorEastAsia" w:eastAsiaTheme="majorEastAsia"/>
                <w:sz w:val="24"/>
              </w:rPr>
            </w:pPr>
            <w:r>
              <w:rPr>
                <w:rFonts w:hint="eastAsia" w:asciiTheme="majorEastAsia" w:hAnsiTheme="majorEastAsia" w:eastAsiaTheme="majorEastAsia"/>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3.2</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投标人应具备的特定条件</w:t>
            </w:r>
          </w:p>
        </w:tc>
        <w:tc>
          <w:tcPr>
            <w:tcW w:w="6510" w:type="dxa"/>
            <w:tcBorders>
              <w:top w:val="single" w:color="auto" w:sz="4" w:space="0"/>
              <w:left w:val="single" w:color="auto" w:sz="4" w:space="0"/>
              <w:bottom w:val="single" w:color="auto" w:sz="4" w:space="0"/>
              <w:right w:val="single" w:color="auto" w:sz="4" w:space="0"/>
            </w:tcBorders>
            <w:vAlign w:val="center"/>
          </w:tcPr>
          <w:p>
            <w:pPr>
              <w:pStyle w:val="22"/>
              <w:widowControl w:val="0"/>
              <w:spacing w:before="75" w:beforeAutospacing="0" w:after="75" w:afterAutospacing="0" w:line="400" w:lineRule="exact"/>
              <w:jc w:val="both"/>
              <w:rPr>
                <w:rFonts w:asciiTheme="majorEastAsia" w:hAnsiTheme="majorEastAsia" w:eastAsiaTheme="majorEastAsia"/>
              </w:rPr>
            </w:pPr>
            <w:r>
              <w:rPr>
                <w:rFonts w:asciiTheme="majorEastAsia" w:hAnsiTheme="majorEastAsia" w:eastAsiaTheme="majorEastAsia"/>
              </w:rPr>
              <w:t>1、符合《中华人民共和国政府采购法》第二十二条规定；</w:t>
            </w:r>
          </w:p>
          <w:p>
            <w:pPr>
              <w:pStyle w:val="22"/>
              <w:widowControl w:val="0"/>
              <w:spacing w:before="75" w:beforeAutospacing="0" w:after="75" w:afterAutospacing="0" w:line="400" w:lineRule="exact"/>
              <w:jc w:val="both"/>
              <w:rPr>
                <w:rFonts w:asciiTheme="majorEastAsia" w:hAnsiTheme="majorEastAsia" w:eastAsiaTheme="majorEastAsia"/>
              </w:rPr>
            </w:pPr>
            <w:r>
              <w:rPr>
                <w:rFonts w:asciiTheme="majorEastAsia" w:hAnsiTheme="majorEastAsia" w:eastAsiaTheme="majorEastAsia"/>
              </w:rPr>
              <w:t>2、本项目需落实的政府采购政策：本项目适用政府采购促进中小企业、监狱企业发展、促进残疾人就业、节能环保等有关政策，具体详见招标文件；</w:t>
            </w:r>
          </w:p>
          <w:p>
            <w:pPr>
              <w:pStyle w:val="22"/>
              <w:widowControl w:val="0"/>
              <w:spacing w:before="75" w:beforeAutospacing="0" w:after="75" w:afterAutospacing="0" w:line="400" w:lineRule="exact"/>
              <w:jc w:val="both"/>
              <w:rPr>
                <w:rFonts w:asciiTheme="majorEastAsia" w:hAnsiTheme="majorEastAsia" w:eastAsiaTheme="majorEastAsia"/>
              </w:rPr>
            </w:pPr>
            <w:r>
              <w:rPr>
                <w:rFonts w:asciiTheme="majorEastAsia" w:hAnsiTheme="majorEastAsia" w:eastAsiaTheme="majorEastAsia"/>
              </w:rPr>
              <w:t>3、本项目的特定资格要求：无；</w:t>
            </w:r>
          </w:p>
          <w:p>
            <w:pPr>
              <w:pStyle w:val="22"/>
              <w:widowControl w:val="0"/>
              <w:spacing w:before="75" w:beforeAutospacing="0" w:after="75" w:afterAutospacing="0" w:line="400" w:lineRule="exact"/>
              <w:jc w:val="both"/>
              <w:rPr>
                <w:rFonts w:asciiTheme="majorEastAsia" w:hAnsiTheme="majorEastAsia" w:eastAsiaTheme="majorEastAsia"/>
              </w:rPr>
            </w:pPr>
            <w:r>
              <w:rPr>
                <w:rFonts w:asciiTheme="majorEastAsia" w:hAnsiTheme="majorEastAsia" w:eastAsiaTheme="majorEastAsia"/>
              </w:rPr>
              <w:t>4、具有国内法人资格，注册经营范围满足所采购内容的供应商；</w:t>
            </w:r>
          </w:p>
          <w:p>
            <w:pPr>
              <w:pStyle w:val="22"/>
              <w:widowControl w:val="0"/>
              <w:wordWrap w:val="0"/>
              <w:spacing w:before="75" w:beforeAutospacing="0" w:after="75" w:afterAutospacing="0" w:line="400" w:lineRule="exact"/>
              <w:jc w:val="both"/>
              <w:rPr>
                <w:rFonts w:asciiTheme="majorEastAsia" w:hAnsiTheme="majorEastAsia" w:eastAsiaTheme="majorEastAsia"/>
              </w:rPr>
            </w:pPr>
            <w:r>
              <w:rPr>
                <w:rFonts w:asciiTheme="majorEastAsia" w:hAnsiTheme="majorEastAsia" w:eastAsiaTheme="majorEastAsia"/>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widowControl w:val="0"/>
              <w:spacing w:before="75" w:beforeAutospacing="0" w:after="75" w:afterAutospacing="0" w:line="400" w:lineRule="exact"/>
              <w:jc w:val="both"/>
              <w:rPr>
                <w:rFonts w:asciiTheme="majorEastAsia" w:hAnsiTheme="majorEastAsia" w:eastAsiaTheme="majorEastAsia"/>
              </w:rPr>
            </w:pPr>
            <w:r>
              <w:rPr>
                <w:rFonts w:asciiTheme="majorEastAsia" w:hAnsiTheme="majorEastAsia" w:eastAsiaTheme="majorEastAsia"/>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3.3</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是否接受联合体投标</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lang w:eastAsia="en-US"/>
              </w:rPr>
              <w:t>不接受联合体</w:t>
            </w:r>
            <w:r>
              <w:rPr>
                <w:rFonts w:cs="宋体" w:asciiTheme="majorEastAsia" w:hAnsiTheme="majorEastAsia" w:eastAsiaTheme="majorEastAsia"/>
                <w:sz w:val="24"/>
                <w:szCs w:val="24"/>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93" w:type="dxa"/>
            <w:vMerge w:val="restart"/>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4.1</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招标文件质疑提交的截止时间</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公告期限届满之日起7个工作日内</w:t>
            </w:r>
            <w:r>
              <w:rPr>
                <w:rFonts w:hint="eastAsia" w:cs="宋体" w:asciiTheme="majorEastAsia" w:hAnsiTheme="majorEastAsia" w:eastAsia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ajorEastAsia" w:hAnsiTheme="majorEastAsia" w:eastAsiaTheme="majorEastAsia"/>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质疑提交地点、电话</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left"/>
              <w:rPr>
                <w:rFonts w:cs="宋体" w:asciiTheme="majorEastAsia" w:hAnsiTheme="majorEastAsia" w:eastAsiaTheme="majorEastAsia"/>
                <w:bCs/>
                <w:sz w:val="24"/>
              </w:rPr>
            </w:pPr>
            <w:r>
              <w:rPr>
                <w:rFonts w:cs="宋体" w:asciiTheme="majorEastAsia" w:hAnsiTheme="majorEastAsia" w:eastAsiaTheme="majorEastAsia"/>
                <w:bCs/>
                <w:sz w:val="24"/>
              </w:rPr>
              <w:t>1、对</w:t>
            </w:r>
            <w:r>
              <w:rPr>
                <w:rFonts w:hint="eastAsia" w:cs="宋体" w:asciiTheme="majorEastAsia" w:hAnsiTheme="majorEastAsia" w:eastAsiaTheme="majorEastAsia"/>
                <w:bCs/>
                <w:sz w:val="24"/>
              </w:rPr>
              <w:t>资格</w:t>
            </w:r>
            <w:r>
              <w:rPr>
                <w:rFonts w:cs="宋体" w:asciiTheme="majorEastAsia" w:hAnsiTheme="majorEastAsia" w:eastAsiaTheme="majorEastAsia"/>
                <w:bCs/>
                <w:sz w:val="24"/>
              </w:rPr>
              <w:t>审查的质疑，由采购人负责受理和答复。（地址：</w:t>
            </w:r>
            <w:r>
              <w:rPr>
                <w:rFonts w:hint="eastAsia" w:hAnsi="宋体" w:eastAsiaTheme="majorEastAsia"/>
                <w:sz w:val="24"/>
                <w:szCs w:val="24"/>
              </w:rPr>
              <w:t>南宁市良庆区云英路8号</w:t>
            </w:r>
            <w:r>
              <w:rPr>
                <w:rFonts w:cs="宋体" w:asciiTheme="majorEastAsia" w:hAnsiTheme="majorEastAsia" w:eastAsiaTheme="majorEastAsia"/>
                <w:bCs/>
                <w:sz w:val="24"/>
              </w:rPr>
              <w:t>； 质疑咨询电话：</w:t>
            </w:r>
            <w:r>
              <w:rPr>
                <w:rFonts w:cs="宋体" w:asciiTheme="majorEastAsia" w:hAnsiTheme="majorEastAsia" w:eastAsiaTheme="majorEastAsia"/>
                <w:sz w:val="24"/>
              </w:rPr>
              <w:t>0771-</w:t>
            </w:r>
            <w:r>
              <w:rPr>
                <w:rFonts w:hint="eastAsia" w:cs="宋体" w:asciiTheme="majorEastAsia" w:hAnsiTheme="majorEastAsia" w:eastAsiaTheme="majorEastAsia"/>
                <w:sz w:val="24"/>
              </w:rPr>
              <w:t>4919309</w:t>
            </w:r>
            <w:r>
              <w:rPr>
                <w:rFonts w:cs="宋体" w:asciiTheme="majorEastAsia" w:hAnsiTheme="majorEastAsia" w:eastAsiaTheme="majorEastAsia"/>
                <w:bCs/>
                <w:sz w:val="24"/>
              </w:rPr>
              <w:t>）</w:t>
            </w:r>
          </w:p>
          <w:p>
            <w:pPr>
              <w:pStyle w:val="16"/>
              <w:spacing w:line="400" w:lineRule="exact"/>
              <w:rPr>
                <w:rFonts w:cs="宋体" w:asciiTheme="majorEastAsia" w:hAnsiTheme="majorEastAsia" w:eastAsiaTheme="majorEastAsia"/>
                <w:bCs/>
                <w:sz w:val="24"/>
              </w:rPr>
            </w:pPr>
            <w:r>
              <w:rPr>
                <w:rFonts w:cs="宋体" w:asciiTheme="majorEastAsia" w:hAnsiTheme="majorEastAsia" w:eastAsiaTheme="majorEastAsia"/>
                <w:bCs/>
                <w:sz w:val="24"/>
              </w:rPr>
              <w:t>2、对资格审查以外的质疑，由广西邕政采购代理有限公司负责受理和答复。（地址：</w:t>
            </w:r>
            <w:r>
              <w:rPr>
                <w:rFonts w:cs="宋体" w:asciiTheme="majorEastAsia" w:hAnsiTheme="majorEastAsia" w:eastAsiaTheme="majorEastAsia"/>
                <w:sz w:val="24"/>
                <w:szCs w:val="24"/>
              </w:rPr>
              <w:t>南宁市青秀区思贤路45号创投中心16A层</w:t>
            </w:r>
            <w:r>
              <w:rPr>
                <w:rFonts w:cs="宋体" w:asciiTheme="majorEastAsia" w:hAnsiTheme="majorEastAsia" w:eastAsiaTheme="majorEastAsia"/>
                <w:bCs/>
                <w:sz w:val="24"/>
              </w:rPr>
              <w:t>； 质疑咨询电话：</w:t>
            </w:r>
            <w:r>
              <w:rPr>
                <w:rFonts w:cs="宋体" w:asciiTheme="majorEastAsia" w:hAnsiTheme="majorEastAsia" w:eastAsiaTheme="majorEastAsia"/>
                <w:sz w:val="24"/>
                <w:szCs w:val="24"/>
              </w:rPr>
              <w:t>0771-2442850</w:t>
            </w:r>
            <w:r>
              <w:rPr>
                <w:rFonts w:cs="宋体" w:asciiTheme="majorEastAsia" w:hAnsiTheme="majorEastAsia" w:eastAsiaTheme="majorEastAsia"/>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7.1</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投标人要求澄清的截止时间</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8.8</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投标文件份数</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报价文件：正本1份，副本4份</w:t>
            </w:r>
          </w:p>
          <w:p>
            <w:pPr>
              <w:pStyle w:val="16"/>
              <w:spacing w:line="400" w:lineRule="exact"/>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资格文件：正本1份，副本4份</w:t>
            </w:r>
          </w:p>
          <w:p>
            <w:pPr>
              <w:pStyle w:val="16"/>
              <w:spacing w:line="400" w:lineRule="exact"/>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技术文件：正本1份，副本4份</w:t>
            </w:r>
          </w:p>
          <w:p>
            <w:pPr>
              <w:pStyle w:val="16"/>
              <w:spacing w:line="400" w:lineRule="exact"/>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11.4</w:t>
            </w:r>
          </w:p>
        </w:tc>
        <w:tc>
          <w:tcPr>
            <w:tcW w:w="25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采购代理服务费</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40" w:lineRule="exact"/>
              <w:jc w:val="left"/>
              <w:rPr>
                <w:rFonts w:hAnsi="宋体" w:cs="宋体"/>
                <w:sz w:val="24"/>
                <w:szCs w:val="24"/>
              </w:rPr>
            </w:pPr>
            <w:r>
              <w:rPr>
                <w:rFonts w:hint="eastAsia" w:hAnsi="宋体" w:cs="宋体"/>
                <w:sz w:val="24"/>
                <w:szCs w:val="24"/>
              </w:rPr>
              <w:t>本项目代理服务费按国家发展计划委员会《招标代理服务费管理暂行办法》（计价格</w:t>
            </w:r>
            <w:r>
              <w:rPr>
                <w:rFonts w:hAnsi="宋体" w:cs="宋体"/>
                <w:sz w:val="24"/>
                <w:szCs w:val="24"/>
              </w:rPr>
              <w:t>[2002]1980</w:t>
            </w:r>
            <w:r>
              <w:rPr>
                <w:rFonts w:hint="eastAsia" w:hAnsi="宋体" w:cs="宋体"/>
                <w:sz w:val="24"/>
                <w:szCs w:val="24"/>
              </w:rPr>
              <w:t>号）收费标准计取。由成交单位在领</w:t>
            </w:r>
            <w:r>
              <w:rPr>
                <w:rFonts w:hint="eastAsia" w:hAnsi="宋体" w:cs="宋体"/>
                <w:kern w:val="0"/>
                <w:sz w:val="24"/>
              </w:rPr>
              <w:t>成交</w:t>
            </w:r>
            <w:r>
              <w:rPr>
                <w:rFonts w:hint="eastAsia" w:hAnsi="宋体" w:cs="宋体"/>
                <w:sz w:val="24"/>
                <w:szCs w:val="24"/>
              </w:rPr>
              <w:t>通知书时一次性支付采购代理服务费。</w:t>
            </w:r>
          </w:p>
          <w:tbl>
            <w:tblPr>
              <w:tblStyle w:val="26"/>
              <w:tblW w:w="4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30" w:type="dxa"/>
                  <w:vAlign w:val="center"/>
                </w:tcPr>
                <w:p>
                  <w:pPr>
                    <w:pStyle w:val="16"/>
                    <w:spacing w:line="440" w:lineRule="exact"/>
                    <w:jc w:val="center"/>
                    <w:rPr>
                      <w:rFonts w:hAnsi="宋体"/>
                      <w:sz w:val="24"/>
                      <w:szCs w:val="24"/>
                    </w:rPr>
                  </w:pPr>
                  <w:r>
                    <w:rPr>
                      <w:rFonts w:hAnsi="宋体"/>
                      <w:sz w:val="24"/>
                      <w:szCs w:val="24"/>
                    </w:rPr>
                    <w:t>某</w:t>
                  </w:r>
                  <w:r>
                    <w:rPr>
                      <w:rFonts w:hint="eastAsia" w:hAnsi="宋体" w:cs="宋体"/>
                      <w:kern w:val="0"/>
                      <w:sz w:val="24"/>
                    </w:rPr>
                    <w:t>成交</w:t>
                  </w:r>
                  <w:r>
                    <w:rPr>
                      <w:rFonts w:hAnsi="宋体"/>
                      <w:sz w:val="24"/>
                      <w:szCs w:val="24"/>
                    </w:rPr>
                    <w:t>金额（万元）</w:t>
                  </w:r>
                </w:p>
              </w:tc>
              <w:tc>
                <w:tcPr>
                  <w:tcW w:w="1560" w:type="dxa"/>
                  <w:vAlign w:val="center"/>
                </w:tcPr>
                <w:p>
                  <w:pPr>
                    <w:pStyle w:val="16"/>
                    <w:spacing w:line="440" w:lineRule="exact"/>
                    <w:jc w:val="center"/>
                    <w:rPr>
                      <w:rFonts w:hAnsi="宋体"/>
                      <w:sz w:val="24"/>
                      <w:szCs w:val="24"/>
                    </w:rPr>
                  </w:pPr>
                  <w:r>
                    <w:rPr>
                      <w:rFonts w:hAnsi="宋体"/>
                      <w:sz w:val="24"/>
                      <w:szCs w:val="24"/>
                    </w:rPr>
                    <w:t>费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830" w:type="dxa"/>
                </w:tcPr>
                <w:p>
                  <w:pPr>
                    <w:pStyle w:val="16"/>
                    <w:spacing w:line="440" w:lineRule="exact"/>
                    <w:jc w:val="center"/>
                    <w:rPr>
                      <w:rFonts w:hAnsi="宋体"/>
                      <w:sz w:val="24"/>
                      <w:szCs w:val="24"/>
                    </w:rPr>
                  </w:pPr>
                  <w:r>
                    <w:rPr>
                      <w:rFonts w:hAnsi="宋体"/>
                      <w:sz w:val="24"/>
                      <w:szCs w:val="24"/>
                    </w:rPr>
                    <w:t>100以下</w:t>
                  </w:r>
                </w:p>
              </w:tc>
              <w:tc>
                <w:tcPr>
                  <w:tcW w:w="1560" w:type="dxa"/>
                </w:tcPr>
                <w:p>
                  <w:pPr>
                    <w:pStyle w:val="16"/>
                    <w:spacing w:line="440" w:lineRule="exact"/>
                    <w:jc w:val="center"/>
                    <w:rPr>
                      <w:rFonts w:hAnsi="宋体"/>
                      <w:sz w:val="24"/>
                      <w:szCs w:val="24"/>
                    </w:rPr>
                  </w:pPr>
                  <w:r>
                    <w:rPr>
                      <w:rFonts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6"/>
                    <w:spacing w:line="440" w:lineRule="exact"/>
                    <w:jc w:val="center"/>
                    <w:rPr>
                      <w:rFonts w:hAnsi="宋体"/>
                      <w:sz w:val="24"/>
                      <w:szCs w:val="24"/>
                    </w:rPr>
                  </w:pPr>
                  <w:r>
                    <w:rPr>
                      <w:rFonts w:hAnsi="宋体"/>
                      <w:sz w:val="24"/>
                      <w:szCs w:val="24"/>
                    </w:rPr>
                    <w:t>100-500</w:t>
                  </w:r>
                </w:p>
              </w:tc>
              <w:tc>
                <w:tcPr>
                  <w:tcW w:w="1560" w:type="dxa"/>
                </w:tcPr>
                <w:p>
                  <w:pPr>
                    <w:pStyle w:val="16"/>
                    <w:spacing w:line="440" w:lineRule="exact"/>
                    <w:jc w:val="center"/>
                    <w:rPr>
                      <w:rFonts w:hAnsi="宋体"/>
                      <w:sz w:val="24"/>
                      <w:szCs w:val="24"/>
                    </w:rPr>
                  </w:pPr>
                  <w:r>
                    <w:rPr>
                      <w:rFonts w:hAnsi="宋体"/>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6"/>
                    <w:spacing w:line="440" w:lineRule="exact"/>
                    <w:jc w:val="center"/>
                    <w:rPr>
                      <w:rFonts w:hAnsi="宋体" w:cs="宋体"/>
                      <w:sz w:val="24"/>
                      <w:szCs w:val="24"/>
                    </w:rPr>
                  </w:pPr>
                  <w:r>
                    <w:rPr>
                      <w:rFonts w:hAnsi="宋体" w:cs="宋体"/>
                      <w:sz w:val="24"/>
                      <w:szCs w:val="24"/>
                    </w:rPr>
                    <w:t>500-1000</w:t>
                  </w:r>
                </w:p>
              </w:tc>
              <w:tc>
                <w:tcPr>
                  <w:tcW w:w="1560" w:type="dxa"/>
                </w:tcPr>
                <w:p>
                  <w:pPr>
                    <w:pStyle w:val="16"/>
                    <w:spacing w:line="440" w:lineRule="exact"/>
                    <w:jc w:val="center"/>
                    <w:rPr>
                      <w:rFonts w:hAnsi="宋体" w:cs="宋体"/>
                      <w:sz w:val="24"/>
                      <w:szCs w:val="24"/>
                    </w:rPr>
                  </w:pPr>
                  <w:r>
                    <w:rPr>
                      <w:rFonts w:hAnsi="宋体" w:cs="宋体"/>
                      <w:sz w:val="24"/>
                      <w:szCs w:val="24"/>
                    </w:rPr>
                    <w:t>0.45%</w:t>
                  </w:r>
                </w:p>
              </w:tc>
            </w:tr>
          </w:tbl>
          <w:p>
            <w:pPr>
              <w:pStyle w:val="16"/>
              <w:spacing w:line="440" w:lineRule="exact"/>
              <w:jc w:val="left"/>
              <w:rPr>
                <w:rFonts w:hAnsi="宋体" w:cs="宋体"/>
                <w:sz w:val="24"/>
                <w:szCs w:val="24"/>
              </w:rPr>
            </w:pPr>
            <w:r>
              <w:rPr>
                <w:rFonts w:hint="eastAsia" w:hAnsi="宋体" w:cs="宋体"/>
                <w:sz w:val="24"/>
                <w:szCs w:val="24"/>
              </w:rPr>
              <w:t>注：招标代理服务费按差额定率累进法计算。</w:t>
            </w:r>
          </w:p>
          <w:p>
            <w:pPr>
              <w:pStyle w:val="16"/>
              <w:spacing w:line="440" w:lineRule="exact"/>
              <w:jc w:val="left"/>
              <w:rPr>
                <w:rFonts w:hAnsi="宋体" w:cs="宋体"/>
                <w:sz w:val="24"/>
                <w:szCs w:val="24"/>
              </w:rPr>
            </w:pPr>
            <w:r>
              <w:rPr>
                <w:rFonts w:hint="eastAsia" w:hAnsi="宋体" w:cs="宋体"/>
                <w:sz w:val="24"/>
                <w:szCs w:val="24"/>
              </w:rPr>
              <w:t>开户名称：广西邕政采购代理有限公司</w:t>
            </w:r>
          </w:p>
          <w:p>
            <w:pPr>
              <w:pStyle w:val="16"/>
              <w:spacing w:line="440" w:lineRule="exact"/>
              <w:jc w:val="left"/>
              <w:rPr>
                <w:rFonts w:hAnsi="宋体" w:cs="宋体"/>
                <w:sz w:val="24"/>
                <w:szCs w:val="24"/>
              </w:rPr>
            </w:pPr>
            <w:r>
              <w:rPr>
                <w:rFonts w:hint="eastAsia" w:hAnsi="宋体" w:cs="宋体"/>
                <w:sz w:val="24"/>
                <w:szCs w:val="24"/>
              </w:rPr>
              <w:t>开户银行：交通银行南宁东葛西支行</w:t>
            </w:r>
          </w:p>
          <w:p>
            <w:pPr>
              <w:pStyle w:val="16"/>
              <w:snapToGrid w:val="0"/>
              <w:spacing w:line="400" w:lineRule="exact"/>
              <w:jc w:val="left"/>
              <w:rPr>
                <w:rFonts w:cs="宋体" w:asciiTheme="majorEastAsia" w:hAnsiTheme="majorEastAsia" w:eastAsiaTheme="majorEastAsia"/>
                <w:sz w:val="24"/>
                <w:szCs w:val="24"/>
              </w:rPr>
            </w:pPr>
            <w:r>
              <w:rPr>
                <w:rFonts w:hint="eastAsia" w:hAnsi="宋体" w:cs="宋体"/>
                <w:sz w:val="24"/>
                <w:szCs w:val="24"/>
              </w:rPr>
              <w:t>账号：</w:t>
            </w:r>
            <w:r>
              <w:rPr>
                <w:rFonts w:hAnsi="宋体" w:cs="宋体"/>
                <w:sz w:val="24"/>
                <w:szCs w:val="24"/>
              </w:rPr>
              <w:t>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12.1</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投标有效期</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13.1</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投标保证金</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rPr>
            </w:pPr>
            <w:r>
              <w:rPr>
                <w:rFonts w:cs="宋体" w:asciiTheme="majorEastAsia" w:hAnsiTheme="majorEastAsia" w:eastAsiaTheme="majorEastAsia"/>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15.1</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投标截止时间</w:t>
            </w:r>
          </w:p>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（开标时间）</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u w:val="none"/>
              </w:rPr>
              <w:t>2020</w:t>
            </w:r>
            <w:r>
              <w:rPr>
                <w:rFonts w:cs="宋体" w:asciiTheme="majorEastAsia" w:hAnsiTheme="majorEastAsia" w:eastAsiaTheme="majorEastAsia"/>
                <w:sz w:val="24"/>
                <w:szCs w:val="24"/>
              </w:rPr>
              <w:t>年</w:t>
            </w:r>
            <w:r>
              <w:rPr>
                <w:rFonts w:hint="eastAsia" w:cs="宋体" w:asciiTheme="majorEastAsia" w:hAnsiTheme="majorEastAsia" w:eastAsiaTheme="majorEastAsia"/>
                <w:sz w:val="24"/>
                <w:szCs w:val="24"/>
                <w:lang w:val="en-US" w:eastAsia="zh-CN"/>
              </w:rPr>
              <w:t>10</w:t>
            </w:r>
            <w:r>
              <w:rPr>
                <w:rFonts w:cs="宋体" w:asciiTheme="majorEastAsia" w:hAnsiTheme="majorEastAsia" w:eastAsiaTheme="majorEastAsia"/>
                <w:sz w:val="24"/>
                <w:szCs w:val="24"/>
              </w:rPr>
              <w:t>月</w:t>
            </w:r>
            <w:r>
              <w:rPr>
                <w:rFonts w:hint="eastAsia" w:cs="宋体" w:asciiTheme="majorEastAsia" w:hAnsiTheme="majorEastAsia" w:eastAsiaTheme="majorEastAsia"/>
                <w:sz w:val="24"/>
                <w:szCs w:val="24"/>
                <w:lang w:val="en-US" w:eastAsia="zh-CN"/>
              </w:rPr>
              <w:t>20</w:t>
            </w:r>
            <w:r>
              <w:rPr>
                <w:rFonts w:cs="宋体" w:asciiTheme="majorEastAsia" w:hAnsiTheme="majorEastAsia" w:eastAsiaTheme="majorEastAsia"/>
                <w:sz w:val="24"/>
                <w:szCs w:val="24"/>
              </w:rPr>
              <w:t>日</w:t>
            </w:r>
            <w:r>
              <w:rPr>
                <w:rFonts w:hint="eastAsia" w:cs="宋体" w:asciiTheme="majorEastAsia" w:hAnsiTheme="majorEastAsia" w:eastAsiaTheme="majorEastAsia"/>
                <w:sz w:val="24"/>
                <w:szCs w:val="24"/>
                <w:lang w:val="en-US" w:eastAsia="zh-CN"/>
              </w:rPr>
              <w:t>09</w:t>
            </w:r>
            <w:r>
              <w:rPr>
                <w:rFonts w:cs="宋体" w:asciiTheme="majorEastAsia" w:hAnsiTheme="majorEastAsia" w:eastAsiaTheme="majorEastAsia"/>
                <w:sz w:val="24"/>
                <w:szCs w:val="24"/>
              </w:rPr>
              <w:t>时</w:t>
            </w:r>
            <w:r>
              <w:rPr>
                <w:rFonts w:hint="eastAsia" w:cs="宋体" w:asciiTheme="majorEastAsia" w:hAnsiTheme="majorEastAsia" w:eastAsiaTheme="majorEastAsia"/>
                <w:sz w:val="24"/>
                <w:szCs w:val="24"/>
                <w:lang w:val="en-US" w:eastAsia="zh-CN"/>
              </w:rPr>
              <w:t>30</w:t>
            </w:r>
            <w:r>
              <w:rPr>
                <w:rFonts w:cs="宋体" w:asciiTheme="majorEastAsia" w:hAnsiTheme="majorEastAsia" w:eastAsiaTheme="maj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15.2</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递交投标文件地点</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南宁市良庆区玉洞大道33号（青少年活动中心旁）市民中心9楼南宁市公共资源交易中心（具体详见9楼电子显示屏场地安排）</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sz w:val="24"/>
              </w:rPr>
              <w:t>为做好疫情防控工作，本项目的投标文件通过邮寄快递的方式送达，具体要求详见招标文件。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16.1</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开标地点</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17.3</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评标方法</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23.1</w:t>
            </w:r>
          </w:p>
        </w:tc>
        <w:tc>
          <w:tcPr>
            <w:tcW w:w="255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中标通知书的发放</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93"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b/>
                <w:sz w:val="24"/>
                <w:szCs w:val="24"/>
              </w:rPr>
            </w:pPr>
            <w:r>
              <w:rPr>
                <w:rFonts w:cs="宋体" w:asciiTheme="majorEastAsia" w:hAnsiTheme="majorEastAsia" w:eastAsiaTheme="majorEastAsia"/>
                <w:b/>
                <w:sz w:val="24"/>
                <w:szCs w:val="24"/>
              </w:rPr>
              <w:t>30</w:t>
            </w:r>
          </w:p>
        </w:tc>
        <w:tc>
          <w:tcPr>
            <w:tcW w:w="25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Theme="majorEastAsia" w:hAnsiTheme="majorEastAsia" w:eastAsiaTheme="majorEastAsia"/>
                <w:b/>
                <w:sz w:val="24"/>
              </w:rPr>
            </w:pPr>
            <w:r>
              <w:rPr>
                <w:rFonts w:hint="eastAsia" w:asciiTheme="majorEastAsia" w:hAnsiTheme="majorEastAsia" w:eastAsiaTheme="majorEastAsia"/>
                <w:b/>
                <w:sz w:val="24"/>
              </w:rPr>
              <w:t>需要补充的其他内容</w:t>
            </w:r>
          </w:p>
        </w:tc>
        <w:tc>
          <w:tcPr>
            <w:tcW w:w="651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b/>
                <w:sz w:val="24"/>
                <w:szCs w:val="24"/>
              </w:rPr>
            </w:pPr>
            <w:r>
              <w:rPr>
                <w:rFonts w:cs="宋体" w:asciiTheme="majorEastAsia" w:hAnsiTheme="majorEastAsia" w:eastAsiaTheme="majorEastAsia"/>
                <w:b/>
                <w:sz w:val="24"/>
                <w:szCs w:val="24"/>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jc w:val="center"/>
        <w:rPr>
          <w:rFonts w:asciiTheme="majorEastAsia" w:hAnsiTheme="majorEastAsia" w:eastAsiaTheme="majorEastAsia"/>
          <w:b/>
          <w:kern w:val="2"/>
          <w:sz w:val="30"/>
          <w:szCs w:val="30"/>
        </w:rPr>
      </w:pPr>
      <w:bookmarkStart w:id="21" w:name="_Toc508092929"/>
      <w:bookmarkStart w:id="22" w:name="_Toc448343856"/>
      <w:bookmarkStart w:id="23" w:name="_Toc213326416"/>
      <w:r>
        <w:rPr>
          <w:rFonts w:asciiTheme="majorEastAsia" w:hAnsiTheme="majorEastAsia" w:eastAsiaTheme="majorEastAsia"/>
          <w:b/>
          <w:sz w:val="30"/>
          <w:szCs w:val="30"/>
        </w:rPr>
        <w:br w:type="page"/>
      </w:r>
      <w:bookmarkEnd w:id="21"/>
      <w:bookmarkEnd w:id="22"/>
      <w:bookmarkEnd w:id="23"/>
    </w:p>
    <w:p>
      <w:pPr>
        <w:pStyle w:val="16"/>
        <w:spacing w:line="360" w:lineRule="auto"/>
        <w:jc w:val="center"/>
        <w:outlineLvl w:val="1"/>
        <w:rPr>
          <w:rFonts w:cs="宋体" w:asciiTheme="majorEastAsia" w:hAnsiTheme="majorEastAsia" w:eastAsiaTheme="majorEastAsia"/>
          <w:b/>
          <w:sz w:val="30"/>
          <w:szCs w:val="30"/>
        </w:rPr>
      </w:pPr>
      <w:bookmarkStart w:id="24" w:name="_Toc5564"/>
      <w:r>
        <w:rPr>
          <w:rFonts w:cs="宋体" w:asciiTheme="majorEastAsia" w:hAnsiTheme="majorEastAsia" w:eastAsiaTheme="majorEastAsia"/>
          <w:b/>
          <w:sz w:val="30"/>
          <w:szCs w:val="30"/>
        </w:rPr>
        <w:t>一    总则</w:t>
      </w:r>
      <w:bookmarkEnd w:id="24"/>
    </w:p>
    <w:p>
      <w:pPr>
        <w:pStyle w:val="16"/>
        <w:spacing w:line="360" w:lineRule="auto"/>
        <w:ind w:left="1"/>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  项目概况</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sz w:val="24"/>
          <w:szCs w:val="24"/>
        </w:rPr>
        <w:t>1.1  采购人：</w:t>
      </w:r>
      <w:r>
        <w:rPr>
          <w:rFonts w:cs="宋体" w:asciiTheme="majorEastAsia" w:hAnsiTheme="majorEastAsia" w:eastAsiaTheme="majorEastAsia"/>
          <w:bCs/>
          <w:sz w:val="24"/>
          <w:szCs w:val="24"/>
        </w:rPr>
        <w:t>见投标人须知前附表。</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sz w:val="24"/>
          <w:szCs w:val="24"/>
        </w:rPr>
        <w:t>1.2  采购代理机构：</w:t>
      </w:r>
      <w:r>
        <w:rPr>
          <w:rFonts w:cs="宋体" w:asciiTheme="majorEastAsia" w:hAnsiTheme="majorEastAsia" w:eastAsiaTheme="majorEastAsia"/>
          <w:bCs/>
          <w:sz w:val="24"/>
          <w:szCs w:val="24"/>
        </w:rPr>
        <w:t>见投标人须知前附表。</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1.3  项目名称：见投标人须知前附表。</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1.4  项目编号：见投标人须知前附表</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1.5  采购预算：见投标人须知前附表。</w:t>
      </w:r>
    </w:p>
    <w:p>
      <w:pPr>
        <w:pStyle w:val="16"/>
        <w:spacing w:line="360" w:lineRule="auto"/>
        <w:ind w:firstLine="480" w:firstLineChars="200"/>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1.6  资金来源：财政性资金。</w:t>
      </w:r>
    </w:p>
    <w:p>
      <w:pPr>
        <w:pStyle w:val="16"/>
        <w:spacing w:line="360" w:lineRule="auto"/>
        <w:ind w:left="2" w:firstLine="480" w:firstLineChars="20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1.7  获取招标文件的方式：见投标人须知前附表。</w:t>
      </w:r>
    </w:p>
    <w:p>
      <w:pPr>
        <w:pStyle w:val="16"/>
        <w:spacing w:line="360" w:lineRule="auto"/>
        <w:ind w:left="2" w:firstLine="480" w:firstLineChars="20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1.8  预留采购份额：见投标人须知前附表。</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2.  政府采购信息发布媒体：</w:t>
      </w:r>
    </w:p>
    <w:p>
      <w:pPr>
        <w:pStyle w:val="16"/>
        <w:spacing w:line="360" w:lineRule="auto"/>
        <w:ind w:left="2" w:firstLine="480" w:firstLineChars="20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2.1  与本项目相关的政府采购业务信息（包括公开招标公告、中标公告及其更正事项等）将在以下媒体上发布：中国政府采购网、广西壮族自治区政府采购网、南宁市公共资源交易中心网发布。</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 xml:space="preserve">2.2  </w:t>
      </w:r>
      <w:r>
        <w:rPr>
          <w:rFonts w:hint="eastAsia" w:asciiTheme="majorEastAsia" w:hAnsiTheme="majorEastAsia" w:eastAsiaTheme="majorEastAsia"/>
          <w:sz w:val="24"/>
        </w:rPr>
        <w:t>本项目公开招标公告期限为公告发布之日起</w:t>
      </w:r>
      <w:r>
        <w:rPr>
          <w:rFonts w:asciiTheme="majorEastAsia" w:hAnsiTheme="majorEastAsia" w:eastAsiaTheme="majorEastAsia"/>
          <w:sz w:val="24"/>
        </w:rPr>
        <w:t>5个工作日。</w:t>
      </w:r>
    </w:p>
    <w:p>
      <w:pPr>
        <w:pStyle w:val="16"/>
        <w:spacing w:line="360" w:lineRule="auto"/>
        <w:ind w:left="1"/>
        <w:jc w:val="left"/>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3.  投标人资格要求：</w:t>
      </w:r>
    </w:p>
    <w:p>
      <w:pPr>
        <w:pStyle w:val="16"/>
        <w:spacing w:line="360" w:lineRule="auto"/>
        <w:ind w:firstLine="480" w:firstLineChars="200"/>
        <w:rPr>
          <w:rFonts w:cs="宋体" w:asciiTheme="majorEastAsia" w:hAnsiTheme="majorEastAsia" w:eastAsiaTheme="majorEastAsia"/>
          <w:bCs/>
        </w:rPr>
      </w:pPr>
      <w:r>
        <w:rPr>
          <w:rFonts w:cs="宋体" w:asciiTheme="majorEastAsia" w:hAnsiTheme="majorEastAsia" w:eastAsiaTheme="majorEastAsia"/>
          <w:bCs/>
          <w:sz w:val="24"/>
          <w:szCs w:val="24"/>
        </w:rPr>
        <w:t>3.1  投标人未被列入失信被执行人、重大税收违法案件当事人名单、政府采购严重违法失信行为记录名单，且应符合《中华人民共和国政府采购法》第二十二条规定的下列投标人资格条件：</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（1）具有独立承担民事责任的能力；</w:t>
      </w:r>
    </w:p>
    <w:p>
      <w:pPr>
        <w:pStyle w:val="16"/>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（2）具有良好的商业信誉和健全的财务会计制度；</w:t>
      </w:r>
    </w:p>
    <w:p>
      <w:pPr>
        <w:pStyle w:val="16"/>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（3）具有履行合同所必需的设备和专业技术能力；</w:t>
      </w:r>
    </w:p>
    <w:p>
      <w:pPr>
        <w:pStyle w:val="16"/>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（4）有依法缴纳税收和社会保障资金的良好记录；</w:t>
      </w:r>
    </w:p>
    <w:p>
      <w:pPr>
        <w:pStyle w:val="16"/>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（5）参加政府采购活动前三年内，在经营活动中没有重大违法记录；</w:t>
      </w:r>
    </w:p>
    <w:p>
      <w:pPr>
        <w:pStyle w:val="16"/>
        <w:spacing w:line="360" w:lineRule="auto"/>
        <w:ind w:firstLine="42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（6）法律、行政法规规定的其他条件。</w:t>
      </w:r>
    </w:p>
    <w:p>
      <w:pPr>
        <w:pStyle w:val="16"/>
        <w:spacing w:line="360" w:lineRule="auto"/>
        <w:ind w:firstLine="360" w:firstLineChars="15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3.2  针对本项目，投标人应具备的特定条件：见投标人须知前附表。</w:t>
      </w:r>
    </w:p>
    <w:p>
      <w:pPr>
        <w:pStyle w:val="16"/>
        <w:spacing w:line="360" w:lineRule="auto"/>
        <w:ind w:left="2" w:firstLine="36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6"/>
        <w:spacing w:line="360" w:lineRule="auto"/>
        <w:ind w:left="2" w:firstLine="36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3.4  投标人不得直接或间接地与为本次采购的项目内容进行设计、编制规范和其他文件的咨询公司、采购代理机构或其附属机构有任何关联。 </w:t>
      </w:r>
    </w:p>
    <w:p>
      <w:pPr>
        <w:pStyle w:val="16"/>
        <w:spacing w:line="360" w:lineRule="auto"/>
        <w:ind w:left="242" w:hanging="242" w:hangingChars="101"/>
        <w:jc w:val="left"/>
        <w:rPr>
          <w:rFonts w:cs="宋体" w:asciiTheme="majorEastAsia" w:hAnsiTheme="majorEastAsia" w:eastAsiaTheme="majorEastAsia"/>
          <w:bCs/>
          <w:sz w:val="24"/>
        </w:rPr>
      </w:pPr>
      <w:r>
        <w:rPr>
          <w:rFonts w:cs="宋体" w:asciiTheme="majorEastAsia" w:hAnsiTheme="majorEastAsia" w:eastAsiaTheme="majorEastAsia"/>
          <w:bCs/>
          <w:sz w:val="24"/>
        </w:rPr>
        <w:t>4.质疑</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asciiTheme="majorEastAsia" w:hAnsiTheme="majorEastAsia" w:eastAsiaTheme="majorEastAsia"/>
          <w:bCs/>
          <w:kern w:val="2"/>
          <w:sz w:val="24"/>
          <w:szCs w:val="24"/>
        </w:rPr>
        <w:t xml:space="preserve">4.1 </w:t>
      </w:r>
      <w:r>
        <w:rPr>
          <w:rFonts w:hint="eastAsia" w:asciiTheme="majorEastAsia" w:hAnsiTheme="majorEastAsia" w:eastAsiaTheme="majorEastAsia"/>
          <w:bCs/>
          <w:kern w:val="2"/>
          <w:sz w:val="24"/>
          <w:szCs w:val="24"/>
        </w:rPr>
        <w:t>投标人认为招标文件、采购过程或中标结果使自己的合法权益受到损害的，应当在知道或者应知其权益受到损害之日起七个工作日内，以书面形式向采购人、采购代理机构提出质疑。</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asciiTheme="majorEastAsia" w:hAnsiTheme="majorEastAsia" w:eastAsiaTheme="majorEastAsia"/>
          <w:bCs/>
          <w:kern w:val="2"/>
          <w:sz w:val="24"/>
          <w:szCs w:val="24"/>
        </w:rPr>
        <w:t>4.2提出质疑的投标人应当是参与所质疑项目采购活动的供应商，质疑函应按</w:t>
      </w:r>
      <w:r>
        <w:fldChar w:fldCharType="begin"/>
      </w:r>
      <w:r>
        <w:instrText xml:space="preserve"> HYPERLINK "https://www.baidu.com/link?url=FnEKpEfecgHI29OKpvrr0ThhhsjQDNw-iC11hZexO2s8DSLZMvZjUN1CP-ntt8geS3G5mNVZ0i2D2OwgmglOo6vjFDXXMR3ZdYuFwaHcBwa&amp;wd=&amp;eqid=f309d5cf0000e588000000065a976ec3" \t "_blank" </w:instrText>
      </w:r>
      <w:r>
        <w:fldChar w:fldCharType="separate"/>
      </w:r>
      <w:r>
        <w:rPr>
          <w:rStyle w:val="34"/>
          <w:rFonts w:hint="eastAsia" w:asciiTheme="majorEastAsia" w:hAnsiTheme="majorEastAsia" w:eastAsiaTheme="majorEastAsia"/>
          <w:bCs/>
          <w:color w:val="auto"/>
          <w:kern w:val="2"/>
          <w:sz w:val="24"/>
          <w:szCs w:val="24"/>
        </w:rPr>
        <w:t>财政部发布《政府采购供应商质疑函范本》</w:t>
      </w:r>
      <w:r>
        <w:rPr>
          <w:rStyle w:val="34"/>
          <w:rFonts w:hint="eastAsia" w:asciiTheme="majorEastAsia" w:hAnsiTheme="majorEastAsia" w:eastAsiaTheme="majorEastAsia"/>
          <w:bCs/>
          <w:color w:val="auto"/>
          <w:kern w:val="2"/>
          <w:sz w:val="24"/>
          <w:szCs w:val="24"/>
        </w:rPr>
        <w:fldChar w:fldCharType="end"/>
      </w:r>
      <w:r>
        <w:rPr>
          <w:rFonts w:hint="eastAsia" w:asciiTheme="majorEastAsia" w:hAnsiTheme="majorEastAsia" w:eastAsiaTheme="majorEastAsia"/>
          <w:bCs/>
          <w:kern w:val="2"/>
          <w:sz w:val="24"/>
          <w:szCs w:val="24"/>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w:t>
      </w:r>
      <w:r>
        <w:rPr>
          <w:rFonts w:asciiTheme="majorEastAsia" w:hAnsiTheme="majorEastAsia" w:eastAsiaTheme="majorEastAsia"/>
          <w:bCs/>
          <w:kern w:val="2"/>
          <w:sz w:val="24"/>
          <w:szCs w:val="24"/>
        </w:rPr>
        <w:t>94号）规定，</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asciiTheme="majorEastAsia" w:hAnsiTheme="majorEastAsia" w:eastAsiaTheme="majorEastAsia"/>
          <w:bCs/>
          <w:kern w:val="2"/>
          <w:sz w:val="24"/>
          <w:szCs w:val="24"/>
        </w:rPr>
        <w:t>4.3供应商质疑实行实名制，其质疑应当有具体的质疑事项及事实根据，质疑应当坚持依法依规、诚实信用原则，不得进行虚假、恶意质疑。</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asciiTheme="majorEastAsia" w:hAnsiTheme="majorEastAsia" w:eastAsiaTheme="majorEastAsia"/>
          <w:bCs/>
          <w:kern w:val="2"/>
          <w:sz w:val="24"/>
          <w:szCs w:val="24"/>
        </w:rPr>
        <w:t>4.4供应商提交质疑应当提交质疑函和必要的证明材料，质疑函应当包括下列内容：</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w:t>
      </w:r>
      <w:r>
        <w:rPr>
          <w:rFonts w:asciiTheme="majorEastAsia" w:hAnsiTheme="majorEastAsia" w:eastAsiaTheme="majorEastAsia"/>
          <w:bCs/>
          <w:kern w:val="2"/>
          <w:sz w:val="24"/>
          <w:szCs w:val="24"/>
        </w:rPr>
        <w:t>1）供应商的姓名或者名称、地址、邮编、联系人及联系电话；</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w:t>
      </w:r>
      <w:r>
        <w:rPr>
          <w:rFonts w:asciiTheme="majorEastAsia" w:hAnsiTheme="majorEastAsia" w:eastAsiaTheme="majorEastAsia"/>
          <w:bCs/>
          <w:kern w:val="2"/>
          <w:sz w:val="24"/>
          <w:szCs w:val="24"/>
        </w:rPr>
        <w:t>2）质疑项目的名称、编号；</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w:t>
      </w:r>
      <w:r>
        <w:rPr>
          <w:rFonts w:asciiTheme="majorEastAsia" w:hAnsiTheme="majorEastAsia" w:eastAsiaTheme="majorEastAsia"/>
          <w:bCs/>
          <w:kern w:val="2"/>
          <w:sz w:val="24"/>
          <w:szCs w:val="24"/>
        </w:rPr>
        <w:t>3）具体、明确的质疑事项和质疑事项相关的请求；</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w:t>
      </w:r>
      <w:r>
        <w:rPr>
          <w:rFonts w:asciiTheme="majorEastAsia" w:hAnsiTheme="majorEastAsia" w:eastAsiaTheme="majorEastAsia"/>
          <w:bCs/>
          <w:kern w:val="2"/>
          <w:sz w:val="24"/>
          <w:szCs w:val="24"/>
        </w:rPr>
        <w:t>4）事实依据；</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w:t>
      </w:r>
      <w:r>
        <w:rPr>
          <w:rFonts w:asciiTheme="majorEastAsia" w:hAnsiTheme="majorEastAsia" w:eastAsiaTheme="majorEastAsia"/>
          <w:bCs/>
          <w:kern w:val="2"/>
          <w:sz w:val="24"/>
          <w:szCs w:val="24"/>
        </w:rPr>
        <w:t>5）必要的法律依据；</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w:t>
      </w:r>
      <w:r>
        <w:rPr>
          <w:rFonts w:asciiTheme="majorEastAsia" w:hAnsiTheme="majorEastAsia" w:eastAsiaTheme="majorEastAsia"/>
          <w:bCs/>
          <w:kern w:val="2"/>
          <w:sz w:val="24"/>
          <w:szCs w:val="24"/>
        </w:rPr>
        <w:t>6）提起质疑的日期；</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质疑书应当署名。供应商为自然人的，应当由本人签字；质疑供应商为法人或者其他组织的，应当由法定代表人、主要负责人签字或其授权代表签字或盖章并加盖公章。</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asciiTheme="majorEastAsia" w:hAnsiTheme="majorEastAsia" w:eastAsiaTheme="majorEastAsia"/>
          <w:bCs/>
          <w:kern w:val="2"/>
          <w:sz w:val="24"/>
          <w:szCs w:val="24"/>
        </w:rPr>
        <w:t xml:space="preserve">4.5 </w:t>
      </w:r>
      <w:r>
        <w:rPr>
          <w:rFonts w:hint="eastAsia" w:asciiTheme="majorEastAsia" w:hAnsiTheme="majorEastAsia" w:eastAsiaTheme="majorEastAsia"/>
          <w:bCs/>
          <w:kern w:val="2"/>
          <w:sz w:val="24"/>
          <w:szCs w:val="24"/>
        </w:rPr>
        <w:t>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asciiTheme="majorEastAsia" w:hAnsiTheme="majorEastAsia" w:eastAsiaTheme="majorEastAsia"/>
          <w:bCs/>
          <w:kern w:val="2"/>
          <w:sz w:val="24"/>
          <w:szCs w:val="24"/>
        </w:rPr>
        <w:t xml:space="preserve">4.6  </w:t>
      </w:r>
      <w:r>
        <w:rPr>
          <w:rFonts w:hint="eastAsia" w:asciiTheme="majorEastAsia" w:hAnsiTheme="majorEastAsia" w:eastAsiaTheme="majorEastAsia"/>
          <w:bCs/>
          <w:kern w:val="2"/>
          <w:sz w:val="24"/>
          <w:szCs w:val="24"/>
        </w:rPr>
        <w:t>质疑供应商提起质疑应当符合下列条件：</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w:t>
      </w:r>
      <w:r>
        <w:rPr>
          <w:rFonts w:asciiTheme="majorEastAsia" w:hAnsiTheme="majorEastAsia" w:eastAsiaTheme="majorEastAsia"/>
          <w:bCs/>
          <w:kern w:val="2"/>
          <w:sz w:val="24"/>
          <w:szCs w:val="24"/>
        </w:rPr>
        <w:t>1）质疑供应商是参与所质疑政府采购活动的供应商，以联合体形式参加政府采购活动的，其质疑应当由组成联合体的所有供应商共同提出；</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w:t>
      </w:r>
      <w:r>
        <w:rPr>
          <w:rFonts w:asciiTheme="majorEastAsia" w:hAnsiTheme="majorEastAsia" w:eastAsiaTheme="majorEastAsia"/>
          <w:bCs/>
          <w:kern w:val="2"/>
          <w:sz w:val="24"/>
          <w:szCs w:val="24"/>
        </w:rPr>
        <w:t>2）质疑函内容符合本章第4.4项的规定；</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w:t>
      </w:r>
      <w:r>
        <w:rPr>
          <w:rFonts w:asciiTheme="majorEastAsia" w:hAnsiTheme="majorEastAsia" w:eastAsiaTheme="majorEastAsia"/>
          <w:bCs/>
          <w:kern w:val="2"/>
          <w:sz w:val="24"/>
          <w:szCs w:val="24"/>
        </w:rPr>
        <w:t>3）在质疑有效期限内提起质疑；</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w:t>
      </w:r>
      <w:r>
        <w:rPr>
          <w:rFonts w:asciiTheme="majorEastAsia" w:hAnsiTheme="majorEastAsia" w:eastAsiaTheme="majorEastAsia"/>
          <w:bCs/>
          <w:kern w:val="2"/>
          <w:sz w:val="24"/>
          <w:szCs w:val="24"/>
        </w:rPr>
        <w:t>4）属于所质疑的采购人或采购人委托的采购代理机构组织的采购活动；</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w:t>
      </w:r>
      <w:r>
        <w:rPr>
          <w:rFonts w:asciiTheme="majorEastAsia" w:hAnsiTheme="majorEastAsia" w:eastAsiaTheme="majorEastAsia"/>
          <w:bCs/>
          <w:kern w:val="2"/>
          <w:sz w:val="24"/>
          <w:szCs w:val="24"/>
        </w:rPr>
        <w:t xml:space="preserve">5）同一质疑事项未经采购人或采购人委托的采购代理机构质疑处理； </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w:t>
      </w:r>
      <w:r>
        <w:rPr>
          <w:rFonts w:asciiTheme="majorEastAsia" w:hAnsiTheme="majorEastAsia" w:eastAsiaTheme="majorEastAsia"/>
          <w:bCs/>
          <w:kern w:val="2"/>
          <w:sz w:val="24"/>
          <w:szCs w:val="24"/>
        </w:rPr>
        <w:t>6）供应商对同一采购程序环节的质疑应当在质疑有效期内一次性提出；</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w:t>
      </w:r>
      <w:r>
        <w:rPr>
          <w:rFonts w:asciiTheme="majorEastAsia" w:hAnsiTheme="majorEastAsia" w:eastAsiaTheme="majorEastAsia"/>
          <w:bCs/>
          <w:kern w:val="2"/>
          <w:sz w:val="24"/>
          <w:szCs w:val="24"/>
        </w:rPr>
        <w:t>7）供应商提交质疑应当提交必要的证明材料，证明材料应以合法手段取得；</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hint="eastAsia" w:asciiTheme="majorEastAsia" w:hAnsiTheme="majorEastAsia" w:eastAsiaTheme="majorEastAsia"/>
          <w:bCs/>
          <w:kern w:val="2"/>
          <w:sz w:val="24"/>
          <w:szCs w:val="24"/>
        </w:rPr>
        <w:t>（</w:t>
      </w:r>
      <w:r>
        <w:rPr>
          <w:rFonts w:asciiTheme="majorEastAsia" w:hAnsiTheme="majorEastAsia" w:eastAsiaTheme="majorEastAsia"/>
          <w:bCs/>
          <w:kern w:val="2"/>
          <w:sz w:val="24"/>
          <w:szCs w:val="24"/>
        </w:rPr>
        <w:t>8）财政部门规定的其他条件。</w:t>
      </w:r>
    </w:p>
    <w:p>
      <w:pPr>
        <w:widowControl w:val="0"/>
        <w:adjustRightInd/>
        <w:snapToGrid/>
        <w:spacing w:after="0" w:line="440" w:lineRule="exact"/>
        <w:ind w:firstLine="480" w:firstLineChars="200"/>
        <w:jc w:val="both"/>
        <w:rPr>
          <w:rFonts w:asciiTheme="majorEastAsia" w:hAnsiTheme="majorEastAsia" w:eastAsiaTheme="majorEastAsia"/>
          <w:bCs/>
          <w:kern w:val="2"/>
          <w:sz w:val="24"/>
          <w:szCs w:val="24"/>
        </w:rPr>
      </w:pPr>
      <w:r>
        <w:rPr>
          <w:rFonts w:asciiTheme="majorEastAsia" w:hAnsiTheme="majorEastAsia" w:eastAsiaTheme="majorEastAsia"/>
          <w:bCs/>
          <w:kern w:val="2"/>
          <w:sz w:val="24"/>
          <w:szCs w:val="24"/>
        </w:rPr>
        <w:t xml:space="preserve">4.7  </w:t>
      </w:r>
      <w:r>
        <w:rPr>
          <w:rFonts w:hint="eastAsia" w:asciiTheme="majorEastAsia" w:hAnsiTheme="majorEastAsia" w:eastAsiaTheme="majorEastAsia"/>
          <w:bCs/>
          <w:kern w:val="2"/>
          <w:sz w:val="24"/>
          <w:szCs w:val="24"/>
        </w:rPr>
        <w:t>采购人或采购人委托的采购代理机构自受理质疑之日起七个工作日内，对质疑事项作出答复，并以书面形式通知质疑供应商及其他有关供应商。</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  投诉</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政府采购监督管理部门提起投诉。</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（1）投诉人和被投诉人的名称、地址、电话等； </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（2）具体的投诉事项及事实依据；</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（3）质疑和质疑答复情况及相关证明材料； </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（4）提起投诉的日期。</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投诉书应当署名。投诉人为自然人的，应当由本人签字；投诉人为法人或者其他组织的，应当由法定代表人或者主要负责人签字盖章并加盖公章。</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5.3  投诉人可以委托代理人办理投诉事务。代理人办理投诉事务时，除提交投诉书外，还应当提交投诉人的授权委托书，授权委托书应当载明委托代理的具体权限和事项。</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5.4  投诉人提起投诉应当符合下列条件：</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（1）投诉人是参与所投诉政府采购活动的供应商；</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（2）提起投诉前已依法进行质疑；</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（3）投诉书内容符合本章第5.2项的规定；</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（4）在投诉有效期限内提起投诉；</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（5）属于南宁市政府采购监督管理部门管辖；</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（6）同一投诉事项未经南宁市政府采购监督管理部门投诉处理；</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（7）国务院财政部门规定的其他条件。</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5.5  南宁市政府采购监督管理部门自受理投诉之日起30个工作日内，对投诉事项作出处理决定，并以书面形式通知投诉人、被投诉人及其他与投诉处理结果有利害关系的政府采购当事人。</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5.6  南宁市政府采购监督管理部门在处理投诉事项期间，可以视具体情况暂停采购活动。</w:t>
      </w:r>
    </w:p>
    <w:p>
      <w:pPr>
        <w:pStyle w:val="16"/>
        <w:spacing w:line="360" w:lineRule="auto"/>
        <w:jc w:val="center"/>
        <w:outlineLvl w:val="1"/>
        <w:rPr>
          <w:rFonts w:cs="宋体" w:asciiTheme="majorEastAsia" w:hAnsiTheme="majorEastAsia" w:eastAsiaTheme="majorEastAsia"/>
          <w:b/>
          <w:sz w:val="30"/>
          <w:szCs w:val="30"/>
        </w:rPr>
      </w:pPr>
      <w:bookmarkStart w:id="25" w:name="_Toc213326417"/>
      <w:bookmarkStart w:id="26" w:name="_Toc448343857"/>
      <w:bookmarkStart w:id="27" w:name="_Toc19901"/>
      <w:bookmarkStart w:id="28" w:name="_Toc508092930"/>
      <w:r>
        <w:rPr>
          <w:rFonts w:cs="宋体" w:asciiTheme="majorEastAsia" w:hAnsiTheme="majorEastAsia" w:eastAsiaTheme="majorEastAsia"/>
          <w:b/>
          <w:sz w:val="30"/>
          <w:szCs w:val="30"/>
        </w:rPr>
        <w:t>二    公开招标文件</w:t>
      </w:r>
      <w:bookmarkEnd w:id="25"/>
      <w:bookmarkEnd w:id="26"/>
      <w:bookmarkEnd w:id="27"/>
      <w:bookmarkEnd w:id="28"/>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6.  公开招标文件的组成</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6.1  本</w:t>
      </w:r>
      <w:r>
        <w:rPr>
          <w:rFonts w:cs="宋体" w:asciiTheme="majorEastAsia" w:hAnsiTheme="majorEastAsia" w:eastAsiaTheme="majorEastAsia"/>
          <w:bCs/>
          <w:sz w:val="24"/>
          <w:szCs w:val="24"/>
        </w:rPr>
        <w:t>公开招标</w:t>
      </w:r>
      <w:r>
        <w:rPr>
          <w:rFonts w:cs="宋体" w:asciiTheme="majorEastAsia" w:hAnsiTheme="majorEastAsia" w:eastAsiaTheme="majorEastAsia"/>
          <w:sz w:val="24"/>
          <w:szCs w:val="24"/>
        </w:rPr>
        <w:t>文件包括六个章节，各章的内容如下：</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第一章  公告</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第二章  服务需求一览表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第三章  评标方法</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第四章  投标人须知</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第五章  投标文件格式</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第六章  合同条款及格式</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6.2  根据本章第7.1项的规定对公开招标文件所做的澄清、修改，构成招标文件的组成部分。当公开招标文件与招标文件的澄清和修改就同一内容的表述不一致时，以最后发出的书面文件为准。</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7.  招标文件的澄清和修改</w:t>
      </w:r>
    </w:p>
    <w:p>
      <w:pPr>
        <w:spacing w:after="165" w:line="360" w:lineRule="auto"/>
        <w:ind w:left="2" w:firstLine="480"/>
        <w:rPr>
          <w:rFonts w:asciiTheme="majorEastAsia" w:hAnsiTheme="majorEastAsia" w:eastAsiaTheme="majorEastAsia"/>
          <w:sz w:val="24"/>
        </w:rPr>
      </w:pPr>
      <w:r>
        <w:rPr>
          <w:rFonts w:asciiTheme="majorEastAsia" w:hAnsiTheme="majorEastAsia" w:eastAsiaTheme="majorEastAsia"/>
          <w:sz w:val="24"/>
        </w:rPr>
        <w:t xml:space="preserve">7.1  </w:t>
      </w:r>
      <w:r>
        <w:rPr>
          <w:rFonts w:hint="eastAsia" w:asciiTheme="majorEastAsia" w:hAnsiTheme="majorEastAsia" w:eastAsiaTheme="majorEastAsia"/>
          <w:sz w:val="24"/>
        </w:rPr>
        <w:t>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spacing w:line="360" w:lineRule="auto"/>
        <w:ind w:left="2" w:firstLine="360"/>
        <w:rPr>
          <w:rFonts w:asciiTheme="majorEastAsia" w:hAnsiTheme="majorEastAsia" w:eastAsiaTheme="majorEastAsia"/>
          <w:sz w:val="24"/>
        </w:rPr>
      </w:pPr>
      <w:r>
        <w:rPr>
          <w:rFonts w:asciiTheme="majorEastAsia" w:hAnsiTheme="majorEastAsia" w:eastAsiaTheme="majorEastAsia"/>
          <w:sz w:val="24"/>
        </w:rPr>
        <w:t xml:space="preserve">7.2  </w:t>
      </w:r>
      <w:r>
        <w:rPr>
          <w:rFonts w:hint="eastAsia" w:asciiTheme="majorEastAsia" w:hAnsiTheme="majorEastAsia" w:eastAsiaTheme="majorEastAsia"/>
          <w:sz w:val="24"/>
        </w:rPr>
        <w:t>采购人或采购代理机构必须在投标截止时间十五日前，以书面形式答复投标人要求澄清的问题，并将不包含问题来源的澄清通知所有招标文件收受人，除书面澄清以外的其他澄清方式及澄清内容均无效；同时，采购代理机构在本章第</w:t>
      </w:r>
      <w:r>
        <w:rPr>
          <w:rFonts w:asciiTheme="majorEastAsia" w:hAnsiTheme="majorEastAsia" w:eastAsiaTheme="majorEastAsia"/>
          <w:sz w:val="24"/>
        </w:rPr>
        <w:t>2.1项规定的政府采购信息发布媒体上发布更正公告。如果澄清发出的时间距投标截止时间不足十五日，则相应延长投标截止时间。</w:t>
      </w:r>
    </w:p>
    <w:p>
      <w:pPr>
        <w:pStyle w:val="16"/>
        <w:spacing w:line="360" w:lineRule="auto"/>
        <w:ind w:left="2" w:leftChars="1" w:firstLine="482" w:firstLineChars="200"/>
        <w:rPr>
          <w:rFonts w:cs="宋体" w:asciiTheme="majorEastAsia" w:hAnsiTheme="majorEastAsia" w:eastAsiaTheme="majorEastAsia"/>
          <w:b/>
          <w:sz w:val="24"/>
          <w:szCs w:val="24"/>
        </w:rPr>
      </w:pPr>
      <w:r>
        <w:rPr>
          <w:rFonts w:cs="宋体" w:asciiTheme="majorEastAsia" w:hAnsiTheme="majorEastAsia" w:eastAsiaTheme="majorEastAsia"/>
          <w:b/>
          <w:sz w:val="24"/>
          <w:szCs w:val="24"/>
        </w:rPr>
        <w:t>7.3 采购人或采购代理机构对已发出的招标文件进行必要澄清或修改的，应在投标截止时间十五日前，在本章第2.1项规定的政府采购信息发布媒体上发布更正公告。如果修改招标文件的时间距投标截止时间不足十五日，则相应延长投标截止时间。请各投标</w:t>
      </w:r>
      <w:r>
        <w:rPr>
          <w:rFonts w:hint="eastAsia" w:cs="宋体" w:asciiTheme="majorEastAsia" w:hAnsiTheme="majorEastAsia" w:eastAsiaTheme="majorEastAsia"/>
          <w:b/>
          <w:sz w:val="24"/>
          <w:szCs w:val="24"/>
        </w:rPr>
        <w:t>人</w:t>
      </w:r>
      <w:r>
        <w:rPr>
          <w:rFonts w:cs="宋体" w:asciiTheme="majorEastAsia" w:hAnsiTheme="majorEastAsia" w:eastAsiaTheme="majorEastAsia"/>
          <w:b/>
          <w:sz w:val="24"/>
          <w:szCs w:val="24"/>
        </w:rPr>
        <w:t>随时关注网站动态，代理机构将不再另行电话通知。</w:t>
      </w:r>
    </w:p>
    <w:p>
      <w:pPr>
        <w:pStyle w:val="16"/>
        <w:spacing w:line="360" w:lineRule="auto"/>
        <w:ind w:left="2" w:leftChars="1" w:firstLine="482" w:firstLineChars="200"/>
        <w:rPr>
          <w:rFonts w:cs="宋体" w:asciiTheme="majorEastAsia" w:hAnsiTheme="majorEastAsia" w:eastAsiaTheme="majorEastAsia"/>
          <w:b/>
          <w:bCs/>
        </w:rPr>
      </w:pPr>
      <w:r>
        <w:rPr>
          <w:rFonts w:cs="宋体" w:asciiTheme="majorEastAsia" w:hAnsiTheme="majorEastAsia" w:eastAsiaTheme="majorEastAsia"/>
          <w:b/>
          <w:sz w:val="24"/>
          <w:szCs w:val="24"/>
        </w:rPr>
        <w:t>7.4  采购人和采购代理机构可以视采购具体情况，延长投标截止时间和开标时间，但至少应当在投标截止时间三日前，在本章第2.1项规定的政府采购信息发布媒体上发布变更公告。请各投标</w:t>
      </w:r>
      <w:r>
        <w:rPr>
          <w:rFonts w:hint="eastAsia" w:cs="宋体" w:asciiTheme="majorEastAsia" w:hAnsiTheme="majorEastAsia" w:eastAsiaTheme="majorEastAsia"/>
          <w:b/>
          <w:sz w:val="24"/>
          <w:szCs w:val="24"/>
        </w:rPr>
        <w:t>人</w:t>
      </w:r>
      <w:r>
        <w:rPr>
          <w:rFonts w:cs="宋体" w:asciiTheme="majorEastAsia" w:hAnsiTheme="majorEastAsia" w:eastAsiaTheme="majorEastAsia"/>
          <w:b/>
          <w:sz w:val="24"/>
          <w:szCs w:val="24"/>
        </w:rPr>
        <w:t>随时关注网站动态，代理机构将不再另行电话通知。</w:t>
      </w:r>
    </w:p>
    <w:p>
      <w:pPr>
        <w:pStyle w:val="16"/>
        <w:spacing w:line="360" w:lineRule="auto"/>
        <w:jc w:val="center"/>
        <w:rPr>
          <w:rFonts w:cs="宋体" w:asciiTheme="majorEastAsia" w:hAnsiTheme="majorEastAsia" w:eastAsiaTheme="majorEastAsia"/>
          <w:b/>
          <w:sz w:val="30"/>
          <w:szCs w:val="30"/>
        </w:rPr>
      </w:pPr>
      <w:bookmarkStart w:id="29" w:name="_Toc448343858"/>
      <w:bookmarkStart w:id="30" w:name="_Toc213326418"/>
    </w:p>
    <w:p>
      <w:pPr>
        <w:pStyle w:val="16"/>
        <w:spacing w:line="360" w:lineRule="auto"/>
        <w:jc w:val="center"/>
        <w:outlineLvl w:val="1"/>
        <w:rPr>
          <w:rFonts w:cs="宋体" w:asciiTheme="majorEastAsia" w:hAnsiTheme="majorEastAsia" w:eastAsiaTheme="majorEastAsia"/>
          <w:b/>
          <w:sz w:val="30"/>
          <w:szCs w:val="30"/>
        </w:rPr>
      </w:pPr>
      <w:bookmarkStart w:id="31" w:name="_Toc11232"/>
      <w:bookmarkStart w:id="32" w:name="_Toc508092931"/>
      <w:r>
        <w:rPr>
          <w:rFonts w:cs="宋体" w:asciiTheme="majorEastAsia" w:hAnsiTheme="majorEastAsia" w:eastAsiaTheme="majorEastAsia"/>
          <w:b/>
          <w:sz w:val="30"/>
          <w:szCs w:val="30"/>
        </w:rPr>
        <w:t>三    投标文件</w:t>
      </w:r>
      <w:bookmarkEnd w:id="29"/>
      <w:bookmarkEnd w:id="30"/>
      <w:bookmarkEnd w:id="31"/>
      <w:bookmarkEnd w:id="32"/>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8.  投标文件的编制</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8.1  投标人应仔细阅读招标文件，在充分了解招标的内容、服务内容及要求和商务条款以及实质性要求和条件后，编写投标文件。</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8.2  对招标文件的实质性要求和条件作出响应是指投标人必须对招标文件中标注为实质性要求和条件的服务内容及要求、商务条款及其它内容</w:t>
      </w:r>
      <w:r>
        <w:rPr>
          <w:rFonts w:cs="宋体" w:asciiTheme="majorEastAsia" w:hAnsiTheme="majorEastAsia" w:eastAsiaTheme="majorEastAsia"/>
          <w:b/>
          <w:sz w:val="24"/>
          <w:szCs w:val="24"/>
        </w:rPr>
        <w:t>作出满足或者优于原要求和条件的承诺</w:t>
      </w:r>
      <w:r>
        <w:rPr>
          <w:rFonts w:cs="宋体" w:asciiTheme="majorEastAsia" w:hAnsiTheme="majorEastAsia" w:eastAsiaTheme="majorEastAsia"/>
          <w:sz w:val="24"/>
          <w:szCs w:val="24"/>
        </w:rPr>
        <w:t>。</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8.3  招标文件中标注★号的内容为实质性要求和条件。未标注★号的内容在评标时不得作为判定投标无效的依据。</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8.5  第五章“投标文件格式”中规定了投标文件格式的，应按相应格式要求编写。</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6"/>
        <w:spacing w:line="360" w:lineRule="auto"/>
        <w:ind w:left="2" w:leftChars="1"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8.7  投标文件应编制目录，且页码清晰准确。</w:t>
      </w:r>
    </w:p>
    <w:p>
      <w:pPr>
        <w:pStyle w:val="16"/>
        <w:spacing w:line="360" w:lineRule="auto"/>
        <w:ind w:left="2" w:leftChars="1" w:firstLine="482" w:firstLineChars="20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8.8 投标文件的正本和副本应分别装订成册，封面上应清楚地标记“正本”或“副本”字样，并标明项目名称、项目编号、投标人名称等内容。副本可以采用正本的复印件，当副本和正本不一致时，以正本为准。投标人应准备报价文件正本、资格文件、技术文件和商务文件正本各一份，副本份数见投标人须知前附表。</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9.  投标语言文字及计量单位</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9.1  投标人的投标文件以及投标人与采购人、采购代理机构就有关投标的所有往来函电统一使用中文（特别规定除外）。</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9.2  对不同文字文本投标文件的解释发生异议的，以中文文本为准。</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9.3  投标文件使用的计量单位除招标文件中有特殊规定外，一律使用中华人民共和国法定计量单位。</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10.  投标文件的组成</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10.1 投标人需编制的投标文件包括报价文件、资格文件、技术文件和商务文件四部分，投标人应按下列说明编写和提交。应递交的有关文件如未特别注明为原件的，可提交复印件。</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10.1.1  报价文件，包括：</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（1）投标函：按第五章“投标文件格式”提供的“投标函（格式）”的要求填写；</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w:t>
      </w:r>
      <w:r>
        <w:rPr>
          <w:rFonts w:hint="eastAsia" w:cs="宋体" w:asciiTheme="majorEastAsia" w:hAnsiTheme="majorEastAsia" w:eastAsiaTheme="majorEastAsia"/>
          <w:sz w:val="24"/>
          <w:szCs w:val="24"/>
        </w:rPr>
        <w:t>投标</w:t>
      </w:r>
      <w:r>
        <w:rPr>
          <w:rFonts w:cs="宋体" w:asciiTheme="majorEastAsia" w:hAnsiTheme="majorEastAsia" w:eastAsiaTheme="majorEastAsia"/>
          <w:sz w:val="24"/>
          <w:szCs w:val="24"/>
        </w:rPr>
        <w:t>报价表：按第五章“投标文件格式”提供的“</w:t>
      </w:r>
      <w:r>
        <w:rPr>
          <w:rFonts w:hint="eastAsia" w:cs="宋体" w:asciiTheme="majorEastAsia" w:hAnsiTheme="majorEastAsia" w:eastAsiaTheme="majorEastAsia"/>
          <w:sz w:val="24"/>
          <w:szCs w:val="24"/>
        </w:rPr>
        <w:t>投标</w:t>
      </w:r>
      <w:r>
        <w:rPr>
          <w:rFonts w:cs="宋体" w:asciiTheme="majorEastAsia" w:hAnsiTheme="majorEastAsia" w:eastAsiaTheme="majorEastAsia"/>
          <w:sz w:val="24"/>
          <w:szCs w:val="24"/>
        </w:rPr>
        <w:t>报价表（格式）”的要求填写;</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（3）中小企业声明函：按第五章“投标文件格式”提供的“中小企业声明函（格式）”的要求填写；</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（4）监狱企业证明：提供由省级以上监狱管理局、戒毒管理局（含新疆生产建设兵团）出具的属于监狱企业的证明文件。</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（5）残疾人福利性单位声明函：按第五章“投标文件格式”提供的“残疾人福利性单位声明函（格式）”的要求填写。</w:t>
      </w:r>
    </w:p>
    <w:p>
      <w:pPr>
        <w:pStyle w:val="16"/>
        <w:spacing w:line="360" w:lineRule="auto"/>
        <w:ind w:firstLine="420"/>
        <w:rPr>
          <w:rFonts w:cs="宋体" w:asciiTheme="majorEastAsia" w:hAnsiTheme="majorEastAsia" w:eastAsiaTheme="majorEastAsia"/>
          <w:b/>
          <w:sz w:val="24"/>
          <w:szCs w:val="24"/>
        </w:rPr>
      </w:pPr>
      <w:r>
        <w:rPr>
          <w:rFonts w:cs="宋体" w:asciiTheme="majorEastAsia" w:hAnsiTheme="majorEastAsia" w:eastAsiaTheme="majorEastAsia"/>
          <w:b/>
          <w:sz w:val="24"/>
          <w:szCs w:val="24"/>
        </w:rPr>
        <w:t>其中，报价文件组成要求的第（1）～（2）项必须提交；第（3）～（5）项如有请提交。</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10.1.2 资格文件组成要求，包括：</w:t>
      </w:r>
    </w:p>
    <w:p>
      <w:pPr>
        <w:spacing w:line="360" w:lineRule="auto"/>
        <w:ind w:firstLine="480" w:firstLineChars="200"/>
        <w:rPr>
          <w:rFonts w:asciiTheme="majorEastAsia" w:hAnsiTheme="majorEastAsia" w:eastAsiaTheme="majorEastAsia"/>
          <w:b/>
          <w:sz w:val="24"/>
        </w:rPr>
      </w:pPr>
      <w:r>
        <w:rPr>
          <w:rFonts w:hint="eastAsia" w:asciiTheme="majorEastAsia" w:hAnsiTheme="majorEastAsia" w:eastAsiaTheme="majorEastAsia"/>
          <w:sz w:val="24"/>
        </w:rPr>
        <w:t>（</w:t>
      </w:r>
      <w:r>
        <w:rPr>
          <w:rFonts w:asciiTheme="majorEastAsia" w:hAnsiTheme="majorEastAsia" w:eastAsiaTheme="majorEastAsia"/>
          <w:sz w:val="24"/>
        </w:rPr>
        <w:t>1）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int="eastAsia" w:asciiTheme="majorEastAsia" w:hAnsiTheme="majorEastAsia" w:eastAsiaTheme="majorEastAsia"/>
          <w:b/>
          <w:sz w:val="24"/>
        </w:rPr>
        <w:t>（注：采购人或采购代理机构在对投标人资格审查时进行信用查询，查询结果与投标文件不一致时，以采购人或采购代理机构查询结果为准。）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（3）法定代表人身份证明复印件：如使用第二代身份证应提交正、反面复印件，如法定代表人非中国国籍应提交护照复印件，要求证件有效并与营业执照或事业单位法人证中的法定代表人相符；</w:t>
      </w:r>
    </w:p>
    <w:p>
      <w:pPr>
        <w:widowControl w:val="0"/>
        <w:adjustRightInd/>
        <w:snapToGrid/>
        <w:spacing w:after="0" w:line="360" w:lineRule="auto"/>
        <w:ind w:firstLine="480" w:firstLineChars="200"/>
        <w:jc w:val="both"/>
        <w:rPr>
          <w:rFonts w:asciiTheme="majorEastAsia" w:hAnsiTheme="majorEastAsia" w:eastAsiaTheme="majorEastAsia"/>
          <w:kern w:val="2"/>
          <w:sz w:val="24"/>
          <w:szCs w:val="24"/>
        </w:rPr>
      </w:pPr>
      <w:r>
        <w:rPr>
          <w:rFonts w:hint="eastAsia" w:asciiTheme="majorEastAsia" w:hAnsiTheme="majorEastAsia" w:eastAsiaTheme="majorEastAsia"/>
          <w:kern w:val="2"/>
          <w:sz w:val="24"/>
          <w:szCs w:val="24"/>
        </w:rPr>
        <w:t>（</w:t>
      </w:r>
      <w:r>
        <w:rPr>
          <w:rFonts w:asciiTheme="majorEastAsia" w:hAnsiTheme="majorEastAsia" w:eastAsiaTheme="majorEastAsia"/>
          <w:kern w:val="2"/>
          <w:sz w:val="24"/>
          <w:szCs w:val="24"/>
        </w:rPr>
        <w:t>4）投标人直接控股、管理关系信息表，按第五</w:t>
      </w:r>
      <w:r>
        <w:rPr>
          <w:rFonts w:hint="eastAsia" w:asciiTheme="majorEastAsia" w:hAnsiTheme="majorEastAsia" w:eastAsiaTheme="majorEastAsia"/>
          <w:kern w:val="2"/>
          <w:sz w:val="24"/>
          <w:szCs w:val="24"/>
        </w:rPr>
        <w:t>章“投标文件格式”提供的“投标人直接控股、管理关系信息表（格式）”的要求填写；</w:t>
      </w:r>
    </w:p>
    <w:p>
      <w:pPr>
        <w:pStyle w:val="16"/>
        <w:spacing w:line="360" w:lineRule="auto"/>
        <w:ind w:firstLine="482" w:firstLineChars="20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其中，资格文件组成要求的第（1）～（4）项必须提交。</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10.1.3 技术文件组成要求，包括：</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（1）投标服务技术资料表：按第五章“投标文件格式”提供的“投标服务技术资料表（格式）”的要求填写；</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（2）其它：针对本项目所投标服务的主要技术指标、参数及性能的详细说明，相关的图纸、图片，产品有效检测和鉴定证明复印件，等等。</w:t>
      </w:r>
    </w:p>
    <w:p>
      <w:pPr>
        <w:pStyle w:val="16"/>
        <w:spacing w:line="360" w:lineRule="auto"/>
        <w:ind w:firstLine="482" w:firstLineChars="20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其中，技术文件组成要求的第（1）项必须提交；第（2）项如有请提交。</w:t>
      </w:r>
    </w:p>
    <w:p>
      <w:pPr>
        <w:spacing w:line="360" w:lineRule="auto"/>
        <w:ind w:firstLine="240" w:firstLineChars="100"/>
        <w:rPr>
          <w:rFonts w:asciiTheme="majorEastAsia" w:hAnsiTheme="majorEastAsia" w:eastAsiaTheme="majorEastAsia"/>
          <w:sz w:val="24"/>
        </w:rPr>
      </w:pPr>
      <w:r>
        <w:rPr>
          <w:rFonts w:asciiTheme="majorEastAsia" w:hAnsiTheme="majorEastAsia" w:eastAsiaTheme="majorEastAsia"/>
          <w:sz w:val="24"/>
        </w:rPr>
        <w:t>10.1.4 商务文件组成要求，包括：</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（1）售后服务承诺书：按第五章“投标文件格式”提供的“售后服务承诺书（格式）” 的要求填写；</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（2）商务条款偏离表：按第五章“投标文件格式”提供的“商务条款偏离表（格式）” 的要求填写；</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3）投标文件递交截止之日前半年内投标人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 ；</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（5）法定代表人授权委托书：按第五章“投标文件格式”提供的“法定代表人授权委托书（格式）”的要求填写；</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（6）委托代理人身份证明复印件：如使用第二代身份证应提交正、反面复印件，如委托代理人非中国国籍应提交护照复印件，要求证件有效并与法定代表人授权委托书中的委托代理人相符；</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（7）财务会计报表复印件：投标人近三年的经会计师事务所或审计机构审计的财务会计报表，包括资产负债表、现金流量表、利润表、财务情况说明书和审计报告；</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其它：投标人通过国家或国际认证资格证书复印件、银行出具的投标人资信证明或信用等级证明复印件、投标人近三年同类服务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b/>
          <w:sz w:val="24"/>
          <w:szCs w:val="24"/>
        </w:rPr>
        <w:t>商务文件中的第（1）～（4）项必须提交；第（5）、（6）项在委托代理时必须提交；第（7）、（8）项如有请提交。</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10.2 投标人应编制目录，按上述顺序将报价文件、资格文件、商务文件、技术文件</w:t>
      </w:r>
      <w:r>
        <w:rPr>
          <w:rFonts w:hint="eastAsia" w:asciiTheme="majorEastAsia" w:hAnsiTheme="majorEastAsia" w:eastAsiaTheme="majorEastAsia"/>
          <w:b/>
          <w:bCs/>
          <w:sz w:val="24"/>
        </w:rPr>
        <w:t>分别装订成册。特别注意投标报价不得出现在资格文件、技术文件和商务文件中。</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11.  投标报价</w:t>
      </w:r>
    </w:p>
    <w:p>
      <w:pPr>
        <w:pStyle w:val="16"/>
        <w:spacing w:line="360" w:lineRule="auto"/>
        <w:ind w:firstLine="482" w:firstLineChars="2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11.1  投标人应以人民币并按分项报价。</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11.2  投标人可就第二章“服务需求一览表”中的</w:t>
      </w:r>
      <w:r>
        <w:rPr>
          <w:rFonts w:cs="宋体" w:asciiTheme="majorEastAsia" w:hAnsiTheme="majorEastAsia" w:eastAsiaTheme="majorEastAsia"/>
          <w:b/>
          <w:sz w:val="24"/>
          <w:szCs w:val="24"/>
        </w:rPr>
        <w:t>某一个分标内容报出完整且唯一报价，也可就某几个或所有分标内容分别报出完整且唯一报价，附带有条件的报价将不予接受。</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11.3  投标报价为在采购人指定地点提交服务成果所需的全部费用，其组成部分详见第二章“服务需求一览表”。采购人不再向中标供应商支付其投标报价之外的任何费用。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11.4  本项目的采购代理服务费按物价部门核准的收费标准执行，见投标人须知前附表。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11.5  不论投标结果如何，投标人均应自行承担与编制和递交投标文件有关的全部费用。</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12.  投标有效期</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12.1  在投标人须知前附表规定的投标有效期内，投标人不得要求撤销或修改其投标文件。</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13.  投标保证金</w:t>
      </w:r>
    </w:p>
    <w:p>
      <w:pPr>
        <w:pStyle w:val="16"/>
        <w:spacing w:line="360" w:lineRule="auto"/>
        <w:ind w:firstLine="480" w:firstLineChars="200"/>
        <w:rPr>
          <w:rFonts w:cs="宋体" w:asciiTheme="majorEastAsia" w:hAnsiTheme="majorEastAsia" w:eastAsiaTheme="majorEastAsia"/>
          <w:bCs/>
          <w:sz w:val="24"/>
          <w:szCs w:val="24"/>
        </w:rPr>
      </w:pPr>
      <w:bookmarkStart w:id="33" w:name="_Toc448343859"/>
      <w:bookmarkStart w:id="34" w:name="_Toc213326419"/>
      <w:bookmarkStart w:id="35" w:name="_Toc508092932"/>
      <w:r>
        <w:rPr>
          <w:rFonts w:cs="宋体" w:asciiTheme="majorEastAsia" w:hAnsiTheme="majorEastAsia" w:eastAsiaTheme="majorEastAsia"/>
          <w:bCs/>
          <w:sz w:val="24"/>
          <w:szCs w:val="24"/>
        </w:rPr>
        <w:t>本项目不收取投标保证金。</w:t>
      </w:r>
    </w:p>
    <w:p>
      <w:pPr>
        <w:pStyle w:val="16"/>
        <w:spacing w:line="360" w:lineRule="auto"/>
        <w:jc w:val="center"/>
        <w:outlineLvl w:val="1"/>
        <w:rPr>
          <w:rFonts w:cs="宋体" w:asciiTheme="majorEastAsia" w:hAnsiTheme="majorEastAsia" w:eastAsiaTheme="majorEastAsia"/>
          <w:b/>
          <w:sz w:val="30"/>
          <w:szCs w:val="30"/>
        </w:rPr>
      </w:pPr>
      <w:bookmarkStart w:id="36" w:name="_Toc23984"/>
      <w:r>
        <w:rPr>
          <w:rFonts w:cs="宋体" w:asciiTheme="majorEastAsia" w:hAnsiTheme="majorEastAsia" w:eastAsiaTheme="majorEastAsia"/>
          <w:b/>
          <w:sz w:val="30"/>
          <w:szCs w:val="30"/>
        </w:rPr>
        <w:t>四    投标</w:t>
      </w:r>
      <w:bookmarkEnd w:id="33"/>
      <w:bookmarkEnd w:id="34"/>
      <w:bookmarkEnd w:id="35"/>
      <w:bookmarkEnd w:id="36"/>
    </w:p>
    <w:p>
      <w:pPr>
        <w:pStyle w:val="16"/>
        <w:spacing w:line="360" w:lineRule="auto"/>
        <w:ind w:firstLine="240" w:firstLineChars="10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14.  投标文件的密封</w:t>
      </w:r>
    </w:p>
    <w:p>
      <w:pPr>
        <w:pStyle w:val="16"/>
        <w:spacing w:line="360" w:lineRule="auto"/>
        <w:ind w:firstLine="241" w:firstLineChars="1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14.1  投标人应将所有投标文件密封在一个外层包封中，在外层包封上标明“投标文件”。</w:t>
      </w:r>
    </w:p>
    <w:p>
      <w:pPr>
        <w:pStyle w:val="16"/>
        <w:spacing w:line="360" w:lineRule="auto"/>
        <w:ind w:firstLine="241" w:firstLineChars="1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14.2 外层包封应写明项目名称、项目编号、采购人单位名称、投标人名称，并注明开标时间以前不得开封。</w:t>
      </w:r>
    </w:p>
    <w:p>
      <w:pPr>
        <w:pStyle w:val="16"/>
        <w:spacing w:line="360" w:lineRule="auto"/>
        <w:ind w:firstLine="241" w:firstLineChars="1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14.3 如果外包封没有按照上述规定密封，招标代理单位将不承担投标文件错放或提前开封的责任。由此造成的提前开封的投标文件将予以拒绝，并退还给投标人。</w:t>
      </w:r>
    </w:p>
    <w:p>
      <w:pPr>
        <w:pStyle w:val="16"/>
        <w:spacing w:line="360" w:lineRule="auto"/>
        <w:ind w:firstLine="241" w:firstLineChars="100"/>
        <w:rPr>
          <w:rFonts w:cs="宋体" w:asciiTheme="majorEastAsia" w:hAnsiTheme="majorEastAsia" w:eastAsiaTheme="majorEastAsia"/>
          <w:b/>
          <w:sz w:val="24"/>
          <w:szCs w:val="24"/>
        </w:rPr>
      </w:pPr>
      <w:r>
        <w:rPr>
          <w:rFonts w:cs="宋体" w:asciiTheme="majorEastAsia" w:hAnsiTheme="majorEastAsia" w:eastAsiaTheme="majorEastAsia"/>
          <w:b/>
          <w:sz w:val="24"/>
          <w:szCs w:val="24"/>
        </w:rPr>
        <w:t>14.4 外层包封封口处应加盖密封章或单位公章，若封口处没有加盖密封章或公章或破损严重，招标代理单位将其拒收。</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15.  投标文件的递交</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15.1  投标人投标截止时间：见投标人须知前附表。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15.2  投标人递交投标文件地点：见投标人须知前附表。</w:t>
      </w:r>
    </w:p>
    <w:p>
      <w:pPr>
        <w:pStyle w:val="16"/>
        <w:spacing w:line="360" w:lineRule="auto"/>
        <w:jc w:val="center"/>
        <w:rPr>
          <w:rFonts w:cs="宋体" w:asciiTheme="majorEastAsia" w:hAnsiTheme="majorEastAsia" w:eastAsiaTheme="majorEastAsia"/>
          <w:sz w:val="24"/>
          <w:szCs w:val="24"/>
        </w:rPr>
      </w:pPr>
      <w:bookmarkStart w:id="37" w:name="_Toc508092933"/>
    </w:p>
    <w:p>
      <w:pPr>
        <w:pStyle w:val="16"/>
        <w:spacing w:line="360" w:lineRule="auto"/>
        <w:jc w:val="center"/>
        <w:outlineLvl w:val="1"/>
        <w:rPr>
          <w:rFonts w:cs="宋体" w:asciiTheme="majorEastAsia" w:hAnsiTheme="majorEastAsia" w:eastAsiaTheme="majorEastAsia"/>
          <w:b/>
          <w:sz w:val="30"/>
          <w:szCs w:val="30"/>
        </w:rPr>
      </w:pPr>
      <w:bookmarkStart w:id="38" w:name="_Toc1928"/>
      <w:r>
        <w:rPr>
          <w:rFonts w:cs="宋体" w:asciiTheme="majorEastAsia" w:hAnsiTheme="majorEastAsia" w:eastAsiaTheme="majorEastAsia"/>
          <w:b/>
          <w:sz w:val="30"/>
          <w:szCs w:val="30"/>
        </w:rPr>
        <w:t>五    开标、资格审查与评标</w:t>
      </w:r>
      <w:bookmarkEnd w:id="37"/>
      <w:bookmarkEnd w:id="38"/>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16.  开标</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16.1  采购代理机构将在本章第15.1项规定的投标截止时间（即开标时间）和投标人须知前附表规定的地点公开开标，</w:t>
      </w:r>
      <w:r>
        <w:rPr>
          <w:rFonts w:cs="宋体" w:asciiTheme="majorEastAsia" w:hAnsiTheme="majorEastAsia" w:eastAsiaTheme="majorEastAsia"/>
          <w:sz w:val="24"/>
        </w:rPr>
        <w:t>投标人的法定代表人或委托代理人开标必须持证件（法定代表人凭营业执照复印件、身份证原件及复印件）或（委托代理人凭法人授权委托书原件、营业执照复印件、身份证原件及复印件）应准时参加并签到。</w:t>
      </w:r>
      <w:r>
        <w:rPr>
          <w:rFonts w:cs="宋体" w:asciiTheme="majorEastAsia" w:hAnsiTheme="majorEastAsia" w:eastAsiaTheme="majorEastAsia"/>
          <w:sz w:val="24"/>
          <w:szCs w:val="24"/>
        </w:rPr>
        <w:t>投标人的法定代表人或其委托代理人应准时参加并签到。如未按时签到，由此产生的后果由投标人自行负责。</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16.1.1 截标后由采购人或采购代理机构对投标人进行信用查询。</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查询渠道：“信用中国”网站（www.creditchina.gov.cn）、中国政府采购网（www.ccgp.gov.cn） </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查询截止时点：投标截止时间   </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查询记录和证据留存方式：在查询网站中直接打印查询记录，打印材料作为评审资料保存。</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16.2  开标程序：</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（1）开标会由采购代理机构主持，主持人宣布开标会议开始；</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（2）公布在投标截止时间前递交投标文件的投标人名称，并点名确认投标人是否派人到场；</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（3）宣布开标人、唱标人、记录人、监标人（由第三方监督单位担任）等有关人员姓名；</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（4）投标人代表按本章第14.1项的规定交叉检查投标文件的密封情况，并签字确认；</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5）按各投标人递交投标文件时间的先后顺序当众拆封投标文件，由唱标人宣读投标人名称、分标名称、投标文件正副本数量、投标报价、提交服务成果时间等以及采购代理机构认为有必要宣读的其他内容，记录人负责做开标记录；</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（6）相关人员在开标记录上签字确认；</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（7）宣布评标期间的有关事项；</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（8）开标结束。</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16.3资格审查</w:t>
      </w:r>
    </w:p>
    <w:p>
      <w:pPr>
        <w:pStyle w:val="16"/>
        <w:spacing w:line="360" w:lineRule="auto"/>
        <w:ind w:firstLine="36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采购人依据法律法规和招标文件的规定，对投标文件中的资格文件进行审查，以确定投标供应商是否具备投标资格。合格投标人不足3家的，不得评标。</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17.  评标</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17.2  评标原则：评标活动遵循公平、公正、科学和择优的原则。</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17.4  </w:t>
      </w:r>
      <w:r>
        <w:rPr>
          <w:rFonts w:cs="宋体" w:asciiTheme="majorEastAsia" w:hAnsiTheme="majorEastAsia" w:eastAsiaTheme="majorEastAsia"/>
          <w:bCs/>
          <w:sz w:val="24"/>
          <w:szCs w:val="24"/>
        </w:rPr>
        <w:t>评标程序：</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bCs/>
          <w:sz w:val="24"/>
          <w:szCs w:val="24"/>
        </w:rPr>
        <w:t>17.4.1  采购代理机构项目负责人宣读评标现场纪律要求，集中管理通讯工具，询问在场人员是否申请回避；</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bCs/>
          <w:sz w:val="24"/>
          <w:szCs w:val="24"/>
        </w:rPr>
        <w:t>17.4.2  采购代理机构项目负责人介绍项目概况及评标委员会组成情况（但不得发表影响评审的倾向性、歧视性言论），推选评标组长（原则上采购人不得担任评标组长）；</w:t>
      </w:r>
    </w:p>
    <w:p>
      <w:pPr>
        <w:spacing w:line="360" w:lineRule="auto"/>
        <w:ind w:firstLine="414"/>
        <w:rPr>
          <w:rFonts w:asciiTheme="majorEastAsia" w:hAnsiTheme="majorEastAsia" w:eastAsiaTheme="majorEastAsia"/>
          <w:sz w:val="24"/>
        </w:rPr>
      </w:pPr>
      <w:r>
        <w:rPr>
          <w:rFonts w:asciiTheme="majorEastAsia" w:hAnsiTheme="majorEastAsia" w:eastAsiaTheme="majorEastAsia"/>
          <w:sz w:val="24"/>
        </w:rPr>
        <w:t>17.4.3.1投标文件初审。符合性检查：依据招标文件的规定，从投标文件的有效性、完整性和对招标文件的响应程度进行审查，以确定是否对招标文件的实质性要求和条件作出响应。</w:t>
      </w:r>
    </w:p>
    <w:p>
      <w:pPr>
        <w:spacing w:line="360" w:lineRule="auto"/>
        <w:ind w:firstLine="306"/>
        <w:rPr>
          <w:rFonts w:asciiTheme="majorEastAsia" w:hAnsiTheme="majorEastAsia" w:eastAsiaTheme="majorEastAsia"/>
          <w:sz w:val="24"/>
        </w:rPr>
      </w:pPr>
      <w:r>
        <w:rPr>
          <w:rFonts w:asciiTheme="majorEastAsia" w:hAnsiTheme="majorEastAsia" w:eastAsiaTheme="majorEastAsia"/>
          <w:sz w:val="24"/>
        </w:rPr>
        <w:t>(1)有下列情形之一的视为投标人相互串通投标，投标文件将被视为无效。</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①不同投标人的投标文件由同一单位或者个人编制；</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②不同投标人委托同一单位或者个人办理投标事宜</w:t>
      </w:r>
      <w:r>
        <w:rPr>
          <w:rFonts w:asciiTheme="majorEastAsia" w:hAnsiTheme="majorEastAsia" w:eastAsiaTheme="majorEastAsia"/>
          <w:sz w:val="24"/>
        </w:rPr>
        <w:t>;</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③不同的投标人的投标文件载明的项目管理员为同一个人</w:t>
      </w:r>
      <w:r>
        <w:rPr>
          <w:rFonts w:asciiTheme="majorEastAsia" w:hAnsiTheme="majorEastAsia" w:eastAsiaTheme="majorEastAsia"/>
          <w:sz w:val="24"/>
        </w:rPr>
        <w:t>;</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④不同投标人的投标文件异常一致或投标报价呈规律性差异</w:t>
      </w:r>
      <w:r>
        <w:rPr>
          <w:rFonts w:asciiTheme="majorEastAsia" w:hAnsiTheme="majorEastAsia" w:eastAsiaTheme="majorEastAsia"/>
          <w:sz w:val="24"/>
        </w:rPr>
        <w:t>;</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⑤不同投标人的投标文件相互混装</w:t>
      </w:r>
      <w:r>
        <w:rPr>
          <w:rFonts w:asciiTheme="majorEastAsia" w:hAnsiTheme="majorEastAsia" w:eastAsiaTheme="majorEastAsia"/>
          <w:sz w:val="24"/>
        </w:rPr>
        <w:t>;</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2）关联供应商不得参加同一合同项下政府采购活动，否则投标文件将被视为无效</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①单位负责人为同一人或者存在直接控股、管理关系的不同的供应商，不得参加同一合同项下的政府采购活动</w:t>
      </w:r>
      <w:r>
        <w:rPr>
          <w:rFonts w:asciiTheme="majorEastAsia" w:hAnsiTheme="majorEastAsia" w:eastAsiaTheme="majorEastAsia"/>
          <w:sz w:val="24"/>
        </w:rPr>
        <w:t>;</w:t>
      </w:r>
    </w:p>
    <w:p>
      <w:pPr>
        <w:spacing w:line="360" w:lineRule="auto"/>
        <w:ind w:firstLine="306"/>
        <w:rPr>
          <w:rFonts w:asciiTheme="majorEastAsia" w:hAnsiTheme="majorEastAsia" w:eastAsiaTheme="majorEastAsia"/>
          <w:sz w:val="24"/>
        </w:rPr>
      </w:pPr>
      <w:r>
        <w:rPr>
          <w:rFonts w:hint="eastAsia" w:asciiTheme="majorEastAsia" w:hAnsiTheme="majorEastAsia" w:eastAsiaTheme="majorEastAsia"/>
          <w:sz w:val="24"/>
        </w:rPr>
        <w:t>②生产厂商授权给供应商后自己不得参加同一合同项下的政府采购活动；生产厂商对同一品牌的货物，仅能委托一个代理商参加投标。</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6"/>
        <w:spacing w:line="360" w:lineRule="auto"/>
        <w:ind w:firstLine="720" w:firstLineChars="300"/>
        <w:rPr>
          <w:rFonts w:cs="宋体" w:asciiTheme="majorEastAsia" w:hAnsiTheme="majorEastAsia" w:eastAsiaTheme="majorEastAsia"/>
          <w:sz w:val="24"/>
          <w:szCs w:val="24"/>
        </w:rPr>
      </w:pPr>
      <w:r>
        <w:rPr>
          <w:rFonts w:cs="宋体" w:asciiTheme="majorEastAsia" w:hAnsiTheme="majorEastAsia" w:eastAsiaTheme="majorEastAsia"/>
          <w:sz w:val="24"/>
          <w:szCs w:val="24"/>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6"/>
        <w:spacing w:line="360" w:lineRule="auto"/>
        <w:ind w:firstLine="600" w:firstLineChars="250"/>
        <w:rPr>
          <w:rFonts w:cs="宋体" w:asciiTheme="majorEastAsia" w:hAnsiTheme="majorEastAsia" w:eastAsiaTheme="majorEastAsia"/>
          <w:sz w:val="24"/>
          <w:szCs w:val="24"/>
        </w:rPr>
      </w:pPr>
      <w:r>
        <w:rPr>
          <w:rFonts w:cs="宋体" w:asciiTheme="majorEastAsia" w:hAnsiTheme="majorEastAsia" w:eastAsiaTheme="majorEastAsia"/>
          <w:sz w:val="24"/>
          <w:szCs w:val="24"/>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17.4.3.5编写评标报告，并确定中标供应商名单。</w:t>
      </w:r>
    </w:p>
    <w:p>
      <w:pPr>
        <w:pStyle w:val="16"/>
        <w:spacing w:line="360" w:lineRule="auto"/>
        <w:ind w:firstLine="720" w:firstLineChars="300"/>
        <w:rPr>
          <w:rFonts w:cs="宋体" w:asciiTheme="majorEastAsia" w:hAnsiTheme="majorEastAsia" w:eastAsiaTheme="majorEastAsia"/>
          <w:bCs/>
          <w:sz w:val="24"/>
          <w:szCs w:val="24"/>
        </w:rPr>
      </w:pPr>
      <w:r>
        <w:rPr>
          <w:rFonts w:cs="宋体" w:asciiTheme="majorEastAsia" w:hAnsiTheme="majorEastAsia" w:eastAsiaTheme="majorEastAsia"/>
          <w:sz w:val="24"/>
          <w:szCs w:val="24"/>
        </w:rPr>
        <w:t>17.4.4  采购代理机构对评标过程和评分、评标结论进行核对和复核，如有错漏，请当事评委进行校正，按校正后的结果确定中标供应商。</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17.5  在确定中标供应商前，采购人或采购代理机构不得与投标供应商就投标价格、投标方案等实质性内容进行谈判。</w:t>
      </w:r>
    </w:p>
    <w:p>
      <w:pPr>
        <w:pStyle w:val="16"/>
        <w:spacing w:line="360" w:lineRule="auto"/>
        <w:ind w:firstLine="480" w:firstLineChars="200"/>
        <w:rPr>
          <w:rFonts w:cs="宋体" w:asciiTheme="majorEastAsia" w:hAnsiTheme="majorEastAsia" w:eastAsiaTheme="majorEastAsia"/>
          <w:bCs/>
          <w:sz w:val="24"/>
          <w:szCs w:val="24"/>
        </w:rPr>
      </w:pPr>
      <w:r>
        <w:rPr>
          <w:rFonts w:cs="宋体" w:asciiTheme="majorEastAsia" w:hAnsiTheme="majorEastAsia" w:eastAsiaTheme="majorEastAsia"/>
          <w:sz w:val="24"/>
          <w:szCs w:val="24"/>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18.  投标文件的修正</w:t>
      </w:r>
    </w:p>
    <w:p>
      <w:pPr>
        <w:pStyle w:val="16"/>
        <w:spacing w:line="360" w:lineRule="auto"/>
        <w:ind w:firstLine="410" w:firstLineChars="171"/>
        <w:rPr>
          <w:rFonts w:cs="宋体" w:asciiTheme="majorEastAsia" w:hAnsiTheme="majorEastAsia" w:eastAsiaTheme="majorEastAsia"/>
          <w:sz w:val="24"/>
          <w:szCs w:val="24"/>
        </w:rPr>
      </w:pPr>
      <w:r>
        <w:rPr>
          <w:rFonts w:cs="宋体" w:asciiTheme="majorEastAsia" w:hAnsiTheme="majorEastAsia" w:eastAsiaTheme="majorEastAsia"/>
          <w:sz w:val="24"/>
          <w:szCs w:val="24"/>
        </w:rPr>
        <w:t>18.1  如果出现计算或表达上的错误，修正的原则如下：</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（1）投标文件中开标一览表（报价表）内容与投标文件中相应内容不一致的，以开标一览表（报价表）为准；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（2）大写金额和小写金额不一致的，以大写金额为准；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（3）单价金额小数点或者百分比有明显错位的，以开标一览表的总价为准，并修改单价；</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（4）总价金额与按单价汇总金额不一致的，以单价金额计算结果为准。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18.2同时出现两种以上不一致的，按照本条款规定的顺序修正。修正后的报价按照本章17.4.3.2的规定经投标人确认后产生约束力，投标人不确认的，其投标无效。</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19.  拒绝接收</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19.1 投标人未在本章第15.1项规定的时间之前将投标文件送达至本章第15.2项指定地点的，采购代理机构应当拒绝接收该投标人的投标文件。</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20.  无效投标</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★20.1  属下列情形之一的，投标人的投标无效：</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（1）投标人或投标文件不符合本章第3项规定的；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（2）投标文件未按本章第8.8项的规定标识或未按规定的正、副本数量递交的； </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（3）投标文件未按本章第10.1项的规定编写和提交的（包括缺少应提交的文件或格式不符合第五章“投标文件格式”的要求）；</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（4）投标文件不符合本章第10.2项规定的；</w:t>
      </w:r>
    </w:p>
    <w:p>
      <w:pPr>
        <w:pStyle w:val="16"/>
        <w:spacing w:line="360" w:lineRule="auto"/>
        <w:ind w:firstLine="720"/>
        <w:rPr>
          <w:rFonts w:hAnsi="宋体" w:cs="宋体"/>
          <w:sz w:val="24"/>
          <w:szCs w:val="24"/>
        </w:rPr>
      </w:pPr>
      <w:r>
        <w:rPr>
          <w:rFonts w:cs="宋体" w:asciiTheme="majorEastAsia" w:hAnsiTheme="majorEastAsia" w:eastAsiaTheme="majorEastAsia"/>
          <w:sz w:val="24"/>
          <w:szCs w:val="24"/>
        </w:rPr>
        <w:t>（5）投标人报价不符合本章第11项规定或超过采购预算的或超过</w:t>
      </w:r>
      <w:r>
        <w:rPr>
          <w:rFonts w:hAnsi="宋体" w:cs="宋体"/>
          <w:sz w:val="24"/>
          <w:szCs w:val="24"/>
        </w:rPr>
        <w:t>各</w:t>
      </w:r>
      <w:r>
        <w:rPr>
          <w:rFonts w:cs="宋体" w:asciiTheme="majorEastAsia" w:hAnsiTheme="majorEastAsia" w:eastAsiaTheme="majorEastAsia"/>
          <w:sz w:val="24"/>
          <w:szCs w:val="24"/>
        </w:rPr>
        <w:t>分项最高限价的或评标委员会认定低于成本报价的；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（6）投标文件不符合本章第14.1项规定的；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（7）投标人出现本章第17.4.3.1项所述的投标文件将被视为无效的情形的；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（8）投标人出现本章第18.2项所述情形的；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（9）投标文件未对招标文件提出的要求和条件作出实质性响应的；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（10）投标文件附有采购需求以外的条件使评标委员会认为不能接受的；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（11）投标人在投标过程中提供虚假材料的；</w:t>
      </w:r>
    </w:p>
    <w:p>
      <w:pPr>
        <w:pStyle w:val="16"/>
        <w:spacing w:line="360" w:lineRule="auto"/>
        <w:ind w:firstLine="720"/>
        <w:rPr>
          <w:rFonts w:cs="宋体" w:asciiTheme="majorEastAsia" w:hAnsiTheme="majorEastAsia" w:eastAsiaTheme="majorEastAsia"/>
          <w:sz w:val="24"/>
          <w:szCs w:val="24"/>
        </w:rPr>
      </w:pPr>
      <w:r>
        <w:rPr>
          <w:rFonts w:cs="宋体" w:asciiTheme="majorEastAsia" w:hAnsiTheme="majorEastAsia" w:eastAsiaTheme="majorEastAsia"/>
          <w:sz w:val="24"/>
          <w:szCs w:val="24"/>
        </w:rPr>
        <w:t>（12）投标文件含有违反国家法律、法规的内容。</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sz w:val="24"/>
          <w:szCs w:val="24"/>
        </w:rPr>
        <w:t>★</w:t>
      </w:r>
      <w:r>
        <w:rPr>
          <w:rFonts w:cs="宋体" w:asciiTheme="majorEastAsia" w:hAnsiTheme="majorEastAsia" w:eastAsiaTheme="majorEastAsia"/>
          <w:b/>
          <w:bCs/>
          <w:sz w:val="24"/>
          <w:szCs w:val="24"/>
        </w:rPr>
        <w:t>21.  废标</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21.1  在招标过程中，出现下列情形之一的，予以废标：</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（1）符合专业条件的供应商或者对招标文件作实质响应的供应商不足三家的；</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（2）投标人的报价均超过了采购预算，采购人不能支付的；</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（3）因重大变故，采购任务取消的。</w:t>
      </w:r>
    </w:p>
    <w:p>
      <w:pPr>
        <w:pStyle w:val="16"/>
        <w:spacing w:line="360" w:lineRule="auto"/>
        <w:ind w:firstLine="480" w:firstLineChars="200"/>
        <w:jc w:val="left"/>
        <w:rPr>
          <w:rFonts w:cs="宋体" w:asciiTheme="majorEastAsia" w:hAnsiTheme="majorEastAsia" w:eastAsiaTheme="majorEastAsia"/>
          <w:b/>
          <w:bCs/>
        </w:rPr>
      </w:pPr>
      <w:r>
        <w:rPr>
          <w:rFonts w:cs="宋体" w:asciiTheme="majorEastAsia" w:hAnsiTheme="majorEastAsia" w:eastAsiaTheme="majorEastAsia"/>
          <w:sz w:val="24"/>
          <w:szCs w:val="24"/>
        </w:rPr>
        <w:t>21.2  废标后，采购代理机构将在本章第2.1项规定的政府采购信息发布媒体上公告废标理由，不再另行通知。</w:t>
      </w:r>
    </w:p>
    <w:p>
      <w:pPr>
        <w:pStyle w:val="16"/>
        <w:spacing w:line="360" w:lineRule="auto"/>
        <w:jc w:val="center"/>
        <w:outlineLvl w:val="1"/>
        <w:rPr>
          <w:rFonts w:cs="宋体" w:asciiTheme="majorEastAsia" w:hAnsiTheme="majorEastAsia" w:eastAsiaTheme="majorEastAsia"/>
          <w:b/>
          <w:sz w:val="30"/>
          <w:szCs w:val="30"/>
        </w:rPr>
      </w:pPr>
      <w:bookmarkStart w:id="39" w:name="_Toc508092934"/>
      <w:bookmarkStart w:id="40" w:name="_Toc213326421"/>
      <w:bookmarkStart w:id="41" w:name="_Toc448343861"/>
      <w:bookmarkStart w:id="42" w:name="_Toc8281"/>
      <w:r>
        <w:rPr>
          <w:rFonts w:cs="宋体" w:asciiTheme="majorEastAsia" w:hAnsiTheme="majorEastAsia" w:eastAsiaTheme="majorEastAsia"/>
          <w:b/>
          <w:sz w:val="30"/>
          <w:szCs w:val="30"/>
        </w:rPr>
        <w:t>六    合同授予</w:t>
      </w:r>
      <w:bookmarkEnd w:id="39"/>
      <w:bookmarkEnd w:id="40"/>
      <w:bookmarkEnd w:id="41"/>
      <w:bookmarkEnd w:id="42"/>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22.  中标供应商的确定</w:t>
      </w:r>
    </w:p>
    <w:p>
      <w:pPr>
        <w:spacing w:line="360" w:lineRule="auto"/>
        <w:ind w:firstLine="480" w:firstLineChars="200"/>
        <w:rPr>
          <w:rFonts w:asciiTheme="majorEastAsia" w:hAnsiTheme="majorEastAsia" w:eastAsiaTheme="majorEastAsia"/>
        </w:rPr>
      </w:pPr>
      <w:r>
        <w:rPr>
          <w:rFonts w:asciiTheme="majorEastAsia" w:hAnsiTheme="majorEastAsia" w:eastAsiaTheme="majorEastAsia"/>
          <w:sz w:val="24"/>
        </w:rPr>
        <w:t xml:space="preserve">22.1  </w:t>
      </w:r>
      <w:r>
        <w:rPr>
          <w:rFonts w:hint="eastAsia" w:asciiTheme="majorEastAsia" w:hAnsiTheme="majorEastAsia" w:eastAsiaTheme="majorEastAsia"/>
          <w:sz w:val="24"/>
        </w:rPr>
        <w:t>评标委员会按第三章“评标方法”的规定排列中标候选供应商顺序，并依照次序确定中标供应商。</w:t>
      </w:r>
    </w:p>
    <w:p>
      <w:pPr>
        <w:spacing w:line="360" w:lineRule="auto"/>
        <w:rPr>
          <w:rFonts w:asciiTheme="majorEastAsia" w:hAnsiTheme="majorEastAsia" w:eastAsiaTheme="majorEastAsia"/>
          <w:sz w:val="24"/>
        </w:rPr>
      </w:pPr>
      <w:r>
        <w:rPr>
          <w:rFonts w:asciiTheme="majorEastAsia" w:hAnsiTheme="majorEastAsia" w:eastAsiaTheme="majorEastAsia"/>
          <w:sz w:val="24"/>
        </w:rPr>
        <w:t xml:space="preserve">23.  </w:t>
      </w:r>
      <w:r>
        <w:rPr>
          <w:rFonts w:hint="eastAsia" w:asciiTheme="majorEastAsia" w:hAnsiTheme="majorEastAsia" w:eastAsiaTheme="majorEastAsia"/>
          <w:sz w:val="24"/>
        </w:rPr>
        <w:t>中标公告及中标通知书</w:t>
      </w:r>
    </w:p>
    <w:p>
      <w:pPr>
        <w:pStyle w:val="16"/>
        <w:spacing w:line="360" w:lineRule="auto"/>
        <w:ind w:firstLine="480" w:firstLineChars="200"/>
        <w:rPr>
          <w:rFonts w:cs="宋体" w:asciiTheme="majorEastAsia" w:hAnsiTheme="majorEastAsia" w:eastAsiaTheme="majorEastAsia"/>
          <w:sz w:val="24"/>
        </w:rPr>
      </w:pPr>
      <w:r>
        <w:rPr>
          <w:rFonts w:cs="宋体" w:asciiTheme="majorEastAsia" w:hAnsiTheme="majorEastAsia" w:eastAsiaTheme="majorEastAsia"/>
          <w:sz w:val="24"/>
        </w:rPr>
        <w:t>23.1  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23.2  中标通知书对采购人和中标供应商具有同等法律效力。中标通知书发出后，采购人改变中标结果，或者中标供应商放弃中标，应当承担相应的法律责任。</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24.  投标文件的退回</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24.1  采购人及采购代理机构无义务向未中标供应商解释其未中标原因和退回投标文件。</w:t>
      </w:r>
    </w:p>
    <w:p>
      <w:pPr>
        <w:pStyle w:val="16"/>
        <w:tabs>
          <w:tab w:val="left" w:pos="630"/>
        </w:tabs>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25.  签订合同</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25.1  采购人和中标供应商应当在第二章“服务需求一览表”中商务条款要求载明的合同签订期内，根据招标文件、中标供应商的投标文件及有关澄清承诺书的要求按第六章“合同条款及格式”订立书面合同。联合体投标的，联合体各方应当共同与采购人签订采购合同，就采购合同约定的事项对采购人承担连带责任。</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25.3 如采购人无正当理由拒签合同的，采购人给中标供应商造成损失的，中标供应商可追究采购人承担相应的法律责任。</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25.4  采购人在签订合同之前有权要求中标供应商提供本项目必需的相关资料原件进行核查，中标供应商不得拒绝。如中标供应商拒绝提供，则自行承担由此产生的后果。</w:t>
      </w:r>
    </w:p>
    <w:p>
      <w:pPr>
        <w:pStyle w:val="16"/>
        <w:spacing w:line="360" w:lineRule="auto"/>
        <w:ind w:firstLine="360"/>
        <w:rPr>
          <w:rFonts w:cs="宋体" w:asciiTheme="majorEastAsia" w:hAnsiTheme="majorEastAsia" w:eastAsiaTheme="majorEastAsia"/>
          <w:sz w:val="24"/>
          <w:szCs w:val="24"/>
        </w:rPr>
      </w:pPr>
      <w:r>
        <w:rPr>
          <w:rFonts w:cs="宋体" w:asciiTheme="majorEastAsia" w:hAnsiTheme="majorEastAsia" w:eastAsiaTheme="majorEastAsia"/>
          <w:sz w:val="24"/>
          <w:szCs w:val="24"/>
        </w:rPr>
        <w:t>25.5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25.6　采购人或中标供应商不得单方面向合同另一方提出任何招标文件没有约定的条件或不合理的要求，作为签订合同的条件，也不得协商另行订立背离招标文件和合同实质性内容的协议。</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25.9　采购人或中标供应商在合同履行过程中存在违反政府采购合同行为的，权益受损当事人应当将有关违约的情况以及拟采取的措施，及时书面报告采购代理机构。</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26.  履约保证金及质量保证金</w:t>
      </w:r>
    </w:p>
    <w:p>
      <w:pPr>
        <w:pStyle w:val="16"/>
        <w:spacing w:line="360" w:lineRule="auto"/>
        <w:ind w:firstLine="420"/>
        <w:rPr>
          <w:rFonts w:cs="宋体" w:asciiTheme="majorEastAsia" w:hAnsiTheme="majorEastAsia" w:eastAsiaTheme="majorEastAsia"/>
        </w:rPr>
      </w:pPr>
      <w:r>
        <w:rPr>
          <w:rFonts w:cs="宋体" w:asciiTheme="majorEastAsia" w:hAnsiTheme="majorEastAsia" w:eastAsiaTheme="majorEastAsia"/>
          <w:sz w:val="24"/>
          <w:szCs w:val="24"/>
        </w:rPr>
        <w:t>本项目不收取履约保证金及质量保证金。</w:t>
      </w:r>
    </w:p>
    <w:p>
      <w:pPr>
        <w:pStyle w:val="16"/>
        <w:spacing w:line="360" w:lineRule="auto"/>
        <w:jc w:val="center"/>
        <w:outlineLvl w:val="1"/>
        <w:rPr>
          <w:rFonts w:cs="宋体" w:asciiTheme="majorEastAsia" w:hAnsiTheme="majorEastAsia" w:eastAsiaTheme="majorEastAsia"/>
          <w:b/>
          <w:sz w:val="30"/>
          <w:szCs w:val="30"/>
        </w:rPr>
      </w:pPr>
      <w:bookmarkStart w:id="43" w:name="_Toc508092935"/>
      <w:bookmarkStart w:id="44" w:name="_Toc448343862"/>
      <w:bookmarkStart w:id="45" w:name="_Toc213326422"/>
      <w:bookmarkStart w:id="46" w:name="_Toc22087"/>
      <w:r>
        <w:rPr>
          <w:rFonts w:cs="宋体" w:asciiTheme="majorEastAsia" w:hAnsiTheme="majorEastAsia" w:eastAsiaTheme="majorEastAsia"/>
          <w:b/>
          <w:sz w:val="30"/>
          <w:szCs w:val="30"/>
        </w:rPr>
        <w:t>七    其他事项</w:t>
      </w:r>
      <w:bookmarkEnd w:id="43"/>
      <w:bookmarkEnd w:id="44"/>
      <w:bookmarkEnd w:id="45"/>
      <w:bookmarkEnd w:id="46"/>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27.  解释权</w:t>
      </w:r>
    </w:p>
    <w:p>
      <w:pPr>
        <w:spacing w:line="360" w:lineRule="auto"/>
        <w:ind w:firstLine="360"/>
        <w:rPr>
          <w:rFonts w:asciiTheme="majorEastAsia" w:hAnsiTheme="majorEastAsia" w:eastAsiaTheme="majorEastAsia"/>
          <w:sz w:val="24"/>
        </w:rPr>
      </w:pPr>
      <w:r>
        <w:rPr>
          <w:rFonts w:asciiTheme="majorEastAsia" w:hAnsiTheme="majorEastAsia" w:eastAsiaTheme="majorEastAsia"/>
          <w:sz w:val="24"/>
        </w:rPr>
        <w:t xml:space="preserve">27.1  </w:t>
      </w:r>
      <w:r>
        <w:rPr>
          <w:rFonts w:hint="eastAsia" w:asciiTheme="majorEastAsia" w:hAnsiTheme="majorEastAsia" w:eastAsiaTheme="majorEastAsia"/>
          <w:sz w:val="24"/>
        </w:rPr>
        <w:t>本招标文件根据《中华人民共和国政府采购法》、《政府采购货物和服务招标投标管理办法》及相关法律法规编制，解释权属采购代理机构。</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28.   其他</w:t>
      </w:r>
    </w:p>
    <w:p>
      <w:pPr>
        <w:pStyle w:val="16"/>
        <w:spacing w:line="360" w:lineRule="auto"/>
        <w:ind w:firstLine="720" w:firstLineChars="30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只要投标人参与投标并递交投标文件即视为已经理解并毫无保留地同意了本招标文件的所有条文。</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29.   投标文件的退回</w:t>
      </w:r>
    </w:p>
    <w:p>
      <w:pPr>
        <w:pStyle w:val="16"/>
        <w:spacing w:line="360" w:lineRule="auto"/>
        <w:ind w:firstLine="600" w:firstLineChars="250"/>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所有投标文件均不予退回</w:t>
      </w:r>
    </w:p>
    <w:p>
      <w:pPr>
        <w:widowControl w:val="0"/>
        <w:numPr>
          <w:ilvl w:val="0"/>
          <w:numId w:val="4"/>
        </w:numPr>
        <w:adjustRightInd/>
        <w:snapToGrid/>
        <w:spacing w:after="0" w:line="360" w:lineRule="auto"/>
        <w:rPr>
          <w:rFonts w:asciiTheme="majorEastAsia" w:hAnsiTheme="majorEastAsia" w:eastAsiaTheme="majorEastAsia"/>
          <w:sz w:val="24"/>
        </w:rPr>
      </w:pPr>
      <w:r>
        <w:rPr>
          <w:rFonts w:asciiTheme="majorEastAsia" w:hAnsiTheme="majorEastAsia" w:eastAsiaTheme="majorEastAsia"/>
          <w:sz w:val="24"/>
        </w:rPr>
        <w:t xml:space="preserve"> 需要补充的其他内容</w:t>
      </w:r>
    </w:p>
    <w:p>
      <w:pPr>
        <w:pStyle w:val="16"/>
        <w:spacing w:line="360" w:lineRule="auto"/>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 xml:space="preserve">    30.1  需要补充的其他内容：见投标人须知前附表。</w:t>
      </w:r>
    </w:p>
    <w:p>
      <w:pPr>
        <w:spacing w:line="360" w:lineRule="auto"/>
        <w:rPr>
          <w:rFonts w:asciiTheme="majorEastAsia" w:hAnsiTheme="majorEastAsia" w:eastAsiaTheme="majorEastAsia"/>
          <w:b/>
          <w:sz w:val="36"/>
          <w:szCs w:val="20"/>
        </w:rPr>
      </w:pPr>
      <w:bookmarkStart w:id="47" w:name="_Toc508092936"/>
      <w:bookmarkStart w:id="48" w:name="_Toc213326423"/>
      <w:r>
        <w:rPr>
          <w:rFonts w:asciiTheme="majorEastAsia" w:hAnsiTheme="majorEastAsia" w:eastAsiaTheme="majorEastAsia"/>
          <w:b/>
          <w:sz w:val="36"/>
        </w:rPr>
        <w:br w:type="page"/>
      </w:r>
    </w:p>
    <w:p>
      <w:pPr>
        <w:pStyle w:val="16"/>
        <w:jc w:val="center"/>
        <w:outlineLvl w:val="0"/>
        <w:rPr>
          <w:rFonts w:cs="宋体" w:asciiTheme="majorEastAsia" w:hAnsiTheme="majorEastAsia" w:eastAsiaTheme="majorEastAsia"/>
        </w:rPr>
      </w:pPr>
      <w:bookmarkStart w:id="49" w:name="_Toc10506"/>
      <w:r>
        <w:rPr>
          <w:rFonts w:cs="宋体" w:asciiTheme="majorEastAsia" w:hAnsiTheme="majorEastAsia" w:eastAsiaTheme="majorEastAsia"/>
          <w:b/>
          <w:sz w:val="36"/>
        </w:rPr>
        <w:t>第五章  投标文件格式</w:t>
      </w:r>
      <w:bookmarkEnd w:id="47"/>
      <w:bookmarkEnd w:id="48"/>
      <w:bookmarkEnd w:id="49"/>
    </w:p>
    <w:p>
      <w:pPr>
        <w:pStyle w:val="16"/>
        <w:jc w:val="left"/>
        <w:rPr>
          <w:rFonts w:cs="宋体" w:asciiTheme="majorEastAsia" w:hAnsiTheme="majorEastAsia" w:eastAsiaTheme="majorEastAsia"/>
          <w:b/>
        </w:rPr>
      </w:pPr>
      <w:bookmarkStart w:id="50" w:name="_Toc2682"/>
      <w:bookmarkStart w:id="51" w:name="_Toc508092937"/>
      <w:bookmarkStart w:id="52" w:name="_Toc31888"/>
      <w:r>
        <w:rPr>
          <w:rFonts w:cs="宋体" w:asciiTheme="majorEastAsia" w:hAnsiTheme="majorEastAsia" w:eastAsiaTheme="majorEastAsia"/>
          <w:b/>
        </w:rPr>
        <w:t>格式1：</w:t>
      </w:r>
      <w:bookmarkEnd w:id="50"/>
      <w:bookmarkEnd w:id="51"/>
      <w:bookmarkEnd w:id="52"/>
    </w:p>
    <w:p>
      <w:pPr>
        <w:pStyle w:val="16"/>
        <w:spacing w:line="500" w:lineRule="exact"/>
        <w:jc w:val="center"/>
        <w:rPr>
          <w:rFonts w:cs="宋体" w:asciiTheme="majorEastAsia" w:hAnsiTheme="majorEastAsia" w:eastAsiaTheme="majorEastAsia"/>
          <w:b/>
          <w:bCs/>
          <w:sz w:val="30"/>
          <w:szCs w:val="30"/>
        </w:rPr>
      </w:pPr>
      <w:r>
        <w:rPr>
          <w:rFonts w:cs="宋体" w:asciiTheme="majorEastAsia" w:hAnsiTheme="majorEastAsia" w:eastAsiaTheme="majorEastAsia"/>
          <w:b/>
          <w:bCs/>
          <w:sz w:val="30"/>
          <w:szCs w:val="30"/>
        </w:rPr>
        <w:t>投标函（格式）</w:t>
      </w:r>
    </w:p>
    <w:p>
      <w:pPr>
        <w:pStyle w:val="16"/>
        <w:spacing w:line="440" w:lineRule="exact"/>
        <w:ind w:firstLine="435"/>
        <w:rPr>
          <w:rFonts w:cs="宋体" w:asciiTheme="majorEastAsia" w:hAnsiTheme="majorEastAsia" w:eastAsiaTheme="majorEastAsia"/>
          <w:sz w:val="24"/>
          <w:szCs w:val="24"/>
        </w:rPr>
      </w:pPr>
      <w:r>
        <w:rPr>
          <w:rFonts w:cs="宋体" w:asciiTheme="majorEastAsia" w:hAnsiTheme="majorEastAsia" w:eastAsiaTheme="majorEastAsia"/>
          <w:sz w:val="24"/>
          <w:szCs w:val="24"/>
        </w:rPr>
        <w:t>致：（采购代理机构名称）</w:t>
      </w:r>
    </w:p>
    <w:p>
      <w:pPr>
        <w:pStyle w:val="16"/>
        <w:spacing w:line="440" w:lineRule="exact"/>
        <w:ind w:firstLine="435"/>
        <w:rPr>
          <w:rFonts w:cs="宋体" w:asciiTheme="majorEastAsia" w:hAnsiTheme="majorEastAsia" w:eastAsiaTheme="majorEastAsia"/>
          <w:sz w:val="24"/>
          <w:szCs w:val="24"/>
        </w:rPr>
      </w:pP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我方已仔细阅读了贵方组织的</w:t>
      </w:r>
      <w:r>
        <w:rPr>
          <w:rFonts w:cs="宋体" w:asciiTheme="majorEastAsia" w:hAnsiTheme="majorEastAsia" w:eastAsiaTheme="majorEastAsia"/>
          <w:sz w:val="24"/>
          <w:szCs w:val="24"/>
          <w:u w:val="single"/>
        </w:rPr>
        <w:t xml:space="preserve">        （项目名称）       </w:t>
      </w:r>
      <w:r>
        <w:rPr>
          <w:rFonts w:cs="宋体" w:asciiTheme="majorEastAsia" w:hAnsiTheme="majorEastAsia" w:eastAsiaTheme="majorEastAsia"/>
          <w:sz w:val="24"/>
          <w:szCs w:val="24"/>
        </w:rPr>
        <w:t xml:space="preserve">项目（项目编号：）的招标文件的全部内容，现正式递交下述文件参加贵方组织的本次政府采购活动： </w:t>
      </w:r>
    </w:p>
    <w:p>
      <w:pPr>
        <w:pStyle w:val="16"/>
        <w:numPr>
          <w:ilvl w:val="0"/>
          <w:numId w:val="5"/>
        </w:numPr>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报价文件正本一份，副本</w:t>
      </w:r>
      <w:r>
        <w:rPr>
          <w:rFonts w:cs="宋体" w:asciiTheme="majorEastAsia" w:hAnsiTheme="majorEastAsia" w:eastAsiaTheme="majorEastAsia"/>
          <w:sz w:val="24"/>
          <w:szCs w:val="24"/>
          <w:u w:val="single"/>
        </w:rPr>
        <w:t xml:space="preserve"> 四 </w:t>
      </w:r>
      <w:r>
        <w:rPr>
          <w:rFonts w:cs="宋体" w:asciiTheme="majorEastAsia" w:hAnsiTheme="majorEastAsia" w:eastAsiaTheme="majorEastAsia"/>
          <w:sz w:val="24"/>
          <w:szCs w:val="24"/>
        </w:rPr>
        <w:t>份（包含按投标人须知第10.1.1项要求提交的全部文件）；</w:t>
      </w:r>
    </w:p>
    <w:p>
      <w:pPr>
        <w:pStyle w:val="16"/>
        <w:numPr>
          <w:ilvl w:val="0"/>
          <w:numId w:val="5"/>
        </w:numPr>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资格文件正本一份，副本</w:t>
      </w:r>
      <w:r>
        <w:rPr>
          <w:rFonts w:cs="宋体" w:asciiTheme="majorEastAsia" w:hAnsiTheme="majorEastAsia" w:eastAsiaTheme="majorEastAsia"/>
          <w:sz w:val="24"/>
          <w:szCs w:val="24"/>
          <w:u w:val="single"/>
        </w:rPr>
        <w:t xml:space="preserve"> 四 </w:t>
      </w:r>
      <w:r>
        <w:rPr>
          <w:rFonts w:cs="宋体" w:asciiTheme="majorEastAsia" w:hAnsiTheme="majorEastAsia" w:eastAsiaTheme="majorEastAsia"/>
          <w:sz w:val="24"/>
          <w:szCs w:val="24"/>
        </w:rPr>
        <w:t>份（包含按投标人须知第10.1.2项要求提交的全部文件）；</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二、技术文件正本一份，副本</w:t>
      </w:r>
      <w:r>
        <w:rPr>
          <w:rFonts w:cs="宋体" w:asciiTheme="majorEastAsia" w:hAnsiTheme="majorEastAsia" w:eastAsiaTheme="majorEastAsia"/>
          <w:sz w:val="24"/>
          <w:szCs w:val="24"/>
          <w:u w:val="single"/>
        </w:rPr>
        <w:t xml:space="preserve"> 四 </w:t>
      </w:r>
      <w:r>
        <w:rPr>
          <w:rFonts w:cs="宋体" w:asciiTheme="majorEastAsia" w:hAnsiTheme="majorEastAsia" w:eastAsiaTheme="majorEastAsia"/>
          <w:sz w:val="24"/>
          <w:szCs w:val="24"/>
        </w:rPr>
        <w:t>份（包含按投标人须知第10.1.3项要求提交的全部文件）；</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三、商务文件正本一份，副本</w:t>
      </w:r>
      <w:r>
        <w:rPr>
          <w:rFonts w:cs="宋体" w:asciiTheme="majorEastAsia" w:hAnsiTheme="majorEastAsia" w:eastAsiaTheme="majorEastAsia"/>
          <w:sz w:val="24"/>
          <w:szCs w:val="24"/>
          <w:u w:val="single"/>
        </w:rPr>
        <w:t xml:space="preserve"> 四 </w:t>
      </w:r>
      <w:r>
        <w:rPr>
          <w:rFonts w:cs="宋体" w:asciiTheme="majorEastAsia" w:hAnsiTheme="majorEastAsia" w:eastAsiaTheme="majorEastAsia"/>
          <w:sz w:val="24"/>
          <w:szCs w:val="24"/>
        </w:rPr>
        <w:t>份（包含按投标人须知第10.1.4项要求提交的全部文件）。</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据此函，签字人兹宣布：</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1、我方愿意以（大写）人民币（￥元)的投标总报价，</w:t>
      </w:r>
      <w:r>
        <w:rPr>
          <w:rFonts w:cs="宋体" w:asciiTheme="majorEastAsia" w:hAnsiTheme="majorEastAsia" w:eastAsiaTheme="majorEastAsia"/>
          <w:sz w:val="24"/>
        </w:rPr>
        <w:t>提交服务</w:t>
      </w:r>
      <w:r>
        <w:rPr>
          <w:rFonts w:hint="eastAsia" w:cs="宋体" w:asciiTheme="majorEastAsia" w:hAnsiTheme="majorEastAsia" w:eastAsiaTheme="majorEastAsia"/>
          <w:sz w:val="24"/>
        </w:rPr>
        <w:t>时间</w:t>
      </w:r>
      <w:r>
        <w:rPr>
          <w:rFonts w:cs="宋体" w:asciiTheme="majorEastAsia" w:hAnsiTheme="majorEastAsia" w:eastAsiaTheme="majorEastAsia"/>
          <w:sz w:val="24"/>
          <w:szCs w:val="24"/>
        </w:rPr>
        <w:t>：，提供本项目招标文件第二章“服务需求一览表”中的采购内容。</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2、我方同意自本项目招标文件“投标人须知”第15.1项规定的投标截止时间（开标时间）起遵循本投标函，并承诺在“投标人须知”第12.1项规定的投标有效期内不修改、撤销投标文件。</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3、我方在此声明，所递交的投标文件及有关资料内容完整、真实和准确。</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具有独立承担民事责任的能力；</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具有良好的商业信誉和健全的财务会计制度；</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具有履行合同所必需的设备和专业技术能力；</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有依法缴纳税收和社会保障资金的良好记录；</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参加政府采购活动前三年内，在经营活动中没有重大违法记录；</w:t>
      </w:r>
    </w:p>
    <w:p>
      <w:pPr>
        <w:pStyle w:val="16"/>
        <w:numPr>
          <w:ilvl w:val="0"/>
          <w:numId w:val="6"/>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法律、行政法规规定的其他条件。</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5、如本项目采购内容涉及须符合国家强制规定的，我方承诺我方本次投标（包括资格条件和所投产品）均符合国家有关强制规定。</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7、我方已详细审核招标文件，我方知道必须放弃提出含糊不清或误解问题的权利。</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8、我方同意应贵方要求提供与本投标有关的任何数据或资料。若贵方需要，我方愿意提供我方作出的一切承诺的证明材料。</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9、我方完全理解贵方不一定接受投标报价最低的投标人为中标供应商的行为。</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提供虚假材料谋取中标、中标的；</w:t>
      </w:r>
    </w:p>
    <w:p>
      <w:pPr>
        <w:pStyle w:val="16"/>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采取不正当手段诋毁、排挤其他供应商的；</w:t>
      </w:r>
    </w:p>
    <w:p>
      <w:pPr>
        <w:pStyle w:val="16"/>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与采购人、其他供应商或者采购代理机构恶意串通的；</w:t>
      </w:r>
    </w:p>
    <w:p>
      <w:pPr>
        <w:pStyle w:val="16"/>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向采购人、采购代理机构行贿或者提供其他不正当利益的；</w:t>
      </w:r>
    </w:p>
    <w:p>
      <w:pPr>
        <w:pStyle w:val="16"/>
        <w:numPr>
          <w:ilvl w:val="0"/>
          <w:numId w:val="7"/>
        </w:numPr>
        <w:spacing w:line="440" w:lineRule="exact"/>
        <w:rPr>
          <w:rFonts w:cs="宋体" w:asciiTheme="majorEastAsia" w:hAnsiTheme="majorEastAsia" w:eastAsiaTheme="majorEastAsia"/>
          <w:sz w:val="24"/>
          <w:szCs w:val="24"/>
        </w:rPr>
      </w:pPr>
      <w:r>
        <w:rPr>
          <w:rFonts w:cs="宋体" w:asciiTheme="majorEastAsia" w:hAnsiTheme="majorEastAsia" w:eastAsiaTheme="majorEastAsia"/>
          <w:sz w:val="24"/>
          <w:szCs w:val="24"/>
        </w:rPr>
        <w:t>在招标采购过程中与采购人进行协商谈判的；</w:t>
      </w:r>
    </w:p>
    <w:p>
      <w:pPr>
        <w:pStyle w:val="16"/>
        <w:spacing w:line="440" w:lineRule="exact"/>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  拒绝有关部门监督检查或提供虚假情况的。</w:t>
      </w:r>
    </w:p>
    <w:p>
      <w:pPr>
        <w:pStyle w:val="16"/>
        <w:spacing w:line="440" w:lineRule="exact"/>
        <w:ind w:firstLine="482"/>
        <w:rPr>
          <w:rFonts w:cs="宋体" w:asciiTheme="majorEastAsia" w:hAnsiTheme="majorEastAsia" w:eastAsiaTheme="majorEastAsia"/>
          <w:sz w:val="24"/>
          <w:szCs w:val="24"/>
        </w:rPr>
      </w:pPr>
      <w:r>
        <w:rPr>
          <w:rFonts w:cs="宋体" w:asciiTheme="majorEastAsia" w:hAnsiTheme="majorEastAsia" w:eastAsiaTheme="majorEastAsia"/>
          <w:sz w:val="24"/>
          <w:szCs w:val="24"/>
        </w:rPr>
        <w:t>11、我方及由本人担任法定代表人的其他机构最近三年内被处罚的违法行为有：</w:t>
      </w:r>
      <w:r>
        <w:rPr>
          <w:rFonts w:cs="宋体" w:asciiTheme="majorEastAsia" w:hAnsiTheme="majorEastAsia" w:eastAsiaTheme="majorEastAsia"/>
          <w:sz w:val="24"/>
          <w:szCs w:val="24"/>
          <w:u w:val="single"/>
        </w:rPr>
        <w:t>_________________________________________________________________________</w:t>
      </w:r>
      <w:r>
        <w:rPr>
          <w:rFonts w:cs="宋体" w:asciiTheme="majorEastAsia" w:hAnsiTheme="majorEastAsia" w:eastAsiaTheme="majorEastAsia"/>
          <w:sz w:val="24"/>
          <w:szCs w:val="24"/>
        </w:rPr>
        <w:t>。</w:t>
      </w:r>
    </w:p>
    <w:p>
      <w:pPr>
        <w:pStyle w:val="16"/>
        <w:spacing w:line="440" w:lineRule="exact"/>
        <w:ind w:left="420"/>
        <w:rPr>
          <w:rFonts w:cs="宋体" w:asciiTheme="majorEastAsia" w:hAnsiTheme="majorEastAsia" w:eastAsiaTheme="majorEastAsia"/>
          <w:sz w:val="24"/>
          <w:szCs w:val="24"/>
        </w:rPr>
      </w:pPr>
      <w:r>
        <w:rPr>
          <w:rFonts w:cs="宋体" w:asciiTheme="majorEastAsia" w:hAnsiTheme="majorEastAsia" w:eastAsiaTheme="majorEastAsia"/>
          <w:sz w:val="24"/>
          <w:szCs w:val="24"/>
        </w:rPr>
        <w:t>12、以上事项如有虚假或隐瞒，我方愿意承担一切后果，并不再寻求任何旨在减轻或免除法律责任的辩解。</w:t>
      </w:r>
    </w:p>
    <w:p>
      <w:pPr>
        <w:pStyle w:val="16"/>
        <w:spacing w:line="440" w:lineRule="exact"/>
        <w:ind w:left="420"/>
        <w:rPr>
          <w:rFonts w:cs="宋体" w:asciiTheme="majorEastAsia" w:hAnsiTheme="majorEastAsia" w:eastAsiaTheme="majorEastAsia"/>
          <w:sz w:val="24"/>
          <w:szCs w:val="24"/>
        </w:rPr>
      </w:pPr>
    </w:p>
    <w:p>
      <w:pPr>
        <w:pStyle w:val="16"/>
        <w:spacing w:line="360" w:lineRule="auto"/>
        <w:ind w:firstLine="360" w:firstLineChars="15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投标人：（盖单位公章）</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法定代表人或其委托代理人：（签字或盖章）</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地址：__________________________________________</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电话：__________________________________________</w:t>
      </w: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传真：__________________________________________</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邮政编码：______________________________________</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开户名称：______________________________________</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开户银行：______________________________________</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银行账号：______________________________________</w:t>
      </w:r>
    </w:p>
    <w:p>
      <w:pPr>
        <w:pStyle w:val="16"/>
        <w:spacing w:line="360" w:lineRule="auto"/>
        <w:ind w:firstLine="465"/>
        <w:rPr>
          <w:rFonts w:cs="宋体" w:asciiTheme="majorEastAsia" w:hAnsiTheme="majorEastAsia" w:eastAsiaTheme="majorEastAsia"/>
          <w:bCs/>
          <w:sz w:val="24"/>
        </w:rPr>
      </w:pPr>
      <w:r>
        <w:rPr>
          <w:rFonts w:cs="宋体" w:asciiTheme="majorEastAsia" w:hAnsiTheme="majorEastAsia" w:eastAsiaTheme="majorEastAsia"/>
          <w:bCs/>
          <w:sz w:val="24"/>
        </w:rPr>
        <w:t>年月日</w:t>
      </w: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ind w:firstLine="465"/>
        <w:rPr>
          <w:rFonts w:cs="宋体" w:asciiTheme="majorEastAsia" w:hAnsiTheme="majorEastAsia" w:eastAsiaTheme="majorEastAsia"/>
          <w:bCs/>
          <w:sz w:val="24"/>
        </w:rPr>
      </w:pPr>
    </w:p>
    <w:p>
      <w:pPr>
        <w:pStyle w:val="16"/>
        <w:spacing w:line="360" w:lineRule="auto"/>
        <w:rPr>
          <w:rFonts w:cs="宋体" w:asciiTheme="majorEastAsia" w:hAnsiTheme="majorEastAsia" w:eastAsiaTheme="majorEastAsia"/>
          <w:b/>
        </w:rPr>
        <w:sectPr>
          <w:pgSz w:w="11906" w:h="16838"/>
          <w:pgMar w:top="1440" w:right="1080" w:bottom="1440" w:left="1080" w:header="851" w:footer="907" w:gutter="0"/>
          <w:pgNumType w:fmt="decimal"/>
          <w:cols w:space="720" w:num="1"/>
          <w:docGrid w:type="lines" w:linePitch="312" w:charSpace="0"/>
        </w:sectPr>
      </w:pPr>
    </w:p>
    <w:p>
      <w:pPr>
        <w:pStyle w:val="16"/>
        <w:spacing w:line="360" w:lineRule="auto"/>
        <w:rPr>
          <w:rFonts w:cs="宋体" w:asciiTheme="majorEastAsia" w:hAnsiTheme="majorEastAsia" w:eastAsiaTheme="majorEastAsia"/>
          <w:u w:val="single"/>
        </w:rPr>
      </w:pPr>
      <w:r>
        <w:rPr>
          <w:rFonts w:cs="宋体" w:asciiTheme="majorEastAsia" w:hAnsiTheme="majorEastAsia" w:eastAsiaTheme="majorEastAsia"/>
          <w:b/>
        </w:rPr>
        <w:t>格式2：</w:t>
      </w:r>
    </w:p>
    <w:p>
      <w:pPr>
        <w:pStyle w:val="16"/>
        <w:jc w:val="center"/>
        <w:rPr>
          <w:rFonts w:cs="宋体" w:asciiTheme="majorEastAsia" w:hAnsiTheme="majorEastAsia" w:eastAsiaTheme="majorEastAsia"/>
          <w:b/>
          <w:sz w:val="32"/>
        </w:rPr>
      </w:pPr>
      <w:r>
        <w:rPr>
          <w:rFonts w:cs="宋体" w:asciiTheme="majorEastAsia" w:hAnsiTheme="majorEastAsia" w:eastAsiaTheme="majorEastAsia"/>
          <w:b/>
          <w:sz w:val="32"/>
        </w:rPr>
        <w:t>投标报价表（格式）</w:t>
      </w:r>
    </w:p>
    <w:p>
      <w:pPr>
        <w:pStyle w:val="16"/>
        <w:jc w:val="center"/>
        <w:rPr>
          <w:rFonts w:cs="宋体" w:asciiTheme="majorEastAsia" w:hAnsiTheme="majorEastAsia" w:eastAsiaTheme="majorEastAsia"/>
          <w:b/>
          <w:sz w:val="32"/>
        </w:rPr>
      </w:pPr>
    </w:p>
    <w:tbl>
      <w:tblPr>
        <w:tblStyle w:val="26"/>
        <w:tblpPr w:leftFromText="180" w:rightFromText="180" w:vertAnchor="text" w:horzAnchor="page" w:tblpX="1431" w:tblpY="302"/>
        <w:tblOverlap w:val="never"/>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2089"/>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序号</w:t>
            </w:r>
          </w:p>
        </w:tc>
        <w:tc>
          <w:tcPr>
            <w:tcW w:w="1260"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服务名称</w:t>
            </w:r>
          </w:p>
        </w:tc>
        <w:tc>
          <w:tcPr>
            <w:tcW w:w="206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服务内容</w:t>
            </w:r>
          </w:p>
        </w:tc>
        <w:tc>
          <w:tcPr>
            <w:tcW w:w="108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数量①</w:t>
            </w:r>
          </w:p>
        </w:tc>
        <w:tc>
          <w:tcPr>
            <w:tcW w:w="1260"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单价</w:t>
            </w:r>
            <w:r>
              <w:rPr>
                <w:rFonts w:asciiTheme="majorEastAsia" w:hAnsiTheme="majorEastAsia" w:eastAsiaTheme="majorEastAsia"/>
                <w:sz w:val="24"/>
              </w:rPr>
              <w:t>(</w:t>
            </w:r>
            <w:r>
              <w:rPr>
                <w:rFonts w:hint="eastAsia" w:asciiTheme="majorEastAsia" w:hAnsiTheme="majorEastAsia" w:eastAsiaTheme="majorEastAsia"/>
                <w:sz w:val="24"/>
              </w:rPr>
              <w:t>元</w:t>
            </w:r>
            <w:r>
              <w:rPr>
                <w:rFonts w:asciiTheme="majorEastAsia" w:hAnsiTheme="majorEastAsia" w:eastAsiaTheme="majorEastAsia"/>
                <w:sz w:val="24"/>
              </w:rPr>
              <w:t>)</w:t>
            </w:r>
          </w:p>
          <w:p>
            <w:pPr>
              <w:ind w:firstLine="360" w:firstLineChars="150"/>
              <w:rPr>
                <w:rFonts w:asciiTheme="majorEastAsia" w:hAnsiTheme="majorEastAsia" w:eastAsiaTheme="majorEastAsia"/>
                <w:sz w:val="24"/>
              </w:rPr>
            </w:pPr>
            <w:r>
              <w:rPr>
                <w:rFonts w:hint="eastAsia" w:asciiTheme="majorEastAsia" w:hAnsiTheme="majorEastAsia" w:eastAsiaTheme="majorEastAsia"/>
                <w:sz w:val="24"/>
              </w:rPr>
              <w:t>②</w:t>
            </w:r>
          </w:p>
        </w:tc>
        <w:tc>
          <w:tcPr>
            <w:tcW w:w="2089" w:type="dxa"/>
            <w:vAlign w:val="center"/>
          </w:tcPr>
          <w:p>
            <w:pPr>
              <w:ind w:firstLine="120" w:firstLineChars="50"/>
              <w:rPr>
                <w:rFonts w:asciiTheme="majorEastAsia" w:hAnsiTheme="majorEastAsia" w:eastAsiaTheme="majorEastAsia"/>
                <w:sz w:val="24"/>
              </w:rPr>
            </w:pPr>
            <w:r>
              <w:rPr>
                <w:rFonts w:hint="eastAsia" w:asciiTheme="majorEastAsia" w:hAnsiTheme="majorEastAsia" w:eastAsiaTheme="majorEastAsia"/>
                <w:sz w:val="24"/>
              </w:rPr>
              <w:t>单项合价（元）</w:t>
            </w:r>
          </w:p>
          <w:p>
            <w:pPr>
              <w:jc w:val="center"/>
              <w:rPr>
                <w:rFonts w:asciiTheme="majorEastAsia" w:hAnsiTheme="majorEastAsia" w:eastAsiaTheme="majorEastAsia"/>
                <w:sz w:val="24"/>
              </w:rPr>
            </w:pPr>
            <w:r>
              <w:rPr>
                <w:rFonts w:hint="eastAsia" w:asciiTheme="majorEastAsia" w:hAnsiTheme="majorEastAsia" w:eastAsiaTheme="majorEastAsia"/>
                <w:sz w:val="24"/>
              </w:rPr>
              <w:t>③＝①×②</w:t>
            </w:r>
          </w:p>
        </w:tc>
        <w:tc>
          <w:tcPr>
            <w:tcW w:w="957"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w:t>
            </w:r>
          </w:p>
        </w:tc>
        <w:tc>
          <w:tcPr>
            <w:tcW w:w="1260" w:type="dxa"/>
            <w:vAlign w:val="center"/>
          </w:tcPr>
          <w:p>
            <w:pPr>
              <w:rPr>
                <w:rFonts w:asciiTheme="majorEastAsia" w:hAnsiTheme="majorEastAsia" w:eastAsiaTheme="majorEastAsia"/>
                <w:sz w:val="24"/>
              </w:rPr>
            </w:pPr>
          </w:p>
        </w:tc>
        <w:tc>
          <w:tcPr>
            <w:tcW w:w="2064" w:type="dxa"/>
            <w:vAlign w:val="center"/>
          </w:tcPr>
          <w:p>
            <w:pPr>
              <w:rPr>
                <w:rFonts w:asciiTheme="majorEastAsia" w:hAnsiTheme="majorEastAsia" w:eastAsiaTheme="majorEastAsia"/>
                <w:sz w:val="24"/>
              </w:rPr>
            </w:pPr>
          </w:p>
        </w:tc>
        <w:tc>
          <w:tcPr>
            <w:tcW w:w="1080" w:type="dxa"/>
            <w:vAlign w:val="center"/>
          </w:tcPr>
          <w:p>
            <w:pPr>
              <w:rPr>
                <w:rFonts w:asciiTheme="majorEastAsia" w:hAnsiTheme="majorEastAsia" w:eastAsiaTheme="majorEastAsia"/>
                <w:sz w:val="24"/>
              </w:rPr>
            </w:pPr>
          </w:p>
        </w:tc>
        <w:tc>
          <w:tcPr>
            <w:tcW w:w="1260" w:type="dxa"/>
            <w:vAlign w:val="center"/>
          </w:tcPr>
          <w:p>
            <w:pPr>
              <w:rPr>
                <w:rFonts w:asciiTheme="majorEastAsia" w:hAnsiTheme="majorEastAsia" w:eastAsiaTheme="majorEastAsia"/>
                <w:sz w:val="24"/>
              </w:rPr>
            </w:pPr>
          </w:p>
        </w:tc>
        <w:tc>
          <w:tcPr>
            <w:tcW w:w="2089" w:type="dxa"/>
            <w:vAlign w:val="center"/>
          </w:tcPr>
          <w:p>
            <w:pPr>
              <w:rPr>
                <w:rFonts w:asciiTheme="majorEastAsia" w:hAnsiTheme="majorEastAsia" w:eastAsiaTheme="majorEastAsia"/>
                <w:sz w:val="24"/>
              </w:rPr>
            </w:pPr>
          </w:p>
        </w:tc>
        <w:tc>
          <w:tcPr>
            <w:tcW w:w="957" w:type="dxa"/>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2</w:t>
            </w:r>
          </w:p>
        </w:tc>
        <w:tc>
          <w:tcPr>
            <w:tcW w:w="1260" w:type="dxa"/>
            <w:vAlign w:val="center"/>
          </w:tcPr>
          <w:p>
            <w:pPr>
              <w:rPr>
                <w:rFonts w:asciiTheme="majorEastAsia" w:hAnsiTheme="majorEastAsia" w:eastAsiaTheme="majorEastAsia"/>
                <w:sz w:val="24"/>
              </w:rPr>
            </w:pPr>
          </w:p>
        </w:tc>
        <w:tc>
          <w:tcPr>
            <w:tcW w:w="2064" w:type="dxa"/>
            <w:vAlign w:val="center"/>
          </w:tcPr>
          <w:p>
            <w:pPr>
              <w:rPr>
                <w:rFonts w:asciiTheme="majorEastAsia" w:hAnsiTheme="majorEastAsia" w:eastAsiaTheme="majorEastAsia"/>
                <w:sz w:val="24"/>
              </w:rPr>
            </w:pPr>
          </w:p>
        </w:tc>
        <w:tc>
          <w:tcPr>
            <w:tcW w:w="1080" w:type="dxa"/>
            <w:vAlign w:val="center"/>
          </w:tcPr>
          <w:p>
            <w:pPr>
              <w:rPr>
                <w:rFonts w:asciiTheme="majorEastAsia" w:hAnsiTheme="majorEastAsia" w:eastAsiaTheme="majorEastAsia"/>
                <w:sz w:val="24"/>
              </w:rPr>
            </w:pPr>
          </w:p>
        </w:tc>
        <w:tc>
          <w:tcPr>
            <w:tcW w:w="1260" w:type="dxa"/>
            <w:vAlign w:val="center"/>
          </w:tcPr>
          <w:p>
            <w:pPr>
              <w:rPr>
                <w:rFonts w:asciiTheme="majorEastAsia" w:hAnsiTheme="majorEastAsia" w:eastAsiaTheme="majorEastAsia"/>
                <w:sz w:val="24"/>
              </w:rPr>
            </w:pPr>
          </w:p>
        </w:tc>
        <w:tc>
          <w:tcPr>
            <w:tcW w:w="2089" w:type="dxa"/>
            <w:vAlign w:val="center"/>
          </w:tcPr>
          <w:p>
            <w:pPr>
              <w:rPr>
                <w:rFonts w:asciiTheme="majorEastAsia" w:hAnsiTheme="majorEastAsia" w:eastAsiaTheme="majorEastAsia"/>
                <w:sz w:val="24"/>
              </w:rPr>
            </w:pPr>
          </w:p>
        </w:tc>
        <w:tc>
          <w:tcPr>
            <w:tcW w:w="957" w:type="dxa"/>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w:t>
            </w:r>
          </w:p>
        </w:tc>
        <w:tc>
          <w:tcPr>
            <w:tcW w:w="1260" w:type="dxa"/>
            <w:vAlign w:val="center"/>
          </w:tcPr>
          <w:p>
            <w:pPr>
              <w:rPr>
                <w:rFonts w:asciiTheme="majorEastAsia" w:hAnsiTheme="majorEastAsia" w:eastAsiaTheme="majorEastAsia"/>
                <w:sz w:val="24"/>
              </w:rPr>
            </w:pPr>
          </w:p>
        </w:tc>
        <w:tc>
          <w:tcPr>
            <w:tcW w:w="2064" w:type="dxa"/>
            <w:vAlign w:val="center"/>
          </w:tcPr>
          <w:p>
            <w:pPr>
              <w:rPr>
                <w:rFonts w:asciiTheme="majorEastAsia" w:hAnsiTheme="majorEastAsia" w:eastAsiaTheme="majorEastAsia"/>
                <w:sz w:val="24"/>
              </w:rPr>
            </w:pPr>
          </w:p>
        </w:tc>
        <w:tc>
          <w:tcPr>
            <w:tcW w:w="1080" w:type="dxa"/>
            <w:vAlign w:val="center"/>
          </w:tcPr>
          <w:p>
            <w:pPr>
              <w:rPr>
                <w:rFonts w:asciiTheme="majorEastAsia" w:hAnsiTheme="majorEastAsia" w:eastAsiaTheme="majorEastAsia"/>
                <w:sz w:val="24"/>
              </w:rPr>
            </w:pPr>
          </w:p>
        </w:tc>
        <w:tc>
          <w:tcPr>
            <w:tcW w:w="1260" w:type="dxa"/>
            <w:vAlign w:val="center"/>
          </w:tcPr>
          <w:p>
            <w:pPr>
              <w:rPr>
                <w:rFonts w:asciiTheme="majorEastAsia" w:hAnsiTheme="majorEastAsia" w:eastAsiaTheme="majorEastAsia"/>
                <w:sz w:val="24"/>
              </w:rPr>
            </w:pPr>
          </w:p>
        </w:tc>
        <w:tc>
          <w:tcPr>
            <w:tcW w:w="2089" w:type="dxa"/>
            <w:vAlign w:val="center"/>
          </w:tcPr>
          <w:p>
            <w:pPr>
              <w:rPr>
                <w:rFonts w:asciiTheme="majorEastAsia" w:hAnsiTheme="majorEastAsia" w:eastAsiaTheme="majorEastAsia"/>
                <w:sz w:val="24"/>
              </w:rPr>
            </w:pPr>
          </w:p>
        </w:tc>
        <w:tc>
          <w:tcPr>
            <w:tcW w:w="957" w:type="dxa"/>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29" w:type="dxa"/>
            <w:gridSpan w:val="7"/>
            <w:vAlign w:val="center"/>
          </w:tcPr>
          <w:p>
            <w:pPr>
              <w:ind w:left="2400" w:hanging="2400" w:hangingChars="1000"/>
              <w:rPr>
                <w:rFonts w:asciiTheme="majorEastAsia" w:hAnsiTheme="majorEastAsia" w:eastAsiaTheme="majorEastAsia"/>
                <w:sz w:val="24"/>
              </w:rPr>
            </w:pPr>
            <w:r>
              <w:rPr>
                <w:rFonts w:hint="eastAsia" w:asciiTheme="majorEastAsia" w:hAnsiTheme="majorEastAsia" w:eastAsiaTheme="majorEastAsia"/>
                <w:sz w:val="24"/>
              </w:rPr>
              <w:t>报价合计（包含税费等所有费用）：</w:t>
            </w:r>
            <w:r>
              <w:rPr>
                <w:rFonts w:hint="eastAsia" w:asciiTheme="majorEastAsia" w:hAnsiTheme="majorEastAsia" w:eastAsiaTheme="majorEastAsia"/>
                <w:sz w:val="24"/>
                <w:u w:val="single"/>
              </w:rPr>
              <w:t>（大写）人民币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29" w:type="dxa"/>
            <w:gridSpan w:val="7"/>
            <w:vAlign w:val="center"/>
          </w:tcPr>
          <w:p>
            <w:pPr>
              <w:rPr>
                <w:rFonts w:asciiTheme="majorEastAsia" w:hAnsiTheme="majorEastAsia" w:eastAsiaTheme="majorEastAsia"/>
                <w:sz w:val="24"/>
              </w:rPr>
            </w:pPr>
            <w:r>
              <w:rPr>
                <w:rFonts w:hint="eastAsia" w:asciiTheme="majorEastAsia" w:hAnsiTheme="majorEastAsia" w:eastAsiaTheme="majorEastAsia"/>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29" w:type="dxa"/>
            <w:gridSpan w:val="7"/>
            <w:vAlign w:val="center"/>
          </w:tcPr>
          <w:p>
            <w:pPr>
              <w:rPr>
                <w:rFonts w:asciiTheme="majorEastAsia" w:hAnsiTheme="majorEastAsia" w:eastAsiaTheme="majorEastAsia"/>
                <w:sz w:val="24"/>
              </w:rPr>
            </w:pPr>
            <w:r>
              <w:rPr>
                <w:rFonts w:hint="eastAsia" w:asciiTheme="majorEastAsia" w:hAnsiTheme="majorEastAsia" w:eastAsiaTheme="majorEastAsia"/>
                <w:sz w:val="24"/>
              </w:rPr>
              <w:t>法定代表人或其委托代理人（签字或盖章）：</w:t>
            </w:r>
          </w:p>
        </w:tc>
      </w:tr>
    </w:tbl>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注：表格内容均需按要求填写并盖章，不得留空，</w:t>
      </w:r>
      <w:r>
        <w:rPr>
          <w:rFonts w:hint="eastAsia" w:asciiTheme="majorEastAsia" w:hAnsiTheme="majorEastAsia" w:eastAsiaTheme="majorEastAsia"/>
          <w:bCs/>
          <w:sz w:val="24"/>
        </w:rPr>
        <w:t>否则按投标无效处理</w:t>
      </w:r>
      <w:r>
        <w:rPr>
          <w:rFonts w:hint="eastAsia" w:asciiTheme="majorEastAsia" w:hAnsiTheme="majorEastAsia" w:eastAsiaTheme="majorEastAsia"/>
          <w:sz w:val="24"/>
        </w:rPr>
        <w:t>。</w:t>
      </w: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spacing w:line="400" w:lineRule="exact"/>
        <w:rPr>
          <w:rFonts w:asciiTheme="majorEastAsia" w:hAnsiTheme="majorEastAsia" w:eastAsiaTheme="majorEastAsia"/>
          <w:b/>
          <w:bCs/>
          <w:sz w:val="24"/>
        </w:rPr>
      </w:pPr>
      <w:r>
        <w:rPr>
          <w:rFonts w:asciiTheme="majorEastAsia" w:hAnsiTheme="majorEastAsia" w:eastAsiaTheme="majorEastAsia"/>
        </w:rPr>
        <w:br w:type="page"/>
      </w:r>
      <w:r>
        <w:rPr>
          <w:rFonts w:hint="eastAsia" w:asciiTheme="majorEastAsia" w:hAnsiTheme="majorEastAsia" w:eastAsiaTheme="majorEastAsia"/>
          <w:b/>
        </w:rPr>
        <w:t>格式</w:t>
      </w:r>
      <w:r>
        <w:rPr>
          <w:rFonts w:asciiTheme="majorEastAsia" w:hAnsiTheme="majorEastAsia" w:eastAsiaTheme="majorEastAsia"/>
          <w:b/>
        </w:rPr>
        <w:t>3：</w:t>
      </w:r>
    </w:p>
    <w:p>
      <w:pPr>
        <w:pStyle w:val="16"/>
        <w:jc w:val="center"/>
        <w:rPr>
          <w:rFonts w:asciiTheme="majorEastAsia" w:hAnsiTheme="majorEastAsia" w:eastAsiaTheme="majorEastAsia"/>
          <w:b/>
          <w:sz w:val="30"/>
          <w:szCs w:val="30"/>
        </w:rPr>
      </w:pPr>
      <w:r>
        <w:rPr>
          <w:rFonts w:asciiTheme="majorEastAsia" w:hAnsiTheme="majorEastAsia" w:eastAsiaTheme="majorEastAsia"/>
          <w:b/>
          <w:sz w:val="30"/>
          <w:szCs w:val="30"/>
        </w:rPr>
        <w:t>中小企业声明函（格式）</w:t>
      </w:r>
    </w:p>
    <w:p>
      <w:pPr>
        <w:pStyle w:val="15"/>
        <w:spacing w:line="240" w:lineRule="auto"/>
        <w:ind w:firstLine="0"/>
        <w:rPr>
          <w:rFonts w:hint="default" w:asciiTheme="majorEastAsia" w:hAnsiTheme="majorEastAsia" w:eastAsiaTheme="majorEastAsia"/>
          <w:sz w:val="24"/>
          <w:szCs w:val="24"/>
        </w:rPr>
      </w:pPr>
      <w:r>
        <w:rPr>
          <w:rFonts w:asciiTheme="majorEastAsia" w:hAnsiTheme="majorEastAsia" w:eastAsiaTheme="majorEastAsia"/>
          <w:sz w:val="24"/>
          <w:szCs w:val="24"/>
        </w:rPr>
        <w:t>说明：</w:t>
      </w:r>
    </w:p>
    <w:p>
      <w:pPr>
        <w:pStyle w:val="15"/>
        <w:spacing w:line="240" w:lineRule="auto"/>
        <w:ind w:firstLine="464" w:firstLineChars="200"/>
        <w:rPr>
          <w:rFonts w:hint="default" w:asciiTheme="majorEastAsia" w:hAnsiTheme="majorEastAsia" w:eastAsiaTheme="majorEastAsia"/>
          <w:sz w:val="24"/>
          <w:szCs w:val="24"/>
        </w:rPr>
      </w:pPr>
      <w:r>
        <w:rPr>
          <w:rFonts w:hint="default" w:asciiTheme="majorEastAsia" w:hAnsiTheme="majorEastAsia" w:eastAsiaTheme="majorEastAsia"/>
          <w:sz w:val="24"/>
          <w:szCs w:val="24"/>
        </w:rPr>
        <w:t>1、本声明函主要供参加政府采购活动的中小企业填写，非中小企业无需填写。</w:t>
      </w:r>
    </w:p>
    <w:p>
      <w:pPr>
        <w:pStyle w:val="15"/>
        <w:spacing w:line="240" w:lineRule="auto"/>
        <w:ind w:firstLine="464" w:firstLineChars="200"/>
        <w:rPr>
          <w:rFonts w:hint="default" w:asciiTheme="majorEastAsia" w:hAnsiTheme="majorEastAsia" w:eastAsiaTheme="majorEastAsia"/>
          <w:sz w:val="24"/>
          <w:szCs w:val="24"/>
        </w:rPr>
      </w:pPr>
      <w:r>
        <w:rPr>
          <w:rFonts w:hint="default" w:asciiTheme="majorEastAsia" w:hAnsiTheme="majorEastAsia" w:eastAsiaTheme="majorEastAsia"/>
          <w:sz w:val="24"/>
          <w:szCs w:val="24"/>
        </w:rPr>
        <w:t>2、小型、微型企业提供中型企业制造的货物的，视同为中型企业。</w:t>
      </w:r>
    </w:p>
    <w:p>
      <w:pPr>
        <w:pStyle w:val="15"/>
        <w:spacing w:line="240" w:lineRule="auto"/>
        <w:ind w:firstLine="464" w:firstLineChars="200"/>
        <w:rPr>
          <w:rFonts w:hint="default" w:asciiTheme="majorEastAsia" w:hAnsiTheme="majorEastAsia" w:eastAsiaTheme="majorEastAsia"/>
          <w:sz w:val="24"/>
          <w:szCs w:val="24"/>
        </w:rPr>
      </w:pPr>
      <w:r>
        <w:rPr>
          <w:rFonts w:hint="default" w:asciiTheme="majorEastAsia" w:hAnsiTheme="majorEastAsia" w:eastAsiaTheme="majorEastAsia"/>
          <w:sz w:val="24"/>
          <w:szCs w:val="24"/>
        </w:rPr>
        <w:t>3、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15"/>
        <w:spacing w:line="360" w:lineRule="auto"/>
        <w:ind w:firstLine="464" w:firstLineChars="200"/>
        <w:rPr>
          <w:rFonts w:hint="default" w:asciiTheme="majorEastAsia" w:hAnsiTheme="majorEastAsia" w:eastAsiaTheme="majorEastAsia"/>
          <w:sz w:val="24"/>
          <w:szCs w:val="24"/>
        </w:rPr>
      </w:pP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本公司郑重声明，根据《政府采购促进中小企业发展暂行办法》（财库〔2011〕181号）的规定，本公司为______（请填写：中型、小型、微型）企业。即，本公司同时满足以下条件：</w:t>
      </w: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本公司对上述声明的真实性负责。如有虚假，将依法承担相应责任。</w:t>
      </w:r>
    </w:p>
    <w:p>
      <w:pPr>
        <w:pStyle w:val="16"/>
        <w:spacing w:line="360" w:lineRule="auto"/>
        <w:ind w:firstLine="480" w:firstLineChars="200"/>
        <w:rPr>
          <w:rFonts w:asciiTheme="majorEastAsia" w:hAnsiTheme="majorEastAsia" w:eastAsiaTheme="majorEastAsia"/>
          <w:sz w:val="24"/>
          <w:szCs w:val="24"/>
        </w:rPr>
      </w:pPr>
    </w:p>
    <w:p>
      <w:pPr>
        <w:pStyle w:val="16"/>
        <w:spacing w:line="360" w:lineRule="auto"/>
        <w:ind w:firstLine="480" w:firstLineChars="200"/>
        <w:rPr>
          <w:rFonts w:asciiTheme="majorEastAsia" w:hAnsiTheme="majorEastAsia" w:eastAsiaTheme="majorEastAsia"/>
          <w:sz w:val="24"/>
          <w:szCs w:val="24"/>
        </w:rPr>
      </w:pPr>
    </w:p>
    <w:p>
      <w:pPr>
        <w:pStyle w:val="16"/>
        <w:spacing w:line="360" w:lineRule="auto"/>
        <w:ind w:firstLine="480" w:firstLineChars="200"/>
        <w:rPr>
          <w:rFonts w:asciiTheme="majorEastAsia" w:hAnsiTheme="majorEastAsia" w:eastAsiaTheme="majorEastAsia"/>
          <w:sz w:val="24"/>
          <w:szCs w:val="24"/>
        </w:rPr>
      </w:pPr>
    </w:p>
    <w:p>
      <w:pPr>
        <w:pStyle w:val="16"/>
        <w:spacing w:line="600" w:lineRule="exact"/>
        <w:rPr>
          <w:rFonts w:asciiTheme="majorEastAsia" w:hAnsiTheme="majorEastAsia" w:eastAsiaTheme="majorEastAsia"/>
          <w:sz w:val="24"/>
          <w:szCs w:val="24"/>
          <w:u w:val="single"/>
        </w:rPr>
      </w:pPr>
      <w:r>
        <w:rPr>
          <w:rFonts w:asciiTheme="majorEastAsia" w:hAnsiTheme="majorEastAsia" w:eastAsiaTheme="majorEastAsia"/>
          <w:sz w:val="24"/>
          <w:szCs w:val="24"/>
        </w:rPr>
        <w:t>投标人（盖单位公章）：</w:t>
      </w:r>
    </w:p>
    <w:p>
      <w:pPr>
        <w:pStyle w:val="16"/>
        <w:spacing w:line="600" w:lineRule="exact"/>
        <w:rPr>
          <w:rFonts w:asciiTheme="majorEastAsia" w:hAnsiTheme="majorEastAsia" w:eastAsiaTheme="majorEastAsia"/>
          <w:sz w:val="24"/>
          <w:szCs w:val="24"/>
          <w:u w:val="single"/>
        </w:rPr>
      </w:pPr>
    </w:p>
    <w:p>
      <w:pPr>
        <w:pStyle w:val="16"/>
        <w:spacing w:line="500" w:lineRule="exact"/>
        <w:rPr>
          <w:rFonts w:asciiTheme="majorEastAsia" w:hAnsiTheme="majorEastAsia" w:eastAsiaTheme="majorEastAsia"/>
          <w:sz w:val="24"/>
          <w:szCs w:val="24"/>
          <w:u w:val="single"/>
        </w:rPr>
      </w:pPr>
      <w:r>
        <w:rPr>
          <w:rFonts w:asciiTheme="majorEastAsia" w:hAnsiTheme="majorEastAsia" w:eastAsiaTheme="majorEastAsia"/>
          <w:sz w:val="24"/>
          <w:szCs w:val="24"/>
        </w:rPr>
        <w:t>法定代表人或其委托代理人（签字或盖章）：</w:t>
      </w:r>
    </w:p>
    <w:p>
      <w:pPr>
        <w:pStyle w:val="16"/>
        <w:spacing w:line="360" w:lineRule="auto"/>
        <w:rPr>
          <w:rFonts w:asciiTheme="majorEastAsia" w:hAnsiTheme="majorEastAsia" w:eastAsiaTheme="majorEastAsia"/>
          <w:szCs w:val="21"/>
        </w:rPr>
      </w:pPr>
    </w:p>
    <w:p>
      <w:pPr>
        <w:spacing w:line="588" w:lineRule="exact"/>
        <w:rPr>
          <w:rFonts w:asciiTheme="majorEastAsia" w:hAnsiTheme="majorEastAsia" w:eastAsiaTheme="majorEastAsia"/>
          <w:sz w:val="24"/>
        </w:rPr>
      </w:pPr>
      <w:r>
        <w:rPr>
          <w:rFonts w:asciiTheme="majorEastAsia" w:hAnsiTheme="majorEastAsia" w:eastAsiaTheme="majorEastAsia"/>
          <w:b/>
          <w:bCs/>
          <w:sz w:val="24"/>
        </w:rPr>
        <w:br w:type="page"/>
      </w:r>
      <w:r>
        <w:rPr>
          <w:rFonts w:hint="eastAsia" w:asciiTheme="majorEastAsia" w:hAnsiTheme="majorEastAsia" w:eastAsiaTheme="majorEastAsia"/>
          <w:b/>
          <w:szCs w:val="20"/>
        </w:rPr>
        <w:t>格式</w:t>
      </w:r>
      <w:r>
        <w:rPr>
          <w:rFonts w:asciiTheme="majorEastAsia" w:hAnsiTheme="majorEastAsia" w:eastAsiaTheme="majorEastAsia"/>
          <w:b/>
          <w:szCs w:val="20"/>
        </w:rPr>
        <w:t>4：</w:t>
      </w:r>
    </w:p>
    <w:p>
      <w:pPr>
        <w:spacing w:line="588" w:lineRule="exact"/>
        <w:jc w:val="center"/>
        <w:rPr>
          <w:rFonts w:asciiTheme="majorEastAsia" w:hAnsiTheme="majorEastAsia" w:eastAsiaTheme="majorEastAsia"/>
          <w:b/>
          <w:spacing w:val="6"/>
          <w:sz w:val="32"/>
          <w:szCs w:val="32"/>
        </w:rPr>
      </w:pPr>
      <w:r>
        <w:rPr>
          <w:rFonts w:hint="eastAsia" w:asciiTheme="majorEastAsia" w:hAnsiTheme="majorEastAsia" w:eastAsiaTheme="majorEastAsia"/>
          <w:b/>
          <w:spacing w:val="6"/>
          <w:sz w:val="32"/>
          <w:szCs w:val="32"/>
        </w:rPr>
        <w:t>残疾人福利性单位声明函</w:t>
      </w:r>
    </w:p>
    <w:p>
      <w:pPr>
        <w:spacing w:line="588" w:lineRule="exact"/>
        <w:rPr>
          <w:rFonts w:asciiTheme="majorEastAsia" w:hAnsiTheme="majorEastAsia" w:eastAsiaTheme="majorEastAsia"/>
          <w:b/>
          <w:spacing w:val="6"/>
          <w:sz w:val="30"/>
          <w:szCs w:val="30"/>
        </w:rPr>
      </w:pP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本单位郑重声明，根据《财政部 民政部 中国残疾人联合会关于促进残疾人就业政府采购政策的通知》（财库〔2017〕 141号）的规定，本单位为符合条件的残疾人福利性单位，且本单位参加____________单位的____________项目采购活动提供本单位制造的货物（由本单位承担工程/提供服务），或者提供其他残疾人福利性单位制造的货物（不包括使用非残疾人福利性单位注册商标的货物）。</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本单位对上述声明的真实性负责。如有虚假，将依法承担相应责任。</w:t>
      </w:r>
    </w:p>
    <w:p>
      <w:pPr>
        <w:pStyle w:val="16"/>
        <w:spacing w:line="360" w:lineRule="auto"/>
        <w:ind w:firstLine="480" w:firstLineChars="200"/>
        <w:rPr>
          <w:rFonts w:cs="宋体" w:asciiTheme="majorEastAsia" w:hAnsiTheme="majorEastAsia" w:eastAsiaTheme="majorEastAsia"/>
          <w:sz w:val="24"/>
          <w:szCs w:val="24"/>
        </w:rPr>
      </w:pPr>
    </w:p>
    <w:p>
      <w:pPr>
        <w:pStyle w:val="16"/>
        <w:spacing w:line="360" w:lineRule="auto"/>
        <w:ind w:firstLine="480" w:firstLineChars="200"/>
        <w:rPr>
          <w:rFonts w:cs="宋体" w:asciiTheme="majorEastAsia" w:hAnsiTheme="majorEastAsia" w:eastAsiaTheme="majorEastAsia"/>
          <w:sz w:val="24"/>
          <w:szCs w:val="24"/>
        </w:rPr>
      </w:pP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单位名称（盖章）：</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                                       日  期：</w:t>
      </w:r>
    </w:p>
    <w:p>
      <w:pPr>
        <w:pStyle w:val="16"/>
        <w:ind w:firstLine="480" w:firstLineChars="200"/>
        <w:rPr>
          <w:rFonts w:cs="宋体" w:asciiTheme="majorEastAsia" w:hAnsiTheme="majorEastAsia" w:eastAsiaTheme="majorEastAsia"/>
          <w:sz w:val="24"/>
          <w:szCs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p>
    <w:p>
      <w:pPr>
        <w:spacing w:line="400" w:lineRule="exact"/>
        <w:rPr>
          <w:rFonts w:asciiTheme="majorEastAsia" w:hAnsiTheme="majorEastAsia" w:eastAsiaTheme="majorEastAsia"/>
          <w:b/>
          <w:bCs/>
          <w:sz w:val="24"/>
        </w:rPr>
      </w:pPr>
      <w:r>
        <w:rPr>
          <w:rFonts w:asciiTheme="majorEastAsia" w:hAnsiTheme="majorEastAsia" w:eastAsiaTheme="majorEastAsia"/>
          <w:b/>
          <w:bCs/>
          <w:sz w:val="24"/>
        </w:rPr>
        <w:br w:type="page"/>
      </w:r>
      <w:r>
        <w:rPr>
          <w:rFonts w:hint="eastAsia" w:asciiTheme="majorEastAsia" w:hAnsiTheme="majorEastAsia" w:eastAsiaTheme="majorEastAsia"/>
          <w:b/>
          <w:szCs w:val="20"/>
        </w:rPr>
        <w:t>格式</w:t>
      </w:r>
      <w:r>
        <w:rPr>
          <w:rFonts w:asciiTheme="majorEastAsia" w:hAnsiTheme="majorEastAsia" w:eastAsiaTheme="majorEastAsia"/>
          <w:b/>
          <w:szCs w:val="20"/>
        </w:rPr>
        <w:t>5：</w:t>
      </w:r>
    </w:p>
    <w:p>
      <w:pPr>
        <w:pStyle w:val="16"/>
        <w:spacing w:line="500" w:lineRule="exact"/>
        <w:jc w:val="center"/>
        <w:rPr>
          <w:rFonts w:asciiTheme="majorEastAsia" w:hAnsiTheme="majorEastAsia" w:eastAsiaTheme="majorEastAsia"/>
          <w:b/>
          <w:bCs/>
          <w:sz w:val="30"/>
          <w:szCs w:val="30"/>
        </w:rPr>
      </w:pPr>
      <w:r>
        <w:rPr>
          <w:rFonts w:asciiTheme="majorEastAsia" w:hAnsiTheme="majorEastAsia" w:eastAsiaTheme="majorEastAsia"/>
          <w:b/>
          <w:bCs/>
          <w:sz w:val="30"/>
          <w:szCs w:val="30"/>
        </w:rPr>
        <w:t>资格声明函（格式）</w:t>
      </w:r>
    </w:p>
    <w:p>
      <w:pPr>
        <w:spacing w:line="380" w:lineRule="exact"/>
        <w:rPr>
          <w:rFonts w:asciiTheme="majorEastAsia" w:hAnsiTheme="majorEastAsia" w:eastAsiaTheme="majorEastAsia"/>
          <w:sz w:val="24"/>
        </w:rPr>
      </w:pPr>
    </w:p>
    <w:p>
      <w:pPr>
        <w:spacing w:line="380" w:lineRule="exact"/>
        <w:rPr>
          <w:rFonts w:asciiTheme="majorEastAsia" w:hAnsiTheme="majorEastAsia" w:eastAsiaTheme="majorEastAsia"/>
          <w:sz w:val="24"/>
        </w:rPr>
      </w:pPr>
    </w:p>
    <w:p>
      <w:pPr>
        <w:spacing w:line="380" w:lineRule="exact"/>
        <w:rPr>
          <w:rFonts w:asciiTheme="majorEastAsia" w:hAnsiTheme="majorEastAsia" w:eastAsiaTheme="majorEastAsia"/>
          <w:sz w:val="24"/>
        </w:rPr>
      </w:pPr>
      <w:r>
        <w:rPr>
          <w:rFonts w:hint="eastAsia" w:asciiTheme="majorEastAsia" w:hAnsiTheme="majorEastAsia" w:eastAsiaTheme="majorEastAsia"/>
          <w:sz w:val="24"/>
        </w:rPr>
        <w:t>致：</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（采购代理机构名称）</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我方愿意参加贵方组织的</w:t>
      </w:r>
      <w:r>
        <w:rPr>
          <w:rFonts w:asciiTheme="majorEastAsia" w:hAnsiTheme="majorEastAsia" w:eastAsiaTheme="majorEastAsia"/>
          <w:sz w:val="24"/>
          <w:u w:val="single"/>
        </w:rPr>
        <w:t> (</w:t>
      </w:r>
      <w:r>
        <w:rPr>
          <w:rFonts w:hint="eastAsia" w:asciiTheme="majorEastAsia" w:hAnsiTheme="majorEastAsia" w:eastAsiaTheme="majorEastAsia"/>
          <w:sz w:val="24"/>
          <w:u w:val="single"/>
        </w:rPr>
        <w:t>项目名称</w:t>
      </w:r>
      <w:r>
        <w:rPr>
          <w:rFonts w:asciiTheme="majorEastAsia" w:hAnsiTheme="majorEastAsia" w:eastAsiaTheme="majorEastAsia"/>
          <w:sz w:val="24"/>
          <w:u w:val="single"/>
        </w:rPr>
        <w:t xml:space="preserve">)                      </w:t>
      </w:r>
      <w:r>
        <w:rPr>
          <w:rFonts w:hint="eastAsia" w:asciiTheme="majorEastAsia" w:hAnsiTheme="majorEastAsia" w:eastAsiaTheme="majorEastAsia"/>
          <w:sz w:val="24"/>
        </w:rPr>
        <w:t>（项目编号：）项目的投标，为便于贵方公正、择优地确定中标供应商及其投标服务成果和服务，我方就本次投标有关事项郑重声明如下：</w:t>
      </w:r>
    </w:p>
    <w:p>
      <w:pPr>
        <w:spacing w:line="380" w:lineRule="exact"/>
        <w:ind w:firstLine="482"/>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、我方承诺已经具备《中华人民共和国政府采购法》中规定的参加政府采购活动的供应商应当具备的条件：</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1</w:t>
      </w:r>
      <w:r>
        <w:rPr>
          <w:rFonts w:hint="eastAsia" w:asciiTheme="majorEastAsia" w:hAnsiTheme="majorEastAsia" w:eastAsiaTheme="majorEastAsia"/>
          <w:sz w:val="24"/>
        </w:rPr>
        <w:t>）具有独立承担民事责任的能力；</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2</w:t>
      </w:r>
      <w:r>
        <w:rPr>
          <w:rFonts w:hint="eastAsia" w:asciiTheme="majorEastAsia" w:hAnsiTheme="majorEastAsia" w:eastAsiaTheme="majorEastAsia"/>
          <w:sz w:val="24"/>
        </w:rPr>
        <w:t>）具有良好的商业信誉和健全的财务会计制度；</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3</w:t>
      </w:r>
      <w:r>
        <w:rPr>
          <w:rFonts w:hint="eastAsia" w:asciiTheme="majorEastAsia" w:hAnsiTheme="majorEastAsia" w:eastAsiaTheme="majorEastAsia"/>
          <w:sz w:val="24"/>
        </w:rPr>
        <w:t>）具有履行合同所必需的设备和专业技术能力；</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4</w:t>
      </w:r>
      <w:r>
        <w:rPr>
          <w:rFonts w:hint="eastAsia" w:asciiTheme="majorEastAsia" w:hAnsiTheme="majorEastAsia" w:eastAsiaTheme="majorEastAsia"/>
          <w:sz w:val="24"/>
        </w:rPr>
        <w:t>）有依法缴纳税收和社会保障资金的良好记录；</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5</w:t>
      </w:r>
      <w:r>
        <w:rPr>
          <w:rFonts w:hint="eastAsia" w:asciiTheme="majorEastAsia" w:hAnsiTheme="majorEastAsia" w:eastAsiaTheme="majorEastAsia"/>
          <w:sz w:val="24"/>
        </w:rPr>
        <w:t>）参加政府采购活动前三年内，在经营活动中没有重大违法记录；</w:t>
      </w:r>
    </w:p>
    <w:p>
      <w:pPr>
        <w:spacing w:line="380" w:lineRule="exact"/>
        <w:ind w:left="420"/>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6</w:t>
      </w:r>
      <w:r>
        <w:rPr>
          <w:rFonts w:hint="eastAsia" w:asciiTheme="majorEastAsia" w:hAnsiTheme="majorEastAsia" w:eastAsiaTheme="majorEastAsia"/>
          <w:sz w:val="24"/>
        </w:rPr>
        <w:t>）法律、行政法规规定的其他条件。</w:t>
      </w:r>
    </w:p>
    <w:p>
      <w:pPr>
        <w:spacing w:line="380" w:lineRule="exact"/>
        <w:ind w:firstLine="482"/>
        <w:rPr>
          <w:rFonts w:asciiTheme="majorEastAsia" w:hAnsiTheme="majorEastAsia" w:eastAsiaTheme="majorEastAsia"/>
          <w:sz w:val="24"/>
        </w:rPr>
      </w:pPr>
      <w:r>
        <w:rPr>
          <w:rFonts w:asciiTheme="majorEastAsia" w:hAnsiTheme="majorEastAsia" w:eastAsiaTheme="majorEastAsia"/>
          <w:sz w:val="24"/>
        </w:rPr>
        <w:t>2、经查询，在“信用中国”和“中国政府采购网”网站我方未被列入失信被执行人、重大税收违法案件当事人名单、政府采购严重违法失信行为记录名单。</w:t>
      </w:r>
    </w:p>
    <w:p>
      <w:pPr>
        <w:spacing w:line="38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以上事项如有虚假或隐瞒，我方愿意承担一切后果，并不再寻求任何旨在减轻或免除法律责任的辩解。</w:t>
      </w:r>
    </w:p>
    <w:p>
      <w:pPr>
        <w:spacing w:line="380" w:lineRule="exact"/>
        <w:ind w:firstLine="5880" w:firstLineChars="2450"/>
        <w:rPr>
          <w:rFonts w:asciiTheme="majorEastAsia" w:hAnsiTheme="majorEastAsia" w:eastAsiaTheme="majorEastAsia"/>
          <w:bCs/>
          <w:sz w:val="24"/>
        </w:rPr>
      </w:pPr>
    </w:p>
    <w:p>
      <w:pPr>
        <w:spacing w:line="380" w:lineRule="exact"/>
        <w:ind w:firstLine="5880" w:firstLineChars="2450"/>
        <w:rPr>
          <w:rFonts w:asciiTheme="majorEastAsia" w:hAnsiTheme="majorEastAsia" w:eastAsiaTheme="majorEastAsia"/>
          <w:sz w:val="24"/>
        </w:rPr>
      </w:pPr>
      <w:r>
        <w:rPr>
          <w:rFonts w:hint="eastAsia" w:asciiTheme="majorEastAsia" w:hAnsiTheme="majorEastAsia" w:eastAsiaTheme="majorEastAsia"/>
          <w:bCs/>
          <w:sz w:val="24"/>
        </w:rPr>
        <w:t>法定代表人或委托代理人签字：</w:t>
      </w:r>
    </w:p>
    <w:p>
      <w:pPr>
        <w:spacing w:line="380" w:lineRule="exact"/>
        <w:ind w:firstLine="5880" w:firstLineChars="2450"/>
        <w:rPr>
          <w:rFonts w:asciiTheme="majorEastAsia" w:hAnsiTheme="majorEastAsia" w:eastAsiaTheme="majorEastAsia"/>
          <w:sz w:val="24"/>
        </w:rPr>
      </w:pPr>
      <w:r>
        <w:rPr>
          <w:rFonts w:hint="eastAsia" w:asciiTheme="majorEastAsia" w:hAnsiTheme="majorEastAsia" w:eastAsiaTheme="majorEastAsia"/>
          <w:bCs/>
          <w:sz w:val="24"/>
        </w:rPr>
        <w:t>投标人（盖章）：</w:t>
      </w:r>
    </w:p>
    <w:p>
      <w:pPr>
        <w:spacing w:line="380" w:lineRule="exact"/>
        <w:ind w:firstLine="5880" w:firstLineChars="2450"/>
        <w:rPr>
          <w:rFonts w:asciiTheme="majorEastAsia" w:hAnsiTheme="majorEastAsia" w:eastAsiaTheme="majorEastAsia"/>
          <w:sz w:val="24"/>
        </w:rPr>
      </w:pPr>
      <w:r>
        <w:rPr>
          <w:rFonts w:hint="eastAsia" w:asciiTheme="majorEastAsia" w:hAnsiTheme="majorEastAsia" w:eastAsiaTheme="majorEastAsia"/>
          <w:bCs/>
          <w:sz w:val="24"/>
        </w:rPr>
        <w:t>年月日</w:t>
      </w:r>
    </w:p>
    <w:p>
      <w:pPr>
        <w:rPr>
          <w:rFonts w:asciiTheme="majorEastAsia" w:hAnsiTheme="majorEastAsia" w:eastAsiaTheme="majorEastAsia"/>
          <w:b/>
          <w:szCs w:val="20"/>
        </w:rPr>
      </w:pPr>
      <w:r>
        <w:rPr>
          <w:rFonts w:asciiTheme="majorEastAsia" w:hAnsiTheme="majorEastAsia" w:eastAsiaTheme="majorEastAsia"/>
          <w:b/>
        </w:rPr>
        <w:br w:type="page"/>
      </w:r>
    </w:p>
    <w:p>
      <w:pPr>
        <w:pStyle w:val="16"/>
        <w:rPr>
          <w:rFonts w:cs="宋体" w:asciiTheme="majorEastAsia" w:hAnsiTheme="majorEastAsia" w:eastAsiaTheme="majorEastAsia"/>
          <w:sz w:val="24"/>
          <w:szCs w:val="24"/>
        </w:rPr>
      </w:pPr>
      <w:r>
        <w:rPr>
          <w:rFonts w:cs="宋体" w:asciiTheme="majorEastAsia" w:hAnsiTheme="majorEastAsia" w:eastAsiaTheme="majorEastAsia"/>
          <w:b/>
        </w:rPr>
        <w:t>格式6：</w:t>
      </w:r>
    </w:p>
    <w:p>
      <w:pPr>
        <w:pStyle w:val="16"/>
        <w:spacing w:line="500" w:lineRule="exact"/>
        <w:jc w:val="center"/>
        <w:rPr>
          <w:rFonts w:asciiTheme="majorEastAsia" w:hAnsiTheme="majorEastAsia" w:eastAsiaTheme="majorEastAsia"/>
          <w:b/>
          <w:bCs/>
          <w:sz w:val="30"/>
          <w:szCs w:val="30"/>
        </w:rPr>
      </w:pPr>
      <w:r>
        <w:rPr>
          <w:rFonts w:asciiTheme="majorEastAsia" w:hAnsiTheme="majorEastAsia" w:eastAsiaTheme="majorEastAsia"/>
          <w:b/>
          <w:bCs/>
          <w:sz w:val="30"/>
          <w:szCs w:val="30"/>
        </w:rPr>
        <w:t>投标服务技术资料表（格式）</w:t>
      </w:r>
    </w:p>
    <w:p>
      <w:pPr>
        <w:pStyle w:val="16"/>
        <w:spacing w:line="440" w:lineRule="exact"/>
        <w:ind w:firstLine="480" w:firstLineChars="200"/>
        <w:rPr>
          <w:rFonts w:asciiTheme="majorEastAsia" w:hAnsiTheme="majorEastAsia" w:eastAsiaTheme="majorEastAsia"/>
          <w:sz w:val="24"/>
          <w:szCs w:val="24"/>
        </w:rPr>
      </w:pPr>
    </w:p>
    <w:p>
      <w:pPr>
        <w:pStyle w:val="16"/>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请根据所投服务的实际技术参数，逐条对应本项目招标文件第二章“服务需求一览表”中的服务内容及要求详细填写相应的具体内容。“偏离说明”一栏应当选择“正偏离”、“负偏离”或“无偏离”进行填写。</w:t>
      </w:r>
    </w:p>
    <w:p>
      <w:pPr>
        <w:pStyle w:val="16"/>
        <w:rPr>
          <w:rFonts w:asciiTheme="majorEastAsia" w:hAnsiTheme="majorEastAsia" w:eastAsiaTheme="majorEastAsia"/>
          <w:sz w:val="24"/>
          <w:szCs w:val="24"/>
          <w:u w:val="thick"/>
        </w:rPr>
      </w:pPr>
    </w:p>
    <w:tbl>
      <w:tblPr>
        <w:tblStyle w:val="26"/>
        <w:tblW w:w="10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60"/>
        <w:gridCol w:w="2310"/>
        <w:gridCol w:w="1516"/>
        <w:gridCol w:w="329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62" w:type="dxa"/>
            <w:vMerge w:val="restart"/>
            <w:vAlign w:val="center"/>
          </w:tcPr>
          <w:p>
            <w:pPr>
              <w:rPr>
                <w:rFonts w:asciiTheme="majorEastAsia" w:hAnsiTheme="majorEastAsia" w:eastAsiaTheme="majorEastAsia"/>
                <w:sz w:val="24"/>
              </w:rPr>
            </w:pPr>
            <w:r>
              <w:rPr>
                <w:rFonts w:hint="eastAsia" w:asciiTheme="majorEastAsia" w:hAnsiTheme="majorEastAsia" w:eastAsiaTheme="majorEastAsia"/>
                <w:sz w:val="24"/>
              </w:rPr>
              <w:t>项号</w:t>
            </w:r>
          </w:p>
        </w:tc>
        <w:tc>
          <w:tcPr>
            <w:tcW w:w="3570"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招标文件需求</w:t>
            </w:r>
          </w:p>
        </w:tc>
        <w:tc>
          <w:tcPr>
            <w:tcW w:w="4813"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投标文件承诺</w:t>
            </w:r>
          </w:p>
        </w:tc>
        <w:tc>
          <w:tcPr>
            <w:tcW w:w="1539" w:type="dxa"/>
            <w:vMerge w:val="restart"/>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62" w:type="dxa"/>
            <w:vMerge w:val="continue"/>
            <w:vAlign w:val="center"/>
          </w:tcPr>
          <w:p>
            <w:pPr>
              <w:rPr>
                <w:rFonts w:asciiTheme="majorEastAsia" w:hAnsiTheme="majorEastAsia" w:eastAsiaTheme="majorEastAsia"/>
                <w:sz w:val="24"/>
              </w:rPr>
            </w:pPr>
          </w:p>
        </w:tc>
        <w:tc>
          <w:tcPr>
            <w:tcW w:w="12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服务名称</w:t>
            </w:r>
          </w:p>
        </w:tc>
        <w:tc>
          <w:tcPr>
            <w:tcW w:w="231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服务内容及要求</w:t>
            </w:r>
          </w:p>
        </w:tc>
        <w:tc>
          <w:tcPr>
            <w:tcW w:w="1516"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服务名称</w:t>
            </w:r>
          </w:p>
        </w:tc>
        <w:tc>
          <w:tcPr>
            <w:tcW w:w="3297"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所提供服务的内容</w:t>
            </w:r>
          </w:p>
        </w:tc>
        <w:tc>
          <w:tcPr>
            <w:tcW w:w="1539" w:type="dxa"/>
            <w:vMerge w:val="continue"/>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62"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w:t>
            </w:r>
          </w:p>
        </w:tc>
        <w:tc>
          <w:tcPr>
            <w:tcW w:w="12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2310"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1516"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3297"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1539"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2</w:t>
            </w:r>
          </w:p>
        </w:tc>
        <w:tc>
          <w:tcPr>
            <w:tcW w:w="12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2310"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1516"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3297"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jc w:val="center"/>
              <w:rPr>
                <w:rFonts w:asciiTheme="majorEastAsia" w:hAnsiTheme="majorEastAsia" w:eastAsiaTheme="majorEastAsia"/>
                <w:sz w:val="24"/>
              </w:rPr>
            </w:pPr>
            <w:r>
              <w:rPr>
                <w:rFonts w:hint="eastAsia" w:asciiTheme="majorEastAsia" w:hAnsiTheme="majorEastAsia" w:eastAsiaTheme="majorEastAsia"/>
                <w:sz w:val="24"/>
              </w:rPr>
              <w:t>……</w:t>
            </w:r>
          </w:p>
        </w:tc>
        <w:tc>
          <w:tcPr>
            <w:tcW w:w="1539" w:type="dxa"/>
            <w:vAlign w:val="center"/>
          </w:tcPr>
          <w:p>
            <w:pPr>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w:t>
            </w:r>
          </w:p>
        </w:tc>
        <w:tc>
          <w:tcPr>
            <w:tcW w:w="1260" w:type="dxa"/>
            <w:vAlign w:val="center"/>
          </w:tcPr>
          <w:p>
            <w:pPr>
              <w:rPr>
                <w:rFonts w:asciiTheme="majorEastAsia" w:hAnsiTheme="majorEastAsia" w:eastAsiaTheme="majorEastAsia"/>
                <w:sz w:val="24"/>
              </w:rPr>
            </w:pPr>
          </w:p>
        </w:tc>
        <w:tc>
          <w:tcPr>
            <w:tcW w:w="2310" w:type="dxa"/>
            <w:vAlign w:val="center"/>
          </w:tcPr>
          <w:p>
            <w:pPr>
              <w:rPr>
                <w:rFonts w:asciiTheme="majorEastAsia" w:hAnsiTheme="majorEastAsia" w:eastAsiaTheme="majorEastAsia"/>
                <w:sz w:val="24"/>
              </w:rPr>
            </w:pPr>
          </w:p>
        </w:tc>
        <w:tc>
          <w:tcPr>
            <w:tcW w:w="1516" w:type="dxa"/>
            <w:vAlign w:val="center"/>
          </w:tcPr>
          <w:p>
            <w:pPr>
              <w:rPr>
                <w:rFonts w:asciiTheme="majorEastAsia" w:hAnsiTheme="majorEastAsia" w:eastAsiaTheme="majorEastAsia"/>
                <w:sz w:val="24"/>
              </w:rPr>
            </w:pPr>
          </w:p>
        </w:tc>
        <w:tc>
          <w:tcPr>
            <w:tcW w:w="3297" w:type="dxa"/>
            <w:vAlign w:val="center"/>
          </w:tcPr>
          <w:p>
            <w:pPr>
              <w:rPr>
                <w:rFonts w:asciiTheme="majorEastAsia" w:hAnsiTheme="majorEastAsia" w:eastAsiaTheme="majorEastAsia"/>
                <w:sz w:val="24"/>
              </w:rPr>
            </w:pPr>
          </w:p>
        </w:tc>
        <w:tc>
          <w:tcPr>
            <w:tcW w:w="1539" w:type="dxa"/>
            <w:vAlign w:val="center"/>
          </w:tcPr>
          <w:p>
            <w:pP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784" w:type="dxa"/>
            <w:gridSpan w:val="6"/>
            <w:vAlign w:val="center"/>
          </w:tcPr>
          <w:p>
            <w:pPr>
              <w:rPr>
                <w:rFonts w:asciiTheme="majorEastAsia" w:hAnsiTheme="majorEastAsia" w:eastAsiaTheme="majorEastAsia"/>
                <w:sz w:val="24"/>
              </w:rPr>
            </w:pPr>
            <w:r>
              <w:rPr>
                <w:rFonts w:hint="eastAsia" w:asciiTheme="majorEastAsia" w:hAnsiTheme="majorEastAsia" w:eastAsiaTheme="majorEastAsia"/>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784" w:type="dxa"/>
            <w:gridSpan w:val="6"/>
            <w:vAlign w:val="center"/>
          </w:tcPr>
          <w:p>
            <w:pPr>
              <w:rPr>
                <w:rFonts w:asciiTheme="majorEastAsia" w:hAnsiTheme="majorEastAsia" w:eastAsiaTheme="majorEastAsia"/>
                <w:sz w:val="24"/>
              </w:rPr>
            </w:pPr>
            <w:r>
              <w:rPr>
                <w:rFonts w:hint="eastAsia" w:asciiTheme="majorEastAsia" w:hAnsiTheme="majorEastAsia" w:eastAsiaTheme="majorEastAsia"/>
                <w:sz w:val="24"/>
              </w:rPr>
              <w:t>法定代表人或其委托代理人（签字或盖章）：</w:t>
            </w:r>
          </w:p>
        </w:tc>
      </w:tr>
    </w:tbl>
    <w:p>
      <w:pPr>
        <w:pStyle w:val="16"/>
        <w:spacing w:line="500" w:lineRule="exact"/>
        <w:rPr>
          <w:rFonts w:asciiTheme="majorEastAsia" w:hAnsiTheme="majorEastAsia" w:eastAsiaTheme="majorEastAsia"/>
          <w:sz w:val="24"/>
          <w:szCs w:val="24"/>
        </w:rPr>
      </w:pPr>
      <w:r>
        <w:rPr>
          <w:rFonts w:asciiTheme="majorEastAsia" w:hAnsiTheme="majorEastAsia" w:eastAsiaTheme="majorEastAsia"/>
          <w:sz w:val="24"/>
          <w:szCs w:val="24"/>
        </w:rPr>
        <w:t>注：</w:t>
      </w:r>
      <w:r>
        <w:rPr>
          <w:rFonts w:cs="宋体" w:asciiTheme="majorEastAsia" w:hAnsiTheme="majorEastAsia" w:eastAsiaTheme="majorEastAsia"/>
          <w:sz w:val="24"/>
          <w:szCs w:val="24"/>
        </w:rPr>
        <w:t>⑴</w:t>
      </w:r>
      <w:r>
        <w:rPr>
          <w:rFonts w:asciiTheme="majorEastAsia" w:hAnsiTheme="majorEastAsia" w:eastAsiaTheme="majorEastAsia"/>
          <w:sz w:val="24"/>
          <w:szCs w:val="24"/>
        </w:rPr>
        <w:t>表格内容均需按要求填写并盖章，不得留空，</w:t>
      </w:r>
      <w:r>
        <w:rPr>
          <w:rFonts w:asciiTheme="majorEastAsia" w:hAnsiTheme="majorEastAsia" w:eastAsiaTheme="majorEastAsia"/>
          <w:bCs/>
          <w:sz w:val="24"/>
          <w:szCs w:val="24"/>
        </w:rPr>
        <w:t>否则按投标无效处理</w:t>
      </w:r>
      <w:r>
        <w:rPr>
          <w:rFonts w:asciiTheme="majorEastAsia" w:hAnsiTheme="majorEastAsia" w:eastAsiaTheme="majorEastAsia"/>
          <w:sz w:val="24"/>
          <w:szCs w:val="24"/>
        </w:rPr>
        <w:t>。</w:t>
      </w:r>
    </w:p>
    <w:p>
      <w:pPr>
        <w:pStyle w:val="16"/>
        <w:spacing w:line="500" w:lineRule="exact"/>
        <w:ind w:left="742" w:leftChars="228" w:hanging="240" w:hangingChars="100"/>
        <w:rPr>
          <w:rFonts w:asciiTheme="majorEastAsia" w:hAnsiTheme="majorEastAsia" w:eastAsiaTheme="majorEastAsia"/>
          <w:bCs/>
          <w:sz w:val="24"/>
          <w:szCs w:val="24"/>
        </w:rPr>
      </w:pPr>
      <w:r>
        <w:rPr>
          <w:rFonts w:cs="宋体" w:asciiTheme="majorEastAsia" w:hAnsiTheme="majorEastAsia" w:eastAsiaTheme="majorEastAsia"/>
          <w:bCs/>
          <w:sz w:val="24"/>
          <w:szCs w:val="24"/>
        </w:rPr>
        <w:t>⑵</w:t>
      </w:r>
      <w:r>
        <w:rPr>
          <w:rFonts w:asciiTheme="majorEastAsia" w:hAnsiTheme="majorEastAsia" w:eastAsiaTheme="majorEastAsia"/>
          <w:bCs/>
          <w:sz w:val="24"/>
          <w:szCs w:val="24"/>
        </w:rPr>
        <w:t>当投标文件的服务内容低于招标文件要求时，投标人应当如实写明“负偏离”，否则视为虚假应标。</w:t>
      </w:r>
    </w:p>
    <w:p>
      <w:pPr>
        <w:pStyle w:val="16"/>
        <w:rPr>
          <w:rFonts w:asciiTheme="majorEastAsia" w:hAnsiTheme="majorEastAsia" w:eastAsiaTheme="majorEastAsia"/>
        </w:rPr>
      </w:pPr>
    </w:p>
    <w:p>
      <w:pPr>
        <w:pStyle w:val="16"/>
        <w:rPr>
          <w:rFonts w:asciiTheme="majorEastAsia" w:hAnsiTheme="majorEastAsia" w:eastAsiaTheme="majorEastAsia"/>
        </w:rPr>
      </w:pPr>
    </w:p>
    <w:p>
      <w:pPr>
        <w:pStyle w:val="16"/>
        <w:rPr>
          <w:rFonts w:cs="宋体" w:asciiTheme="majorEastAsia" w:hAnsiTheme="majorEastAsia" w:eastAsiaTheme="majorEastAsia"/>
        </w:rPr>
      </w:pPr>
      <w:r>
        <w:rPr>
          <w:rFonts w:cs="宋体" w:asciiTheme="majorEastAsia" w:hAnsiTheme="majorEastAsia" w:eastAsiaTheme="majorEastAsia"/>
        </w:rPr>
        <w:br w:type="page"/>
      </w:r>
      <w:r>
        <w:rPr>
          <w:rFonts w:cs="宋体" w:asciiTheme="majorEastAsia" w:hAnsiTheme="majorEastAsia" w:eastAsiaTheme="majorEastAsia"/>
          <w:b/>
        </w:rPr>
        <w:t>格式7：</w:t>
      </w:r>
    </w:p>
    <w:p>
      <w:pPr>
        <w:pStyle w:val="16"/>
        <w:spacing w:line="600" w:lineRule="exact"/>
        <w:ind w:firstLine="151" w:firstLineChars="50"/>
        <w:jc w:val="center"/>
        <w:rPr>
          <w:rFonts w:cs="宋体" w:asciiTheme="majorEastAsia" w:hAnsiTheme="majorEastAsia" w:eastAsiaTheme="majorEastAsia"/>
        </w:rPr>
      </w:pPr>
      <w:r>
        <w:rPr>
          <w:rFonts w:cs="宋体" w:asciiTheme="majorEastAsia" w:hAnsiTheme="majorEastAsia" w:eastAsiaTheme="majorEastAsia"/>
          <w:b/>
          <w:bCs/>
          <w:sz w:val="30"/>
          <w:szCs w:val="30"/>
        </w:rPr>
        <w:t>售后服务承诺书（格式）</w:t>
      </w:r>
    </w:p>
    <w:p>
      <w:pPr>
        <w:pStyle w:val="16"/>
        <w:spacing w:line="440" w:lineRule="exact"/>
        <w:ind w:firstLine="415" w:firstLineChars="198"/>
        <w:rPr>
          <w:rFonts w:cs="宋体" w:asciiTheme="majorEastAsia" w:hAnsiTheme="majorEastAsia" w:eastAsiaTheme="majorEastAsia"/>
        </w:rPr>
      </w:pPr>
    </w:p>
    <w:p>
      <w:pPr>
        <w:pStyle w:val="16"/>
        <w:spacing w:line="440" w:lineRule="exact"/>
        <w:ind w:firstLine="475" w:firstLineChars="198"/>
        <w:rPr>
          <w:rFonts w:cs="宋体" w:asciiTheme="majorEastAsia" w:hAnsiTheme="majorEastAsia" w:eastAsiaTheme="majorEastAsia"/>
          <w:sz w:val="24"/>
          <w:szCs w:val="24"/>
        </w:rPr>
      </w:pPr>
      <w:r>
        <w:rPr>
          <w:rFonts w:cs="宋体" w:asciiTheme="majorEastAsia" w:hAnsiTheme="majorEastAsia" w:eastAsiaTheme="majorEastAsia"/>
          <w:sz w:val="24"/>
          <w:szCs w:val="24"/>
        </w:rPr>
        <w:t>由投标人按本项目招标文件第二章“服务需求一览表”中商务条款部分的售后服务要求自行填写。</w:t>
      </w:r>
    </w:p>
    <w:p>
      <w:pPr>
        <w:pStyle w:val="16"/>
        <w:spacing w:line="440" w:lineRule="exact"/>
        <w:ind w:firstLine="480" w:firstLineChars="200"/>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rPr>
          <w:rFonts w:cs="宋体" w:asciiTheme="majorEastAsia" w:hAnsiTheme="majorEastAsia" w:eastAsiaTheme="majorEastAsia"/>
          <w:sz w:val="24"/>
          <w:szCs w:val="24"/>
        </w:rPr>
      </w:pPr>
    </w:p>
    <w:p>
      <w:pPr>
        <w:pStyle w:val="16"/>
        <w:spacing w:line="600" w:lineRule="exact"/>
        <w:ind w:firstLine="480" w:firstLineChars="200"/>
        <w:rPr>
          <w:rFonts w:cs="宋体" w:asciiTheme="majorEastAsia" w:hAnsiTheme="majorEastAsia" w:eastAsiaTheme="majorEastAsia"/>
          <w:sz w:val="24"/>
          <w:szCs w:val="24"/>
        </w:rPr>
      </w:pPr>
    </w:p>
    <w:p>
      <w:pPr>
        <w:pStyle w:val="16"/>
        <w:spacing w:line="600" w:lineRule="exac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投标人（盖单位公章）：</w:t>
      </w:r>
    </w:p>
    <w:p>
      <w:pPr>
        <w:pStyle w:val="16"/>
        <w:spacing w:line="600" w:lineRule="exact"/>
        <w:rPr>
          <w:rFonts w:cs="宋体" w:asciiTheme="majorEastAsia" w:hAnsiTheme="majorEastAsia" w:eastAsiaTheme="majorEastAsia"/>
          <w:sz w:val="24"/>
          <w:szCs w:val="24"/>
          <w:u w:val="single"/>
        </w:rPr>
      </w:pPr>
    </w:p>
    <w:p>
      <w:pPr>
        <w:pStyle w:val="16"/>
        <w:spacing w:line="600" w:lineRule="exac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法定代表人或其委托代理人（签字或盖章）：</w:t>
      </w:r>
    </w:p>
    <w:p>
      <w:pPr>
        <w:pStyle w:val="16"/>
        <w:spacing w:line="600" w:lineRule="exact"/>
        <w:rPr>
          <w:rFonts w:cs="宋体" w:asciiTheme="majorEastAsia" w:hAnsiTheme="majorEastAsia" w:eastAsiaTheme="majorEastAsia"/>
          <w:sz w:val="24"/>
          <w:szCs w:val="24"/>
          <w:u w:val="single"/>
        </w:rPr>
      </w:pPr>
    </w:p>
    <w:p>
      <w:pPr>
        <w:pStyle w:val="16"/>
        <w:spacing w:line="600" w:lineRule="exact"/>
        <w:rPr>
          <w:rFonts w:cs="宋体" w:asciiTheme="majorEastAsia" w:hAnsiTheme="majorEastAsia" w:eastAsiaTheme="majorEastAsia"/>
          <w:sz w:val="24"/>
          <w:szCs w:val="24"/>
          <w:u w:val="single"/>
        </w:rPr>
      </w:pPr>
    </w:p>
    <w:p>
      <w:pPr>
        <w:pStyle w:val="16"/>
        <w:spacing w:line="600" w:lineRule="exact"/>
        <w:rPr>
          <w:rFonts w:cs="宋体" w:asciiTheme="majorEastAsia" w:hAnsiTheme="majorEastAsia" w:eastAsiaTheme="majorEastAsia"/>
          <w:sz w:val="24"/>
          <w:szCs w:val="24"/>
          <w:u w:val="single"/>
        </w:rPr>
      </w:pPr>
    </w:p>
    <w:p>
      <w:pPr>
        <w:pStyle w:val="16"/>
        <w:spacing w:line="600" w:lineRule="exact"/>
        <w:rPr>
          <w:rFonts w:cs="宋体" w:asciiTheme="majorEastAsia" w:hAnsiTheme="majorEastAsia" w:eastAsiaTheme="majorEastAsia"/>
          <w:sz w:val="24"/>
          <w:szCs w:val="24"/>
          <w:u w:val="single"/>
        </w:rPr>
      </w:pPr>
    </w:p>
    <w:p>
      <w:pPr>
        <w:pStyle w:val="16"/>
        <w:spacing w:line="600" w:lineRule="exact"/>
        <w:rPr>
          <w:rFonts w:cs="宋体" w:asciiTheme="majorEastAsia" w:hAnsiTheme="majorEastAsia" w:eastAsiaTheme="majorEastAsia"/>
          <w:sz w:val="24"/>
          <w:szCs w:val="24"/>
          <w:u w:val="single"/>
        </w:rPr>
      </w:pPr>
    </w:p>
    <w:p>
      <w:pPr>
        <w:adjustRightInd/>
        <w:snapToGrid/>
        <w:spacing w:line="220" w:lineRule="atLeast"/>
        <w:rPr>
          <w:rFonts w:asciiTheme="majorEastAsia" w:hAnsiTheme="majorEastAsia" w:eastAsiaTheme="majorEastAsia"/>
          <w:b/>
          <w:kern w:val="2"/>
          <w:sz w:val="21"/>
          <w:szCs w:val="20"/>
        </w:rPr>
      </w:pPr>
      <w:r>
        <w:rPr>
          <w:rFonts w:asciiTheme="majorEastAsia" w:hAnsiTheme="majorEastAsia" w:eastAsiaTheme="majorEastAsia"/>
          <w:b/>
        </w:rPr>
        <w:br w:type="page"/>
      </w:r>
    </w:p>
    <w:p>
      <w:pPr>
        <w:pStyle w:val="16"/>
        <w:spacing w:line="600" w:lineRule="exact"/>
        <w:rPr>
          <w:rFonts w:cs="宋体" w:asciiTheme="majorEastAsia" w:hAnsiTheme="majorEastAsia" w:eastAsiaTheme="majorEastAsia"/>
          <w:u w:val="single"/>
        </w:rPr>
      </w:pPr>
      <w:r>
        <w:rPr>
          <w:rFonts w:cs="宋体" w:asciiTheme="majorEastAsia" w:hAnsiTheme="majorEastAsia" w:eastAsiaTheme="majorEastAsia"/>
          <w:b/>
        </w:rPr>
        <w:t>格式8：</w:t>
      </w:r>
    </w:p>
    <w:p>
      <w:pPr>
        <w:pStyle w:val="16"/>
        <w:spacing w:line="500" w:lineRule="exact"/>
        <w:jc w:val="center"/>
        <w:rPr>
          <w:rFonts w:asciiTheme="majorEastAsia" w:hAnsiTheme="majorEastAsia" w:eastAsiaTheme="majorEastAsia"/>
        </w:rPr>
      </w:pPr>
      <w:r>
        <w:rPr>
          <w:rFonts w:asciiTheme="majorEastAsia" w:hAnsiTheme="majorEastAsia" w:eastAsiaTheme="majorEastAsia"/>
          <w:b/>
          <w:bCs/>
          <w:sz w:val="30"/>
          <w:szCs w:val="30"/>
        </w:rPr>
        <w:t>商务条款偏离表（格式）</w:t>
      </w:r>
    </w:p>
    <w:p>
      <w:pPr>
        <w:pStyle w:val="16"/>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请逐条对应本项目招标文件第二章“服务需求一览表”中“商务条款”的要求，详细填写相应的具体内容。“偏离说明”一栏应当选择“正偏离”、“负偏离”或“无偏离”进行填写。</w:t>
      </w:r>
    </w:p>
    <w:tbl>
      <w:tblPr>
        <w:tblStyle w:val="26"/>
        <w:tblpPr w:leftFromText="180" w:rightFromText="180" w:vertAnchor="text" w:horzAnchor="margin" w:tblpXSpec="center" w:tblpY="9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2862"/>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项号</w:t>
            </w:r>
          </w:p>
        </w:tc>
        <w:tc>
          <w:tcPr>
            <w:tcW w:w="3402" w:type="dxa"/>
            <w:vAlign w:val="center"/>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招标文件的商务需求</w:t>
            </w:r>
          </w:p>
        </w:tc>
        <w:tc>
          <w:tcPr>
            <w:tcW w:w="2862" w:type="dxa"/>
            <w:vAlign w:val="center"/>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投标文件承诺的商务条款</w:t>
            </w:r>
          </w:p>
        </w:tc>
        <w:tc>
          <w:tcPr>
            <w:tcW w:w="2241" w:type="dxa"/>
            <w:vAlign w:val="center"/>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17" w:type="dxa"/>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一</w:t>
            </w:r>
          </w:p>
        </w:tc>
        <w:tc>
          <w:tcPr>
            <w:tcW w:w="340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w:t>
            </w:r>
          </w:p>
        </w:tc>
        <w:tc>
          <w:tcPr>
            <w:tcW w:w="286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w:t>
            </w:r>
          </w:p>
        </w:tc>
        <w:tc>
          <w:tcPr>
            <w:tcW w:w="2241" w:type="dxa"/>
          </w:tcPr>
          <w:p>
            <w:pPr>
              <w:spacing w:line="300" w:lineRule="exact"/>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Pr>
          <w:p>
            <w:pPr>
              <w:spacing w:line="340" w:lineRule="exact"/>
              <w:jc w:val="center"/>
              <w:rPr>
                <w:rFonts w:asciiTheme="majorEastAsia" w:hAnsiTheme="majorEastAsia" w:eastAsiaTheme="majorEastAsia"/>
                <w:sz w:val="24"/>
              </w:rPr>
            </w:pPr>
            <w:r>
              <w:rPr>
                <w:rFonts w:hint="eastAsia" w:asciiTheme="majorEastAsia" w:hAnsiTheme="majorEastAsia" w:eastAsiaTheme="majorEastAsia"/>
                <w:sz w:val="24"/>
              </w:rPr>
              <w:t>二</w:t>
            </w:r>
          </w:p>
        </w:tc>
        <w:tc>
          <w:tcPr>
            <w:tcW w:w="340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w:t>
            </w:r>
          </w:p>
        </w:tc>
        <w:tc>
          <w:tcPr>
            <w:tcW w:w="286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w:t>
            </w:r>
          </w:p>
        </w:tc>
        <w:tc>
          <w:tcPr>
            <w:tcW w:w="2241" w:type="dxa"/>
          </w:tcPr>
          <w:p>
            <w:pPr>
              <w:spacing w:line="300" w:lineRule="exact"/>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7" w:type="dxa"/>
          </w:tcPr>
          <w:p>
            <w:pPr>
              <w:spacing w:line="340" w:lineRule="exact"/>
              <w:jc w:val="center"/>
              <w:rPr>
                <w:rFonts w:asciiTheme="majorEastAsia" w:hAnsiTheme="majorEastAsia" w:eastAsiaTheme="majorEastAsia"/>
                <w:sz w:val="24"/>
              </w:rPr>
            </w:pPr>
            <w:r>
              <w:rPr>
                <w:rFonts w:asciiTheme="majorEastAsia" w:hAnsiTheme="majorEastAsia" w:eastAsiaTheme="majorEastAsia"/>
                <w:sz w:val="24"/>
              </w:rPr>
              <w:t>...</w:t>
            </w:r>
          </w:p>
        </w:tc>
        <w:tc>
          <w:tcPr>
            <w:tcW w:w="340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tc>
        <w:tc>
          <w:tcPr>
            <w:tcW w:w="2862" w:type="dxa"/>
          </w:tcPr>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1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2  </w:t>
            </w:r>
            <w:r>
              <w:rPr>
                <w:rFonts w:hint="eastAsia" w:asciiTheme="majorEastAsia" w:hAnsiTheme="majorEastAsia" w:eastAsiaTheme="majorEastAsia"/>
                <w:sz w:val="24"/>
              </w:rPr>
              <w:t>……</w:t>
            </w:r>
          </w:p>
          <w:p>
            <w:pPr>
              <w:spacing w:line="340" w:lineRule="exact"/>
              <w:rPr>
                <w:rFonts w:asciiTheme="majorEastAsia" w:hAnsiTheme="majorEastAsia" w:eastAsiaTheme="majorEastAsia"/>
                <w:sz w:val="24"/>
              </w:rPr>
            </w:pPr>
            <w:r>
              <w:rPr>
                <w:rFonts w:asciiTheme="majorEastAsia" w:hAnsiTheme="majorEastAsia" w:eastAsiaTheme="majorEastAsia"/>
                <w:sz w:val="24"/>
              </w:rPr>
              <w:t xml:space="preserve">3  </w:t>
            </w:r>
            <w:r>
              <w:rPr>
                <w:rFonts w:hint="eastAsia" w:asciiTheme="majorEastAsia" w:hAnsiTheme="majorEastAsia" w:eastAsiaTheme="majorEastAsia"/>
                <w:sz w:val="24"/>
              </w:rPr>
              <w:t>……</w:t>
            </w:r>
          </w:p>
        </w:tc>
        <w:tc>
          <w:tcPr>
            <w:tcW w:w="2241" w:type="dxa"/>
          </w:tcPr>
          <w:p>
            <w:pPr>
              <w:spacing w:line="300" w:lineRule="exact"/>
              <w:rPr>
                <w:rFonts w:asciiTheme="majorEastAsia" w:hAnsiTheme="majorEastAsia" w:eastAsiaTheme="majorEastAsia"/>
                <w:sz w:val="24"/>
              </w:rPr>
            </w:pPr>
            <w:r>
              <w:rPr>
                <w:rFonts w:hint="eastAsia" w:asciiTheme="majorEastAsia" w:hAnsiTheme="majorEastAsia" w:eastAsiaTheme="majorEastAsia"/>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22" w:type="dxa"/>
            <w:gridSpan w:val="4"/>
          </w:tcPr>
          <w:p>
            <w:pPr>
              <w:spacing w:line="340" w:lineRule="exact"/>
              <w:rPr>
                <w:rFonts w:asciiTheme="majorEastAsia" w:hAnsiTheme="majorEastAsia" w:eastAsiaTheme="majorEastAsia"/>
                <w:sz w:val="24"/>
              </w:rPr>
            </w:pPr>
            <w:r>
              <w:rPr>
                <w:rFonts w:hint="eastAsia" w:asciiTheme="majorEastAsia" w:hAnsiTheme="majorEastAsia" w:eastAsiaTheme="majorEastAsia"/>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322" w:type="dxa"/>
            <w:gridSpan w:val="4"/>
          </w:tcPr>
          <w:p>
            <w:pPr>
              <w:spacing w:line="360" w:lineRule="exact"/>
              <w:rPr>
                <w:rFonts w:asciiTheme="majorEastAsia" w:hAnsiTheme="majorEastAsia" w:eastAsiaTheme="majorEastAsia"/>
                <w:sz w:val="24"/>
              </w:rPr>
            </w:pPr>
            <w:r>
              <w:rPr>
                <w:rFonts w:hint="eastAsia" w:asciiTheme="majorEastAsia" w:hAnsiTheme="majorEastAsia" w:eastAsiaTheme="majorEastAsia"/>
                <w:sz w:val="24"/>
              </w:rPr>
              <w:t>法定代表人或其委托代理人（签字或盖章）：</w:t>
            </w:r>
          </w:p>
        </w:tc>
      </w:tr>
    </w:tbl>
    <w:p>
      <w:pPr>
        <w:spacing w:line="400" w:lineRule="exact"/>
        <w:rPr>
          <w:rFonts w:asciiTheme="majorEastAsia" w:hAnsiTheme="majorEastAsia" w:eastAsiaTheme="majorEastAsia"/>
          <w:sz w:val="24"/>
        </w:rPr>
      </w:pPr>
      <w:r>
        <w:rPr>
          <w:rFonts w:hint="eastAsia" w:asciiTheme="majorEastAsia" w:hAnsiTheme="majorEastAsia" w:eastAsiaTheme="majorEastAsia"/>
          <w:sz w:val="24"/>
        </w:rPr>
        <w:t>注：⑴表格内容均需按要求填写并盖章，不得留空，否则按投标无效处理。</w:t>
      </w:r>
    </w:p>
    <w:p>
      <w:pPr>
        <w:spacing w:line="400" w:lineRule="exact"/>
        <w:rPr>
          <w:rFonts w:asciiTheme="majorEastAsia" w:hAnsiTheme="majorEastAsia" w:eastAsiaTheme="majorEastAsia"/>
          <w:sz w:val="24"/>
        </w:rPr>
      </w:pPr>
      <w:r>
        <w:rPr>
          <w:rFonts w:hint="eastAsia" w:asciiTheme="majorEastAsia" w:hAnsiTheme="majorEastAsia" w:eastAsiaTheme="majorEastAsia"/>
          <w:sz w:val="24"/>
        </w:rPr>
        <w:t>⑵如果招标文件需求为小于或大于某个数值标准时，投标文件承诺不得直接复制招标文件需求，投标文件承诺内容应当写明投标货物具体参数或商务响应承诺的具体数值，否则按投标无效处理。</w:t>
      </w:r>
    </w:p>
    <w:p>
      <w:pPr>
        <w:pStyle w:val="16"/>
        <w:spacing w:line="400" w:lineRule="exact"/>
        <w:rPr>
          <w:rFonts w:asciiTheme="majorEastAsia" w:hAnsiTheme="majorEastAsia" w:eastAsiaTheme="majorEastAsia"/>
          <w:sz w:val="24"/>
          <w:szCs w:val="24"/>
        </w:rPr>
      </w:pPr>
      <w:r>
        <w:rPr>
          <w:rFonts w:asciiTheme="majorEastAsia" w:hAnsiTheme="majorEastAsia" w:eastAsiaTheme="majorEastAsia"/>
          <w:sz w:val="24"/>
          <w:szCs w:val="24"/>
        </w:rPr>
        <w:t>⑶当投标文件的商务内容低于招标文件要求时，投标人应当如实写明“负偏离”，否则视为虚假应标。</w:t>
      </w:r>
    </w:p>
    <w:p>
      <w:pPr>
        <w:pStyle w:val="16"/>
        <w:spacing w:line="400" w:lineRule="exact"/>
        <w:rPr>
          <w:rFonts w:cs="宋体" w:asciiTheme="majorEastAsia" w:hAnsiTheme="majorEastAsia" w:eastAsiaTheme="majorEastAsia"/>
        </w:rPr>
      </w:pPr>
      <w:r>
        <w:rPr>
          <w:rFonts w:cs="宋体" w:asciiTheme="majorEastAsia" w:hAnsiTheme="majorEastAsia" w:eastAsiaTheme="majorEastAsia"/>
          <w:b/>
        </w:rPr>
        <w:br w:type="page"/>
      </w:r>
      <w:r>
        <w:rPr>
          <w:rFonts w:cs="宋体" w:asciiTheme="majorEastAsia" w:hAnsiTheme="majorEastAsia" w:eastAsiaTheme="majorEastAsia"/>
          <w:b/>
        </w:rPr>
        <w:t>格式9：</w:t>
      </w:r>
    </w:p>
    <w:p>
      <w:pPr>
        <w:pStyle w:val="16"/>
        <w:spacing w:line="500" w:lineRule="exact"/>
        <w:jc w:val="center"/>
        <w:rPr>
          <w:rFonts w:cs="宋体" w:asciiTheme="majorEastAsia" w:hAnsiTheme="majorEastAsia" w:eastAsiaTheme="majorEastAsia"/>
          <w:b/>
          <w:bCs/>
          <w:sz w:val="30"/>
          <w:szCs w:val="30"/>
        </w:rPr>
      </w:pPr>
      <w:r>
        <w:rPr>
          <w:rFonts w:cs="宋体" w:asciiTheme="majorEastAsia" w:hAnsiTheme="majorEastAsia" w:eastAsiaTheme="majorEastAsia"/>
          <w:b/>
          <w:bCs/>
          <w:sz w:val="30"/>
          <w:szCs w:val="30"/>
        </w:rPr>
        <w:t>法定代表人授权委托书（格式）</w:t>
      </w:r>
    </w:p>
    <w:p>
      <w:pPr>
        <w:pStyle w:val="16"/>
        <w:spacing w:line="440" w:lineRule="exact"/>
        <w:ind w:firstLine="420" w:firstLineChars="200"/>
        <w:rPr>
          <w:rFonts w:cs="宋体" w:asciiTheme="majorEastAsia" w:hAnsiTheme="majorEastAsia" w:eastAsiaTheme="majorEastAsia"/>
          <w:u w:val="single"/>
        </w:rPr>
      </w:pPr>
    </w:p>
    <w:p>
      <w:pPr>
        <w:pStyle w:val="16"/>
        <w:spacing w:line="440" w:lineRule="exact"/>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致：（采购代理机构名称）</w:t>
      </w:r>
    </w:p>
    <w:p>
      <w:pPr>
        <w:pStyle w:val="16"/>
        <w:spacing w:line="440" w:lineRule="exact"/>
        <w:ind w:firstLine="480" w:firstLineChars="200"/>
        <w:rPr>
          <w:rFonts w:cs="宋体" w:asciiTheme="majorEastAsia" w:hAnsiTheme="majorEastAsia" w:eastAsiaTheme="majorEastAsia"/>
          <w:sz w:val="24"/>
          <w:szCs w:val="24"/>
        </w:rPr>
      </w:pPr>
    </w:p>
    <w:p>
      <w:pPr>
        <w:pStyle w:val="16"/>
        <w:spacing w:line="440" w:lineRule="exact"/>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本人（姓名）系（投标人名称）的法定代表人，现授权我单位在职正式员工（姓名和职务）为我方代理人。代理人根据授权，以我方名义签署、澄清、说明、补正、递交、撤回、修改贵方组织的项目（项目编号：）的投标文件、签订合同和处理一切有关事宜，其法律后果由我方承担。</w:t>
      </w:r>
    </w:p>
    <w:p>
      <w:pPr>
        <w:pStyle w:val="16"/>
        <w:spacing w:line="440" w:lineRule="exact"/>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本授权书于年月日签字生效，委托期限：。</w:t>
      </w:r>
    </w:p>
    <w:p>
      <w:pPr>
        <w:pStyle w:val="16"/>
        <w:spacing w:line="360" w:lineRule="auto"/>
        <w:ind w:firstLine="420"/>
        <w:rPr>
          <w:rFonts w:cs="宋体" w:asciiTheme="majorEastAsia" w:hAnsiTheme="majorEastAsia" w:eastAsiaTheme="majorEastAsia"/>
          <w:sz w:val="24"/>
          <w:szCs w:val="24"/>
        </w:rPr>
      </w:pPr>
    </w:p>
    <w:p>
      <w:pPr>
        <w:pStyle w:val="16"/>
        <w:spacing w:line="360" w:lineRule="auto"/>
        <w:ind w:firstLine="420"/>
        <w:rPr>
          <w:rFonts w:cs="宋体" w:asciiTheme="majorEastAsia" w:hAnsiTheme="majorEastAsia" w:eastAsiaTheme="majorEastAsia"/>
          <w:sz w:val="24"/>
          <w:szCs w:val="24"/>
        </w:rPr>
      </w:pPr>
      <w:r>
        <w:rPr>
          <w:rFonts w:cs="宋体" w:asciiTheme="majorEastAsia" w:hAnsiTheme="majorEastAsia" w:eastAsiaTheme="majorEastAsia"/>
          <w:sz w:val="24"/>
          <w:szCs w:val="24"/>
        </w:rPr>
        <w:t>代理人无转委托权。</w:t>
      </w:r>
    </w:p>
    <w:p>
      <w:pPr>
        <w:pStyle w:val="16"/>
        <w:spacing w:line="360" w:lineRule="auto"/>
        <w:ind w:firstLine="420"/>
        <w:rPr>
          <w:rFonts w:cs="宋体" w:asciiTheme="majorEastAsia" w:hAnsiTheme="majorEastAsia" w:eastAsiaTheme="majorEastAsia"/>
          <w:sz w:val="24"/>
          <w:szCs w:val="24"/>
        </w:rPr>
      </w:pP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投标人（盖单位公章）：______________________________________</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社会统一信用代码:_________________________________________</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法定代表人（签字或盖章）：___________________________________</w:t>
      </w:r>
    </w:p>
    <w:p>
      <w:pPr>
        <w:pStyle w:val="16"/>
        <w:spacing w:line="360" w:lineRule="auto"/>
        <w:ind w:firstLine="42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法定代表人身份证号码：______________________________________</w:t>
      </w:r>
    </w:p>
    <w:p>
      <w:pPr>
        <w:pStyle w:val="16"/>
        <w:spacing w:line="360" w:lineRule="auto"/>
        <w:ind w:firstLine="360" w:firstLineChars="150"/>
        <w:rPr>
          <w:rFonts w:cs="宋体" w:asciiTheme="majorEastAsia" w:hAnsiTheme="majorEastAsia" w:eastAsiaTheme="majorEastAsia"/>
          <w:sz w:val="24"/>
          <w:szCs w:val="24"/>
        </w:rPr>
      </w:pPr>
      <w:r>
        <w:rPr>
          <w:rFonts w:cs="宋体" w:asciiTheme="majorEastAsia" w:hAnsiTheme="majorEastAsia" w:eastAsiaTheme="majorEastAsia"/>
          <w:sz w:val="24"/>
          <w:szCs w:val="24"/>
        </w:rPr>
        <w:t>委托代理人（签字或盖章）：___________________________________</w:t>
      </w:r>
    </w:p>
    <w:p>
      <w:pPr>
        <w:pStyle w:val="16"/>
        <w:spacing w:line="360" w:lineRule="auto"/>
        <w:ind w:firstLine="420"/>
        <w:rPr>
          <w:rFonts w:cs="宋体" w:asciiTheme="majorEastAsia" w:hAnsiTheme="majorEastAsia" w:eastAsiaTheme="majorEastAsia"/>
          <w:sz w:val="24"/>
          <w:szCs w:val="24"/>
          <w:u w:val="single"/>
        </w:rPr>
        <w:sectPr>
          <w:pgSz w:w="11906" w:h="16838"/>
          <w:pgMar w:top="1440" w:right="1080" w:bottom="1440" w:left="1080" w:header="851" w:footer="907" w:gutter="0"/>
          <w:pgNumType w:fmt="decimal"/>
          <w:cols w:space="720" w:num="1"/>
          <w:docGrid w:type="lines" w:linePitch="312" w:charSpace="0"/>
        </w:sectPr>
      </w:pPr>
      <w:r>
        <w:rPr>
          <w:rFonts w:cs="宋体" w:asciiTheme="majorEastAsia" w:hAnsiTheme="majorEastAsia" w:eastAsiaTheme="majorEastAsia"/>
          <w:sz w:val="24"/>
          <w:szCs w:val="24"/>
        </w:rPr>
        <w:t>委托代理人身份证号码：______________________________________</w:t>
      </w:r>
    </w:p>
    <w:p>
      <w:pPr>
        <w:pStyle w:val="16"/>
        <w:spacing w:line="360" w:lineRule="auto"/>
        <w:ind w:firstLine="420"/>
        <w:rPr>
          <w:rFonts w:cs="宋体" w:asciiTheme="majorEastAsia" w:hAnsiTheme="majorEastAsia" w:eastAsiaTheme="majorEastAsia"/>
          <w:sz w:val="24"/>
          <w:szCs w:val="24"/>
        </w:rPr>
      </w:pPr>
      <w:r>
        <w:rPr>
          <w:rFonts w:hint="eastAsia" w:cs="宋体" w:asciiTheme="majorEastAsia" w:hAnsiTheme="majorEastAsia" w:eastAsiaTheme="majorEastAsia"/>
          <w:b/>
          <w:bCs/>
        </w:rPr>
        <w:t>格式</w:t>
      </w:r>
      <w:r>
        <w:rPr>
          <w:rFonts w:cs="宋体" w:asciiTheme="majorEastAsia" w:hAnsiTheme="majorEastAsia" w:eastAsiaTheme="majorEastAsia"/>
          <w:b/>
          <w:bCs/>
        </w:rPr>
        <w:t>10：</w:t>
      </w:r>
    </w:p>
    <w:p>
      <w:pPr>
        <w:pStyle w:val="16"/>
        <w:spacing w:line="500" w:lineRule="exact"/>
        <w:jc w:val="center"/>
        <w:rPr>
          <w:rFonts w:cs="宋体" w:asciiTheme="majorEastAsia" w:hAnsiTheme="majorEastAsia" w:eastAsiaTheme="majorEastAsia"/>
          <w:b/>
          <w:bCs/>
          <w:sz w:val="30"/>
          <w:szCs w:val="30"/>
        </w:rPr>
      </w:pPr>
      <w:r>
        <w:rPr>
          <w:rFonts w:hint="eastAsia" w:cs="宋体" w:asciiTheme="majorEastAsia" w:hAnsiTheme="majorEastAsia" w:eastAsiaTheme="majorEastAsia"/>
          <w:b/>
          <w:bCs/>
          <w:sz w:val="30"/>
          <w:szCs w:val="30"/>
        </w:rPr>
        <w:t>投标人直接控股、管理关系信息表（格式）</w:t>
      </w:r>
    </w:p>
    <w:p>
      <w:pPr>
        <w:spacing w:before="50" w:after="156" w:afterLines="50"/>
        <w:jc w:val="center"/>
        <w:rPr>
          <w:rFonts w:asciiTheme="majorEastAsia" w:hAnsiTheme="majorEastAsia" w:eastAsiaTheme="majorEastAsia"/>
          <w:b/>
          <w:sz w:val="28"/>
          <w:szCs w:val="28"/>
        </w:rPr>
      </w:pPr>
    </w:p>
    <w:p>
      <w:pPr>
        <w:spacing w:before="50" w:after="156" w:afterLines="50"/>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投标人直接控股股东信息表</w:t>
      </w:r>
    </w:p>
    <w:tbl>
      <w:tblPr>
        <w:tblStyle w:val="26"/>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asciiTheme="majorEastAsia" w:hAnsiTheme="majorEastAsia" w:eastAsiaTheme="majorEastAsia"/>
                <w:sz w:val="24"/>
                <w:szCs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asciiTheme="majorEastAsia" w:hAnsiTheme="majorEastAsia" w:eastAsiaTheme="majorEastAsia"/>
                <w:sz w:val="24"/>
                <w:szCs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asciiTheme="majorEastAsia" w:hAnsiTheme="majorEastAsia" w:eastAsiaTheme="majorEastAsia"/>
                <w:sz w:val="24"/>
                <w:szCs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bl>
    <w:p>
      <w:pPr>
        <w:rPr>
          <w:rFonts w:asciiTheme="majorEastAsia" w:hAnsiTheme="majorEastAsia" w:eastAsiaTheme="majorEastAsia"/>
          <w:sz w:val="24"/>
          <w:szCs w:val="24"/>
        </w:rPr>
      </w:pPr>
      <w:r>
        <w:rPr>
          <w:rFonts w:hint="eastAsia" w:asciiTheme="majorEastAsia" w:hAnsiTheme="majorEastAsia" w:eastAsiaTheme="majorEastAsia"/>
          <w:sz w:val="24"/>
          <w:szCs w:val="24"/>
        </w:rPr>
        <w:t>注：</w:t>
      </w:r>
    </w:p>
    <w:p>
      <w:pPr>
        <w:rPr>
          <w:rFonts w:asciiTheme="majorEastAsia" w:hAnsiTheme="majorEastAsia" w:eastAsiaTheme="majorEastAsia"/>
          <w:sz w:val="24"/>
          <w:szCs w:val="24"/>
        </w:rPr>
      </w:pPr>
      <w:r>
        <w:rPr>
          <w:rFonts w:asciiTheme="majorEastAsia" w:hAnsiTheme="majorEastAsia" w:eastAsiaTheme="majorEastAsia"/>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rPr>
          <w:rFonts w:asciiTheme="majorEastAsia" w:hAnsiTheme="majorEastAsia" w:eastAsiaTheme="majorEastAsia"/>
          <w:sz w:val="24"/>
          <w:szCs w:val="24"/>
        </w:rPr>
      </w:pPr>
      <w:r>
        <w:rPr>
          <w:rFonts w:asciiTheme="majorEastAsia" w:hAnsiTheme="majorEastAsia" w:eastAsiaTheme="majorEastAsia"/>
          <w:sz w:val="24"/>
          <w:szCs w:val="24"/>
        </w:rPr>
        <w:t>2.本表所指的控股关系仅限于直接控股关系，不包括间接的控股关系。公司实际控制人与公司之间的关系不属于本表所指的直接控股关系。</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pStyle w:val="16"/>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投标人（盖单位公章）：</w:t>
      </w:r>
    </w:p>
    <w:p>
      <w:pPr>
        <w:pStyle w:val="16"/>
        <w:spacing w:line="600" w:lineRule="exact"/>
        <w:rPr>
          <w:rFonts w:cs="宋体" w:asciiTheme="majorEastAsia" w:hAnsiTheme="majorEastAsia" w:eastAsiaTheme="majorEastAsia"/>
          <w:sz w:val="24"/>
          <w:szCs w:val="24"/>
        </w:rPr>
      </w:pPr>
    </w:p>
    <w:p>
      <w:pPr>
        <w:pStyle w:val="16"/>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法定代表人或其委托代理人（签字或盖章）：</w:t>
      </w:r>
    </w:p>
    <w:p>
      <w:pPr>
        <w:spacing w:before="156" w:beforeLines="50" w:after="50"/>
        <w:ind w:right="480" w:firstLine="5520" w:firstLineChars="2300"/>
        <w:rPr>
          <w:rFonts w:asciiTheme="majorEastAsia" w:hAnsiTheme="majorEastAsia" w:eastAsiaTheme="majorEastAsia"/>
          <w:sz w:val="24"/>
          <w:szCs w:val="24"/>
        </w:rPr>
      </w:pPr>
    </w:p>
    <w:p>
      <w:pPr>
        <w:spacing w:before="156" w:beforeLines="50" w:after="50"/>
        <w:ind w:right="480"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年月日</w:t>
      </w:r>
    </w:p>
    <w:p>
      <w:pPr>
        <w:jc w:val="center"/>
        <w:rPr>
          <w:rFonts w:asciiTheme="majorEastAsia" w:hAnsiTheme="majorEastAsia" w:eastAsiaTheme="majorEastAsia"/>
          <w:sz w:val="24"/>
          <w:szCs w:val="24"/>
        </w:rPr>
      </w:pPr>
      <w:r>
        <w:rPr>
          <w:rFonts w:asciiTheme="majorEastAsia" w:hAnsiTheme="majorEastAsia" w:eastAsiaTheme="majorEastAsia"/>
          <w:b/>
          <w:sz w:val="24"/>
          <w:szCs w:val="24"/>
        </w:rPr>
        <w:br w:type="page"/>
      </w:r>
      <w:r>
        <w:rPr>
          <w:rFonts w:hint="eastAsia" w:asciiTheme="majorEastAsia" w:hAnsiTheme="majorEastAsia" w:eastAsiaTheme="majorEastAsia"/>
          <w:b/>
          <w:sz w:val="28"/>
          <w:szCs w:val="28"/>
        </w:rPr>
        <w:t>投标人直接管理关系信息表</w:t>
      </w:r>
    </w:p>
    <w:tbl>
      <w:tblPr>
        <w:tblStyle w:val="26"/>
        <w:tblW w:w="9652" w:type="dxa"/>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shd w:val="clear" w:color="auto" w:fill="FFFFFF"/>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asciiTheme="majorEastAsia" w:hAnsiTheme="majorEastAsia" w:eastAsiaTheme="majorEastAsia"/>
                <w:sz w:val="24"/>
                <w:szCs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asciiTheme="majorEastAsia" w:hAnsiTheme="majorEastAsia" w:eastAsiaTheme="majorEastAsia"/>
                <w:sz w:val="24"/>
                <w:szCs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asciiTheme="majorEastAsia" w:hAnsiTheme="majorEastAsia" w:eastAsiaTheme="majorEastAsia"/>
                <w:sz w:val="24"/>
                <w:szCs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sz w:val="24"/>
                <w:szCs w:val="24"/>
              </w:rPr>
            </w:pPr>
          </w:p>
        </w:tc>
      </w:tr>
    </w:tbl>
    <w:p>
      <w:pPr>
        <w:rPr>
          <w:rFonts w:asciiTheme="majorEastAsia" w:hAnsiTheme="majorEastAsia" w:eastAsiaTheme="majorEastAsia"/>
          <w:sz w:val="24"/>
          <w:szCs w:val="24"/>
        </w:rPr>
      </w:pPr>
      <w:r>
        <w:rPr>
          <w:rFonts w:hint="eastAsia" w:asciiTheme="majorEastAsia" w:hAnsiTheme="majorEastAsia" w:eastAsiaTheme="majorEastAsia"/>
          <w:sz w:val="24"/>
          <w:szCs w:val="24"/>
        </w:rPr>
        <w:t>注：</w:t>
      </w:r>
    </w:p>
    <w:p>
      <w:pPr>
        <w:rPr>
          <w:rFonts w:asciiTheme="majorEastAsia" w:hAnsiTheme="majorEastAsia" w:eastAsiaTheme="majorEastAsia"/>
          <w:sz w:val="24"/>
          <w:szCs w:val="24"/>
        </w:rPr>
      </w:pPr>
      <w:r>
        <w:rPr>
          <w:rFonts w:asciiTheme="majorEastAsia" w:hAnsiTheme="majorEastAsia" w:eastAsiaTheme="majorEastAsia"/>
          <w:sz w:val="24"/>
          <w:szCs w:val="24"/>
        </w:rPr>
        <w:t>1.管理关系：是指不具有出资持股关系的其他单位之间存在的管理与被管理关系，如一些上下级关系的事业单位和团体组织。</w:t>
      </w:r>
    </w:p>
    <w:p>
      <w:pPr>
        <w:rPr>
          <w:rFonts w:asciiTheme="majorEastAsia" w:hAnsiTheme="majorEastAsia" w:eastAsiaTheme="majorEastAsia"/>
          <w:sz w:val="24"/>
          <w:szCs w:val="24"/>
        </w:rPr>
      </w:pPr>
      <w:r>
        <w:rPr>
          <w:rFonts w:asciiTheme="majorEastAsia" w:hAnsiTheme="majorEastAsia" w:eastAsiaTheme="majorEastAsia"/>
          <w:sz w:val="24"/>
          <w:szCs w:val="24"/>
        </w:rPr>
        <w:t>2.本表所指的管理关系仅限于直接管理关系，不包括间接的管理关系。</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pStyle w:val="16"/>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投标人（盖单位公章）：</w:t>
      </w:r>
    </w:p>
    <w:p>
      <w:pPr>
        <w:pStyle w:val="16"/>
        <w:spacing w:line="600" w:lineRule="exact"/>
        <w:rPr>
          <w:rFonts w:cs="宋体" w:asciiTheme="majorEastAsia" w:hAnsiTheme="majorEastAsia" w:eastAsiaTheme="majorEastAsia"/>
          <w:sz w:val="24"/>
          <w:szCs w:val="24"/>
        </w:rPr>
      </w:pPr>
    </w:p>
    <w:p>
      <w:pPr>
        <w:pStyle w:val="16"/>
        <w:spacing w:line="600" w:lineRule="exact"/>
        <w:rPr>
          <w:rFonts w:cs="宋体" w:asciiTheme="majorEastAsia" w:hAnsiTheme="majorEastAsia" w:eastAsiaTheme="majorEastAsia"/>
          <w:sz w:val="24"/>
          <w:szCs w:val="24"/>
          <w:u w:val="single"/>
        </w:rPr>
      </w:pPr>
      <w:r>
        <w:rPr>
          <w:rFonts w:hint="eastAsia" w:cs="宋体" w:asciiTheme="majorEastAsia" w:hAnsiTheme="majorEastAsia" w:eastAsiaTheme="majorEastAsia"/>
          <w:sz w:val="24"/>
          <w:szCs w:val="24"/>
        </w:rPr>
        <w:t>法定代表人或其委托代理人（签字或盖章）：</w:t>
      </w:r>
    </w:p>
    <w:p>
      <w:pPr>
        <w:spacing w:before="156" w:beforeLines="50" w:after="50"/>
        <w:ind w:right="480" w:firstLine="5520" w:firstLineChars="2300"/>
        <w:rPr>
          <w:rFonts w:asciiTheme="majorEastAsia" w:hAnsiTheme="majorEastAsia" w:eastAsiaTheme="majorEastAsia"/>
          <w:sz w:val="24"/>
          <w:szCs w:val="24"/>
        </w:rPr>
      </w:pPr>
    </w:p>
    <w:p>
      <w:pPr>
        <w:spacing w:before="156" w:beforeLines="50" w:after="50"/>
        <w:ind w:right="480"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年月日</w:t>
      </w:r>
    </w:p>
    <w:p>
      <w:pPr>
        <w:pStyle w:val="16"/>
        <w:spacing w:line="360" w:lineRule="auto"/>
        <w:ind w:firstLine="420"/>
        <w:jc w:val="center"/>
        <w:rPr>
          <w:rFonts w:cs="宋体" w:asciiTheme="majorEastAsia" w:hAnsiTheme="majorEastAsia" w:eastAsiaTheme="majorEastAsia"/>
          <w:sz w:val="24"/>
          <w:szCs w:val="24"/>
        </w:rPr>
      </w:pPr>
    </w:p>
    <w:p>
      <w:pPr>
        <w:pStyle w:val="16"/>
        <w:spacing w:line="360" w:lineRule="auto"/>
        <w:outlineLvl w:val="0"/>
        <w:rPr>
          <w:rFonts w:cs="宋体" w:asciiTheme="majorEastAsia" w:hAnsiTheme="majorEastAsia" w:eastAsiaTheme="majorEastAsia"/>
          <w:b/>
          <w:sz w:val="36"/>
          <w:szCs w:val="36"/>
        </w:rPr>
      </w:pPr>
      <w:bookmarkStart w:id="53" w:name="_Toc213326424"/>
      <w:r>
        <w:rPr>
          <w:rFonts w:cs="宋体" w:asciiTheme="majorEastAsia" w:hAnsiTheme="majorEastAsia" w:eastAsiaTheme="majorEastAsia"/>
          <w:b/>
          <w:sz w:val="36"/>
          <w:szCs w:val="36"/>
        </w:rPr>
        <w:br w:type="page"/>
      </w:r>
    </w:p>
    <w:p>
      <w:pPr>
        <w:pStyle w:val="16"/>
        <w:spacing w:line="360" w:lineRule="auto"/>
        <w:jc w:val="center"/>
        <w:outlineLvl w:val="0"/>
        <w:rPr>
          <w:rFonts w:cs="宋体" w:asciiTheme="majorEastAsia" w:hAnsiTheme="majorEastAsia" w:eastAsiaTheme="majorEastAsia"/>
          <w:sz w:val="44"/>
        </w:rPr>
      </w:pPr>
      <w:bookmarkStart w:id="54" w:name="_Toc12816"/>
      <w:r>
        <w:rPr>
          <w:rFonts w:cs="宋体" w:asciiTheme="majorEastAsia" w:hAnsiTheme="majorEastAsia" w:eastAsiaTheme="majorEastAsia"/>
          <w:b/>
          <w:sz w:val="36"/>
          <w:szCs w:val="36"/>
        </w:rPr>
        <w:t>第六章  合同条款及格式</w:t>
      </w:r>
      <w:bookmarkEnd w:id="53"/>
      <w:bookmarkEnd w:id="54"/>
    </w:p>
    <w:p>
      <w:pPr>
        <w:spacing w:line="360" w:lineRule="auto"/>
        <w:ind w:firstLine="880" w:firstLineChars="200"/>
        <w:rPr>
          <w:rFonts w:asciiTheme="majorEastAsia" w:hAnsiTheme="majorEastAsia" w:eastAsiaTheme="majorEastAsia"/>
          <w:sz w:val="44"/>
        </w:rPr>
      </w:pPr>
    </w:p>
    <w:p>
      <w:pPr>
        <w:spacing w:line="360" w:lineRule="auto"/>
        <w:jc w:val="center"/>
        <w:rPr>
          <w:rFonts w:asciiTheme="majorEastAsia" w:hAnsiTheme="majorEastAsia" w:eastAsiaTheme="majorEastAsia"/>
          <w:b/>
          <w:bCs/>
          <w:sz w:val="52"/>
        </w:rPr>
      </w:pPr>
      <w:r>
        <w:rPr>
          <w:rFonts w:hint="eastAsia" w:asciiTheme="majorEastAsia" w:hAnsiTheme="majorEastAsia" w:eastAsiaTheme="majorEastAsia"/>
          <w:b/>
          <w:bCs/>
          <w:sz w:val="52"/>
        </w:rPr>
        <w:t>南宁市政府采购</w:t>
      </w:r>
    </w:p>
    <w:p>
      <w:pPr>
        <w:spacing w:line="360" w:lineRule="auto"/>
        <w:ind w:firstLine="440" w:firstLineChars="200"/>
        <w:rPr>
          <w:rFonts w:asciiTheme="majorEastAsia" w:hAnsiTheme="majorEastAsia" w:eastAsiaTheme="majorEastAsia"/>
        </w:rPr>
      </w:pPr>
    </w:p>
    <w:p>
      <w:pPr>
        <w:spacing w:line="360" w:lineRule="auto"/>
        <w:ind w:firstLine="440" w:firstLineChars="200"/>
        <w:rPr>
          <w:rFonts w:asciiTheme="majorEastAsia" w:hAnsiTheme="majorEastAsia" w:eastAsiaTheme="majorEastAsia"/>
        </w:rPr>
      </w:pPr>
    </w:p>
    <w:p>
      <w:pPr>
        <w:pStyle w:val="16"/>
        <w:spacing w:line="360" w:lineRule="auto"/>
        <w:ind w:hanging="13"/>
        <w:jc w:val="center"/>
        <w:rPr>
          <w:rFonts w:cs="宋体" w:asciiTheme="majorEastAsia" w:hAnsiTheme="majorEastAsia" w:eastAsiaTheme="majorEastAsia"/>
          <w:b/>
          <w:bCs/>
          <w:sz w:val="44"/>
        </w:rPr>
      </w:pPr>
      <w:r>
        <w:rPr>
          <w:rFonts w:hint="eastAsia" w:cs="宋体" w:asciiTheme="majorEastAsia" w:hAnsiTheme="majorEastAsia" w:eastAsiaTheme="majorEastAsia"/>
          <w:b/>
          <w:bCs/>
          <w:sz w:val="44"/>
          <w:u w:val="single"/>
        </w:rPr>
        <w:t>中国（广西）自由贸易试验区南宁片区统计信息应用系统</w:t>
      </w:r>
      <w:r>
        <w:rPr>
          <w:rFonts w:cs="宋体" w:asciiTheme="majorEastAsia" w:hAnsiTheme="majorEastAsia" w:eastAsiaTheme="majorEastAsia"/>
          <w:b/>
          <w:bCs/>
          <w:sz w:val="44"/>
        </w:rPr>
        <w:t>合 同</w:t>
      </w:r>
    </w:p>
    <w:p>
      <w:pPr>
        <w:spacing w:line="360" w:lineRule="auto"/>
        <w:rPr>
          <w:rFonts w:asciiTheme="majorEastAsia" w:hAnsiTheme="majorEastAsia" w:eastAsiaTheme="majorEastAsia"/>
          <w:b/>
          <w:bCs/>
          <w:sz w:val="44"/>
        </w:rPr>
      </w:pPr>
    </w:p>
    <w:p>
      <w:pPr>
        <w:spacing w:line="360" w:lineRule="auto"/>
        <w:ind w:firstLine="2870" w:firstLineChars="794"/>
        <w:rPr>
          <w:rFonts w:asciiTheme="majorEastAsia" w:hAnsiTheme="majorEastAsia" w:eastAsiaTheme="majorEastAsia"/>
          <w:b/>
          <w:bCs/>
          <w:sz w:val="36"/>
          <w:szCs w:val="36"/>
        </w:rPr>
      </w:pPr>
    </w:p>
    <w:p>
      <w:pPr>
        <w:ind w:firstLine="1995" w:firstLineChars="552"/>
        <w:rPr>
          <w:rFonts w:asciiTheme="majorEastAsia" w:hAnsiTheme="majorEastAsia" w:eastAsiaTheme="majorEastAsia"/>
          <w:b/>
          <w:sz w:val="36"/>
          <w:szCs w:val="36"/>
        </w:rPr>
      </w:pPr>
      <w:r>
        <w:rPr>
          <w:rFonts w:hint="eastAsia" w:asciiTheme="majorEastAsia" w:hAnsiTheme="majorEastAsia" w:eastAsiaTheme="majorEastAsia"/>
          <w:b/>
          <w:sz w:val="36"/>
          <w:szCs w:val="36"/>
        </w:rPr>
        <w:t>项目编号：NNZC2020-G3-990116-GXYZ</w:t>
      </w:r>
    </w:p>
    <w:p>
      <w:pPr>
        <w:ind w:firstLine="1995" w:firstLineChars="552"/>
        <w:rPr>
          <w:rFonts w:asciiTheme="majorEastAsia" w:hAnsiTheme="majorEastAsia" w:eastAsiaTheme="majorEastAsia"/>
          <w:b/>
          <w:sz w:val="32"/>
          <w:szCs w:val="32"/>
        </w:rPr>
      </w:pPr>
      <w:r>
        <w:rPr>
          <w:rFonts w:hint="eastAsia" w:asciiTheme="majorEastAsia" w:hAnsiTheme="majorEastAsia" w:eastAsiaTheme="majorEastAsia"/>
          <w:b/>
          <w:sz w:val="36"/>
          <w:szCs w:val="36"/>
        </w:rPr>
        <w:t>采购计划文号：</w:t>
      </w:r>
      <w:r>
        <w:fldChar w:fldCharType="begin"/>
      </w:r>
      <w:r>
        <w:instrText xml:space="preserve"> HYPERLINK "https://pay.zcygov.cn/purchaseplan_front/" \l "/plan/list/detail?id=1000000000003386152&amp;encrypt=5ea8bbc818bd200408bcbb07ff8c6096" \t "https://bidding.zcygov.cn/xmgl/projectQuery/_blank" </w:instrText>
      </w:r>
      <w:r>
        <w:fldChar w:fldCharType="separate"/>
      </w:r>
      <w:r>
        <w:rPr>
          <w:rFonts w:hint="eastAsia" w:asciiTheme="majorEastAsia" w:hAnsiTheme="majorEastAsia" w:eastAsiaTheme="majorEastAsia"/>
          <w:b/>
          <w:sz w:val="36"/>
          <w:szCs w:val="36"/>
        </w:rPr>
        <w:t>[2020]NCCJA075-001</w:t>
      </w:r>
      <w:r>
        <w:rPr>
          <w:rFonts w:hint="eastAsia" w:asciiTheme="majorEastAsia" w:hAnsiTheme="majorEastAsia" w:eastAsiaTheme="majorEastAsia"/>
          <w:b/>
          <w:sz w:val="36"/>
          <w:szCs w:val="36"/>
        </w:rPr>
        <w:fldChar w:fldCharType="end"/>
      </w:r>
    </w:p>
    <w:p>
      <w:pPr>
        <w:spacing w:line="360" w:lineRule="auto"/>
        <w:ind w:firstLine="1988" w:firstLineChars="550"/>
        <w:rPr>
          <w:rFonts w:asciiTheme="majorEastAsia" w:hAnsiTheme="majorEastAsia" w:eastAsiaTheme="majorEastAsia"/>
          <w:b/>
          <w:sz w:val="36"/>
          <w:szCs w:val="36"/>
        </w:rPr>
      </w:pPr>
    </w:p>
    <w:p>
      <w:pPr>
        <w:spacing w:line="360" w:lineRule="auto"/>
        <w:rPr>
          <w:rFonts w:asciiTheme="majorEastAsia" w:hAnsiTheme="majorEastAsia" w:eastAsiaTheme="majorEastAsia"/>
          <w:b/>
          <w:sz w:val="36"/>
          <w:szCs w:val="36"/>
        </w:rPr>
      </w:pPr>
    </w:p>
    <w:p>
      <w:pPr>
        <w:spacing w:line="360" w:lineRule="auto"/>
        <w:ind w:left="3778" w:leftChars="978" w:hanging="1626" w:hangingChars="450"/>
        <w:rPr>
          <w:rFonts w:asciiTheme="majorEastAsia" w:hAnsiTheme="majorEastAsia" w:eastAsiaTheme="majorEastAsia"/>
          <w:b/>
          <w:sz w:val="36"/>
          <w:szCs w:val="36"/>
        </w:rPr>
      </w:pPr>
      <w:r>
        <w:rPr>
          <w:rFonts w:hint="eastAsia" w:asciiTheme="majorEastAsia" w:hAnsiTheme="majorEastAsia" w:eastAsiaTheme="majorEastAsia"/>
          <w:b/>
          <w:sz w:val="36"/>
          <w:szCs w:val="36"/>
        </w:rPr>
        <w:t>采购人：</w:t>
      </w:r>
      <w:r>
        <w:rPr>
          <w:rFonts w:hint="eastAsia" w:asciiTheme="majorEastAsia" w:hAnsiTheme="majorEastAsia" w:eastAsiaTheme="majorEastAsia"/>
          <w:b/>
          <w:sz w:val="36"/>
          <w:szCs w:val="36"/>
          <w:u w:val="single"/>
        </w:rPr>
        <w:t>中国(广西)自由贸易试验区南宁片区建设工作领导小组办公室</w:t>
      </w:r>
    </w:p>
    <w:p>
      <w:pPr>
        <w:tabs>
          <w:tab w:val="left" w:pos="7380"/>
        </w:tabs>
        <w:spacing w:line="360" w:lineRule="auto"/>
        <w:ind w:firstLine="2168" w:firstLineChars="600"/>
        <w:jc w:val="both"/>
        <w:rPr>
          <w:rFonts w:asciiTheme="majorEastAsia" w:hAnsiTheme="majorEastAsia" w:eastAsiaTheme="majorEastAsia"/>
          <w:b/>
          <w:bCs/>
          <w:sz w:val="44"/>
        </w:rPr>
      </w:pPr>
      <w:r>
        <w:rPr>
          <w:rFonts w:hint="eastAsia" w:asciiTheme="majorEastAsia" w:hAnsiTheme="majorEastAsia" w:eastAsiaTheme="majorEastAsia"/>
          <w:b/>
          <w:sz w:val="36"/>
          <w:szCs w:val="36"/>
        </w:rPr>
        <w:t>中标供应商：</w:t>
      </w:r>
      <w:r>
        <w:rPr>
          <w:rFonts w:asciiTheme="majorEastAsia" w:hAnsiTheme="majorEastAsia" w:eastAsiaTheme="majorEastAsia"/>
          <w:b/>
          <w:sz w:val="24"/>
          <w:szCs w:val="24"/>
        </w:rPr>
        <w:t>______________________</w:t>
      </w:r>
      <w:r>
        <w:rPr>
          <w:rFonts w:asciiTheme="majorEastAsia" w:hAnsiTheme="majorEastAsia" w:eastAsiaTheme="majorEastAsia"/>
          <w:b/>
          <w:bCs/>
          <w:sz w:val="44"/>
        </w:rPr>
        <w:br w:type="page"/>
      </w:r>
      <w:r>
        <w:rPr>
          <w:rFonts w:hint="eastAsia" w:asciiTheme="majorEastAsia" w:hAnsiTheme="majorEastAsia" w:eastAsiaTheme="majorEastAsia"/>
          <w:b/>
          <w:sz w:val="36"/>
          <w:szCs w:val="36"/>
        </w:rPr>
        <w:t>目录</w:t>
      </w:r>
    </w:p>
    <w:p>
      <w:pPr>
        <w:tabs>
          <w:tab w:val="left" w:pos="1170"/>
        </w:tabs>
        <w:spacing w:line="360" w:lineRule="auto"/>
        <w:ind w:left="376" w:leftChars="171" w:firstLine="198" w:firstLineChars="71"/>
        <w:rPr>
          <w:rFonts w:asciiTheme="majorEastAsia" w:hAnsiTheme="majorEastAsia" w:eastAsiaTheme="majorEastAsia"/>
          <w:sz w:val="28"/>
        </w:rPr>
      </w:pPr>
      <w:r>
        <w:rPr>
          <w:rFonts w:asciiTheme="majorEastAsia" w:hAnsiTheme="majorEastAsia" w:eastAsiaTheme="majorEastAsia"/>
          <w:sz w:val="28"/>
        </w:rPr>
        <w:tab/>
      </w:r>
    </w:p>
    <w:p>
      <w:pPr>
        <w:spacing w:line="360" w:lineRule="auto"/>
        <w:rPr>
          <w:rFonts w:asciiTheme="majorEastAsia" w:hAnsiTheme="majorEastAsia" w:eastAsiaTheme="majorEastAsia"/>
          <w:b/>
          <w:sz w:val="30"/>
          <w:szCs w:val="30"/>
        </w:rPr>
      </w:pPr>
      <w:r>
        <w:rPr>
          <w:rFonts w:hint="eastAsia" w:asciiTheme="majorEastAsia" w:hAnsiTheme="majorEastAsia" w:eastAsiaTheme="majorEastAsia"/>
          <w:b/>
          <w:sz w:val="30"/>
          <w:szCs w:val="30"/>
        </w:rPr>
        <w:t>一、南宁市政府采购合同书</w:t>
      </w:r>
    </w:p>
    <w:p>
      <w:pPr>
        <w:spacing w:line="360" w:lineRule="auto"/>
        <w:rPr>
          <w:rFonts w:asciiTheme="majorEastAsia" w:hAnsiTheme="majorEastAsia" w:eastAsiaTheme="majorEastAsia"/>
          <w:b/>
          <w:sz w:val="30"/>
          <w:szCs w:val="30"/>
        </w:rPr>
      </w:pPr>
      <w:r>
        <w:rPr>
          <w:rFonts w:hint="eastAsia" w:asciiTheme="majorEastAsia" w:hAnsiTheme="majorEastAsia" w:eastAsiaTheme="majorEastAsia"/>
          <w:b/>
          <w:sz w:val="30"/>
          <w:szCs w:val="30"/>
        </w:rPr>
        <w:t>二、合同附件</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1、中标通知书</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2、招标文件服务需求一览表</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3、招标文件的更改通知（如有）</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4、投标函</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5、投标报价表</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6、投标服务技术资料表</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7、商务条款偏离表</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8、中标供应商澄清函（如有请提供）</w:t>
      </w:r>
    </w:p>
    <w:p>
      <w:pPr>
        <w:pStyle w:val="16"/>
        <w:spacing w:line="360" w:lineRule="auto"/>
        <w:ind w:firstLine="560" w:firstLineChars="200"/>
        <w:rPr>
          <w:rFonts w:cs="宋体" w:asciiTheme="majorEastAsia" w:hAnsiTheme="majorEastAsia" w:eastAsiaTheme="majorEastAsia"/>
          <w:sz w:val="28"/>
          <w:szCs w:val="28"/>
        </w:rPr>
      </w:pPr>
      <w:r>
        <w:rPr>
          <w:rFonts w:cs="宋体" w:asciiTheme="majorEastAsia" w:hAnsiTheme="majorEastAsia" w:eastAsiaTheme="majorEastAsia"/>
          <w:sz w:val="28"/>
          <w:szCs w:val="28"/>
        </w:rPr>
        <w:t>9、其他与本合同相关的资料（如有请提供）</w:t>
      </w:r>
    </w:p>
    <w:p>
      <w:pPr>
        <w:rPr>
          <w:rFonts w:asciiTheme="majorEastAsia" w:hAnsiTheme="majorEastAsia" w:eastAsiaTheme="majorEastAsia"/>
          <w:b/>
          <w:sz w:val="30"/>
          <w:szCs w:val="30"/>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28"/>
        </w:rPr>
      </w:pPr>
    </w:p>
    <w:p>
      <w:pPr>
        <w:spacing w:line="360" w:lineRule="auto"/>
        <w:jc w:val="center"/>
        <w:rPr>
          <w:rFonts w:asciiTheme="majorEastAsia" w:hAnsiTheme="majorEastAsia" w:eastAsiaTheme="majorEastAsia"/>
          <w:b/>
          <w:bCs/>
          <w:sz w:val="30"/>
          <w:szCs w:val="30"/>
        </w:rPr>
      </w:pPr>
      <w:r>
        <w:rPr>
          <w:rFonts w:hint="eastAsia" w:asciiTheme="majorEastAsia" w:hAnsiTheme="majorEastAsia" w:eastAsiaTheme="majorEastAsia"/>
          <w:b/>
          <w:sz w:val="30"/>
          <w:szCs w:val="30"/>
        </w:rPr>
        <w:t>南宁市政府采购合同书</w:t>
      </w:r>
    </w:p>
    <w:p>
      <w:pPr>
        <w:pStyle w:val="16"/>
        <w:spacing w:line="360" w:lineRule="auto"/>
        <w:rPr>
          <w:rFonts w:cs="宋体" w:asciiTheme="majorEastAsia" w:hAnsiTheme="majorEastAsia" w:eastAsiaTheme="majorEastAsia"/>
          <w:sz w:val="24"/>
          <w:szCs w:val="24"/>
        </w:rPr>
      </w:pPr>
    </w:p>
    <w:p>
      <w:pPr>
        <w:pStyle w:val="16"/>
        <w:spacing w:line="360" w:lineRule="auto"/>
        <w:ind w:left="1200" w:hanging="1200" w:hangingChars="500"/>
        <w:rPr>
          <w:rFonts w:cs="宋体" w:asciiTheme="majorEastAsia" w:hAnsiTheme="majorEastAsia" w:eastAsiaTheme="majorEastAsia"/>
          <w:b/>
          <w:sz w:val="44"/>
          <w:szCs w:val="44"/>
          <w:u w:val="single"/>
        </w:rPr>
      </w:pPr>
      <w:r>
        <w:rPr>
          <w:rFonts w:cs="宋体" w:asciiTheme="majorEastAsia" w:hAnsiTheme="majorEastAsia" w:eastAsiaTheme="majorEastAsia"/>
          <w:sz w:val="24"/>
          <w:szCs w:val="24"/>
        </w:rPr>
        <w:t>项目名称：</w:t>
      </w:r>
      <w:r>
        <w:rPr>
          <w:rFonts w:hint="eastAsia" w:cs="宋体" w:asciiTheme="majorEastAsia" w:hAnsiTheme="majorEastAsia" w:eastAsiaTheme="majorEastAsia"/>
          <w:sz w:val="24"/>
          <w:szCs w:val="24"/>
          <w:u w:val="single"/>
        </w:rPr>
        <w:t>中国（广西）自由贸易试验区南宁片区统计信息应用系统</w:t>
      </w:r>
    </w:p>
    <w:p>
      <w:pPr>
        <w:pStyle w:val="16"/>
        <w:spacing w:line="360" w:lineRule="auto"/>
        <w:rPr>
          <w:rFonts w:cs="宋体" w:asciiTheme="majorEastAsia" w:hAnsiTheme="majorEastAsia" w:eastAsiaTheme="majorEastAsia"/>
          <w:sz w:val="24"/>
          <w:szCs w:val="24"/>
        </w:rPr>
      </w:pPr>
      <w:r>
        <w:rPr>
          <w:rFonts w:cs="宋体" w:asciiTheme="majorEastAsia" w:hAnsiTheme="majorEastAsia" w:eastAsiaTheme="majorEastAsia"/>
          <w:sz w:val="24"/>
          <w:szCs w:val="24"/>
        </w:rPr>
        <w:t>项目编号：</w:t>
      </w:r>
      <w:r>
        <w:rPr>
          <w:rFonts w:hint="eastAsia" w:cs="宋体" w:asciiTheme="majorEastAsia" w:hAnsiTheme="majorEastAsia" w:eastAsiaTheme="majorEastAsia"/>
          <w:sz w:val="24"/>
          <w:szCs w:val="24"/>
          <w:u w:val="single"/>
        </w:rPr>
        <w:t>N</w:t>
      </w:r>
      <w:r>
        <w:rPr>
          <w:rFonts w:asciiTheme="majorEastAsia" w:hAnsiTheme="majorEastAsia" w:eastAsiaTheme="majorEastAsia"/>
          <w:sz w:val="24"/>
          <w:szCs w:val="24"/>
          <w:u w:val="single"/>
        </w:rPr>
        <w:t>NZC2020-G3-990116-GXYZ</w:t>
      </w:r>
    </w:p>
    <w:p>
      <w:pPr>
        <w:pStyle w:val="16"/>
        <w:spacing w:line="360" w:lineRule="auto"/>
        <w:rPr>
          <w:rFonts w:cs="宋体" w:asciiTheme="majorEastAsia" w:hAnsiTheme="majorEastAsia" w:eastAsiaTheme="majorEastAsia"/>
          <w:sz w:val="24"/>
          <w:szCs w:val="24"/>
        </w:rPr>
      </w:pPr>
    </w:p>
    <w:p>
      <w:pPr>
        <w:pStyle w:val="10"/>
      </w:pPr>
    </w:p>
    <w:p>
      <w:pPr>
        <w:spacing w:line="360" w:lineRule="auto"/>
        <w:rPr>
          <w:rFonts w:asciiTheme="majorEastAsia" w:hAnsiTheme="majorEastAsia" w:eastAsiaTheme="majorEastAsia"/>
          <w:sz w:val="24"/>
          <w:u w:val="single"/>
        </w:rPr>
      </w:pPr>
      <w:r>
        <w:rPr>
          <w:rFonts w:hint="eastAsia" w:asciiTheme="majorEastAsia" w:hAnsiTheme="majorEastAsia" w:eastAsiaTheme="majorEastAsia"/>
          <w:sz w:val="24"/>
        </w:rPr>
        <w:t>甲方（买方）：</w:t>
      </w:r>
      <w:r>
        <w:rPr>
          <w:rFonts w:hint="eastAsia" w:asciiTheme="majorEastAsia" w:hAnsiTheme="majorEastAsia" w:eastAsiaTheme="majorEastAsia"/>
          <w:sz w:val="24"/>
          <w:u w:val="single"/>
        </w:rPr>
        <w:t>中国(广西)自由贸易试验区南宁片区建设工作领导小组办公室</w:t>
      </w:r>
    </w:p>
    <w:p>
      <w:pPr>
        <w:pStyle w:val="16"/>
        <w:spacing w:line="360" w:lineRule="auto"/>
        <w:rPr>
          <w:rFonts w:cs="宋体" w:asciiTheme="majorEastAsia" w:hAnsiTheme="majorEastAsia" w:eastAsiaTheme="majorEastAsia"/>
          <w:sz w:val="24"/>
          <w:szCs w:val="24"/>
        </w:rPr>
      </w:pPr>
      <w:r>
        <w:rPr>
          <w:rFonts w:cs="宋体" w:asciiTheme="majorEastAsia" w:hAnsiTheme="majorEastAsia" w:eastAsiaTheme="majorEastAsia"/>
          <w:sz w:val="24"/>
          <w:szCs w:val="24"/>
        </w:rPr>
        <w:t>乙方（卖方）：</w:t>
      </w:r>
      <w:r>
        <w:rPr>
          <w:rFonts w:cs="宋体" w:asciiTheme="majorEastAsia" w:hAnsiTheme="majorEastAsia" w:eastAsiaTheme="majorEastAsia"/>
          <w:kern w:val="0"/>
          <w:sz w:val="24"/>
          <w:szCs w:val="22"/>
          <w:u w:val="single"/>
        </w:rPr>
        <w:t xml:space="preserve">___________________________ </w:t>
      </w:r>
    </w:p>
    <w:p>
      <w:pPr>
        <w:pStyle w:val="16"/>
        <w:spacing w:line="360" w:lineRule="auto"/>
        <w:rPr>
          <w:rFonts w:cs="宋体" w:asciiTheme="majorEastAsia" w:hAnsiTheme="majorEastAsia" w:eastAsiaTheme="majorEastAsia"/>
          <w:b/>
          <w:sz w:val="24"/>
          <w:szCs w:val="24"/>
        </w:rPr>
      </w:pPr>
    </w:p>
    <w:p>
      <w:pPr>
        <w:pStyle w:val="16"/>
        <w:spacing w:line="360" w:lineRule="auto"/>
        <w:ind w:firstLine="480" w:firstLineChars="200"/>
        <w:rPr>
          <w:rFonts w:cs="宋体" w:asciiTheme="majorEastAsia" w:hAnsiTheme="majorEastAsia" w:eastAsiaTheme="majorEastAsia"/>
          <w:b/>
          <w:sz w:val="24"/>
          <w:szCs w:val="24"/>
        </w:rPr>
      </w:pPr>
      <w:r>
        <w:rPr>
          <w:rFonts w:cs="宋体" w:asciiTheme="majorEastAsia" w:hAnsiTheme="majorEastAsia" w:eastAsiaTheme="majorEastAsia"/>
          <w:sz w:val="24"/>
          <w:szCs w:val="24"/>
        </w:rPr>
        <w:t>根据</w:t>
      </w:r>
      <w:r>
        <w:rPr>
          <w:rFonts w:cs="宋体" w:asciiTheme="majorEastAsia" w:hAnsiTheme="majorEastAsia" w:eastAsiaTheme="majorEastAsia"/>
          <w:sz w:val="24"/>
          <w:szCs w:val="24"/>
          <w:u w:val="single"/>
        </w:rPr>
        <w:t>2020</w:t>
      </w:r>
      <w:r>
        <w:rPr>
          <w:rFonts w:cs="宋体" w:asciiTheme="majorEastAsia" w:hAnsiTheme="majorEastAsia" w:eastAsiaTheme="majorEastAsia"/>
          <w:sz w:val="24"/>
          <w:szCs w:val="24"/>
        </w:rPr>
        <w:t>年月日南宁市政府采购项目的采购结果，甲方接受乙方对本项目的投标，甲、乙双方同意签署本合同（以下简称合同）。</w:t>
      </w:r>
    </w:p>
    <w:p>
      <w:pPr>
        <w:pStyle w:val="16"/>
        <w:spacing w:line="360" w:lineRule="auto"/>
        <w:rPr>
          <w:rFonts w:cs="宋体" w:asciiTheme="majorEastAsia" w:hAnsiTheme="majorEastAsia" w:eastAsiaTheme="majorEastAsia"/>
          <w:b/>
          <w:sz w:val="24"/>
          <w:szCs w:val="24"/>
        </w:rPr>
      </w:pP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  采购内容</w:t>
      </w:r>
    </w:p>
    <w:p>
      <w:pPr>
        <w:pStyle w:val="16"/>
        <w:tabs>
          <w:tab w:val="left" w:pos="5220"/>
        </w:tabs>
        <w:spacing w:line="360" w:lineRule="auto"/>
        <w:ind w:firstLine="480" w:firstLineChars="200"/>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1.1 服务名称：</w:t>
      </w:r>
      <w:r>
        <w:rPr>
          <w:rFonts w:cs="宋体" w:asciiTheme="majorEastAsia" w:hAnsiTheme="majorEastAsia" w:eastAsiaTheme="majorEastAsia"/>
          <w:sz w:val="24"/>
          <w:szCs w:val="24"/>
          <w:u w:val="single"/>
        </w:rPr>
        <w:t>详见合同附件中投标报价表</w:t>
      </w:r>
    </w:p>
    <w:p>
      <w:pPr>
        <w:pStyle w:val="16"/>
        <w:tabs>
          <w:tab w:val="left" w:pos="522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1.2 数量：</w:t>
      </w:r>
      <w:r>
        <w:rPr>
          <w:rFonts w:cs="宋体" w:asciiTheme="majorEastAsia" w:hAnsiTheme="majorEastAsia" w:eastAsiaTheme="majorEastAsia"/>
          <w:sz w:val="24"/>
          <w:szCs w:val="24"/>
          <w:u w:val="single"/>
        </w:rPr>
        <w:t>详见合同附件中投标报价表</w:t>
      </w:r>
    </w:p>
    <w:p>
      <w:pPr>
        <w:pStyle w:val="16"/>
        <w:tabs>
          <w:tab w:val="left" w:pos="522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1.2 服务内容：</w:t>
      </w:r>
      <w:r>
        <w:rPr>
          <w:rFonts w:cs="宋体" w:asciiTheme="majorEastAsia" w:hAnsiTheme="majorEastAsia" w:eastAsiaTheme="majorEastAsia"/>
          <w:sz w:val="24"/>
          <w:szCs w:val="24"/>
          <w:u w:val="single"/>
        </w:rPr>
        <w:t>详见合同附件中投标服务技术资料表</w:t>
      </w:r>
    </w:p>
    <w:p>
      <w:pPr>
        <w:pStyle w:val="16"/>
        <w:tabs>
          <w:tab w:val="left" w:pos="5145"/>
        </w:tabs>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2.  合同金额</w:t>
      </w:r>
    </w:p>
    <w:p>
      <w:pPr>
        <w:pStyle w:val="16"/>
        <w:spacing w:line="360" w:lineRule="auto"/>
        <w:ind w:firstLine="470" w:firstLineChars="196"/>
        <w:rPr>
          <w:rFonts w:cs="宋体" w:asciiTheme="majorEastAsia" w:hAnsiTheme="majorEastAsia" w:eastAsiaTheme="majorEastAsia"/>
          <w:b/>
          <w:bCs/>
          <w:sz w:val="24"/>
          <w:szCs w:val="24"/>
        </w:rPr>
      </w:pPr>
      <w:r>
        <w:rPr>
          <w:rFonts w:cs="宋体" w:asciiTheme="majorEastAsia" w:hAnsiTheme="majorEastAsia" w:eastAsiaTheme="majorEastAsia"/>
          <w:sz w:val="24"/>
          <w:szCs w:val="24"/>
        </w:rPr>
        <w:t>2.1 本合同金额为（大写）人民币</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元）。（详见投标报价表）</w:t>
      </w:r>
    </w:p>
    <w:p>
      <w:pPr>
        <w:pStyle w:val="16"/>
        <w:tabs>
          <w:tab w:val="left" w:pos="5940"/>
        </w:tabs>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3.  提交服务成果时间和地点</w:t>
      </w:r>
    </w:p>
    <w:p>
      <w:pPr>
        <w:pStyle w:val="16"/>
        <w:tabs>
          <w:tab w:val="left" w:pos="5250"/>
          <w:tab w:val="left" w:pos="5940"/>
        </w:tabs>
        <w:spacing w:line="360" w:lineRule="auto"/>
        <w:ind w:firstLine="470" w:firstLineChars="196"/>
        <w:rPr>
          <w:rFonts w:cs="宋体" w:asciiTheme="majorEastAsia" w:hAnsiTheme="majorEastAsia" w:eastAsiaTheme="majorEastAsia"/>
          <w:b/>
          <w:bCs/>
          <w:sz w:val="24"/>
          <w:szCs w:val="24"/>
          <w:u w:val="single"/>
        </w:rPr>
      </w:pPr>
      <w:r>
        <w:rPr>
          <w:rFonts w:cs="宋体" w:asciiTheme="majorEastAsia" w:hAnsiTheme="majorEastAsia" w:eastAsiaTheme="majorEastAsia"/>
          <w:bCs/>
          <w:sz w:val="24"/>
          <w:szCs w:val="24"/>
        </w:rPr>
        <w:t>3.1 提交服务成果时间：。</w:t>
      </w:r>
    </w:p>
    <w:p>
      <w:pPr>
        <w:pStyle w:val="16"/>
        <w:tabs>
          <w:tab w:val="left" w:pos="5250"/>
          <w:tab w:val="left" w:pos="5940"/>
        </w:tabs>
        <w:spacing w:line="360" w:lineRule="auto"/>
        <w:ind w:firstLine="470" w:firstLineChars="196"/>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 xml:space="preserve">3.2 </w:t>
      </w:r>
      <w:r>
        <w:rPr>
          <w:rFonts w:hint="eastAsia" w:cs="宋体" w:asciiTheme="majorEastAsia" w:hAnsiTheme="majorEastAsia" w:eastAsiaTheme="majorEastAsia"/>
          <w:bCs/>
          <w:sz w:val="24"/>
          <w:szCs w:val="24"/>
        </w:rPr>
        <w:t>交付地点</w:t>
      </w:r>
      <w:r>
        <w:rPr>
          <w:rFonts w:cs="宋体" w:asciiTheme="majorEastAsia" w:hAnsiTheme="majorEastAsia" w:eastAsiaTheme="majorEastAsia"/>
          <w:bCs/>
          <w:sz w:val="24"/>
          <w:szCs w:val="24"/>
        </w:rPr>
        <w:t>：。</w:t>
      </w:r>
    </w:p>
    <w:p>
      <w:pPr>
        <w:pStyle w:val="16"/>
        <w:tabs>
          <w:tab w:val="left" w:pos="5940"/>
        </w:tabs>
        <w:spacing w:line="360" w:lineRule="auto"/>
        <w:ind w:firstLine="480" w:firstLineChars="200"/>
        <w:rPr>
          <w:rFonts w:cs="宋体" w:asciiTheme="majorEastAsia" w:hAnsiTheme="majorEastAsia" w:eastAsiaTheme="majorEastAsia"/>
          <w:b/>
          <w:bCs/>
          <w:sz w:val="24"/>
          <w:szCs w:val="24"/>
        </w:rPr>
      </w:pPr>
      <w:r>
        <w:rPr>
          <w:rFonts w:cs="宋体" w:asciiTheme="majorEastAsia" w:hAnsiTheme="majorEastAsia" w:eastAsiaTheme="majorEastAsia"/>
          <w:bCs/>
          <w:sz w:val="24"/>
          <w:szCs w:val="24"/>
        </w:rPr>
        <w:t xml:space="preserve">3.3 </w:t>
      </w:r>
      <w:r>
        <w:rPr>
          <w:rFonts w:cs="宋体" w:asciiTheme="majorEastAsia" w:hAnsiTheme="majorEastAsia" w:eastAsiaTheme="majorEastAsia"/>
          <w:sz w:val="24"/>
          <w:szCs w:val="24"/>
        </w:rPr>
        <w:t>乙方必须按投标文件承诺的服务响应条款向甲方提供服务。</w:t>
      </w:r>
    </w:p>
    <w:p>
      <w:pPr>
        <w:pStyle w:val="16"/>
        <w:spacing w:line="360" w:lineRule="auto"/>
        <w:ind w:left="410" w:hanging="410" w:hangingChars="170"/>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4.  履约保证金</w:t>
      </w:r>
    </w:p>
    <w:p>
      <w:pPr>
        <w:pStyle w:val="16"/>
        <w:spacing w:line="360" w:lineRule="auto"/>
        <w:ind w:left="330" w:leftChars="150"/>
        <w:rPr>
          <w:rFonts w:cs="宋体" w:asciiTheme="majorEastAsia" w:hAnsiTheme="majorEastAsia" w:eastAsiaTheme="majorEastAsia"/>
          <w:sz w:val="24"/>
          <w:szCs w:val="24"/>
        </w:rPr>
      </w:pPr>
      <w:r>
        <w:rPr>
          <w:rFonts w:cs="宋体" w:asciiTheme="majorEastAsia" w:hAnsiTheme="majorEastAsia" w:eastAsiaTheme="majorEastAsia"/>
          <w:sz w:val="24"/>
          <w:szCs w:val="24"/>
        </w:rPr>
        <w:t>本项目不收取履约保证金</w:t>
      </w:r>
    </w:p>
    <w:p>
      <w:pPr>
        <w:pStyle w:val="16"/>
        <w:spacing w:line="360" w:lineRule="auto"/>
        <w:ind w:left="412" w:hanging="412" w:hangingChars="171"/>
        <w:rPr>
          <w:rFonts w:cs="宋体" w:asciiTheme="majorEastAsia" w:hAnsiTheme="majorEastAsia" w:eastAsiaTheme="majorEastAsia"/>
          <w:b/>
          <w:sz w:val="24"/>
          <w:szCs w:val="24"/>
        </w:rPr>
      </w:pPr>
      <w:r>
        <w:rPr>
          <w:rFonts w:cs="宋体" w:asciiTheme="majorEastAsia" w:hAnsiTheme="majorEastAsia" w:eastAsiaTheme="majorEastAsia"/>
          <w:b/>
          <w:bCs/>
          <w:sz w:val="24"/>
          <w:szCs w:val="24"/>
        </w:rPr>
        <w:t>5.  产权</w:t>
      </w:r>
    </w:p>
    <w:p>
      <w:pPr>
        <w:pStyle w:val="16"/>
        <w:spacing w:line="360" w:lineRule="auto"/>
        <w:ind w:firstLine="480" w:firstLineChars="200"/>
        <w:rPr>
          <w:rFonts w:cs="宋体" w:asciiTheme="majorEastAsia" w:hAnsiTheme="majorEastAsia" w:eastAsiaTheme="majorEastAsia"/>
          <w:b/>
          <w:sz w:val="24"/>
          <w:szCs w:val="24"/>
        </w:rPr>
      </w:pPr>
      <w:r>
        <w:rPr>
          <w:rFonts w:cs="宋体" w:asciiTheme="majorEastAsia" w:hAnsiTheme="majorEastAsia" w:eastAsiaTheme="majorEastAsia"/>
          <w:sz w:val="24"/>
          <w:szCs w:val="24"/>
        </w:rPr>
        <w:t>5.1 乙方应保证所提供的服务或其任何一部分均不会侵犯任何第三方的专利权、商标权或著作权</w:t>
      </w:r>
      <w:r>
        <w:rPr>
          <w:rFonts w:cs="宋体" w:asciiTheme="majorEastAsia" w:hAnsiTheme="majorEastAsia" w:eastAsiaTheme="majorEastAsia"/>
          <w:bCs/>
          <w:sz w:val="24"/>
          <w:szCs w:val="24"/>
        </w:rPr>
        <w:t>。</w:t>
      </w:r>
    </w:p>
    <w:p>
      <w:pPr>
        <w:pStyle w:val="16"/>
        <w:spacing w:line="360" w:lineRule="auto"/>
        <w:ind w:firstLine="480" w:firstLineChars="200"/>
        <w:rPr>
          <w:rFonts w:cs="宋体" w:asciiTheme="majorEastAsia" w:hAnsiTheme="majorEastAsia" w:eastAsiaTheme="majorEastAsia"/>
          <w:b/>
          <w:sz w:val="24"/>
          <w:szCs w:val="24"/>
        </w:rPr>
      </w:pPr>
      <w:r>
        <w:rPr>
          <w:rFonts w:cs="宋体" w:asciiTheme="majorEastAsia" w:hAnsiTheme="majorEastAsia" w:eastAsiaTheme="majorEastAsia"/>
          <w:sz w:val="24"/>
          <w:szCs w:val="24"/>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6"/>
        <w:spacing w:line="360" w:lineRule="auto"/>
        <w:rPr>
          <w:rFonts w:cs="宋体" w:asciiTheme="majorEastAsia" w:hAnsiTheme="majorEastAsia" w:eastAsiaTheme="majorEastAsia"/>
          <w:b/>
          <w:sz w:val="24"/>
          <w:szCs w:val="24"/>
        </w:rPr>
      </w:pPr>
      <w:r>
        <w:rPr>
          <w:rFonts w:cs="宋体" w:asciiTheme="majorEastAsia" w:hAnsiTheme="majorEastAsia" w:eastAsiaTheme="majorEastAsia"/>
          <w:b/>
          <w:bCs/>
          <w:sz w:val="24"/>
          <w:szCs w:val="24"/>
        </w:rPr>
        <w:t>6.  技术资料</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6.1 甲方应向乙方提供提交服务成果所必需的有关数据、资料等。</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7.  验收</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7.1 乙方应对提交的服务成果作出全面检查和整理，并列出清单，作为甲方验收和使用的技术条件依据，清单应随提交的服务成果交给甲方。</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7.2 乙方在指定地点提交服务成果后，甲方应在五个工作日内依据招标文件、乙方的投标文件等组织验收，验收完毕后作出书面验收报告。验收时乙方必须在现场。</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7.3 对复杂的服务，甲方可请国家认可的专业机构参与验收，并由其出具验收报告，相关费用由甲方承担。</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8.  合同款支付</w:t>
      </w:r>
    </w:p>
    <w:p>
      <w:pPr>
        <w:spacing w:line="440" w:lineRule="exact"/>
        <w:ind w:firstLine="480" w:firstLineChars="200"/>
        <w:rPr>
          <w:rFonts w:ascii="宋体" w:hAnsi="宋体" w:eastAsia="宋体"/>
          <w:sz w:val="24"/>
          <w:szCs w:val="24"/>
        </w:rPr>
      </w:pPr>
      <w:r>
        <w:rPr>
          <w:rFonts w:asciiTheme="majorEastAsia" w:hAnsiTheme="majorEastAsia" w:eastAsiaTheme="majorEastAsia"/>
          <w:bCs/>
          <w:sz w:val="24"/>
        </w:rPr>
        <w:t xml:space="preserve">8.1 </w:t>
      </w:r>
      <w:r>
        <w:rPr>
          <w:rFonts w:hint="eastAsia" w:asciiTheme="majorEastAsia" w:hAnsiTheme="majorEastAsia" w:eastAsiaTheme="majorEastAsia"/>
          <w:bCs/>
          <w:sz w:val="24"/>
        </w:rPr>
        <w:t>付款方</w:t>
      </w:r>
      <w:r>
        <w:rPr>
          <w:rFonts w:hint="eastAsia" w:asciiTheme="majorEastAsia" w:hAnsiTheme="majorEastAsia" w:eastAsiaTheme="majorEastAsia"/>
          <w:sz w:val="24"/>
        </w:rPr>
        <w:t>式：</w:t>
      </w:r>
      <w:r>
        <w:rPr>
          <w:rFonts w:hint="eastAsia" w:asciiTheme="majorEastAsia" w:hAnsiTheme="majorEastAsia" w:eastAsiaTheme="majorEastAsia"/>
          <w:sz w:val="24"/>
          <w:u w:val="single"/>
        </w:rPr>
        <w:t xml:space="preserve">                                                             </w:t>
      </w:r>
      <w:r>
        <w:rPr>
          <w:rFonts w:hint="eastAsia" w:ascii="宋体" w:hAnsi="宋体" w:eastAsia="宋体"/>
          <w:sz w:val="24"/>
          <w:szCs w:val="24"/>
          <w:u w:val="single"/>
        </w:rPr>
        <w:t>。</w:t>
      </w:r>
    </w:p>
    <w:p>
      <w:pPr>
        <w:pStyle w:val="16"/>
        <w:tabs>
          <w:tab w:val="left" w:pos="5145"/>
          <w:tab w:val="left" w:pos="5355"/>
          <w:tab w:val="left" w:pos="6195"/>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6"/>
        <w:tabs>
          <w:tab w:val="left" w:pos="5145"/>
          <w:tab w:val="left" w:pos="5355"/>
          <w:tab w:val="left" w:pos="6195"/>
        </w:tabs>
        <w:spacing w:line="360" w:lineRule="auto"/>
        <w:ind w:firstLine="480" w:firstLineChars="200"/>
        <w:rPr>
          <w:rFonts w:cs="宋体" w:asciiTheme="majorEastAsia" w:hAnsiTheme="majorEastAsia" w:eastAsiaTheme="majorEastAsia"/>
          <w:bCs/>
          <w:sz w:val="24"/>
          <w:szCs w:val="24"/>
          <w:u w:val="single"/>
        </w:rPr>
      </w:pPr>
      <w:r>
        <w:rPr>
          <w:rFonts w:cs="宋体" w:asciiTheme="majorEastAsia" w:hAnsiTheme="majorEastAsia" w:eastAsiaTheme="majorEastAsia"/>
          <w:sz w:val="24"/>
          <w:szCs w:val="24"/>
        </w:rPr>
        <w:t>8.3 政府采购监督管理部门在处理投诉事项期间，可以视具体情况书面通知采购人暂停采购活动</w:t>
      </w:r>
      <w:r>
        <w:rPr>
          <w:rFonts w:cs="宋体" w:asciiTheme="majorEastAsia" w:hAnsiTheme="majorEastAsia" w:eastAsiaTheme="majorEastAsia"/>
          <w:bCs/>
          <w:sz w:val="24"/>
          <w:szCs w:val="24"/>
        </w:rPr>
        <w:t>，并延期支付合同款。</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9.  售后服务要求</w:t>
      </w: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9.1 乙方提供服务的质量保证期为：</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（自提交服务验收合格之日起计）</w:t>
      </w:r>
    </w:p>
    <w:p>
      <w:pPr>
        <w:pStyle w:val="16"/>
        <w:spacing w:line="360" w:lineRule="auto"/>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9.2 在本合同第9.1项约定的质量保证期内，乙方应对服务出现的问题负责处理解决并承担一切费用。</w:t>
      </w:r>
    </w:p>
    <w:p>
      <w:pPr>
        <w:pStyle w:val="16"/>
        <w:tabs>
          <w:tab w:val="left" w:pos="5250"/>
        </w:tabs>
        <w:spacing w:line="360" w:lineRule="auto"/>
        <w:ind w:firstLine="480" w:firstLineChars="200"/>
        <w:rPr>
          <w:rFonts w:cs="宋体" w:asciiTheme="majorEastAsia" w:hAnsiTheme="majorEastAsia" w:eastAsiaTheme="majorEastAsia"/>
          <w:sz w:val="24"/>
          <w:szCs w:val="24"/>
          <w:u w:val="single"/>
        </w:rPr>
      </w:pPr>
      <w:r>
        <w:rPr>
          <w:rFonts w:asciiTheme="majorEastAsia" w:hAnsiTheme="majorEastAsia" w:eastAsiaTheme="majorEastAsia"/>
          <w:sz w:val="24"/>
          <w:szCs w:val="24"/>
        </w:rPr>
        <w:t>9.3 其他售后服务要求：</w:t>
      </w:r>
      <w:r>
        <w:rPr>
          <w:rFonts w:asciiTheme="majorEastAsia" w:hAnsiTheme="majorEastAsia" w:eastAsiaTheme="majorEastAsia"/>
          <w:sz w:val="24"/>
          <w:szCs w:val="24"/>
          <w:u w:val="single"/>
        </w:rPr>
        <w:t>按投标文件商务条款偏离表内容执行。</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10.  违约责任</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10.1 甲方无正当理由拒收服务的，甲方向乙方偿付拒收服务费总值的百分之五违约金。</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10.2 甲方无故逾期验收或办理合同款支付手续的，甲方应按逾期付款总额每日万分之五向乙方支付违约金。</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11.  不可抗力事件处理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11.1 在合同有效期内，任何一方因不可抗力事件导致不能履行合同，则合同履行期可延长，其延长期与不可抗力影响期相同。</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11.2 不可抗力事件发生后，应立即通知对方，并寄送有关权威机构出具的证明。</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11.3 不可抗力事件延续120天以上，双方应通过友好协商，确定是否继续履行合同。</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12.  诉讼</w:t>
      </w:r>
    </w:p>
    <w:p>
      <w:pPr>
        <w:pStyle w:val="16"/>
        <w:tabs>
          <w:tab w:val="left" w:pos="0"/>
        </w:tabs>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12.1 双方在执行合同中所发生的一切争议，应通过协商解决。如协商不成，可向合同签订地法院起诉，合同签订地在此约定为广西南宁市。</w:t>
      </w:r>
    </w:p>
    <w:p>
      <w:pPr>
        <w:pStyle w:val="16"/>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13.  合同生效及其它</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13.1 合同经双方法定代表人或授权委托代理人签字并加盖单位公章后生效。</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13.2 合同执行中涉及采购资金和采购内容修改或补充的，须经市财政部门审批，并签书面补充协议报南宁市政府采购监督管理部门备案，方可作为主合同不可分割的一部分。</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13.3 下述合同附件为本合同不可分割的部分并与本合同具有同等效力：</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（1）中标通知书；</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（2）招标文件服务需求一览表；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（3）招标文件的澄清和修改；</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（4）投标函、投标报价表；</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（5）投标服务技术资料表、商务条款偏离表、售后服务承诺书；</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（6）中标供应商澄清函。</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13.4 本合同未尽事宜，遵照《中华人民共和国合同法》有关条文执行。</w:t>
      </w:r>
    </w:p>
    <w:p>
      <w:pPr>
        <w:pStyle w:val="16"/>
        <w:spacing w:line="360" w:lineRule="auto"/>
        <w:ind w:firstLine="480" w:firstLineChars="200"/>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13.5 </w:t>
      </w:r>
      <w:r>
        <w:rPr>
          <w:rFonts w:cs="宋体" w:asciiTheme="majorEastAsia" w:hAnsiTheme="majorEastAsia" w:eastAsiaTheme="majorEastAsia"/>
          <w:b/>
          <w:sz w:val="24"/>
        </w:rPr>
        <w:t>本合同正本一式贰份</w:t>
      </w:r>
      <w:r>
        <w:rPr>
          <w:rFonts w:cs="宋体" w:asciiTheme="majorEastAsia" w:hAnsiTheme="majorEastAsia" w:eastAsiaTheme="majorEastAsia"/>
          <w:sz w:val="24"/>
        </w:rPr>
        <w:t>，具有同等法律效力，甲乙双方各执</w:t>
      </w:r>
      <w:r>
        <w:rPr>
          <w:rFonts w:cs="宋体" w:asciiTheme="majorEastAsia" w:hAnsiTheme="majorEastAsia" w:eastAsiaTheme="majorEastAsia"/>
          <w:b/>
          <w:sz w:val="24"/>
        </w:rPr>
        <w:t>壹份</w:t>
      </w:r>
      <w:r>
        <w:rPr>
          <w:rFonts w:cs="宋体" w:asciiTheme="majorEastAsia" w:hAnsiTheme="majorEastAsia" w:eastAsiaTheme="majorEastAsia"/>
          <w:sz w:val="24"/>
        </w:rPr>
        <w:t>；</w:t>
      </w:r>
      <w:r>
        <w:rPr>
          <w:rFonts w:cs="宋体" w:asciiTheme="majorEastAsia" w:hAnsiTheme="majorEastAsia" w:eastAsiaTheme="majorEastAsia"/>
          <w:b/>
          <w:sz w:val="24"/>
        </w:rPr>
        <w:t>副本肆份</w:t>
      </w:r>
      <w:r>
        <w:rPr>
          <w:rFonts w:cs="宋体" w:asciiTheme="majorEastAsia" w:hAnsiTheme="majorEastAsia" w:eastAsiaTheme="majorEastAsia"/>
          <w:sz w:val="24"/>
        </w:rPr>
        <w:t>，甲乙双方各执</w:t>
      </w:r>
      <w:r>
        <w:rPr>
          <w:rFonts w:cs="宋体" w:asciiTheme="majorEastAsia" w:hAnsiTheme="majorEastAsia" w:eastAsiaTheme="majorEastAsia"/>
          <w:b/>
          <w:sz w:val="24"/>
        </w:rPr>
        <w:t>壹份</w:t>
      </w:r>
      <w:r>
        <w:rPr>
          <w:rFonts w:cs="宋体" w:asciiTheme="majorEastAsia" w:hAnsiTheme="majorEastAsia" w:eastAsiaTheme="majorEastAsia"/>
          <w:sz w:val="24"/>
        </w:rPr>
        <w:t>，采购代理</w:t>
      </w:r>
      <w:r>
        <w:rPr>
          <w:rFonts w:cs="宋体" w:asciiTheme="majorEastAsia" w:hAnsiTheme="majorEastAsia" w:eastAsiaTheme="majorEastAsia"/>
          <w:b/>
          <w:sz w:val="24"/>
        </w:rPr>
        <w:t>贰份</w:t>
      </w:r>
      <w:r>
        <w:rPr>
          <w:rFonts w:cs="宋体" w:asciiTheme="majorEastAsia" w:hAnsiTheme="majorEastAsia" w:eastAsiaTheme="majorEastAsia"/>
          <w:sz w:val="24"/>
        </w:rPr>
        <w:t>。自合同签订之日起</w:t>
      </w:r>
      <w:r>
        <w:rPr>
          <w:rFonts w:cs="宋体" w:asciiTheme="majorEastAsia" w:hAnsiTheme="majorEastAsia" w:eastAsiaTheme="majorEastAsia"/>
          <w:b/>
          <w:sz w:val="24"/>
        </w:rPr>
        <w:t>2个工作日内</w:t>
      </w:r>
      <w:r>
        <w:rPr>
          <w:rFonts w:cs="宋体" w:asciiTheme="majorEastAsia" w:hAnsiTheme="majorEastAsia" w:eastAsiaTheme="majorEastAsia"/>
          <w:sz w:val="24"/>
        </w:rPr>
        <w:t>由中标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pStyle w:val="16"/>
        <w:spacing w:line="360" w:lineRule="auto"/>
        <w:ind w:firstLine="480" w:firstLineChars="200"/>
        <w:rPr>
          <w:rFonts w:cs="宋体" w:asciiTheme="majorEastAsia" w:hAnsiTheme="majorEastAsia" w:eastAsiaTheme="majorEastAsia"/>
          <w:sz w:val="24"/>
          <w:szCs w:val="24"/>
        </w:rPr>
      </w:pPr>
    </w:p>
    <w:p>
      <w:pPr>
        <w:pStyle w:val="16"/>
        <w:spacing w:line="360" w:lineRule="auto"/>
        <w:jc w:val="lef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甲方：    乙方：_______________________________</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地址：    地址：_______________________________</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法定代表人：    法定代表人：_________________________</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委托代理人：    委托代理人：_________________________</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电话：    电话：_______________________________</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传真：    传真：_______________________________</w:t>
      </w:r>
    </w:p>
    <w:p>
      <w:pPr>
        <w:pStyle w:val="16"/>
        <w:spacing w:line="360" w:lineRule="auto"/>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邮政编码：    邮政编码：___________________________</w:t>
      </w:r>
    </w:p>
    <w:p>
      <w:pPr>
        <w:pStyle w:val="16"/>
        <w:spacing w:line="360" w:lineRule="auto"/>
        <w:jc w:val="left"/>
        <w:rPr>
          <w:rFonts w:cs="宋体" w:asciiTheme="majorEastAsia" w:hAnsiTheme="majorEastAsia" w:eastAsiaTheme="majorEastAsia"/>
          <w:u w:val="single"/>
        </w:rPr>
      </w:pPr>
      <w:r>
        <w:rPr>
          <w:rFonts w:cs="宋体" w:asciiTheme="majorEastAsia" w:hAnsiTheme="majorEastAsia" w:eastAsiaTheme="majorEastAsia"/>
          <w:sz w:val="24"/>
          <w:szCs w:val="24"/>
        </w:rPr>
        <w:t xml:space="preserve">                                          统一社会代码：_______________________</w:t>
      </w:r>
    </w:p>
    <w:p>
      <w:pPr>
        <w:pStyle w:val="16"/>
        <w:spacing w:line="360" w:lineRule="auto"/>
        <w:ind w:firstLine="5040" w:firstLineChars="2100"/>
        <w:jc w:val="lef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开户银行：___________________________</w:t>
      </w:r>
    </w:p>
    <w:p>
      <w:pPr>
        <w:pStyle w:val="16"/>
        <w:spacing w:line="360" w:lineRule="auto"/>
        <w:jc w:val="lef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 xml:space="preserve">                                          开户名称：___________________________</w:t>
      </w:r>
    </w:p>
    <w:p>
      <w:pPr>
        <w:pStyle w:val="16"/>
        <w:spacing w:line="360" w:lineRule="auto"/>
        <w:jc w:val="left"/>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 xml:space="preserve">                                          银行账号：___________________________</w:t>
      </w:r>
    </w:p>
    <w:p>
      <w:pPr>
        <w:pStyle w:val="16"/>
        <w:spacing w:line="360" w:lineRule="auto"/>
        <w:rPr>
          <w:rFonts w:cs="宋体" w:asciiTheme="majorEastAsia" w:hAnsiTheme="majorEastAsia" w:eastAsiaTheme="majorEastAsia"/>
          <w:sz w:val="24"/>
          <w:szCs w:val="24"/>
        </w:rPr>
      </w:pPr>
      <w:r>
        <w:rPr>
          <w:rFonts w:cs="宋体" w:asciiTheme="majorEastAsia" w:hAnsiTheme="majorEastAsia" w:eastAsiaTheme="majorEastAsia"/>
          <w:sz w:val="24"/>
          <w:szCs w:val="24"/>
        </w:rPr>
        <w:t xml:space="preserve">合同签订地点：广西南宁市 </w:t>
      </w:r>
    </w:p>
    <w:p>
      <w:pPr>
        <w:pStyle w:val="16"/>
        <w:spacing w:line="360" w:lineRule="auto"/>
        <w:rPr>
          <w:rFonts w:cs="宋体" w:asciiTheme="majorEastAsia" w:hAnsiTheme="majorEastAsia" w:eastAsiaTheme="majorEastAsia"/>
          <w:sz w:val="24"/>
          <w:szCs w:val="24"/>
        </w:rPr>
      </w:pPr>
      <w:r>
        <w:rPr>
          <w:rFonts w:cs="宋体" w:asciiTheme="majorEastAsia" w:hAnsiTheme="majorEastAsia" w:eastAsiaTheme="majorEastAsia"/>
          <w:sz w:val="24"/>
          <w:szCs w:val="24"/>
        </w:rPr>
        <w:t>合同签订日期：</w:t>
      </w:r>
      <w:r>
        <w:rPr>
          <w:rFonts w:cs="宋体" w:asciiTheme="majorEastAsia" w:hAnsiTheme="majorEastAsia" w:eastAsiaTheme="majorEastAsia"/>
          <w:sz w:val="24"/>
          <w:szCs w:val="24"/>
          <w:u w:val="single"/>
        </w:rPr>
        <w:t>2020</w:t>
      </w:r>
      <w:r>
        <w:rPr>
          <w:rFonts w:cs="宋体" w:asciiTheme="majorEastAsia" w:hAnsiTheme="majorEastAsia" w:eastAsiaTheme="majorEastAsia"/>
          <w:sz w:val="24"/>
          <w:szCs w:val="24"/>
        </w:rPr>
        <w:t>年月日</w:t>
      </w:r>
    </w:p>
    <w:p>
      <w:pPr>
        <w:pStyle w:val="16"/>
        <w:spacing w:line="360" w:lineRule="auto"/>
        <w:rPr>
          <w:rFonts w:cs="宋体" w:asciiTheme="majorEastAsia" w:hAnsiTheme="majorEastAsia" w:eastAsiaTheme="majorEastAsia"/>
        </w:rPr>
      </w:pPr>
    </w:p>
    <w:p>
      <w:pPr>
        <w:spacing w:line="220" w:lineRule="atLeast"/>
        <w:rPr>
          <w:rFonts w:asciiTheme="majorEastAsia" w:hAnsiTheme="majorEastAsia" w:eastAsiaTheme="majorEastAsia"/>
        </w:rPr>
      </w:pPr>
    </w:p>
    <w:sectPr>
      <w:pgSz w:w="11906" w:h="16838"/>
      <w:pgMar w:top="1440" w:right="1080" w:bottom="1440" w:left="1080" w:header="851" w:footer="90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STXihei">
    <w:altName w:val="宋体"/>
    <w:panose1 w:val="00000000000000000000"/>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2</w:t>
    </w:r>
    <w:r>
      <w:rPr>
        <w:lang w:val="zh-CN"/>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jc w:val="center"/>
                          </w:pPr>
                          <w:r>
                            <w:fldChar w:fldCharType="begin"/>
                          </w:r>
                          <w:r>
                            <w:instrText xml:space="preserve"> PAGE   \* MERGEFORMAT </w:instrText>
                          </w:r>
                          <w:r>
                            <w:fldChar w:fldCharType="separate"/>
                          </w:r>
                          <w:r>
                            <w:rPr>
                              <w:lang w:val="zh-CN"/>
                            </w:rPr>
                            <w:t>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rPr>
                        <w:lang w:val="zh-CN"/>
                      </w:rPr>
                      <w:t>2</w:t>
                    </w:r>
                    <w:r>
                      <w:rPr>
                        <w:lang w:val="zh-CN"/>
                      </w:rPr>
                      <w:fldChar w:fldCharType="end"/>
                    </w:r>
                  </w:p>
                </w:txbxContent>
              </v:textbox>
            </v:shape>
          </w:pict>
        </mc:Fallback>
      </mc:AlternateContent>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18"/>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pStyle w:val="18"/>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pStyle w:val="18"/>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jc w:val="center"/>
                          </w:pPr>
                          <w:r>
                            <w:fldChar w:fldCharType="begin"/>
                          </w:r>
                          <w:r>
                            <w:instrText xml:space="preserve"> PAGE   \* MERGEFORMAT </w:instrText>
                          </w:r>
                          <w:r>
                            <w:fldChar w:fldCharType="separate"/>
                          </w:r>
                          <w:r>
                            <w:rPr>
                              <w:lang w:val="zh-CN"/>
                            </w:rPr>
                            <w:t>15</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F9dL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DxfXSwQIAANYFAAAOAAAAAAAA&#10;AAEAIAAAAB8BAABkcnMvZTJvRG9jLnhtbFBLBQYAAAAABgAGAFkBAABSBgAAAAA=&#10;">
              <v:fill on="f" focussize="0,0"/>
              <v:stroke on="f" weight="0.5pt"/>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rPr>
                        <w:lang w:val="zh-CN"/>
                      </w:rPr>
                      <w:t>15</w:t>
                    </w:r>
                    <w:r>
                      <w:rPr>
                        <w:lang w:val="zh-CN"/>
                      </w:rPr>
                      <w:fldChar w:fldCharType="end"/>
                    </w:r>
                  </w:p>
                </w:txbxContent>
              </v:textbox>
            </v:shape>
          </w:pict>
        </mc:Fallback>
      </mc:AlternateContent>
    </w:r>
  </w:p>
  <w:p>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O78WkwQIAANYFAAAOAAAAAAAA&#10;AAEAIAAAAB8BAABkcnMvZTJvRG9jLnhtbFBLBQYAAAAABgAGAFkBAABSBgAAAAA=&#10;">
              <v:fill on="f" focussize="0,0"/>
              <v:stroke on="f" weight="0.5pt"/>
              <v:imagedata o:title=""/>
              <o:lock v:ext="edit" aspectratio="f"/>
              <v:textbox inset="0mm,0mm,0mm,0mm" style="mso-fit-shape-to-text:t;">
                <w:txbxContent>
                  <w:p>
                    <w:pPr>
                      <w:pStyle w:val="18"/>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jc w:val="center"/>
                          </w:pPr>
                          <w:r>
                            <w:fldChar w:fldCharType="begin"/>
                          </w:r>
                          <w:r>
                            <w:instrText xml:space="preserve"> PAGE   \* MERGEFORMAT </w:instrText>
                          </w:r>
                          <w:r>
                            <w:fldChar w:fldCharType="separate"/>
                          </w:r>
                          <w:r>
                            <w:rPr>
                              <w:lang w:val="zh-CN"/>
                            </w:rPr>
                            <w:t>21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ENbXC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QQ1tcICAADYBQAADgAAAAAA&#10;AAABACAAAAAfAQAAZHJzL2Uyb0RvYy54bWxQSwUGAAAAAAYABgBZAQAAUwYAAAAA&#10;">
              <v:fill on="f" focussize="0,0"/>
              <v:stroke on="f" weight="0.5pt"/>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rPr>
                        <w:lang w:val="zh-CN"/>
                      </w:rPr>
                      <w:t>21</w:t>
                    </w:r>
                    <w:r>
                      <w:rPr>
                        <w:lang w:val="zh-CN"/>
                      </w:rPr>
                      <w:fldChar w:fldCharType="end"/>
                    </w: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Arial"/>
        <w:bCs/>
        <w:sz w:val="20"/>
        <w:szCs w:val="20"/>
        <w:u w:val="single"/>
      </w:rPr>
    </w:pPr>
    <w:r>
      <w:rPr>
        <w:rFonts w:hint="eastAsia" w:ascii="宋体" w:hAnsi="宋体" w:eastAsia="宋体" w:cs="Arial"/>
        <w:bCs/>
        <w:sz w:val="20"/>
        <w:szCs w:val="20"/>
        <w:u w:val="single"/>
      </w:rPr>
      <w:t>项目名称：中国（广西）自由贸易试验区南宁片区统计信息应用系统    项目编号：NNZC2020-G3-990116-GXYZ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right"/>
      <w:rPr>
        <w:rFonts w:ascii="宋体" w:hAnsi="宋体" w:eastAsia="宋体"/>
        <w:color w:val="0D0D0D"/>
        <w:sz w:val="21"/>
        <w:szCs w:val="21"/>
      </w:rPr>
    </w:pPr>
    <w:r>
      <w:rPr>
        <w:rFonts w:hint="eastAsia" w:ascii="宋体" w:hAnsi="宋体" w:eastAsia="宋体"/>
        <w:color w:val="0D0D0D"/>
        <w:sz w:val="21"/>
        <w:szCs w:val="21"/>
      </w:rPr>
      <w:t>广西邕政采购代理有限公司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F5903"/>
    <w:multiLevelType w:val="singleLevel"/>
    <w:tmpl w:val="F21F5903"/>
    <w:lvl w:ilvl="0" w:tentative="0">
      <w:start w:val="6"/>
      <w:numFmt w:val="chineseCounting"/>
      <w:suff w:val="nothing"/>
      <w:lvlText w:val="%1、"/>
      <w:lvlJc w:val="left"/>
      <w:rPr>
        <w:rFonts w:hint="eastAsia"/>
      </w:rPr>
    </w:lvl>
  </w:abstractNum>
  <w:abstractNum w:abstractNumId="1">
    <w:nsid w:val="00000002"/>
    <w:multiLevelType w:val="singleLevel"/>
    <w:tmpl w:val="00000002"/>
    <w:lvl w:ilvl="0" w:tentative="0">
      <w:start w:val="30"/>
      <w:numFmt w:val="decimal"/>
      <w:suff w:val="space"/>
      <w:lvlText w:val="%1."/>
      <w:lvlJc w:val="left"/>
    </w:lvl>
  </w:abstractNum>
  <w:abstractNum w:abstractNumId="2">
    <w:nsid w:val="00000004"/>
    <w:multiLevelType w:val="multilevel"/>
    <w:tmpl w:val="00000004"/>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5"/>
    <w:multiLevelType w:val="multilevel"/>
    <w:tmpl w:val="00000005"/>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6"/>
    <w:multiLevelType w:val="multilevel"/>
    <w:tmpl w:val="00000006"/>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8"/>
    <w:multiLevelType w:val="singleLevel"/>
    <w:tmpl w:val="00000008"/>
    <w:lvl w:ilvl="0" w:tentative="0">
      <w:start w:val="1"/>
      <w:numFmt w:val="chineseCounting"/>
      <w:suff w:val="nothing"/>
      <w:lvlText w:val="%1、"/>
      <w:lvlJc w:val="left"/>
    </w:lvl>
  </w:abstractNum>
  <w:abstractNum w:abstractNumId="6">
    <w:nsid w:val="00000009"/>
    <w:multiLevelType w:val="multilevel"/>
    <w:tmpl w:val="00000009"/>
    <w:lvl w:ilvl="0" w:tentative="0">
      <w:start w:val="1"/>
      <w:numFmt w:val="chineseCountingThousand"/>
      <w:suff w:val="space"/>
      <w:lvlText w:val="第%1章"/>
      <w:lvlJc w:val="left"/>
      <w:pPr>
        <w:ind w:left="0" w:firstLine="0"/>
      </w:pPr>
      <w:rPr>
        <w:rFonts w:hint="eastAsia" w:ascii="仿宋_GB2312" w:eastAsia="仿宋_GB2312"/>
        <w:b/>
        <w:i w:val="0"/>
        <w:sz w:val="44"/>
      </w:rPr>
    </w:lvl>
    <w:lvl w:ilvl="1" w:tentative="0">
      <w:start w:val="1"/>
      <w:numFmt w:val="decimal"/>
      <w:isLgl/>
      <w:suff w:val="space"/>
      <w:lvlText w:val="%1.%2"/>
      <w:lvlJc w:val="left"/>
      <w:pPr>
        <w:ind w:left="0" w:firstLine="0"/>
      </w:pPr>
      <w:rPr>
        <w:rFonts w:hint="eastAsia" w:ascii="仿宋_GB2312" w:eastAsia="仿宋_GB2312"/>
        <w:b/>
        <w:i w:val="0"/>
        <w:sz w:val="36"/>
      </w:rPr>
    </w:lvl>
    <w:lvl w:ilvl="2" w:tentative="0">
      <w:start w:val="1"/>
      <w:numFmt w:val="decimal"/>
      <w:isLgl/>
      <w:suff w:val="space"/>
      <w:lvlText w:val="%1.%2.%3"/>
      <w:lvlJc w:val="left"/>
      <w:pPr>
        <w:ind w:left="0" w:firstLine="0"/>
      </w:pPr>
      <w:rPr>
        <w:rFonts w:hint="eastAsia" w:ascii="仿宋_GB2312" w:eastAsia="仿宋_GB2312"/>
        <w:b/>
        <w:i w:val="0"/>
        <w:sz w:val="32"/>
      </w:rPr>
    </w:lvl>
    <w:lvl w:ilvl="3" w:tentative="0">
      <w:start w:val="1"/>
      <w:numFmt w:val="decimal"/>
      <w:isLgl/>
      <w:suff w:val="space"/>
      <w:lvlText w:val="%1.%2.%3.%4"/>
      <w:lvlJc w:val="left"/>
      <w:pPr>
        <w:ind w:left="0" w:firstLine="0"/>
      </w:pPr>
      <w:rPr>
        <w:rFonts w:hint="eastAsia" w:ascii="仿宋_GB2312" w:eastAsia="仿宋_GB2312"/>
        <w:b/>
        <w:i w:val="0"/>
        <w:sz w:val="30"/>
      </w:rPr>
    </w:lvl>
    <w:lvl w:ilvl="4" w:tentative="0">
      <w:start w:val="1"/>
      <w:numFmt w:val="decimal"/>
      <w:pStyle w:val="7"/>
      <w:isLgl/>
      <w:suff w:val="space"/>
      <w:lvlText w:val="%1.%2.%3.%4.%5"/>
      <w:lvlJc w:val="left"/>
      <w:pPr>
        <w:ind w:left="587" w:firstLine="0"/>
      </w:pPr>
      <w:rPr>
        <w:rFonts w:hint="eastAsia" w:ascii="仿宋_GB2312" w:eastAsia="仿宋_GB2312"/>
        <w:b/>
        <w:i w:val="0"/>
        <w:sz w:val="28"/>
      </w:rPr>
    </w:lvl>
    <w:lvl w:ilvl="5" w:tentative="0">
      <w:start w:val="1"/>
      <w:numFmt w:val="decimal"/>
      <w:isLgl/>
      <w:suff w:val="space"/>
      <w:lvlText w:val="%1.%2.%3.%4.%5.%6"/>
      <w:lvlJc w:val="left"/>
      <w:pPr>
        <w:ind w:left="0" w:firstLine="0"/>
      </w:pPr>
      <w:rPr>
        <w:rFonts w:hint="eastAsia" w:ascii="仿宋_GB2312" w:eastAsia="仿宋_GB2312"/>
        <w:b/>
        <w:i w:val="0"/>
        <w:sz w:val="28"/>
      </w:rPr>
    </w:lvl>
    <w:lvl w:ilvl="6" w:tentative="0">
      <w:start w:val="1"/>
      <w:numFmt w:val="decimal"/>
      <w:isLgl/>
      <w:suff w:val="space"/>
      <w:lvlText w:val="%1.%2.%3.%4.%5.%6.%7"/>
      <w:lvlJc w:val="left"/>
      <w:pPr>
        <w:ind w:left="0" w:firstLine="0"/>
      </w:pPr>
      <w:rPr>
        <w:rFonts w:hint="eastAsia" w:ascii="仿宋_GB2312" w:eastAsia="仿宋_GB2312"/>
        <w:b/>
        <w:i w:val="0"/>
        <w:sz w:val="28"/>
      </w:rPr>
    </w:lvl>
    <w:lvl w:ilvl="7" w:tentative="0">
      <w:start w:val="1"/>
      <w:numFmt w:val="decimal"/>
      <w:isLgl/>
      <w:suff w:val="space"/>
      <w:lvlText w:val="%1.%2.%3.%4.%5.%6.%7.%8"/>
      <w:lvlJc w:val="left"/>
      <w:pPr>
        <w:ind w:left="0" w:firstLine="0"/>
      </w:pPr>
      <w:rPr>
        <w:rFonts w:hint="eastAsia" w:ascii="仿宋_GB2312" w:eastAsia="仿宋_GB2312"/>
        <w:b/>
        <w:i w:val="0"/>
        <w:sz w:val="28"/>
      </w:rPr>
    </w:lvl>
    <w:lvl w:ilvl="8" w:tentative="0">
      <w:start w:val="1"/>
      <w:numFmt w:val="decimal"/>
      <w:lvlText w:val="%1.%2.%3.%4.%5.%6.%7.%8.%9"/>
      <w:lvlJc w:val="left"/>
      <w:pPr>
        <w:ind w:left="5102" w:hanging="1700"/>
      </w:pPr>
      <w:rPr>
        <w:rFonts w:hint="eastAsia"/>
      </w:rPr>
    </w:lvl>
  </w:abstractNum>
  <w:num w:numId="1">
    <w:abstractNumId w:val="6"/>
  </w:num>
  <w:num w:numId="2">
    <w:abstractNumId w:val="3"/>
  </w:num>
  <w:num w:numId="3">
    <w:abstractNumId w:val="0"/>
  </w:num>
  <w:num w:numId="4">
    <w:abstractNumId w:val="1"/>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5trrdyBcSi+IImvIC6QgGF7fsDc=" w:salt="T13LweFEwyDDcug3TLPsTg=="/>
  <w:defaultTabStop w:val="7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A3"/>
    <w:rsid w:val="00003034"/>
    <w:rsid w:val="00030650"/>
    <w:rsid w:val="00034268"/>
    <w:rsid w:val="00034F7B"/>
    <w:rsid w:val="00044ABB"/>
    <w:rsid w:val="00046507"/>
    <w:rsid w:val="00051CFD"/>
    <w:rsid w:val="000529FE"/>
    <w:rsid w:val="000839C1"/>
    <w:rsid w:val="0009052F"/>
    <w:rsid w:val="00095100"/>
    <w:rsid w:val="000A1050"/>
    <w:rsid w:val="000A29FD"/>
    <w:rsid w:val="000A4156"/>
    <w:rsid w:val="000B313E"/>
    <w:rsid w:val="000C1B7B"/>
    <w:rsid w:val="000D315E"/>
    <w:rsid w:val="000D3792"/>
    <w:rsid w:val="000D5C13"/>
    <w:rsid w:val="000D5C16"/>
    <w:rsid w:val="000E5E62"/>
    <w:rsid w:val="000F1675"/>
    <w:rsid w:val="000F250D"/>
    <w:rsid w:val="00101495"/>
    <w:rsid w:val="00101C5F"/>
    <w:rsid w:val="00111C16"/>
    <w:rsid w:val="00112770"/>
    <w:rsid w:val="001178B0"/>
    <w:rsid w:val="00123ADF"/>
    <w:rsid w:val="00130607"/>
    <w:rsid w:val="00132DCD"/>
    <w:rsid w:val="00133302"/>
    <w:rsid w:val="0013335D"/>
    <w:rsid w:val="00146917"/>
    <w:rsid w:val="00150935"/>
    <w:rsid w:val="0016375D"/>
    <w:rsid w:val="001807A8"/>
    <w:rsid w:val="00181946"/>
    <w:rsid w:val="0018341C"/>
    <w:rsid w:val="0018516C"/>
    <w:rsid w:val="00191C60"/>
    <w:rsid w:val="001B1653"/>
    <w:rsid w:val="001D2773"/>
    <w:rsid w:val="001D6B88"/>
    <w:rsid w:val="001E12D1"/>
    <w:rsid w:val="001E7AA8"/>
    <w:rsid w:val="001F2A21"/>
    <w:rsid w:val="001F490B"/>
    <w:rsid w:val="001F585B"/>
    <w:rsid w:val="00202BC6"/>
    <w:rsid w:val="00206D2A"/>
    <w:rsid w:val="00221B5F"/>
    <w:rsid w:val="0023222E"/>
    <w:rsid w:val="0023430D"/>
    <w:rsid w:val="00236612"/>
    <w:rsid w:val="00246131"/>
    <w:rsid w:val="002477B4"/>
    <w:rsid w:val="002522FD"/>
    <w:rsid w:val="00257CEF"/>
    <w:rsid w:val="00260812"/>
    <w:rsid w:val="0026703A"/>
    <w:rsid w:val="00273A94"/>
    <w:rsid w:val="00275AB8"/>
    <w:rsid w:val="00276296"/>
    <w:rsid w:val="00280806"/>
    <w:rsid w:val="00291918"/>
    <w:rsid w:val="002A5471"/>
    <w:rsid w:val="002C1D9B"/>
    <w:rsid w:val="002C3547"/>
    <w:rsid w:val="002C6635"/>
    <w:rsid w:val="002F4CFF"/>
    <w:rsid w:val="002F6BFE"/>
    <w:rsid w:val="00302FDF"/>
    <w:rsid w:val="00311E65"/>
    <w:rsid w:val="00323D45"/>
    <w:rsid w:val="00326E21"/>
    <w:rsid w:val="003336EE"/>
    <w:rsid w:val="00346C43"/>
    <w:rsid w:val="00347A25"/>
    <w:rsid w:val="00355123"/>
    <w:rsid w:val="00356A41"/>
    <w:rsid w:val="00356A4A"/>
    <w:rsid w:val="00357B89"/>
    <w:rsid w:val="00374F76"/>
    <w:rsid w:val="00380958"/>
    <w:rsid w:val="00383BF6"/>
    <w:rsid w:val="00395231"/>
    <w:rsid w:val="00395954"/>
    <w:rsid w:val="00397945"/>
    <w:rsid w:val="003A4A9E"/>
    <w:rsid w:val="003B5ACE"/>
    <w:rsid w:val="003C0385"/>
    <w:rsid w:val="003C1DCA"/>
    <w:rsid w:val="003C5914"/>
    <w:rsid w:val="003D0FE7"/>
    <w:rsid w:val="003E11A5"/>
    <w:rsid w:val="003E1CAF"/>
    <w:rsid w:val="003F2CF5"/>
    <w:rsid w:val="00415E86"/>
    <w:rsid w:val="00423B79"/>
    <w:rsid w:val="00425028"/>
    <w:rsid w:val="00433B42"/>
    <w:rsid w:val="00437849"/>
    <w:rsid w:val="00452E0B"/>
    <w:rsid w:val="004556F1"/>
    <w:rsid w:val="00464558"/>
    <w:rsid w:val="004722E0"/>
    <w:rsid w:val="0047480E"/>
    <w:rsid w:val="00482A25"/>
    <w:rsid w:val="004924E1"/>
    <w:rsid w:val="00495DBE"/>
    <w:rsid w:val="004A47B5"/>
    <w:rsid w:val="004A5BDF"/>
    <w:rsid w:val="004A603C"/>
    <w:rsid w:val="004C052E"/>
    <w:rsid w:val="004C09F9"/>
    <w:rsid w:val="004D02F7"/>
    <w:rsid w:val="004E22DB"/>
    <w:rsid w:val="004E5A84"/>
    <w:rsid w:val="004F0B9B"/>
    <w:rsid w:val="004F63E8"/>
    <w:rsid w:val="00500A52"/>
    <w:rsid w:val="005050A0"/>
    <w:rsid w:val="00506A92"/>
    <w:rsid w:val="00507E6F"/>
    <w:rsid w:val="005111BB"/>
    <w:rsid w:val="00511336"/>
    <w:rsid w:val="005455FE"/>
    <w:rsid w:val="00545877"/>
    <w:rsid w:val="0055127D"/>
    <w:rsid w:val="00563541"/>
    <w:rsid w:val="00566E89"/>
    <w:rsid w:val="0056734A"/>
    <w:rsid w:val="00571D77"/>
    <w:rsid w:val="005731F2"/>
    <w:rsid w:val="00585065"/>
    <w:rsid w:val="00585473"/>
    <w:rsid w:val="005C369B"/>
    <w:rsid w:val="005C5A96"/>
    <w:rsid w:val="005C707C"/>
    <w:rsid w:val="005D17A9"/>
    <w:rsid w:val="005D4668"/>
    <w:rsid w:val="005E0CA9"/>
    <w:rsid w:val="005E1220"/>
    <w:rsid w:val="005E69EF"/>
    <w:rsid w:val="006063A4"/>
    <w:rsid w:val="00611CD1"/>
    <w:rsid w:val="00617E46"/>
    <w:rsid w:val="006239CD"/>
    <w:rsid w:val="006406B2"/>
    <w:rsid w:val="00643C00"/>
    <w:rsid w:val="006442DB"/>
    <w:rsid w:val="0065000F"/>
    <w:rsid w:val="0066296A"/>
    <w:rsid w:val="00675772"/>
    <w:rsid w:val="00675F16"/>
    <w:rsid w:val="00680501"/>
    <w:rsid w:val="0068269F"/>
    <w:rsid w:val="006A40EC"/>
    <w:rsid w:val="006C00F2"/>
    <w:rsid w:val="006C40C5"/>
    <w:rsid w:val="006C55C4"/>
    <w:rsid w:val="006C5948"/>
    <w:rsid w:val="006D1732"/>
    <w:rsid w:val="006D23AE"/>
    <w:rsid w:val="006D2F13"/>
    <w:rsid w:val="006D530D"/>
    <w:rsid w:val="006E503E"/>
    <w:rsid w:val="00707FEF"/>
    <w:rsid w:val="00721714"/>
    <w:rsid w:val="00721B13"/>
    <w:rsid w:val="00736EC3"/>
    <w:rsid w:val="0073717A"/>
    <w:rsid w:val="00737FB9"/>
    <w:rsid w:val="007444A6"/>
    <w:rsid w:val="00751DD5"/>
    <w:rsid w:val="00752548"/>
    <w:rsid w:val="00754C61"/>
    <w:rsid w:val="0075610C"/>
    <w:rsid w:val="007571D9"/>
    <w:rsid w:val="00757D87"/>
    <w:rsid w:val="007628BF"/>
    <w:rsid w:val="00764893"/>
    <w:rsid w:val="00775685"/>
    <w:rsid w:val="007758A3"/>
    <w:rsid w:val="00776B14"/>
    <w:rsid w:val="00792FF7"/>
    <w:rsid w:val="007A4C21"/>
    <w:rsid w:val="007B104B"/>
    <w:rsid w:val="007B5E8B"/>
    <w:rsid w:val="007E709E"/>
    <w:rsid w:val="007F04A2"/>
    <w:rsid w:val="007F64BD"/>
    <w:rsid w:val="00814927"/>
    <w:rsid w:val="008205BC"/>
    <w:rsid w:val="00824315"/>
    <w:rsid w:val="00835107"/>
    <w:rsid w:val="00855518"/>
    <w:rsid w:val="0086353D"/>
    <w:rsid w:val="008779EB"/>
    <w:rsid w:val="00883CE3"/>
    <w:rsid w:val="00884809"/>
    <w:rsid w:val="008A5620"/>
    <w:rsid w:val="008A6F1C"/>
    <w:rsid w:val="008C36BD"/>
    <w:rsid w:val="008D2504"/>
    <w:rsid w:val="008D4ECA"/>
    <w:rsid w:val="008F1D32"/>
    <w:rsid w:val="008F3A23"/>
    <w:rsid w:val="00902BAD"/>
    <w:rsid w:val="00905CDA"/>
    <w:rsid w:val="00906ABA"/>
    <w:rsid w:val="00910BE7"/>
    <w:rsid w:val="009110C2"/>
    <w:rsid w:val="0092016A"/>
    <w:rsid w:val="00926D63"/>
    <w:rsid w:val="00932DF2"/>
    <w:rsid w:val="00942ECF"/>
    <w:rsid w:val="009451B4"/>
    <w:rsid w:val="00945C91"/>
    <w:rsid w:val="009624A8"/>
    <w:rsid w:val="009643BD"/>
    <w:rsid w:val="009746D3"/>
    <w:rsid w:val="00976D92"/>
    <w:rsid w:val="00993588"/>
    <w:rsid w:val="009948C0"/>
    <w:rsid w:val="009A588F"/>
    <w:rsid w:val="009A7343"/>
    <w:rsid w:val="009A7E57"/>
    <w:rsid w:val="009B383C"/>
    <w:rsid w:val="009B49CA"/>
    <w:rsid w:val="009D491F"/>
    <w:rsid w:val="009D58B4"/>
    <w:rsid w:val="009D74A5"/>
    <w:rsid w:val="009E4BBD"/>
    <w:rsid w:val="009F0114"/>
    <w:rsid w:val="00A03C23"/>
    <w:rsid w:val="00A159C3"/>
    <w:rsid w:val="00A173AD"/>
    <w:rsid w:val="00A27004"/>
    <w:rsid w:val="00A300C0"/>
    <w:rsid w:val="00A318EE"/>
    <w:rsid w:val="00A32BF7"/>
    <w:rsid w:val="00A40610"/>
    <w:rsid w:val="00A40D7E"/>
    <w:rsid w:val="00A46AF3"/>
    <w:rsid w:val="00A567AF"/>
    <w:rsid w:val="00A6162B"/>
    <w:rsid w:val="00A64A17"/>
    <w:rsid w:val="00A72A00"/>
    <w:rsid w:val="00A75993"/>
    <w:rsid w:val="00A829D9"/>
    <w:rsid w:val="00A9158A"/>
    <w:rsid w:val="00A97A32"/>
    <w:rsid w:val="00AA3B74"/>
    <w:rsid w:val="00AA67AF"/>
    <w:rsid w:val="00AB0587"/>
    <w:rsid w:val="00AB7B8E"/>
    <w:rsid w:val="00AC2E9C"/>
    <w:rsid w:val="00AD218A"/>
    <w:rsid w:val="00AE0BA6"/>
    <w:rsid w:val="00AF1251"/>
    <w:rsid w:val="00B07CEC"/>
    <w:rsid w:val="00B23D4D"/>
    <w:rsid w:val="00B24890"/>
    <w:rsid w:val="00B2786D"/>
    <w:rsid w:val="00B32EA5"/>
    <w:rsid w:val="00B37CA3"/>
    <w:rsid w:val="00B62074"/>
    <w:rsid w:val="00B63C43"/>
    <w:rsid w:val="00B727D1"/>
    <w:rsid w:val="00B741C7"/>
    <w:rsid w:val="00B76EDA"/>
    <w:rsid w:val="00B8525B"/>
    <w:rsid w:val="00B8642E"/>
    <w:rsid w:val="00B92857"/>
    <w:rsid w:val="00BD0B51"/>
    <w:rsid w:val="00BD6210"/>
    <w:rsid w:val="00BD7239"/>
    <w:rsid w:val="00BE05C2"/>
    <w:rsid w:val="00BE2AFD"/>
    <w:rsid w:val="00C0224C"/>
    <w:rsid w:val="00C02938"/>
    <w:rsid w:val="00C171C9"/>
    <w:rsid w:val="00C20C90"/>
    <w:rsid w:val="00C24A9A"/>
    <w:rsid w:val="00C332E0"/>
    <w:rsid w:val="00C4203E"/>
    <w:rsid w:val="00C46C96"/>
    <w:rsid w:val="00C52512"/>
    <w:rsid w:val="00C65F4E"/>
    <w:rsid w:val="00C664F1"/>
    <w:rsid w:val="00C71949"/>
    <w:rsid w:val="00C71FF2"/>
    <w:rsid w:val="00C731A5"/>
    <w:rsid w:val="00C7513E"/>
    <w:rsid w:val="00C76CEF"/>
    <w:rsid w:val="00C91065"/>
    <w:rsid w:val="00C96C1B"/>
    <w:rsid w:val="00CB581A"/>
    <w:rsid w:val="00CC05CC"/>
    <w:rsid w:val="00CC6EF9"/>
    <w:rsid w:val="00CD7CB6"/>
    <w:rsid w:val="00CE1CFA"/>
    <w:rsid w:val="00CE7822"/>
    <w:rsid w:val="00CF0DB0"/>
    <w:rsid w:val="00D048C9"/>
    <w:rsid w:val="00D0563E"/>
    <w:rsid w:val="00D1051A"/>
    <w:rsid w:val="00D154A5"/>
    <w:rsid w:val="00D24DF4"/>
    <w:rsid w:val="00D34CC2"/>
    <w:rsid w:val="00D45666"/>
    <w:rsid w:val="00D5016C"/>
    <w:rsid w:val="00D70D99"/>
    <w:rsid w:val="00D9108F"/>
    <w:rsid w:val="00D92FBC"/>
    <w:rsid w:val="00DA28A9"/>
    <w:rsid w:val="00DB1DD4"/>
    <w:rsid w:val="00DB354F"/>
    <w:rsid w:val="00DC7CF4"/>
    <w:rsid w:val="00DD0B6D"/>
    <w:rsid w:val="00DD1F5C"/>
    <w:rsid w:val="00DE0F9E"/>
    <w:rsid w:val="00DE4E25"/>
    <w:rsid w:val="00DE6A2D"/>
    <w:rsid w:val="00DF1A8E"/>
    <w:rsid w:val="00DF579E"/>
    <w:rsid w:val="00E04E4B"/>
    <w:rsid w:val="00E07A7D"/>
    <w:rsid w:val="00E15697"/>
    <w:rsid w:val="00E15EAC"/>
    <w:rsid w:val="00E26BA0"/>
    <w:rsid w:val="00E31D29"/>
    <w:rsid w:val="00E32E92"/>
    <w:rsid w:val="00E44496"/>
    <w:rsid w:val="00E446DA"/>
    <w:rsid w:val="00E478C3"/>
    <w:rsid w:val="00E5687F"/>
    <w:rsid w:val="00E60A5A"/>
    <w:rsid w:val="00E62B9B"/>
    <w:rsid w:val="00E6453A"/>
    <w:rsid w:val="00E7104C"/>
    <w:rsid w:val="00E8738A"/>
    <w:rsid w:val="00E877F5"/>
    <w:rsid w:val="00E94A36"/>
    <w:rsid w:val="00E97D2B"/>
    <w:rsid w:val="00EB3949"/>
    <w:rsid w:val="00ED442C"/>
    <w:rsid w:val="00EE5F7E"/>
    <w:rsid w:val="00EF6BAD"/>
    <w:rsid w:val="00F00E9D"/>
    <w:rsid w:val="00F25BC9"/>
    <w:rsid w:val="00F27A98"/>
    <w:rsid w:val="00F32B7D"/>
    <w:rsid w:val="00F34723"/>
    <w:rsid w:val="00F35091"/>
    <w:rsid w:val="00F37549"/>
    <w:rsid w:val="00F432C3"/>
    <w:rsid w:val="00F4640C"/>
    <w:rsid w:val="00F50831"/>
    <w:rsid w:val="00F63947"/>
    <w:rsid w:val="00F64122"/>
    <w:rsid w:val="00F64F3B"/>
    <w:rsid w:val="00F70449"/>
    <w:rsid w:val="00F81700"/>
    <w:rsid w:val="00F86955"/>
    <w:rsid w:val="00FA39B8"/>
    <w:rsid w:val="00FA50E7"/>
    <w:rsid w:val="00FA65F2"/>
    <w:rsid w:val="00FB124B"/>
    <w:rsid w:val="00FC3325"/>
    <w:rsid w:val="00FE1AE4"/>
    <w:rsid w:val="00FE2BA7"/>
    <w:rsid w:val="00FE302E"/>
    <w:rsid w:val="00FE76DD"/>
    <w:rsid w:val="00FF019B"/>
    <w:rsid w:val="00FF2235"/>
    <w:rsid w:val="00FF720E"/>
    <w:rsid w:val="01587987"/>
    <w:rsid w:val="02434773"/>
    <w:rsid w:val="025A3944"/>
    <w:rsid w:val="02B302CE"/>
    <w:rsid w:val="02F64BAF"/>
    <w:rsid w:val="02FE202F"/>
    <w:rsid w:val="036A63AD"/>
    <w:rsid w:val="045916FC"/>
    <w:rsid w:val="048A76AF"/>
    <w:rsid w:val="04EB4EDA"/>
    <w:rsid w:val="051243F6"/>
    <w:rsid w:val="053E3C1F"/>
    <w:rsid w:val="05847AD3"/>
    <w:rsid w:val="059778F6"/>
    <w:rsid w:val="05D40816"/>
    <w:rsid w:val="05FC777E"/>
    <w:rsid w:val="062A740E"/>
    <w:rsid w:val="07011036"/>
    <w:rsid w:val="07194894"/>
    <w:rsid w:val="07487787"/>
    <w:rsid w:val="074B76D2"/>
    <w:rsid w:val="075D1783"/>
    <w:rsid w:val="076B7DFC"/>
    <w:rsid w:val="07D10F24"/>
    <w:rsid w:val="085250A1"/>
    <w:rsid w:val="08D45944"/>
    <w:rsid w:val="08FE54EB"/>
    <w:rsid w:val="096568BD"/>
    <w:rsid w:val="09B62A97"/>
    <w:rsid w:val="09BB38E0"/>
    <w:rsid w:val="09E8100F"/>
    <w:rsid w:val="09FC71E5"/>
    <w:rsid w:val="0A656B60"/>
    <w:rsid w:val="0A7931D7"/>
    <w:rsid w:val="0A9F08F6"/>
    <w:rsid w:val="0AD92CA9"/>
    <w:rsid w:val="0AFA390A"/>
    <w:rsid w:val="0B57368A"/>
    <w:rsid w:val="0B841BF6"/>
    <w:rsid w:val="0C11207E"/>
    <w:rsid w:val="0C3C2AB4"/>
    <w:rsid w:val="0C91641D"/>
    <w:rsid w:val="0D433BCF"/>
    <w:rsid w:val="0D6C5E11"/>
    <w:rsid w:val="0DE040B5"/>
    <w:rsid w:val="0DF861E2"/>
    <w:rsid w:val="0E1A7E12"/>
    <w:rsid w:val="0E3F48AA"/>
    <w:rsid w:val="0E417DB4"/>
    <w:rsid w:val="0F070A57"/>
    <w:rsid w:val="0F714051"/>
    <w:rsid w:val="10445601"/>
    <w:rsid w:val="10A2071C"/>
    <w:rsid w:val="10AB2980"/>
    <w:rsid w:val="10C8385C"/>
    <w:rsid w:val="111B63C0"/>
    <w:rsid w:val="111C6FA4"/>
    <w:rsid w:val="113B0C03"/>
    <w:rsid w:val="113B107D"/>
    <w:rsid w:val="11793C54"/>
    <w:rsid w:val="117D1CFA"/>
    <w:rsid w:val="118823AC"/>
    <w:rsid w:val="11F159B7"/>
    <w:rsid w:val="124949E7"/>
    <w:rsid w:val="129D38C5"/>
    <w:rsid w:val="12E61E58"/>
    <w:rsid w:val="130723C7"/>
    <w:rsid w:val="138B02FA"/>
    <w:rsid w:val="13923F05"/>
    <w:rsid w:val="13E27FC9"/>
    <w:rsid w:val="14647E92"/>
    <w:rsid w:val="149C260D"/>
    <w:rsid w:val="14E25864"/>
    <w:rsid w:val="14F61038"/>
    <w:rsid w:val="151378F5"/>
    <w:rsid w:val="153737C5"/>
    <w:rsid w:val="161A574B"/>
    <w:rsid w:val="16584BD2"/>
    <w:rsid w:val="16B25EDC"/>
    <w:rsid w:val="16BB11D9"/>
    <w:rsid w:val="176158DD"/>
    <w:rsid w:val="17BC2FAA"/>
    <w:rsid w:val="17DE2634"/>
    <w:rsid w:val="18AC4184"/>
    <w:rsid w:val="18B94026"/>
    <w:rsid w:val="18C4389D"/>
    <w:rsid w:val="18E323BD"/>
    <w:rsid w:val="19BF1365"/>
    <w:rsid w:val="1A6757A2"/>
    <w:rsid w:val="1A7F567C"/>
    <w:rsid w:val="1A87433A"/>
    <w:rsid w:val="1B001E5C"/>
    <w:rsid w:val="1C3C2B5A"/>
    <w:rsid w:val="1C5B7143"/>
    <w:rsid w:val="1C934177"/>
    <w:rsid w:val="1CF13DA1"/>
    <w:rsid w:val="1D1B4B72"/>
    <w:rsid w:val="1D3F4116"/>
    <w:rsid w:val="1DC80B3E"/>
    <w:rsid w:val="1E1E3119"/>
    <w:rsid w:val="1E207CB6"/>
    <w:rsid w:val="1E290DAC"/>
    <w:rsid w:val="1E311674"/>
    <w:rsid w:val="1E4D1C69"/>
    <w:rsid w:val="1E91258C"/>
    <w:rsid w:val="1EC103F5"/>
    <w:rsid w:val="1F3B5483"/>
    <w:rsid w:val="1F550123"/>
    <w:rsid w:val="20133F41"/>
    <w:rsid w:val="20632832"/>
    <w:rsid w:val="209E3AE2"/>
    <w:rsid w:val="210644BF"/>
    <w:rsid w:val="21105B29"/>
    <w:rsid w:val="211214A1"/>
    <w:rsid w:val="21BE0EE5"/>
    <w:rsid w:val="21CF6E12"/>
    <w:rsid w:val="220C01CD"/>
    <w:rsid w:val="22721A95"/>
    <w:rsid w:val="23135615"/>
    <w:rsid w:val="234F33AF"/>
    <w:rsid w:val="24770D63"/>
    <w:rsid w:val="24862484"/>
    <w:rsid w:val="24CE07E6"/>
    <w:rsid w:val="25430D17"/>
    <w:rsid w:val="258D5F9B"/>
    <w:rsid w:val="25D451D4"/>
    <w:rsid w:val="26200C56"/>
    <w:rsid w:val="264920F5"/>
    <w:rsid w:val="26D97566"/>
    <w:rsid w:val="272B5A71"/>
    <w:rsid w:val="27FB6EDB"/>
    <w:rsid w:val="283B2220"/>
    <w:rsid w:val="285A5442"/>
    <w:rsid w:val="28BD3EB9"/>
    <w:rsid w:val="29184253"/>
    <w:rsid w:val="29912BC9"/>
    <w:rsid w:val="29D7082C"/>
    <w:rsid w:val="2A2514F8"/>
    <w:rsid w:val="2AAC5EFE"/>
    <w:rsid w:val="2B36276B"/>
    <w:rsid w:val="2B481706"/>
    <w:rsid w:val="2B5345B9"/>
    <w:rsid w:val="2BAD31A4"/>
    <w:rsid w:val="2BC532B5"/>
    <w:rsid w:val="2BEE2A4D"/>
    <w:rsid w:val="2BF208CC"/>
    <w:rsid w:val="2C647C1B"/>
    <w:rsid w:val="2C9407D0"/>
    <w:rsid w:val="2CFD27FA"/>
    <w:rsid w:val="2CFF44A8"/>
    <w:rsid w:val="2D640E44"/>
    <w:rsid w:val="2DEA61F3"/>
    <w:rsid w:val="2E083D88"/>
    <w:rsid w:val="2E342F30"/>
    <w:rsid w:val="2EA74841"/>
    <w:rsid w:val="2F1F3D6A"/>
    <w:rsid w:val="2F707513"/>
    <w:rsid w:val="2FB32C6A"/>
    <w:rsid w:val="2FBD77F4"/>
    <w:rsid w:val="30027AD1"/>
    <w:rsid w:val="30E8140D"/>
    <w:rsid w:val="310A1064"/>
    <w:rsid w:val="315F2692"/>
    <w:rsid w:val="32564131"/>
    <w:rsid w:val="326807CE"/>
    <w:rsid w:val="328E50E2"/>
    <w:rsid w:val="32BD5B3D"/>
    <w:rsid w:val="33503B5E"/>
    <w:rsid w:val="33595B2F"/>
    <w:rsid w:val="33D075DE"/>
    <w:rsid w:val="347C19A8"/>
    <w:rsid w:val="352D44E4"/>
    <w:rsid w:val="35684C5C"/>
    <w:rsid w:val="35780C4C"/>
    <w:rsid w:val="359F14FC"/>
    <w:rsid w:val="35B45501"/>
    <w:rsid w:val="36925AE2"/>
    <w:rsid w:val="36B87618"/>
    <w:rsid w:val="37111F42"/>
    <w:rsid w:val="37544066"/>
    <w:rsid w:val="3797169A"/>
    <w:rsid w:val="379A3444"/>
    <w:rsid w:val="37D77A82"/>
    <w:rsid w:val="37EA0B50"/>
    <w:rsid w:val="38650CD2"/>
    <w:rsid w:val="394A5905"/>
    <w:rsid w:val="39556529"/>
    <w:rsid w:val="3A026C82"/>
    <w:rsid w:val="3A0A5EBE"/>
    <w:rsid w:val="3A327F8A"/>
    <w:rsid w:val="3AB94183"/>
    <w:rsid w:val="3B2E62A3"/>
    <w:rsid w:val="3B5A7794"/>
    <w:rsid w:val="3B66326F"/>
    <w:rsid w:val="3B747DB5"/>
    <w:rsid w:val="3B9751CF"/>
    <w:rsid w:val="3C066F14"/>
    <w:rsid w:val="3CD9312B"/>
    <w:rsid w:val="3D6F51F7"/>
    <w:rsid w:val="3DC33BBE"/>
    <w:rsid w:val="3DCF5CC2"/>
    <w:rsid w:val="3DF82247"/>
    <w:rsid w:val="3DFD1806"/>
    <w:rsid w:val="3E1714CE"/>
    <w:rsid w:val="3F174953"/>
    <w:rsid w:val="3F187D73"/>
    <w:rsid w:val="3F46696A"/>
    <w:rsid w:val="3F5226A7"/>
    <w:rsid w:val="3F6D3A22"/>
    <w:rsid w:val="3FCB69F5"/>
    <w:rsid w:val="3FFB2EBA"/>
    <w:rsid w:val="407D52F6"/>
    <w:rsid w:val="409D598D"/>
    <w:rsid w:val="40BE49BA"/>
    <w:rsid w:val="411C0F18"/>
    <w:rsid w:val="41681DD1"/>
    <w:rsid w:val="416A4794"/>
    <w:rsid w:val="41E11814"/>
    <w:rsid w:val="4231047C"/>
    <w:rsid w:val="4250392D"/>
    <w:rsid w:val="42536DB0"/>
    <w:rsid w:val="426C7C9E"/>
    <w:rsid w:val="42845038"/>
    <w:rsid w:val="42BD707F"/>
    <w:rsid w:val="430C3DCD"/>
    <w:rsid w:val="434C5408"/>
    <w:rsid w:val="43A338DA"/>
    <w:rsid w:val="441F31AC"/>
    <w:rsid w:val="44315155"/>
    <w:rsid w:val="44556220"/>
    <w:rsid w:val="4490013D"/>
    <w:rsid w:val="44E342AF"/>
    <w:rsid w:val="4505026C"/>
    <w:rsid w:val="457D3335"/>
    <w:rsid w:val="45991BD4"/>
    <w:rsid w:val="45B13D43"/>
    <w:rsid w:val="463E2ABD"/>
    <w:rsid w:val="464B765E"/>
    <w:rsid w:val="468422E6"/>
    <w:rsid w:val="46FE4324"/>
    <w:rsid w:val="472406D0"/>
    <w:rsid w:val="478D6057"/>
    <w:rsid w:val="47A06D71"/>
    <w:rsid w:val="481D4641"/>
    <w:rsid w:val="481E1930"/>
    <w:rsid w:val="48637F96"/>
    <w:rsid w:val="4895152D"/>
    <w:rsid w:val="48C80863"/>
    <w:rsid w:val="48D86981"/>
    <w:rsid w:val="48F100C2"/>
    <w:rsid w:val="498B6EE0"/>
    <w:rsid w:val="49A63015"/>
    <w:rsid w:val="49C5526C"/>
    <w:rsid w:val="4C30758A"/>
    <w:rsid w:val="4C445B13"/>
    <w:rsid w:val="4C5574AC"/>
    <w:rsid w:val="4CD87830"/>
    <w:rsid w:val="4D2E266E"/>
    <w:rsid w:val="4D6728EF"/>
    <w:rsid w:val="4D69384E"/>
    <w:rsid w:val="4DAA6996"/>
    <w:rsid w:val="4DB014C7"/>
    <w:rsid w:val="4E36073D"/>
    <w:rsid w:val="4E3A5A67"/>
    <w:rsid w:val="4E623EBF"/>
    <w:rsid w:val="4E741299"/>
    <w:rsid w:val="4E9C2A97"/>
    <w:rsid w:val="4EC00010"/>
    <w:rsid w:val="4EE858DA"/>
    <w:rsid w:val="4F125F4F"/>
    <w:rsid w:val="4F191E94"/>
    <w:rsid w:val="4F661C87"/>
    <w:rsid w:val="4F72026A"/>
    <w:rsid w:val="50843301"/>
    <w:rsid w:val="50B464C2"/>
    <w:rsid w:val="51103F1F"/>
    <w:rsid w:val="513B6772"/>
    <w:rsid w:val="513D6074"/>
    <w:rsid w:val="517200B3"/>
    <w:rsid w:val="51AF0BAF"/>
    <w:rsid w:val="528500B0"/>
    <w:rsid w:val="52EE6111"/>
    <w:rsid w:val="534539D3"/>
    <w:rsid w:val="53613E13"/>
    <w:rsid w:val="538C311E"/>
    <w:rsid w:val="538D1BE4"/>
    <w:rsid w:val="53C53108"/>
    <w:rsid w:val="543B1A9E"/>
    <w:rsid w:val="54815E90"/>
    <w:rsid w:val="54EF1EF6"/>
    <w:rsid w:val="54FB3E22"/>
    <w:rsid w:val="552A3D6D"/>
    <w:rsid w:val="55851ABF"/>
    <w:rsid w:val="55A90BC3"/>
    <w:rsid w:val="55DD401A"/>
    <w:rsid w:val="56297EDF"/>
    <w:rsid w:val="56324CEF"/>
    <w:rsid w:val="564C22D3"/>
    <w:rsid w:val="565202B5"/>
    <w:rsid w:val="56A256F9"/>
    <w:rsid w:val="571E2B99"/>
    <w:rsid w:val="574C6A78"/>
    <w:rsid w:val="576824D1"/>
    <w:rsid w:val="57851C74"/>
    <w:rsid w:val="57FB662A"/>
    <w:rsid w:val="5823390A"/>
    <w:rsid w:val="58674C0A"/>
    <w:rsid w:val="58882E8A"/>
    <w:rsid w:val="58F41D75"/>
    <w:rsid w:val="58FD1084"/>
    <w:rsid w:val="59345DBB"/>
    <w:rsid w:val="5A602CAF"/>
    <w:rsid w:val="5ACC0689"/>
    <w:rsid w:val="5BAA59E5"/>
    <w:rsid w:val="5BEB6C84"/>
    <w:rsid w:val="5C2600CB"/>
    <w:rsid w:val="5CE91DF5"/>
    <w:rsid w:val="5D221DDD"/>
    <w:rsid w:val="5DBD7CD6"/>
    <w:rsid w:val="5DE35F96"/>
    <w:rsid w:val="5E2D369E"/>
    <w:rsid w:val="5E473BA4"/>
    <w:rsid w:val="5EE83669"/>
    <w:rsid w:val="5EEB652A"/>
    <w:rsid w:val="5F170A6C"/>
    <w:rsid w:val="5F282483"/>
    <w:rsid w:val="5F905DC6"/>
    <w:rsid w:val="5FFF2940"/>
    <w:rsid w:val="60D10851"/>
    <w:rsid w:val="61F30C49"/>
    <w:rsid w:val="62054DD6"/>
    <w:rsid w:val="62834C19"/>
    <w:rsid w:val="62AC6585"/>
    <w:rsid w:val="62DF7AEC"/>
    <w:rsid w:val="635F47D8"/>
    <w:rsid w:val="63A154B6"/>
    <w:rsid w:val="63FC7A1D"/>
    <w:rsid w:val="641D25B0"/>
    <w:rsid w:val="64386C11"/>
    <w:rsid w:val="64423832"/>
    <w:rsid w:val="647901D5"/>
    <w:rsid w:val="648624B3"/>
    <w:rsid w:val="64A5016C"/>
    <w:rsid w:val="64BC1802"/>
    <w:rsid w:val="64E04669"/>
    <w:rsid w:val="658D0274"/>
    <w:rsid w:val="6595720F"/>
    <w:rsid w:val="659C0D5A"/>
    <w:rsid w:val="65C81FB5"/>
    <w:rsid w:val="66057AD8"/>
    <w:rsid w:val="66314FB1"/>
    <w:rsid w:val="665B32AA"/>
    <w:rsid w:val="66B217D3"/>
    <w:rsid w:val="66C52AC3"/>
    <w:rsid w:val="672C7B48"/>
    <w:rsid w:val="6758047F"/>
    <w:rsid w:val="67847BA5"/>
    <w:rsid w:val="683D6053"/>
    <w:rsid w:val="69392693"/>
    <w:rsid w:val="69DA1FBA"/>
    <w:rsid w:val="6A394793"/>
    <w:rsid w:val="6A5A5B7C"/>
    <w:rsid w:val="6A74529E"/>
    <w:rsid w:val="6AB939CF"/>
    <w:rsid w:val="6B691F55"/>
    <w:rsid w:val="6BD2627D"/>
    <w:rsid w:val="6C3A5B2D"/>
    <w:rsid w:val="6C7E69C3"/>
    <w:rsid w:val="6CE21BF1"/>
    <w:rsid w:val="6D106F31"/>
    <w:rsid w:val="6D5C4A68"/>
    <w:rsid w:val="6DDD5DE5"/>
    <w:rsid w:val="6E9573DF"/>
    <w:rsid w:val="6E9C2730"/>
    <w:rsid w:val="6EA34451"/>
    <w:rsid w:val="6EC1468F"/>
    <w:rsid w:val="6F3832A2"/>
    <w:rsid w:val="6FD2031E"/>
    <w:rsid w:val="7005361F"/>
    <w:rsid w:val="703C7BC9"/>
    <w:rsid w:val="704E114F"/>
    <w:rsid w:val="708B0A5E"/>
    <w:rsid w:val="70AF06B7"/>
    <w:rsid w:val="70BD1E27"/>
    <w:rsid w:val="70D66EA9"/>
    <w:rsid w:val="711F5523"/>
    <w:rsid w:val="71394F19"/>
    <w:rsid w:val="71A30B93"/>
    <w:rsid w:val="71FD3C4B"/>
    <w:rsid w:val="72096B7A"/>
    <w:rsid w:val="72202126"/>
    <w:rsid w:val="723468EB"/>
    <w:rsid w:val="72516D24"/>
    <w:rsid w:val="72532062"/>
    <w:rsid w:val="727F6A05"/>
    <w:rsid w:val="72AB6F9C"/>
    <w:rsid w:val="72D25A9D"/>
    <w:rsid w:val="7318080A"/>
    <w:rsid w:val="737D783F"/>
    <w:rsid w:val="73A05F3D"/>
    <w:rsid w:val="74044DCF"/>
    <w:rsid w:val="748665EF"/>
    <w:rsid w:val="74B426FC"/>
    <w:rsid w:val="74C14714"/>
    <w:rsid w:val="7516446B"/>
    <w:rsid w:val="752418B8"/>
    <w:rsid w:val="758E7065"/>
    <w:rsid w:val="75C83C18"/>
    <w:rsid w:val="75EA61AA"/>
    <w:rsid w:val="761E49F4"/>
    <w:rsid w:val="7691664D"/>
    <w:rsid w:val="76BF3DDF"/>
    <w:rsid w:val="76FB63F3"/>
    <w:rsid w:val="77304A12"/>
    <w:rsid w:val="778F5196"/>
    <w:rsid w:val="78212171"/>
    <w:rsid w:val="78271DF6"/>
    <w:rsid w:val="78312827"/>
    <w:rsid w:val="783861EF"/>
    <w:rsid w:val="78CF210D"/>
    <w:rsid w:val="797314CF"/>
    <w:rsid w:val="79C2184C"/>
    <w:rsid w:val="79CE0EBE"/>
    <w:rsid w:val="7A382C83"/>
    <w:rsid w:val="7AA755F6"/>
    <w:rsid w:val="7B15235A"/>
    <w:rsid w:val="7B4F54B2"/>
    <w:rsid w:val="7B863BC9"/>
    <w:rsid w:val="7BE46A71"/>
    <w:rsid w:val="7BE923BB"/>
    <w:rsid w:val="7C0A6E44"/>
    <w:rsid w:val="7C59757A"/>
    <w:rsid w:val="7D2A3088"/>
    <w:rsid w:val="7D80712C"/>
    <w:rsid w:val="7D972BFA"/>
    <w:rsid w:val="7DAD03DE"/>
    <w:rsid w:val="7DAD51D2"/>
    <w:rsid w:val="7E4C36D2"/>
    <w:rsid w:val="7E7260F9"/>
    <w:rsid w:val="7E965B40"/>
    <w:rsid w:val="7EAC3D88"/>
    <w:rsid w:val="7F1A4E7A"/>
    <w:rsid w:val="7F1C28CC"/>
    <w:rsid w:val="7F3D6AF4"/>
    <w:rsid w:val="7F9C17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3">
    <w:name w:val="heading 1"/>
    <w:basedOn w:val="1"/>
    <w:next w:val="1"/>
    <w:qFormat/>
    <w:uiPriority w:val="9"/>
    <w:pPr>
      <w:spacing w:beforeAutospacing="1" w:after="0" w:afterAutospacing="1"/>
      <w:outlineLvl w:val="0"/>
    </w:pPr>
    <w:rPr>
      <w:rFonts w:hint="eastAsia" w:ascii="宋体" w:hAnsi="宋体" w:eastAsia="宋体" w:cs="Times New Roman"/>
      <w:b/>
      <w:kern w:val="44"/>
      <w:sz w:val="48"/>
      <w:szCs w:val="48"/>
    </w:rPr>
  </w:style>
  <w:style w:type="paragraph" w:styleId="4">
    <w:name w:val="heading 2"/>
    <w:basedOn w:val="1"/>
    <w:next w:val="1"/>
    <w:link w:val="41"/>
    <w:qFormat/>
    <w:uiPriority w:val="9"/>
    <w:pPr>
      <w:keepNext/>
      <w:keepLines/>
      <w:widowControl w:val="0"/>
      <w:adjustRightInd/>
      <w:snapToGrid/>
      <w:spacing w:before="260" w:after="260" w:line="377" w:lineRule="auto"/>
      <w:jc w:val="center"/>
      <w:outlineLvl w:val="1"/>
    </w:pPr>
    <w:rPr>
      <w:rFonts w:ascii="Cambria" w:hAnsi="Cambria" w:eastAsia="宋体" w:cs="Times New Roman"/>
      <w:b/>
      <w:bCs/>
      <w:sz w:val="28"/>
      <w:szCs w:val="32"/>
    </w:rPr>
  </w:style>
  <w:style w:type="paragraph" w:styleId="5">
    <w:name w:val="heading 3"/>
    <w:basedOn w:val="1"/>
    <w:next w:val="1"/>
    <w:link w:val="42"/>
    <w:qFormat/>
    <w:uiPriority w:val="0"/>
    <w:pPr>
      <w:widowControl w:val="0"/>
      <w:adjustRightInd/>
      <w:snapToGrid/>
      <w:spacing w:before="120" w:after="120" w:line="360" w:lineRule="auto"/>
      <w:jc w:val="both"/>
      <w:outlineLvl w:val="2"/>
    </w:pPr>
    <w:rPr>
      <w:rFonts w:ascii="宋体" w:hAnsi="宋体" w:eastAsia="宋体" w:cs="Times New Roman"/>
      <w:b/>
      <w:bCs/>
      <w:kern w:val="2"/>
      <w:sz w:val="28"/>
      <w:szCs w:val="32"/>
    </w:rPr>
  </w:style>
  <w:style w:type="paragraph" w:styleId="6">
    <w:name w:val="heading 4"/>
    <w:basedOn w:val="1"/>
    <w:next w:val="1"/>
    <w:link w:val="43"/>
    <w:qFormat/>
    <w:uiPriority w:val="0"/>
    <w:pPr>
      <w:widowControl w:val="0"/>
      <w:tabs>
        <w:tab w:val="left" w:pos="2155"/>
      </w:tabs>
      <w:snapToGrid/>
      <w:spacing w:before="120" w:after="0" w:line="360" w:lineRule="auto"/>
      <w:ind w:left="2155" w:hanging="1078"/>
      <w:jc w:val="both"/>
      <w:textAlignment w:val="baseline"/>
      <w:outlineLvl w:val="3"/>
    </w:pPr>
    <w:rPr>
      <w:rFonts w:ascii="Arial" w:hAnsi="Calibri" w:eastAsia="黑体" w:cs="Times New Roman"/>
      <w:sz w:val="28"/>
      <w:szCs w:val="20"/>
    </w:rPr>
  </w:style>
  <w:style w:type="paragraph" w:styleId="7">
    <w:name w:val="heading 5"/>
    <w:next w:val="1"/>
    <w:link w:val="44"/>
    <w:qFormat/>
    <w:uiPriority w:val="0"/>
    <w:pPr>
      <w:keepNext/>
      <w:keepLines/>
      <w:numPr>
        <w:ilvl w:val="4"/>
        <w:numId w:val="1"/>
      </w:numPr>
      <w:spacing w:before="120" w:after="120"/>
      <w:outlineLvl w:val="4"/>
    </w:pPr>
    <w:rPr>
      <w:rFonts w:ascii="仿宋_GB2312" w:hAnsi="Calibri" w:eastAsia="仿宋_GB2312" w:cs="Times New Roman"/>
      <w:b/>
      <w:bCs/>
      <w:kern w:val="2"/>
      <w:sz w:val="28"/>
      <w:szCs w:val="28"/>
      <w:lang w:val="en-US" w:eastAsia="zh-CN" w:bidi="ar-SA"/>
    </w:rPr>
  </w:style>
  <w:style w:type="paragraph" w:styleId="8">
    <w:name w:val="heading 6"/>
    <w:basedOn w:val="1"/>
    <w:next w:val="1"/>
    <w:link w:val="45"/>
    <w:qFormat/>
    <w:uiPriority w:val="0"/>
    <w:pPr>
      <w:keepNext/>
      <w:keepLines/>
      <w:widowControl w:val="0"/>
      <w:numPr>
        <w:ilvl w:val="5"/>
        <w:numId w:val="2"/>
      </w:numPr>
      <w:adjustRightInd/>
      <w:snapToGrid/>
      <w:spacing w:before="240" w:after="64" w:line="320" w:lineRule="auto"/>
      <w:jc w:val="both"/>
      <w:outlineLvl w:val="5"/>
    </w:pPr>
    <w:rPr>
      <w:rFonts w:ascii="Arial" w:hAnsi="Arial" w:eastAsia="黑体" w:cs="Times New Roman"/>
      <w:b/>
      <w:kern w:val="2"/>
      <w:sz w:val="24"/>
      <w:szCs w:val="24"/>
    </w:rPr>
  </w:style>
  <w:style w:type="paragraph" w:styleId="9">
    <w:name w:val="heading 9"/>
    <w:basedOn w:val="1"/>
    <w:next w:val="1"/>
    <w:link w:val="48"/>
    <w:qFormat/>
    <w:uiPriority w:val="0"/>
    <w:pPr>
      <w:keepNext/>
      <w:keepLines/>
      <w:widowControl w:val="0"/>
      <w:adjustRightInd/>
      <w:snapToGrid/>
      <w:spacing w:before="240" w:after="64" w:line="320" w:lineRule="auto"/>
      <w:jc w:val="both"/>
      <w:outlineLvl w:val="8"/>
    </w:pPr>
    <w:rPr>
      <w:rFonts w:ascii="Cambria" w:hAnsi="Cambria" w:eastAsia="宋体" w:cs="Times New Roman"/>
      <w:kern w:val="2"/>
      <w:sz w:val="21"/>
      <w:szCs w:val="21"/>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9"/>
    <w:qFormat/>
    <w:uiPriority w:val="0"/>
    <w:pPr>
      <w:widowControl w:val="0"/>
      <w:adjustRightInd/>
      <w:snapToGrid/>
      <w:spacing w:after="120"/>
      <w:jc w:val="both"/>
    </w:pPr>
    <w:rPr>
      <w:rFonts w:ascii="Calibri" w:hAnsi="Calibri" w:eastAsia="宋体" w:cs="Times New Roman"/>
      <w:kern w:val="2"/>
      <w:sz w:val="21"/>
      <w:szCs w:val="24"/>
    </w:rPr>
  </w:style>
  <w:style w:type="paragraph" w:styleId="10">
    <w:name w:val="index 8"/>
    <w:basedOn w:val="1"/>
    <w:next w:val="1"/>
    <w:qFormat/>
    <w:uiPriority w:val="0"/>
    <w:pPr>
      <w:ind w:left="2940"/>
    </w:pPr>
  </w:style>
  <w:style w:type="paragraph" w:styleId="11">
    <w:name w:val="Normal Indent"/>
    <w:basedOn w:val="1"/>
    <w:link w:val="83"/>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12">
    <w:name w:val="caption"/>
    <w:basedOn w:val="1"/>
    <w:next w:val="1"/>
    <w:qFormat/>
    <w:uiPriority w:val="35"/>
    <w:pPr>
      <w:widowControl w:val="0"/>
      <w:adjustRightInd/>
      <w:snapToGrid/>
      <w:spacing w:after="0"/>
      <w:jc w:val="both"/>
    </w:pPr>
    <w:rPr>
      <w:rFonts w:ascii="Arial" w:hAnsi="Arial" w:eastAsia="黑体" w:cs="Times New Roman"/>
      <w:kern w:val="2"/>
      <w:sz w:val="20"/>
    </w:rPr>
  </w:style>
  <w:style w:type="paragraph" w:styleId="13">
    <w:name w:val="Document Map"/>
    <w:basedOn w:val="1"/>
    <w:link w:val="50"/>
    <w:qFormat/>
    <w:uiPriority w:val="0"/>
    <w:pPr>
      <w:widowControl w:val="0"/>
      <w:adjustRightInd/>
      <w:snapToGrid/>
      <w:spacing w:after="0"/>
      <w:jc w:val="both"/>
    </w:pPr>
    <w:rPr>
      <w:rFonts w:ascii="宋体" w:hAnsi="Calibri" w:eastAsia="宋体" w:cs="Times New Roman"/>
      <w:kern w:val="2"/>
      <w:sz w:val="18"/>
      <w:szCs w:val="18"/>
    </w:rPr>
  </w:style>
  <w:style w:type="paragraph" w:styleId="14">
    <w:name w:val="annotation text"/>
    <w:basedOn w:val="1"/>
    <w:link w:val="51"/>
    <w:qFormat/>
    <w:uiPriority w:val="0"/>
    <w:pPr>
      <w:widowControl w:val="0"/>
      <w:adjustRightInd/>
      <w:snapToGrid/>
      <w:spacing w:after="0"/>
    </w:pPr>
    <w:rPr>
      <w:rFonts w:ascii="Calibri" w:hAnsi="Calibri" w:eastAsia="宋体" w:cs="Times New Roman"/>
      <w:kern w:val="2"/>
      <w:sz w:val="21"/>
      <w:szCs w:val="24"/>
    </w:rPr>
  </w:style>
  <w:style w:type="paragraph" w:styleId="15">
    <w:name w:val="Body Text Indent"/>
    <w:basedOn w:val="1"/>
    <w:link w:val="52"/>
    <w:qFormat/>
    <w:uiPriority w:val="99"/>
    <w:pPr>
      <w:widowControl w:val="0"/>
      <w:adjustRightInd/>
      <w:snapToGrid/>
      <w:spacing w:after="0" w:line="200" w:lineRule="exact"/>
      <w:ind w:firstLine="301"/>
      <w:jc w:val="both"/>
    </w:pPr>
    <w:rPr>
      <w:rFonts w:hint="eastAsia" w:ascii="宋体" w:hAnsi="Courier New" w:eastAsia="宋体" w:cs="Times New Roman"/>
      <w:spacing w:val="-4"/>
      <w:kern w:val="2"/>
      <w:sz w:val="18"/>
      <w:szCs w:val="20"/>
    </w:rPr>
  </w:style>
  <w:style w:type="paragraph" w:styleId="16">
    <w:name w:val="Plain Text"/>
    <w:basedOn w:val="1"/>
    <w:next w:val="10"/>
    <w:link w:val="54"/>
    <w:qFormat/>
    <w:uiPriority w:val="0"/>
    <w:pPr>
      <w:widowControl w:val="0"/>
      <w:adjustRightInd/>
      <w:snapToGrid/>
      <w:spacing w:after="0"/>
      <w:jc w:val="both"/>
    </w:pPr>
    <w:rPr>
      <w:rFonts w:ascii="宋体" w:hAnsi="Courier New" w:eastAsia="宋体" w:cs="Times New Roman"/>
      <w:kern w:val="2"/>
      <w:sz w:val="21"/>
      <w:szCs w:val="20"/>
    </w:rPr>
  </w:style>
  <w:style w:type="paragraph" w:styleId="17">
    <w:name w:val="Balloon Text"/>
    <w:basedOn w:val="1"/>
    <w:link w:val="55"/>
    <w:qFormat/>
    <w:uiPriority w:val="0"/>
    <w:pPr>
      <w:widowControl w:val="0"/>
      <w:adjustRightInd/>
      <w:snapToGrid/>
      <w:spacing w:after="0"/>
      <w:jc w:val="both"/>
    </w:pPr>
    <w:rPr>
      <w:rFonts w:ascii="Calibri" w:hAnsi="Calibri" w:eastAsia="宋体" w:cs="Times New Roman"/>
      <w:kern w:val="2"/>
      <w:sz w:val="18"/>
      <w:szCs w:val="18"/>
    </w:rPr>
  </w:style>
  <w:style w:type="paragraph" w:styleId="18">
    <w:name w:val="footer"/>
    <w:basedOn w:val="1"/>
    <w:link w:val="47"/>
    <w:qFormat/>
    <w:uiPriority w:val="0"/>
    <w:pPr>
      <w:tabs>
        <w:tab w:val="center" w:pos="4153"/>
        <w:tab w:val="right" w:pos="8306"/>
      </w:tabs>
    </w:pPr>
    <w:rPr>
      <w:sz w:val="18"/>
      <w:szCs w:val="18"/>
    </w:rPr>
  </w:style>
  <w:style w:type="paragraph" w:styleId="19">
    <w:name w:val="header"/>
    <w:basedOn w:val="1"/>
    <w:link w:val="46"/>
    <w:qFormat/>
    <w:uiPriority w:val="99"/>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39"/>
    <w:pPr>
      <w:widowControl w:val="0"/>
      <w:adjustRightInd/>
      <w:snapToGrid/>
      <w:spacing w:after="0"/>
      <w:jc w:val="both"/>
    </w:pPr>
    <w:rPr>
      <w:rFonts w:ascii="Calibri" w:hAnsi="Calibri" w:eastAsia="宋体" w:cs="Times New Roman"/>
      <w:kern w:val="2"/>
      <w:sz w:val="21"/>
      <w:szCs w:val="24"/>
    </w:rPr>
  </w:style>
  <w:style w:type="paragraph" w:styleId="21">
    <w:name w:val="toc 2"/>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styleId="22">
    <w:name w:val="Normal (Web)"/>
    <w:basedOn w:val="1"/>
    <w:qFormat/>
    <w:uiPriority w:val="0"/>
    <w:pPr>
      <w:adjustRightInd/>
      <w:snapToGrid/>
      <w:spacing w:before="100" w:beforeAutospacing="1" w:after="100" w:afterAutospacing="1"/>
    </w:pPr>
    <w:rPr>
      <w:rFonts w:ascii="宋体" w:hAnsi="宋体" w:eastAsia="宋体"/>
      <w:sz w:val="24"/>
      <w:szCs w:val="24"/>
    </w:rPr>
  </w:style>
  <w:style w:type="paragraph" w:styleId="23">
    <w:name w:val="Title"/>
    <w:basedOn w:val="1"/>
    <w:next w:val="1"/>
    <w:link w:val="56"/>
    <w:qFormat/>
    <w:uiPriority w:val="0"/>
    <w:pPr>
      <w:widowControl w:val="0"/>
      <w:adjustRightInd/>
      <w:snapToGrid/>
      <w:spacing w:before="240" w:after="60"/>
      <w:jc w:val="center"/>
      <w:outlineLvl w:val="0"/>
    </w:pPr>
    <w:rPr>
      <w:rFonts w:ascii="Cambria" w:hAnsi="Cambria" w:eastAsia="宋体" w:cs="Times New Roman"/>
      <w:b/>
      <w:bCs/>
      <w:sz w:val="32"/>
      <w:szCs w:val="32"/>
    </w:rPr>
  </w:style>
  <w:style w:type="paragraph" w:styleId="24">
    <w:name w:val="annotation subject"/>
    <w:basedOn w:val="14"/>
    <w:next w:val="14"/>
    <w:link w:val="57"/>
    <w:qFormat/>
    <w:uiPriority w:val="0"/>
    <w:rPr>
      <w:b/>
      <w:bCs/>
    </w:rPr>
  </w:style>
  <w:style w:type="paragraph" w:styleId="25">
    <w:name w:val="Body Text First Indent 2"/>
    <w:basedOn w:val="15"/>
    <w:link w:val="93"/>
    <w:semiHidden/>
    <w:unhideWhenUsed/>
    <w:qFormat/>
    <w:uiPriority w:val="99"/>
    <w:pPr>
      <w:widowControl/>
      <w:adjustRightInd w:val="0"/>
      <w:snapToGrid w:val="0"/>
      <w:spacing w:after="120" w:line="240" w:lineRule="auto"/>
      <w:ind w:left="420" w:leftChars="200" w:firstLine="420" w:firstLineChars="200"/>
      <w:jc w:val="left"/>
    </w:pPr>
    <w:rPr>
      <w:rFonts w:hint="default" w:ascii="Tahoma" w:hAnsi="Tahoma" w:eastAsia="微软雅黑" w:cs="宋体"/>
      <w:spacing w:val="0"/>
      <w:kern w:val="0"/>
      <w:sz w:val="22"/>
      <w:szCs w:val="22"/>
    </w:rPr>
  </w:style>
  <w:style w:type="character" w:styleId="28">
    <w:name w:val="Strong"/>
    <w:qFormat/>
    <w:uiPriority w:val="22"/>
    <w:rPr>
      <w:b/>
    </w:rPr>
  </w:style>
  <w:style w:type="character" w:styleId="29">
    <w:name w:val="page number"/>
    <w:basedOn w:val="27"/>
    <w:qFormat/>
    <w:uiPriority w:val="99"/>
  </w:style>
  <w:style w:type="character" w:styleId="30">
    <w:name w:val="FollowedHyperlink"/>
    <w:basedOn w:val="27"/>
    <w:qFormat/>
    <w:uiPriority w:val="0"/>
    <w:rPr>
      <w:color w:val="0000CC"/>
      <w:u w:val="none"/>
    </w:rPr>
  </w:style>
  <w:style w:type="character" w:styleId="31">
    <w:name w:val="Emphasis"/>
    <w:qFormat/>
    <w:uiPriority w:val="0"/>
  </w:style>
  <w:style w:type="character" w:styleId="32">
    <w:name w:val="HTML Definition"/>
    <w:qFormat/>
    <w:uiPriority w:val="0"/>
  </w:style>
  <w:style w:type="character" w:styleId="33">
    <w:name w:val="HTML Variable"/>
    <w:qFormat/>
    <w:uiPriority w:val="0"/>
  </w:style>
  <w:style w:type="character" w:styleId="34">
    <w:name w:val="Hyperlink"/>
    <w:qFormat/>
    <w:uiPriority w:val="99"/>
    <w:rPr>
      <w:color w:val="0000CC"/>
      <w:u w:val="none"/>
    </w:rPr>
  </w:style>
  <w:style w:type="character" w:styleId="35">
    <w:name w:val="HTML Code"/>
    <w:qFormat/>
    <w:uiPriority w:val="0"/>
    <w:rPr>
      <w:rFonts w:hint="default" w:ascii="monospace" w:hAnsi="monospace" w:eastAsia="monospace" w:cs="monospace"/>
      <w:sz w:val="21"/>
      <w:szCs w:val="21"/>
    </w:rPr>
  </w:style>
  <w:style w:type="character" w:styleId="36">
    <w:name w:val="annotation reference"/>
    <w:qFormat/>
    <w:uiPriority w:val="0"/>
    <w:rPr>
      <w:sz w:val="21"/>
      <w:szCs w:val="21"/>
    </w:rPr>
  </w:style>
  <w:style w:type="character" w:styleId="37">
    <w:name w:val="HTML Cite"/>
    <w:qFormat/>
    <w:uiPriority w:val="0"/>
  </w:style>
  <w:style w:type="character" w:styleId="38">
    <w:name w:val="HTML Keyboard"/>
    <w:qFormat/>
    <w:uiPriority w:val="0"/>
    <w:rPr>
      <w:rFonts w:hint="default" w:ascii="monospace" w:hAnsi="monospace" w:eastAsia="monospace" w:cs="monospace"/>
      <w:sz w:val="21"/>
      <w:szCs w:val="21"/>
    </w:rPr>
  </w:style>
  <w:style w:type="character" w:styleId="39">
    <w:name w:val="HTML Sample"/>
    <w:qFormat/>
    <w:uiPriority w:val="0"/>
    <w:rPr>
      <w:rFonts w:ascii="monospace" w:hAnsi="monospace" w:eastAsia="monospace" w:cs="monospace"/>
      <w:sz w:val="21"/>
      <w:szCs w:val="21"/>
    </w:rPr>
  </w:style>
  <w:style w:type="paragraph" w:customStyle="1" w:styleId="40">
    <w:name w:val="表格文字"/>
    <w:basedOn w:val="1"/>
    <w:qFormat/>
    <w:uiPriority w:val="99"/>
    <w:pPr>
      <w:spacing w:before="25" w:after="25"/>
    </w:pPr>
    <w:rPr>
      <w:bCs/>
      <w:spacing w:val="10"/>
      <w:sz w:val="24"/>
    </w:rPr>
  </w:style>
  <w:style w:type="character" w:customStyle="1" w:styleId="41">
    <w:name w:val="标题 2 字符"/>
    <w:basedOn w:val="27"/>
    <w:link w:val="4"/>
    <w:qFormat/>
    <w:uiPriority w:val="9"/>
    <w:rPr>
      <w:rFonts w:ascii="Cambria" w:hAnsi="Cambria" w:eastAsia="宋体" w:cs="Times New Roman"/>
      <w:b/>
      <w:bCs/>
      <w:sz w:val="28"/>
      <w:szCs w:val="32"/>
    </w:rPr>
  </w:style>
  <w:style w:type="character" w:customStyle="1" w:styleId="42">
    <w:name w:val="标题 3 字符"/>
    <w:basedOn w:val="27"/>
    <w:link w:val="5"/>
    <w:qFormat/>
    <w:uiPriority w:val="0"/>
    <w:rPr>
      <w:rFonts w:ascii="宋体" w:hAnsi="宋体" w:eastAsia="宋体" w:cs="Times New Roman"/>
      <w:b/>
      <w:bCs/>
      <w:kern w:val="2"/>
      <w:sz w:val="28"/>
      <w:szCs w:val="32"/>
    </w:rPr>
  </w:style>
  <w:style w:type="character" w:customStyle="1" w:styleId="43">
    <w:name w:val="标题 4 字符"/>
    <w:basedOn w:val="27"/>
    <w:link w:val="6"/>
    <w:qFormat/>
    <w:uiPriority w:val="0"/>
    <w:rPr>
      <w:rFonts w:ascii="Arial" w:hAnsi="Calibri" w:eastAsia="黑体" w:cs="Times New Roman"/>
      <w:sz w:val="28"/>
      <w:szCs w:val="20"/>
    </w:rPr>
  </w:style>
  <w:style w:type="character" w:customStyle="1" w:styleId="44">
    <w:name w:val="标题 5 字符"/>
    <w:basedOn w:val="27"/>
    <w:link w:val="7"/>
    <w:qFormat/>
    <w:uiPriority w:val="0"/>
    <w:rPr>
      <w:rFonts w:ascii="仿宋_GB2312" w:hAnsi="Calibri" w:eastAsia="仿宋_GB2312" w:cs="Times New Roman"/>
      <w:b/>
      <w:bCs/>
      <w:kern w:val="2"/>
      <w:sz w:val="28"/>
      <w:szCs w:val="28"/>
    </w:rPr>
  </w:style>
  <w:style w:type="character" w:customStyle="1" w:styleId="45">
    <w:name w:val="标题 6 字符"/>
    <w:basedOn w:val="27"/>
    <w:link w:val="8"/>
    <w:qFormat/>
    <w:uiPriority w:val="0"/>
    <w:rPr>
      <w:rFonts w:ascii="Arial" w:hAnsi="Arial" w:eastAsia="黑体" w:cs="Times New Roman"/>
      <w:b/>
      <w:kern w:val="2"/>
      <w:sz w:val="24"/>
      <w:szCs w:val="24"/>
    </w:rPr>
  </w:style>
  <w:style w:type="character" w:customStyle="1" w:styleId="46">
    <w:name w:val="页眉 字符"/>
    <w:basedOn w:val="27"/>
    <w:link w:val="19"/>
    <w:qFormat/>
    <w:uiPriority w:val="99"/>
    <w:rPr>
      <w:rFonts w:ascii="Tahoma" w:hAnsi="Tahoma"/>
      <w:sz w:val="18"/>
      <w:szCs w:val="18"/>
    </w:rPr>
  </w:style>
  <w:style w:type="character" w:customStyle="1" w:styleId="47">
    <w:name w:val="页脚 字符"/>
    <w:basedOn w:val="27"/>
    <w:link w:val="18"/>
    <w:qFormat/>
    <w:uiPriority w:val="99"/>
    <w:rPr>
      <w:rFonts w:ascii="Tahoma" w:hAnsi="Tahoma"/>
      <w:sz w:val="18"/>
      <w:szCs w:val="18"/>
    </w:rPr>
  </w:style>
  <w:style w:type="character" w:customStyle="1" w:styleId="48">
    <w:name w:val="标题 9 字符"/>
    <w:basedOn w:val="27"/>
    <w:link w:val="9"/>
    <w:qFormat/>
    <w:uiPriority w:val="0"/>
    <w:rPr>
      <w:rFonts w:ascii="Cambria" w:hAnsi="Cambria" w:eastAsia="宋体" w:cs="Times New Roman"/>
      <w:kern w:val="2"/>
      <w:sz w:val="21"/>
      <w:szCs w:val="21"/>
    </w:rPr>
  </w:style>
  <w:style w:type="character" w:customStyle="1" w:styleId="49">
    <w:name w:val="正文文本 字符"/>
    <w:basedOn w:val="27"/>
    <w:link w:val="2"/>
    <w:qFormat/>
    <w:uiPriority w:val="0"/>
    <w:rPr>
      <w:rFonts w:ascii="Calibri" w:hAnsi="Calibri" w:eastAsia="宋体" w:cs="Times New Roman"/>
      <w:kern w:val="2"/>
      <w:sz w:val="21"/>
      <w:szCs w:val="24"/>
    </w:rPr>
  </w:style>
  <w:style w:type="character" w:customStyle="1" w:styleId="50">
    <w:name w:val="文档结构图 字符"/>
    <w:basedOn w:val="27"/>
    <w:link w:val="13"/>
    <w:qFormat/>
    <w:uiPriority w:val="0"/>
    <w:rPr>
      <w:rFonts w:ascii="宋体" w:hAnsi="Calibri" w:eastAsia="宋体" w:cs="Times New Roman"/>
      <w:kern w:val="2"/>
      <w:sz w:val="18"/>
      <w:szCs w:val="18"/>
    </w:rPr>
  </w:style>
  <w:style w:type="character" w:customStyle="1" w:styleId="51">
    <w:name w:val="批注文字 字符"/>
    <w:basedOn w:val="27"/>
    <w:link w:val="14"/>
    <w:qFormat/>
    <w:uiPriority w:val="0"/>
    <w:rPr>
      <w:rFonts w:ascii="Calibri" w:hAnsi="Calibri" w:eastAsia="宋体" w:cs="Times New Roman"/>
      <w:kern w:val="2"/>
      <w:sz w:val="21"/>
      <w:szCs w:val="24"/>
    </w:rPr>
  </w:style>
  <w:style w:type="character" w:customStyle="1" w:styleId="52">
    <w:name w:val="正文文本缩进 字符"/>
    <w:basedOn w:val="27"/>
    <w:link w:val="15"/>
    <w:qFormat/>
    <w:uiPriority w:val="99"/>
    <w:rPr>
      <w:rFonts w:ascii="宋体" w:hAnsi="Courier New" w:eastAsia="宋体" w:cs="Times New Roman"/>
      <w:spacing w:val="-4"/>
      <w:kern w:val="2"/>
      <w:sz w:val="18"/>
      <w:szCs w:val="20"/>
    </w:rPr>
  </w:style>
  <w:style w:type="character" w:customStyle="1" w:styleId="53">
    <w:name w:val="纯文本 Char1"/>
    <w:qFormat/>
    <w:uiPriority w:val="99"/>
    <w:rPr>
      <w:rFonts w:ascii="宋体" w:hAnsi="Courier New" w:eastAsia="宋体" w:cs="Times New Roman"/>
      <w:kern w:val="2"/>
      <w:sz w:val="21"/>
      <w:szCs w:val="20"/>
    </w:rPr>
  </w:style>
  <w:style w:type="character" w:customStyle="1" w:styleId="54">
    <w:name w:val="纯文本 字符"/>
    <w:basedOn w:val="27"/>
    <w:link w:val="16"/>
    <w:qFormat/>
    <w:uiPriority w:val="0"/>
    <w:rPr>
      <w:rFonts w:ascii="宋体" w:hAnsi="Courier New" w:eastAsia="宋体" w:cs="Courier New"/>
      <w:sz w:val="21"/>
      <w:szCs w:val="21"/>
    </w:rPr>
  </w:style>
  <w:style w:type="character" w:customStyle="1" w:styleId="55">
    <w:name w:val="批注框文本 字符"/>
    <w:basedOn w:val="27"/>
    <w:link w:val="17"/>
    <w:qFormat/>
    <w:uiPriority w:val="0"/>
    <w:rPr>
      <w:rFonts w:ascii="Calibri" w:hAnsi="Calibri" w:eastAsia="宋体" w:cs="Times New Roman"/>
      <w:kern w:val="2"/>
      <w:sz w:val="18"/>
      <w:szCs w:val="18"/>
    </w:rPr>
  </w:style>
  <w:style w:type="character" w:customStyle="1" w:styleId="56">
    <w:name w:val="标题 字符"/>
    <w:basedOn w:val="27"/>
    <w:link w:val="23"/>
    <w:qFormat/>
    <w:uiPriority w:val="0"/>
    <w:rPr>
      <w:rFonts w:ascii="Cambria" w:hAnsi="Cambria" w:eastAsia="宋体" w:cs="Times New Roman"/>
      <w:b/>
      <w:bCs/>
      <w:sz w:val="32"/>
      <w:szCs w:val="32"/>
    </w:rPr>
  </w:style>
  <w:style w:type="character" w:customStyle="1" w:styleId="57">
    <w:name w:val="批注主题 字符"/>
    <w:basedOn w:val="51"/>
    <w:link w:val="24"/>
    <w:qFormat/>
    <w:uiPriority w:val="0"/>
    <w:rPr>
      <w:rFonts w:ascii="Calibri" w:hAnsi="Calibri" w:eastAsia="宋体" w:cs="Times New Roman"/>
      <w:b/>
      <w:bCs/>
      <w:kern w:val="2"/>
      <w:sz w:val="21"/>
      <w:szCs w:val="24"/>
    </w:rPr>
  </w:style>
  <w:style w:type="character" w:customStyle="1" w:styleId="58">
    <w:name w:val="已访问的超链接1"/>
    <w:qFormat/>
    <w:uiPriority w:val="0"/>
    <w:rPr>
      <w:color w:val="0000CC"/>
      <w:u w:val="none"/>
    </w:rPr>
  </w:style>
  <w:style w:type="character" w:customStyle="1" w:styleId="59">
    <w:name w:val="fontborder"/>
    <w:qFormat/>
    <w:uiPriority w:val="0"/>
    <w:rPr>
      <w:bdr w:val="single" w:color="000000" w:sz="6" w:space="0"/>
    </w:rPr>
  </w:style>
  <w:style w:type="character" w:customStyle="1" w:styleId="60">
    <w:name w:val="释义正文2"/>
    <w:qFormat/>
    <w:uiPriority w:val="0"/>
    <w:rPr>
      <w:sz w:val="24"/>
    </w:rPr>
  </w:style>
  <w:style w:type="character" w:customStyle="1" w:styleId="61">
    <w:name w:val="神路正文"/>
    <w:qFormat/>
    <w:uiPriority w:val="0"/>
    <w:rPr>
      <w:rFonts w:ascii="宋体" w:hAnsi="宋体" w:eastAsia="仿宋_GB2312"/>
      <w:color w:val="000000"/>
      <w:sz w:val="24"/>
    </w:rPr>
  </w:style>
  <w:style w:type="character" w:customStyle="1" w:styleId="62">
    <w:name w:val="fontstrikethrough"/>
    <w:qFormat/>
    <w:uiPriority w:val="0"/>
    <w:rPr>
      <w:strike/>
    </w:rPr>
  </w:style>
  <w:style w:type="paragraph" w:customStyle="1" w:styleId="63">
    <w:name w:val="目录 21"/>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customStyle="1" w:styleId="64">
    <w:name w:val="目录 1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customStyle="1" w:styleId="65">
    <w:name w:val="正文段"/>
    <w:basedOn w:val="1"/>
    <w:qFormat/>
    <w:uiPriority w:val="0"/>
    <w:pPr>
      <w:adjustRightInd/>
      <w:spacing w:afterLines="50"/>
      <w:ind w:firstLine="200" w:firstLineChars="200"/>
      <w:jc w:val="both"/>
    </w:pPr>
    <w:rPr>
      <w:rFonts w:ascii="Calibri" w:hAnsi="Calibri" w:eastAsia="宋体" w:cs="Times New Roman"/>
      <w:sz w:val="24"/>
      <w:szCs w:val="20"/>
    </w:rPr>
  </w:style>
  <w:style w:type="paragraph" w:customStyle="1" w:styleId="66">
    <w:name w:val="修订1"/>
    <w:qFormat/>
    <w:uiPriority w:val="99"/>
    <w:rPr>
      <w:rFonts w:ascii="Calibri" w:hAnsi="Calibri" w:eastAsia="宋体" w:cs="Times New Roman"/>
      <w:kern w:val="2"/>
      <w:sz w:val="21"/>
      <w:szCs w:val="24"/>
      <w:lang w:val="en-US" w:eastAsia="zh-CN" w:bidi="ar-SA"/>
    </w:rPr>
  </w:style>
  <w:style w:type="paragraph" w:customStyle="1" w:styleId="67">
    <w:name w:val="纯文本11"/>
    <w:basedOn w:val="1"/>
    <w:qFormat/>
    <w:uiPriority w:val="0"/>
    <w:pPr>
      <w:widowControl w:val="0"/>
      <w:suppressAutoHyphens/>
      <w:adjustRightInd/>
      <w:snapToGrid/>
      <w:spacing w:after="0"/>
      <w:jc w:val="both"/>
    </w:pPr>
    <w:rPr>
      <w:rFonts w:ascii="宋体" w:hAnsi="宋体" w:eastAsia="宋体" w:cs="Calibri"/>
      <w:kern w:val="1"/>
      <w:sz w:val="20"/>
      <w:szCs w:val="21"/>
      <w:lang w:eastAsia="ar-SA"/>
    </w:rPr>
  </w:style>
  <w:style w:type="paragraph" w:customStyle="1" w:styleId="68">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69">
    <w:name w:val="最终规范标题3"/>
    <w:basedOn w:val="1"/>
    <w:qFormat/>
    <w:uiPriority w:val="0"/>
    <w:pPr>
      <w:widowControl w:val="0"/>
      <w:adjustRightInd/>
      <w:snapToGrid/>
      <w:spacing w:after="0" w:line="300" w:lineRule="auto"/>
      <w:jc w:val="both"/>
      <w:outlineLvl w:val="2"/>
    </w:pPr>
    <w:rPr>
      <w:rFonts w:ascii="Calibri" w:hAnsi="Calibri" w:eastAsia="宋体" w:cs="Times New Roman"/>
      <w:kern w:val="2"/>
      <w:sz w:val="21"/>
      <w:szCs w:val="21"/>
    </w:rPr>
  </w:style>
  <w:style w:type="paragraph" w:customStyle="1" w:styleId="70">
    <w:name w:val="imap正文"/>
    <w:basedOn w:val="1"/>
    <w:qFormat/>
    <w:uiPriority w:val="0"/>
    <w:pPr>
      <w:widowControl w:val="0"/>
      <w:adjustRightInd/>
      <w:snapToGrid/>
      <w:spacing w:after="0" w:line="360" w:lineRule="auto"/>
      <w:ind w:firstLine="480" w:firstLineChars="200"/>
      <w:jc w:val="both"/>
    </w:pPr>
    <w:rPr>
      <w:rFonts w:ascii="Calibri" w:hAnsi="Calibri" w:eastAsia="宋体" w:cs="Times New Roman"/>
      <w:kern w:val="2"/>
      <w:sz w:val="24"/>
    </w:rPr>
  </w:style>
  <w:style w:type="paragraph" w:customStyle="1" w:styleId="71">
    <w:name w:val="list_item_address"/>
    <w:basedOn w:val="1"/>
    <w:qFormat/>
    <w:uiPriority w:val="0"/>
    <w:pPr>
      <w:adjustRightInd/>
      <w:snapToGrid/>
      <w:spacing w:before="100" w:beforeAutospacing="1" w:after="100" w:afterAutospacing="1"/>
    </w:pPr>
    <w:rPr>
      <w:rFonts w:ascii="宋体" w:hAnsi="宋体" w:eastAsia="宋体"/>
      <w:sz w:val="24"/>
      <w:szCs w:val="24"/>
    </w:rPr>
  </w:style>
  <w:style w:type="paragraph" w:customStyle="1" w:styleId="72">
    <w:name w:val="列表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73">
    <w:name w:val="文档正文"/>
    <w:basedOn w:val="1"/>
    <w:qFormat/>
    <w:uiPriority w:val="0"/>
    <w:pPr>
      <w:widowControl w:val="0"/>
      <w:snapToGrid/>
      <w:spacing w:after="120" w:line="360" w:lineRule="auto"/>
      <w:ind w:firstLine="480" w:firstLineChars="200"/>
      <w:jc w:val="both"/>
      <w:textAlignment w:val="baseline"/>
    </w:pPr>
    <w:rPr>
      <w:rFonts w:ascii="STXihei" w:hAnsi="STXihei" w:eastAsia="STXihei" w:cs="Times New Roman"/>
      <w:color w:val="000000"/>
      <w:sz w:val="24"/>
      <w:szCs w:val="20"/>
    </w:rPr>
  </w:style>
  <w:style w:type="paragraph" w:customStyle="1" w:styleId="74">
    <w:name w:val="普通正文"/>
    <w:basedOn w:val="1"/>
    <w:qFormat/>
    <w:uiPriority w:val="0"/>
    <w:pPr>
      <w:widowControl w:val="0"/>
      <w:suppressAutoHyphens/>
      <w:adjustRightInd/>
      <w:snapToGrid/>
      <w:spacing w:before="120" w:after="120" w:line="360" w:lineRule="auto"/>
      <w:ind w:firstLine="480"/>
    </w:pPr>
    <w:rPr>
      <w:rFonts w:ascii="Arial" w:hAnsi="Arial" w:eastAsia="宋体" w:cs="Times New Roman"/>
      <w:kern w:val="2"/>
      <w:sz w:val="24"/>
      <w:szCs w:val="24"/>
      <w:lang w:eastAsia="ar-SA"/>
    </w:rPr>
  </w:style>
  <w:style w:type="paragraph" w:customStyle="1" w:styleId="75">
    <w:name w:val="样式 正文缩进 + 首行缩进:  2 字符"/>
    <w:basedOn w:val="11"/>
    <w:qFormat/>
    <w:uiPriority w:val="0"/>
    <w:pPr>
      <w:spacing w:line="360" w:lineRule="auto"/>
      <w:ind w:firstLine="200"/>
    </w:pPr>
    <w:rPr>
      <w:rFonts w:ascii="Times New Roman" w:hAnsi="Times New Roman"/>
      <w:sz w:val="24"/>
      <w:szCs w:val="20"/>
    </w:rPr>
  </w:style>
  <w:style w:type="paragraph" w:customStyle="1" w:styleId="76">
    <w:name w:val="列出段落2"/>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77">
    <w:name w:val="_正文段落"/>
    <w:basedOn w:val="1"/>
    <w:qFormat/>
    <w:uiPriority w:val="0"/>
    <w:pPr>
      <w:widowControl w:val="0"/>
      <w:adjustRightInd/>
      <w:snapToGrid/>
      <w:spacing w:after="0" w:line="360" w:lineRule="auto"/>
      <w:ind w:firstLine="200" w:firstLineChars="200"/>
      <w:jc w:val="both"/>
    </w:pPr>
    <w:rPr>
      <w:rFonts w:ascii="仿宋_GB2312" w:hAnsi="Times New Roman" w:eastAsia="仿宋_GB2312" w:cs="Times New Roman"/>
      <w:sz w:val="28"/>
      <w:szCs w:val="24"/>
    </w:rPr>
  </w:style>
  <w:style w:type="paragraph" w:customStyle="1" w:styleId="78">
    <w:name w:val="zhengwen2"/>
    <w:basedOn w:val="1"/>
    <w:qFormat/>
    <w:uiPriority w:val="0"/>
    <w:pPr>
      <w:widowControl w:val="0"/>
      <w:adjustRightInd/>
      <w:snapToGrid/>
      <w:spacing w:after="0" w:line="360" w:lineRule="auto"/>
      <w:ind w:firstLine="200" w:firstLineChars="200"/>
      <w:jc w:val="both"/>
    </w:pPr>
    <w:rPr>
      <w:rFonts w:ascii="宋体" w:hAnsi="等线" w:eastAsia="仿宋_GB2312" w:cs="Times New Roman"/>
      <w:kern w:val="2"/>
      <w:sz w:val="28"/>
    </w:rPr>
  </w:style>
  <w:style w:type="paragraph" w:customStyle="1" w:styleId="79">
    <w:name w:val="p16"/>
    <w:basedOn w:val="1"/>
    <w:qFormat/>
    <w:uiPriority w:val="0"/>
    <w:pPr>
      <w:adjustRightInd/>
      <w:snapToGrid/>
      <w:spacing w:after="0"/>
      <w:jc w:val="both"/>
    </w:pPr>
    <w:rPr>
      <w:rFonts w:ascii="宋体" w:hAnsi="宋体" w:eastAsia="宋体"/>
      <w:sz w:val="21"/>
      <w:szCs w:val="21"/>
    </w:rPr>
  </w:style>
  <w:style w:type="paragraph" w:customStyle="1" w:styleId="80">
    <w:name w:val="_Style 6"/>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81">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82">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83">
    <w:name w:val="正文缩进 字符"/>
    <w:link w:val="11"/>
    <w:qFormat/>
    <w:uiPriority w:val="0"/>
    <w:rPr>
      <w:rFonts w:ascii="Calibri" w:hAnsi="Calibri" w:eastAsia="宋体" w:cs="Times New Roman"/>
      <w:kern w:val="2"/>
      <w:sz w:val="21"/>
      <w:szCs w:val="24"/>
    </w:rPr>
  </w:style>
  <w:style w:type="character" w:customStyle="1" w:styleId="84">
    <w:name w:val="c-icon14"/>
    <w:basedOn w:val="27"/>
    <w:qFormat/>
    <w:uiPriority w:val="0"/>
  </w:style>
  <w:style w:type="paragraph" w:customStyle="1" w:styleId="85">
    <w:name w:val="cjk"/>
    <w:basedOn w:val="1"/>
    <w:qFormat/>
    <w:uiPriority w:val="0"/>
    <w:pPr>
      <w:adjustRightInd/>
      <w:snapToGrid/>
      <w:spacing w:after="0" w:line="480" w:lineRule="auto"/>
    </w:pPr>
    <w:rPr>
      <w:rFonts w:ascii="宋体" w:hAnsi="宋体" w:eastAsia="宋体"/>
      <w:sz w:val="24"/>
      <w:szCs w:val="24"/>
    </w:rPr>
  </w:style>
  <w:style w:type="character" w:customStyle="1" w:styleId="86">
    <w:name w:val="layui-layer-tabnow"/>
    <w:basedOn w:val="27"/>
    <w:qFormat/>
    <w:uiPriority w:val="0"/>
    <w:rPr>
      <w:bdr w:val="single" w:color="CCCCCC" w:sz="6" w:space="0"/>
      <w:shd w:val="clear" w:color="auto" w:fill="FFFFFF"/>
    </w:rPr>
  </w:style>
  <w:style w:type="character" w:customStyle="1" w:styleId="87">
    <w:name w:val="first-child"/>
    <w:basedOn w:val="27"/>
    <w:qFormat/>
    <w:uiPriority w:val="0"/>
  </w:style>
  <w:style w:type="character" w:customStyle="1" w:styleId="88">
    <w:name w:val="time"/>
    <w:basedOn w:val="27"/>
    <w:qFormat/>
    <w:uiPriority w:val="0"/>
    <w:rPr>
      <w:color w:val="999999"/>
    </w:rPr>
  </w:style>
  <w:style w:type="character" w:customStyle="1" w:styleId="89">
    <w:name w:val="dot"/>
    <w:basedOn w:val="27"/>
    <w:qFormat/>
    <w:uiPriority w:val="0"/>
  </w:style>
  <w:style w:type="character" w:customStyle="1" w:styleId="90">
    <w:name w:val="time2"/>
    <w:basedOn w:val="27"/>
    <w:qFormat/>
    <w:uiPriority w:val="0"/>
    <w:rPr>
      <w:color w:val="999999"/>
    </w:rPr>
  </w:style>
  <w:style w:type="paragraph" w:customStyle="1" w:styleId="91">
    <w:name w:val="修订2"/>
    <w:hidden/>
    <w:unhideWhenUsed/>
    <w:qFormat/>
    <w:uiPriority w:val="99"/>
    <w:rPr>
      <w:rFonts w:ascii="Tahoma" w:hAnsi="Tahoma" w:eastAsia="微软雅黑" w:cs="宋体"/>
      <w:sz w:val="22"/>
      <w:szCs w:val="22"/>
      <w:lang w:val="en-US" w:eastAsia="zh-CN" w:bidi="ar-SA"/>
    </w:rPr>
  </w:style>
  <w:style w:type="paragraph" w:customStyle="1" w:styleId="92">
    <w:name w:val="Plain Text1"/>
    <w:basedOn w:val="1"/>
    <w:qFormat/>
    <w:uiPriority w:val="0"/>
    <w:rPr>
      <w:rFonts w:ascii="宋体" w:hAnsi="Courier New"/>
      <w:szCs w:val="20"/>
    </w:rPr>
  </w:style>
  <w:style w:type="character" w:customStyle="1" w:styleId="93">
    <w:name w:val="正文文本首行缩进 2 字符"/>
    <w:basedOn w:val="52"/>
    <w:link w:val="25"/>
    <w:semiHidden/>
    <w:qFormat/>
    <w:uiPriority w:val="99"/>
    <w:rPr>
      <w:rFonts w:ascii="Tahoma" w:hAnsi="Tahoma" w:eastAsia="微软雅黑" w:cs="宋体"/>
      <w:spacing w:val="-4"/>
      <w:kern w:val="2"/>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0B19C4-E061-4C97-AEC2-1BA994996F1F}">
  <ds:schemaRefs/>
</ds:datastoreItem>
</file>

<file path=customXml/itemProps3.xml><?xml version="1.0" encoding="utf-8"?>
<ds:datastoreItem xmlns:ds="http://schemas.openxmlformats.org/officeDocument/2006/customXml" ds:itemID="{7EBD8BD5-4022-4567-B4AE-68A0C699D75B}">
  <ds:schemaRefs/>
</ds:datastoreItem>
</file>

<file path=customXml/itemProps4.xml><?xml version="1.0" encoding="utf-8"?>
<ds:datastoreItem xmlns:ds="http://schemas.openxmlformats.org/officeDocument/2006/customXml" ds:itemID="{026DEA95-3C58-45C4-92C6-ED59B42201A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70</Pages>
  <Words>6491</Words>
  <Characters>37004</Characters>
  <Lines>308</Lines>
  <Paragraphs>86</Paragraphs>
  <TotalTime>2</TotalTime>
  <ScaleCrop>false</ScaleCrop>
  <LinksUpToDate>false</LinksUpToDate>
  <CharactersWithSpaces>43409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2020-09-24T04:34:00Z</dcterms:created>
  <dc:creator>Administrator</dc:creator>
  <cp:lastModifiedBy>Administrator</cp:lastModifiedBy>
  <cp:lastPrinted>2020-09-24T03:03:00Z</cp:lastPrinted>
  <dcterms:modified xsi:type="dcterms:W3CDTF">2020-09-28T11:24:40Z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