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center" w:pos="4950"/>
          <w:tab w:val="right" w:pos="9781"/>
        </w:tabs>
        <w:jc w:val="left"/>
        <w:rPr>
          <w:rFonts w:hint="eastAsia" w:ascii="宋体" w:hAnsi="宋体" w:eastAsia="宋体" w:cs="宋体"/>
        </w:rPr>
      </w:pPr>
      <w:permStart w:id="0" w:edGrp="everyone"/>
      <w:permEnd w:id="0"/>
    </w:p>
    <w:p>
      <w:pPr>
        <w:pStyle w:val="17"/>
        <w:tabs>
          <w:tab w:val="center" w:pos="4950"/>
          <w:tab w:val="right" w:pos="9781"/>
        </w:tabs>
        <w:ind w:firstLine="2940" w:firstLineChars="350"/>
        <w:jc w:val="left"/>
        <w:rPr>
          <w:rFonts w:hint="eastAsia" w:ascii="宋体" w:hAnsi="宋体" w:eastAsia="宋体" w:cs="宋体"/>
          <w:sz w:val="84"/>
          <w:szCs w:val="84"/>
        </w:rPr>
      </w:pPr>
    </w:p>
    <w:p>
      <w:pPr>
        <w:pStyle w:val="17"/>
        <w:tabs>
          <w:tab w:val="center" w:pos="4950"/>
          <w:tab w:val="right" w:pos="9781"/>
        </w:tabs>
        <w:ind w:firstLine="2419" w:firstLineChars="288"/>
        <w:jc w:val="left"/>
        <w:rPr>
          <w:rFonts w:hint="eastAsia" w:ascii="宋体" w:hAnsi="宋体" w:eastAsia="宋体" w:cs="宋体"/>
          <w:b/>
          <w:bCs/>
          <w:sz w:val="84"/>
          <w:szCs w:val="84"/>
        </w:rPr>
      </w:pPr>
      <w:r>
        <w:rPr>
          <w:rFonts w:hint="eastAsia" w:ascii="宋体" w:hAnsi="宋体" w:eastAsia="宋体" w:cs="宋体"/>
          <w:sz w:val="84"/>
          <w:szCs w:val="84"/>
        </w:rPr>
        <w:t>公开招标文件</w:t>
      </w:r>
    </w:p>
    <w:p>
      <w:pPr>
        <w:jc w:val="center"/>
        <w:rPr>
          <w:rFonts w:hint="eastAsia" w:ascii="宋体" w:hAnsi="宋体" w:eastAsia="宋体"/>
          <w:sz w:val="52"/>
          <w:szCs w:val="52"/>
        </w:rPr>
      </w:pPr>
    </w:p>
    <w:p>
      <w:pPr>
        <w:jc w:val="center"/>
        <w:rPr>
          <w:rFonts w:hint="eastAsia" w:ascii="宋体" w:hAnsi="宋体" w:eastAsia="宋体"/>
          <w:b/>
          <w:bCs/>
          <w:sz w:val="32"/>
          <w:szCs w:val="32"/>
        </w:rPr>
      </w:pPr>
    </w:p>
    <w:p>
      <w:pPr>
        <w:pStyle w:val="17"/>
        <w:rPr>
          <w:rFonts w:hint="eastAsia" w:ascii="宋体" w:hAnsi="宋体" w:eastAsia="宋体" w:cs="宋体"/>
          <w:sz w:val="32"/>
          <w:szCs w:val="32"/>
        </w:rPr>
      </w:pPr>
    </w:p>
    <w:p>
      <w:pPr>
        <w:ind w:left="3541" w:leftChars="900" w:hanging="1561" w:hangingChars="486"/>
        <w:rPr>
          <w:rFonts w:hint="eastAsia" w:ascii="宋体" w:hAnsi="宋体" w:eastAsia="宋体"/>
          <w:b/>
          <w:bCs/>
          <w:sz w:val="32"/>
          <w:szCs w:val="32"/>
        </w:rPr>
      </w:pPr>
      <w:r>
        <w:rPr>
          <w:rFonts w:hint="eastAsia" w:ascii="宋体" w:hAnsi="宋体" w:eastAsia="宋体"/>
          <w:b/>
          <w:bCs/>
          <w:sz w:val="32"/>
          <w:szCs w:val="32"/>
        </w:rPr>
        <w:t>项目名称：扬尘治理视频综合管理系统（二期）</w:t>
      </w:r>
    </w:p>
    <w:p>
      <w:pPr>
        <w:ind w:left="2822" w:leftChars="900" w:hanging="842" w:hangingChars="262"/>
        <w:rPr>
          <w:rFonts w:hint="eastAsia" w:ascii="宋体" w:hAnsi="宋体" w:eastAsia="宋体"/>
          <w:b/>
          <w:bCs/>
          <w:sz w:val="32"/>
          <w:szCs w:val="32"/>
        </w:rPr>
      </w:pPr>
      <w:r>
        <w:rPr>
          <w:rFonts w:hint="eastAsia" w:ascii="宋体" w:hAnsi="宋体" w:eastAsia="宋体"/>
          <w:b/>
          <w:bCs/>
          <w:sz w:val="32"/>
          <w:szCs w:val="32"/>
        </w:rPr>
        <w:t>项目编号：NNZC2020-G3-990080-GXYZ</w:t>
      </w:r>
    </w:p>
    <w:p>
      <w:pPr>
        <w:ind w:left="2822" w:leftChars="900" w:hanging="842" w:hangingChars="262"/>
        <w:rPr>
          <w:rFonts w:hint="eastAsia" w:ascii="宋体" w:hAnsi="宋体" w:eastAsia="宋体"/>
          <w:b/>
          <w:bCs/>
          <w:sz w:val="32"/>
          <w:szCs w:val="32"/>
        </w:rPr>
      </w:pPr>
      <w:r>
        <w:rPr>
          <w:rFonts w:hint="eastAsia" w:ascii="宋体" w:hAnsi="宋体" w:eastAsia="宋体"/>
          <w:b/>
          <w:bCs/>
          <w:sz w:val="32"/>
          <w:szCs w:val="32"/>
        </w:rPr>
        <w:t>审批编号：[2020]NCCJA058/1</w:t>
      </w:r>
    </w:p>
    <w:p>
      <w:pPr>
        <w:rPr>
          <w:rFonts w:hint="eastAsia" w:ascii="宋体" w:hAnsi="宋体" w:eastAsia="宋体"/>
          <w:b/>
          <w:bCs/>
          <w:sz w:val="32"/>
          <w:szCs w:val="32"/>
        </w:rPr>
      </w:pPr>
    </w:p>
    <w:p>
      <w:pPr>
        <w:ind w:left="2822" w:leftChars="900" w:hanging="842" w:hangingChars="262"/>
        <w:rPr>
          <w:rFonts w:hint="eastAsia" w:ascii="宋体" w:hAnsi="宋体" w:eastAsia="宋体"/>
          <w:b/>
          <w:bCs/>
          <w:sz w:val="32"/>
          <w:szCs w:val="32"/>
        </w:rPr>
      </w:pPr>
    </w:p>
    <w:p>
      <w:pPr>
        <w:ind w:left="0" w:leftChars="0" w:firstLine="0" w:firstLineChars="0"/>
        <w:rPr>
          <w:rFonts w:hint="eastAsia" w:ascii="宋体" w:hAnsi="宋体" w:eastAsia="宋体"/>
          <w:b/>
          <w:bCs/>
          <w:sz w:val="32"/>
          <w:szCs w:val="32"/>
        </w:rPr>
      </w:pPr>
    </w:p>
    <w:p>
      <w:pPr>
        <w:ind w:left="0" w:leftChars="0" w:firstLine="0" w:firstLineChars="0"/>
        <w:jc w:val="center"/>
        <w:rPr>
          <w:rFonts w:hint="eastAsia" w:ascii="宋体" w:hAnsi="宋体" w:eastAsia="宋体"/>
          <w:b/>
          <w:bCs/>
          <w:sz w:val="32"/>
          <w:szCs w:val="32"/>
        </w:rPr>
        <w:sectPr>
          <w:headerReference r:id="rId4" w:type="first"/>
          <w:headerReference r:id="rId3" w:type="default"/>
          <w:footerReference r:id="rId5" w:type="default"/>
          <w:pgSz w:w="11906" w:h="16838"/>
          <w:pgMar w:top="1440" w:right="1366" w:bottom="1440" w:left="1080" w:header="851" w:footer="907" w:gutter="0"/>
          <w:cols w:space="720" w:num="1"/>
          <w:titlePg/>
          <w:docGrid w:type="lines" w:linePitch="312" w:charSpace="0"/>
        </w:sectPr>
      </w:pPr>
      <w:r>
        <w:rPr>
          <w:rFonts w:ascii="宋体" w:hAnsi="宋体" w:eastAsia="宋体" w:cs="宋体"/>
          <w:kern w:val="0"/>
          <w:sz w:val="24"/>
          <w:szCs w:val="24"/>
          <w:lang w:val="en-US" w:eastAsia="zh-CN" w:bidi="ar"/>
        </w:rPr>
        <w:drawing>
          <wp:inline distT="0" distB="0" distL="114300" distR="114300">
            <wp:extent cx="4314825" cy="32480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2"/>
                    <a:stretch>
                      <a:fillRect/>
                    </a:stretch>
                  </pic:blipFill>
                  <pic:spPr>
                    <a:xfrm>
                      <a:off x="0" y="0"/>
                      <a:ext cx="4314825" cy="3248025"/>
                    </a:xfrm>
                    <a:prstGeom prst="rect">
                      <a:avLst/>
                    </a:prstGeom>
                    <a:noFill/>
                    <a:ln w="9525">
                      <a:noFill/>
                    </a:ln>
                  </pic:spPr>
                </pic:pic>
              </a:graphicData>
            </a:graphic>
          </wp:inline>
        </w:drawing>
      </w:r>
      <w:permStart w:id="1" w:edGrp="everyone"/>
      <w:permEnd w:id="1"/>
    </w:p>
    <w:p>
      <w:pPr>
        <w:spacing w:line="440" w:lineRule="exact"/>
        <w:ind w:firstLine="643" w:firstLineChars="200"/>
        <w:jc w:val="center"/>
        <w:rPr>
          <w:rFonts w:hint="eastAsia" w:ascii="宋体" w:hAnsi="宋体" w:eastAsia="宋体"/>
          <w:b/>
          <w:bCs/>
          <w:sz w:val="32"/>
          <w:szCs w:val="32"/>
        </w:rPr>
      </w:pPr>
      <w:r>
        <w:rPr>
          <w:rFonts w:hint="eastAsia" w:ascii="宋体" w:hAnsi="宋体" w:eastAsia="宋体"/>
          <w:b/>
          <w:bCs/>
          <w:sz w:val="32"/>
          <w:szCs w:val="32"/>
        </w:rPr>
        <w:t>关于投标文件邮寄形式的通知</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（一）本项目投标截止（开标）时间为：</w:t>
      </w:r>
      <w:r>
        <w:rPr>
          <w:rFonts w:hint="eastAsia" w:ascii="宋体" w:hAnsi="宋体" w:eastAsia="宋体"/>
          <w:b/>
          <w:bCs/>
          <w:sz w:val="24"/>
          <w:szCs w:val="24"/>
        </w:rPr>
        <w:t>2020年</w:t>
      </w:r>
      <w:r>
        <w:rPr>
          <w:rFonts w:hint="eastAsia" w:ascii="宋体" w:hAnsi="宋体" w:eastAsia="宋体"/>
          <w:b/>
          <w:bCs/>
          <w:sz w:val="24"/>
          <w:szCs w:val="24"/>
          <w:lang w:val="en-US" w:eastAsia="zh-CN"/>
        </w:rPr>
        <w:t>10</w:t>
      </w:r>
      <w:r>
        <w:rPr>
          <w:rFonts w:hint="eastAsia" w:ascii="宋体" w:hAnsi="宋体" w:eastAsia="宋体"/>
          <w:b/>
          <w:bCs/>
          <w:sz w:val="24"/>
          <w:szCs w:val="24"/>
        </w:rPr>
        <w:t>月</w:t>
      </w:r>
      <w:r>
        <w:rPr>
          <w:rFonts w:hint="eastAsia" w:ascii="宋体" w:hAnsi="宋体" w:eastAsia="宋体"/>
          <w:b/>
          <w:bCs/>
          <w:sz w:val="24"/>
          <w:szCs w:val="24"/>
          <w:lang w:val="en-US" w:eastAsia="zh-CN"/>
        </w:rPr>
        <w:t>16</w:t>
      </w:r>
      <w:r>
        <w:rPr>
          <w:rFonts w:hint="eastAsia" w:ascii="宋体" w:hAnsi="宋体" w:eastAsia="宋体"/>
          <w:b/>
          <w:bCs/>
          <w:sz w:val="24"/>
          <w:szCs w:val="24"/>
        </w:rPr>
        <w:t>日</w:t>
      </w:r>
      <w:r>
        <w:rPr>
          <w:rFonts w:hint="eastAsia" w:ascii="宋体" w:hAnsi="宋体" w:eastAsia="宋体"/>
          <w:b/>
          <w:bCs/>
          <w:sz w:val="24"/>
          <w:szCs w:val="24"/>
          <w:lang w:val="en-US" w:eastAsia="zh-CN"/>
        </w:rPr>
        <w:t>09</w:t>
      </w:r>
      <w:r>
        <w:rPr>
          <w:rFonts w:hint="eastAsia" w:ascii="宋体" w:hAnsi="宋体" w:eastAsia="宋体"/>
          <w:b/>
          <w:bCs/>
          <w:sz w:val="24"/>
          <w:szCs w:val="24"/>
        </w:rPr>
        <w:t>时</w:t>
      </w:r>
      <w:r>
        <w:rPr>
          <w:rFonts w:hint="eastAsia" w:ascii="宋体" w:hAnsi="宋体" w:eastAsia="宋体"/>
          <w:b/>
          <w:bCs/>
          <w:sz w:val="24"/>
          <w:szCs w:val="24"/>
          <w:lang w:val="en-US" w:eastAsia="zh-CN"/>
        </w:rPr>
        <w:t>30</w:t>
      </w:r>
      <w:r>
        <w:rPr>
          <w:rFonts w:hint="eastAsia" w:ascii="宋体" w:hAnsi="宋体" w:eastAsia="宋体"/>
          <w:b/>
          <w:bCs/>
          <w:sz w:val="24"/>
          <w:szCs w:val="24"/>
        </w:rPr>
        <w:t>分。</w:t>
      </w:r>
    </w:p>
    <w:p>
      <w:pPr>
        <w:spacing w:line="440" w:lineRule="exact"/>
        <w:ind w:firstLine="482" w:firstLineChars="200"/>
        <w:rPr>
          <w:rFonts w:hint="eastAsia" w:ascii="宋体" w:hAnsi="宋体" w:eastAsia="宋体"/>
          <w:b/>
          <w:sz w:val="24"/>
          <w:szCs w:val="24"/>
        </w:rPr>
      </w:pPr>
      <w:r>
        <w:rPr>
          <w:rFonts w:hint="eastAsia" w:ascii="宋体" w:hAnsi="宋体" w:eastAsia="宋体"/>
          <w:b/>
          <w:sz w:val="24"/>
          <w:szCs w:val="24"/>
        </w:rPr>
        <w:t>（二）本项目的投标文件通过邮寄快递的方式送达。</w:t>
      </w:r>
    </w:p>
    <w:p>
      <w:pPr>
        <w:spacing w:line="440" w:lineRule="exact"/>
        <w:ind w:firstLine="723" w:firstLineChars="300"/>
        <w:rPr>
          <w:rFonts w:hint="eastAsia" w:ascii="宋体" w:hAnsi="宋体" w:eastAsia="宋体"/>
          <w:b/>
          <w:sz w:val="24"/>
          <w:szCs w:val="24"/>
        </w:rPr>
      </w:pPr>
      <w:r>
        <w:rPr>
          <w:rFonts w:hint="eastAsia" w:ascii="宋体" w:hAnsi="宋体" w:eastAsia="宋体"/>
          <w:b/>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b/>
          <w:bCs/>
          <w:sz w:val="24"/>
          <w:szCs w:val="24"/>
        </w:rPr>
        <w:t>投标文件必须在投标截止时间前一小时（即</w:t>
      </w:r>
      <w:r>
        <w:rPr>
          <w:rFonts w:hint="eastAsia" w:ascii="宋体" w:hAnsi="宋体" w:eastAsia="宋体"/>
          <w:b/>
          <w:bCs/>
          <w:sz w:val="24"/>
          <w:szCs w:val="24"/>
          <w:lang w:val="en-US" w:eastAsia="zh-CN"/>
        </w:rPr>
        <w:t>08</w:t>
      </w:r>
      <w:r>
        <w:rPr>
          <w:rFonts w:hint="eastAsia" w:ascii="宋体" w:hAnsi="宋体" w:eastAsia="宋体"/>
          <w:b/>
          <w:bCs/>
          <w:sz w:val="24"/>
          <w:szCs w:val="24"/>
        </w:rPr>
        <w:t>时</w:t>
      </w:r>
      <w:r>
        <w:rPr>
          <w:rFonts w:hint="eastAsia" w:ascii="宋体" w:hAnsi="宋体" w:eastAsia="宋体"/>
          <w:b/>
          <w:bCs/>
          <w:sz w:val="24"/>
          <w:szCs w:val="24"/>
          <w:lang w:val="en-US" w:eastAsia="zh-CN"/>
        </w:rPr>
        <w:t>30</w:t>
      </w:r>
      <w:r>
        <w:rPr>
          <w:rFonts w:hint="eastAsia" w:ascii="宋体" w:hAnsi="宋体" w:eastAsia="宋体"/>
          <w:b/>
          <w:bCs/>
          <w:sz w:val="24"/>
          <w:szCs w:val="24"/>
        </w:rPr>
        <w:t>分）送达。</w:t>
      </w:r>
      <w:r>
        <w:rPr>
          <w:rFonts w:hint="eastAsia" w:ascii="宋体" w:hAnsi="宋体" w:eastAsia="宋体"/>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hint="eastAsia" w:ascii="宋体" w:hAnsi="宋体" w:eastAsia="宋体"/>
          <w:b/>
          <w:sz w:val="24"/>
          <w:szCs w:val="24"/>
        </w:rPr>
      </w:pPr>
      <w:r>
        <w:rPr>
          <w:rFonts w:hint="eastAsia" w:ascii="宋体" w:hAnsi="宋体" w:eastAsia="宋体"/>
          <w:sz w:val="24"/>
          <w:szCs w:val="24"/>
        </w:rPr>
        <w:t>3、投标人应充分预留投标文件邮寄、送达所需要的时间。为确保疫情防控期间邮寄包裹能及时送达，</w:t>
      </w:r>
      <w:r>
        <w:rPr>
          <w:rFonts w:hint="eastAsia" w:ascii="宋体" w:hAnsi="宋体" w:eastAsia="宋体"/>
          <w:b/>
          <w:sz w:val="24"/>
          <w:szCs w:val="24"/>
        </w:rPr>
        <w:t>应选择邮寄运送时间有保障的快递公司寄送投标文件。</w:t>
      </w:r>
    </w:p>
    <w:p>
      <w:pPr>
        <w:spacing w:line="440" w:lineRule="exact"/>
        <w:ind w:firstLine="720" w:firstLineChars="300"/>
        <w:rPr>
          <w:rFonts w:hint="eastAsia" w:ascii="宋体" w:hAnsi="宋体" w:eastAsia="宋体"/>
          <w:sz w:val="24"/>
          <w:szCs w:val="24"/>
        </w:rPr>
      </w:pPr>
      <w:r>
        <w:rPr>
          <w:rFonts w:hint="eastAsia" w:ascii="宋体" w:hAnsi="宋体" w:eastAsia="宋体"/>
          <w:sz w:val="24"/>
          <w:szCs w:val="24"/>
        </w:rPr>
        <w:t>4、投标人在按照</w:t>
      </w:r>
      <w:r>
        <w:rPr>
          <w:rFonts w:hint="eastAsia" w:ascii="宋体" w:hAnsi="宋体" w:eastAsia="宋体"/>
          <w:b/>
          <w:sz w:val="24"/>
          <w:szCs w:val="24"/>
        </w:rPr>
        <w:t>招标文件的要求</w:t>
      </w:r>
      <w:r>
        <w:rPr>
          <w:rFonts w:hint="eastAsia" w:ascii="宋体" w:hAnsi="宋体" w:eastAsia="宋体"/>
          <w:sz w:val="24"/>
          <w:szCs w:val="24"/>
        </w:rPr>
        <w:t>装订、密封好投标文件后，应使用不透明、防水的邮寄袋（或箱）再次包裹已密封好的投标文件，并在邮寄袋（或箱）上粘牢注明项目名称、项目编号、项目开标日期、有效的电子邮箱等内容的纸质表格</w:t>
      </w:r>
      <w:r>
        <w:rPr>
          <w:rFonts w:hint="eastAsia" w:ascii="宋体" w:hAnsi="宋体" w:eastAsia="宋体"/>
          <w:b/>
          <w:sz w:val="24"/>
          <w:szCs w:val="24"/>
        </w:rPr>
        <w:t>（表格格式详见附件）</w:t>
      </w:r>
      <w:r>
        <w:rPr>
          <w:rFonts w:hint="eastAsia" w:ascii="宋体" w:hAnsi="宋体" w:eastAsia="宋体"/>
          <w:sz w:val="24"/>
          <w:szCs w:val="24"/>
        </w:rPr>
        <w:t>。</w:t>
      </w:r>
    </w:p>
    <w:p>
      <w:pPr>
        <w:spacing w:line="440" w:lineRule="exact"/>
        <w:ind w:firstLine="723" w:firstLineChars="300"/>
        <w:rPr>
          <w:rFonts w:hint="eastAsia" w:ascii="宋体" w:hAnsi="宋体" w:eastAsia="宋体"/>
          <w:b/>
          <w:sz w:val="24"/>
          <w:szCs w:val="24"/>
        </w:rPr>
      </w:pPr>
      <w:r>
        <w:rPr>
          <w:rFonts w:hint="eastAsia" w:ascii="宋体" w:hAnsi="宋体" w:eastAsia="宋体"/>
          <w:b/>
          <w:sz w:val="24"/>
          <w:szCs w:val="24"/>
        </w:rPr>
        <w:t>5、采购代理机构在收到投标文件的邮寄包裹后，第一时间按照投标人在邮寄包裹上所预留的电子邮箱告知投标文件收件情况，请投标人务必确保所预留的电子邮箱的有效性，并注意查收邮件。</w:t>
      </w:r>
    </w:p>
    <w:p>
      <w:pPr>
        <w:spacing w:line="440" w:lineRule="exact"/>
        <w:ind w:firstLine="720" w:firstLineChars="300"/>
        <w:rPr>
          <w:rFonts w:hint="eastAsia" w:ascii="宋体" w:hAnsi="宋体" w:eastAsia="宋体"/>
          <w:sz w:val="24"/>
        </w:rPr>
      </w:pPr>
      <w:r>
        <w:rPr>
          <w:rFonts w:hint="eastAsia" w:ascii="宋体" w:hAnsi="宋体" w:eastAsia="宋体"/>
          <w:sz w:val="24"/>
          <w:szCs w:val="24"/>
        </w:rPr>
        <w:t>6、投标文件邮寄地址：</w:t>
      </w:r>
      <w:r>
        <w:rPr>
          <w:rFonts w:hint="eastAsia" w:ascii="宋体" w:hAnsi="宋体" w:eastAsia="宋体"/>
          <w:sz w:val="24"/>
        </w:rPr>
        <w:t>广西邕政采购代理有限公司（南宁市青秀区思贤路45号创投中心16A层）。</w:t>
      </w:r>
    </w:p>
    <w:p>
      <w:pPr>
        <w:spacing w:line="440" w:lineRule="exact"/>
        <w:ind w:firstLine="720" w:firstLineChars="300"/>
        <w:rPr>
          <w:rFonts w:hint="eastAsia" w:ascii="宋体" w:hAnsi="宋体" w:eastAsia="宋体"/>
          <w:sz w:val="24"/>
          <w:szCs w:val="24"/>
        </w:rPr>
      </w:pPr>
      <w:r>
        <w:rPr>
          <w:rFonts w:hint="eastAsia" w:ascii="宋体" w:hAnsi="宋体" w:eastAsia="宋体"/>
          <w:sz w:val="24"/>
          <w:szCs w:val="24"/>
        </w:rPr>
        <w:t>收件人：</w:t>
      </w:r>
      <w:r>
        <w:rPr>
          <w:rFonts w:hint="eastAsia" w:ascii="宋体" w:hAnsi="宋体" w:eastAsia="宋体"/>
          <w:sz w:val="24"/>
        </w:rPr>
        <w:t>黎工</w:t>
      </w:r>
    </w:p>
    <w:p>
      <w:pPr>
        <w:spacing w:line="440" w:lineRule="exact"/>
        <w:ind w:firstLine="720" w:firstLineChars="300"/>
        <w:rPr>
          <w:rFonts w:hint="eastAsia" w:ascii="宋体" w:hAnsi="宋体" w:eastAsia="宋体"/>
          <w:sz w:val="24"/>
          <w:szCs w:val="24"/>
        </w:rPr>
      </w:pPr>
      <w:r>
        <w:rPr>
          <w:rFonts w:hint="eastAsia" w:ascii="宋体" w:hAnsi="宋体" w:eastAsia="宋体"/>
          <w:sz w:val="24"/>
          <w:szCs w:val="24"/>
        </w:rPr>
        <w:t>联系电话：0771-2442850</w:t>
      </w:r>
    </w:p>
    <w:p>
      <w:pPr>
        <w:spacing w:line="440" w:lineRule="exact"/>
        <w:ind w:firstLine="480" w:firstLineChars="200"/>
        <w:rPr>
          <w:rFonts w:hint="eastAsia" w:ascii="宋体" w:hAnsi="宋体" w:eastAsia="宋体"/>
          <w:b/>
          <w:sz w:val="24"/>
          <w:szCs w:val="24"/>
        </w:rPr>
      </w:pPr>
      <w:r>
        <w:rPr>
          <w:rFonts w:hint="eastAsia" w:ascii="宋体" w:hAnsi="宋体" w:eastAsia="宋体"/>
          <w:sz w:val="24"/>
          <w:szCs w:val="24"/>
        </w:rPr>
        <w:t>（三）</w:t>
      </w:r>
      <w:r>
        <w:rPr>
          <w:rFonts w:hint="eastAsia" w:ascii="宋体" w:hAnsi="宋体" w:eastAsia="宋体"/>
          <w:b/>
          <w:sz w:val="24"/>
          <w:szCs w:val="24"/>
        </w:rPr>
        <w:t>投标人不参加现场开标活动。</w:t>
      </w:r>
      <w:r>
        <w:rPr>
          <w:rFonts w:hint="eastAsia" w:ascii="宋体" w:hAnsi="宋体" w:eastAsia="宋体"/>
          <w:sz w:val="24"/>
          <w:szCs w:val="24"/>
        </w:rPr>
        <w:t>取消招标文件“第四章投标人须知”中16.开标”的所有内容。</w:t>
      </w:r>
    </w:p>
    <w:p>
      <w:pPr>
        <w:spacing w:line="440" w:lineRule="exact"/>
        <w:ind w:firstLine="480" w:firstLineChars="200"/>
        <w:rPr>
          <w:rFonts w:hint="eastAsia" w:ascii="宋体" w:hAnsi="宋体" w:eastAsia="宋体"/>
          <w:sz w:val="24"/>
          <w:szCs w:val="24"/>
        </w:rPr>
        <w:sectPr>
          <w:pgSz w:w="11906" w:h="16838"/>
          <w:pgMar w:top="1440" w:right="1080" w:bottom="1440" w:left="1080" w:header="851" w:footer="907" w:gutter="0"/>
          <w:cols w:space="720" w:num="1"/>
          <w:titlePg/>
          <w:docGrid w:type="lines" w:linePitch="312" w:charSpace="0"/>
        </w:sectPr>
      </w:pP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（四）投标文件拆封及密封性检查。</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（五）关于投标人的报价。</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（六）关于投标文件澄清的有关要求</w:t>
      </w:r>
    </w:p>
    <w:p>
      <w:pPr>
        <w:spacing w:line="440" w:lineRule="exact"/>
        <w:ind w:firstLine="482" w:firstLineChars="200"/>
        <w:rPr>
          <w:rFonts w:hint="eastAsia" w:ascii="宋体" w:hAnsi="宋体" w:eastAsia="宋体"/>
          <w:b/>
          <w:sz w:val="24"/>
          <w:szCs w:val="24"/>
        </w:rPr>
      </w:pPr>
      <w:r>
        <w:rPr>
          <w:rFonts w:hint="eastAsia" w:ascii="宋体" w:hAnsi="宋体" w:eastAsia="宋体"/>
          <w:b/>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hint="eastAsia" w:ascii="宋体" w:hAnsi="宋体" w:eastAsia="宋体"/>
          <w:b/>
          <w:sz w:val="24"/>
          <w:szCs w:val="24"/>
        </w:rPr>
      </w:pPr>
      <w:r>
        <w:rPr>
          <w:rFonts w:hint="eastAsia" w:ascii="宋体" w:hAnsi="宋体" w:eastAsia="宋体"/>
          <w:sz w:val="24"/>
          <w:szCs w:val="24"/>
        </w:rPr>
        <w:t>2、</w:t>
      </w:r>
      <w:r>
        <w:rPr>
          <w:rFonts w:hint="eastAsia" w:ascii="宋体" w:hAnsi="宋体" w:eastAsia="宋体"/>
          <w:b/>
          <w:sz w:val="24"/>
          <w:szCs w:val="24"/>
        </w:rPr>
        <w:t>开标当天投标人务必保持电话畅通。</w:t>
      </w:r>
      <w:r>
        <w:rPr>
          <w:rFonts w:hint="eastAsia" w:ascii="宋体" w:hAnsi="宋体" w:eastAsia="宋体"/>
          <w:sz w:val="24"/>
          <w:szCs w:val="24"/>
        </w:rPr>
        <w:t>如果评标过程中需要投标人对投标文件作出澄清、说明或者补正的，评标委员会会通知投标人在规定的时间内通过电子邮件、传真等方式提交。</w:t>
      </w:r>
      <w:r>
        <w:rPr>
          <w:rFonts w:hint="eastAsia" w:ascii="宋体" w:hAnsi="宋体" w:eastAsia="宋体"/>
          <w:b/>
          <w:sz w:val="24"/>
          <w:szCs w:val="24"/>
        </w:rPr>
        <w:t>投标人所提交的澄清、说明或者补正等材料必须加盖投标人的公章确认。</w:t>
      </w:r>
    </w:p>
    <w:p>
      <w:pPr>
        <w:spacing w:line="440" w:lineRule="exact"/>
        <w:ind w:firstLine="482" w:firstLineChars="200"/>
        <w:rPr>
          <w:rFonts w:hint="eastAsia" w:ascii="宋体" w:hAnsi="宋体" w:eastAsia="宋体"/>
          <w:b/>
          <w:sz w:val="24"/>
          <w:szCs w:val="24"/>
        </w:rPr>
      </w:pPr>
      <w:r>
        <w:rPr>
          <w:rFonts w:hint="eastAsia" w:ascii="宋体" w:hAnsi="宋体" w:eastAsia="宋体"/>
          <w:b/>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（七）请按通知内容执行，招标文件其余内容不变。</w:t>
      </w:r>
    </w:p>
    <w:p>
      <w:pPr>
        <w:pStyle w:val="85"/>
        <w:spacing w:line="601" w:lineRule="atLeast"/>
        <w:ind w:firstLine="482"/>
        <w:rPr>
          <w:rFonts w:hint="eastAsia" w:ascii="宋体" w:hAnsi="宋体" w:eastAsia="宋体"/>
        </w:rPr>
      </w:pPr>
      <w:r>
        <w:rPr>
          <w:rFonts w:hint="eastAsia" w:ascii="宋体" w:hAnsi="宋体" w:eastAsia="宋体"/>
        </w:rPr>
        <w:t>特此通知。</w:t>
      </w:r>
    </w:p>
    <w:p>
      <w:pPr>
        <w:spacing w:line="440" w:lineRule="exact"/>
        <w:ind w:firstLine="4440" w:firstLineChars="1850"/>
        <w:rPr>
          <w:rFonts w:hint="eastAsia" w:ascii="宋体" w:hAnsi="宋体" w:eastAsia="宋体"/>
          <w:sz w:val="24"/>
        </w:rPr>
      </w:pPr>
      <w:r>
        <w:rPr>
          <w:rFonts w:hint="eastAsia" w:ascii="宋体" w:hAnsi="宋体" w:eastAsia="宋体"/>
          <w:sz w:val="24"/>
        </w:rPr>
        <w:t xml:space="preserve"> </w:t>
      </w:r>
    </w:p>
    <w:p>
      <w:pPr>
        <w:spacing w:line="440" w:lineRule="exact"/>
        <w:ind w:firstLine="4440" w:firstLineChars="1850"/>
        <w:rPr>
          <w:rFonts w:hint="eastAsia" w:ascii="宋体" w:hAnsi="宋体" w:eastAsia="宋体"/>
          <w:sz w:val="24"/>
        </w:rPr>
      </w:pPr>
      <w:r>
        <w:rPr>
          <w:rFonts w:hint="eastAsia" w:ascii="宋体" w:hAnsi="宋体" w:eastAsia="宋体"/>
          <w:sz w:val="24"/>
        </w:rPr>
        <w:t xml:space="preserve">采购代理机构：广西邕政采购代理有限公司 </w:t>
      </w:r>
    </w:p>
    <w:p>
      <w:pPr>
        <w:spacing w:line="440" w:lineRule="exact"/>
        <w:ind w:firstLine="5520" w:firstLineChars="2300"/>
        <w:rPr>
          <w:rFonts w:hint="eastAsia" w:ascii="宋体" w:hAnsi="宋体" w:eastAsia="宋体"/>
          <w:sz w:val="24"/>
        </w:rPr>
      </w:pPr>
      <w:r>
        <w:rPr>
          <w:rFonts w:hint="eastAsia" w:ascii="宋体" w:hAnsi="宋体" w:eastAsia="宋体"/>
          <w:sz w:val="24"/>
        </w:rPr>
        <w:t>日期：2020年</w:t>
      </w:r>
      <w:r>
        <w:rPr>
          <w:rFonts w:hint="eastAsia" w:ascii="宋体" w:hAnsi="宋体" w:eastAsia="宋体"/>
          <w:sz w:val="24"/>
          <w:lang w:val="en-US" w:eastAsia="zh-CN"/>
        </w:rPr>
        <w:t>9</w:t>
      </w:r>
      <w:r>
        <w:rPr>
          <w:rFonts w:hint="eastAsia" w:ascii="宋体" w:hAnsi="宋体" w:eastAsia="宋体"/>
          <w:sz w:val="24"/>
        </w:rPr>
        <w:t>月</w:t>
      </w:r>
      <w:r>
        <w:rPr>
          <w:rFonts w:hint="eastAsia" w:ascii="宋体" w:hAnsi="宋体" w:eastAsia="宋体"/>
          <w:sz w:val="24"/>
          <w:lang w:val="en-US" w:eastAsia="zh-CN"/>
        </w:rPr>
        <w:t>25</w:t>
      </w:r>
      <w:r>
        <w:rPr>
          <w:rFonts w:hint="eastAsia" w:ascii="宋体" w:hAnsi="宋体" w:eastAsia="宋体"/>
          <w:sz w:val="24"/>
        </w:rPr>
        <w:t>日</w:t>
      </w:r>
    </w:p>
    <w:p>
      <w:pPr>
        <w:spacing w:line="276" w:lineRule="auto"/>
        <w:rPr>
          <w:rFonts w:hint="eastAsia" w:ascii="宋体" w:hAnsi="宋体" w:eastAsia="宋体"/>
          <w:sz w:val="27"/>
          <w:szCs w:val="27"/>
        </w:rPr>
        <w:sectPr>
          <w:footerReference r:id="rId7" w:type="first"/>
          <w:footerReference r:id="rId6" w:type="default"/>
          <w:pgSz w:w="11906" w:h="16838"/>
          <w:pgMar w:top="1440" w:right="1080" w:bottom="1440" w:left="1080" w:header="851" w:footer="907" w:gutter="0"/>
          <w:cols w:space="720" w:num="1"/>
          <w:titlePg/>
          <w:docGrid w:type="lines" w:linePitch="312" w:charSpace="0"/>
        </w:sectPr>
      </w:pPr>
    </w:p>
    <w:p>
      <w:pPr>
        <w:spacing w:line="276" w:lineRule="auto"/>
        <w:rPr>
          <w:rFonts w:hint="eastAsia" w:ascii="宋体" w:hAnsi="宋体" w:eastAsia="宋体"/>
          <w:sz w:val="24"/>
          <w:szCs w:val="24"/>
        </w:rPr>
      </w:pPr>
      <w:r>
        <w:rPr>
          <w:rFonts w:hint="eastAsia" w:ascii="宋体" w:hAnsi="宋体" w:eastAsia="宋体"/>
          <w:sz w:val="27"/>
          <w:szCs w:val="27"/>
        </w:rPr>
        <w:t>附件：</w:t>
      </w:r>
    </w:p>
    <w:p>
      <w:pPr>
        <w:pStyle w:val="85"/>
        <w:jc w:val="center"/>
        <w:rPr>
          <w:rFonts w:hint="eastAsia" w:ascii="宋体" w:hAnsi="宋体" w:eastAsia="宋体"/>
          <w:sz w:val="18"/>
          <w:szCs w:val="18"/>
        </w:rPr>
      </w:pPr>
      <w:r>
        <w:rPr>
          <w:rFonts w:hint="eastAsia" w:ascii="宋体" w:hAnsi="宋体" w:eastAsia="宋体"/>
          <w:b/>
          <w:bCs/>
          <w:sz w:val="36"/>
          <w:szCs w:val="36"/>
        </w:rPr>
        <w:t>邮件外包粘贴表格（格式）</w:t>
      </w:r>
    </w:p>
    <w:p>
      <w:pPr>
        <w:pStyle w:val="85"/>
        <w:rPr>
          <w:rFonts w:hint="eastAsia" w:ascii="宋体" w:hAnsi="宋体" w:eastAsia="宋体"/>
          <w:sz w:val="18"/>
          <w:szCs w:val="18"/>
        </w:rPr>
      </w:pPr>
    </w:p>
    <w:p>
      <w:pPr>
        <w:pStyle w:val="85"/>
        <w:spacing w:line="360" w:lineRule="auto"/>
        <w:rPr>
          <w:rFonts w:hint="eastAsia" w:ascii="宋体" w:hAnsi="宋体" w:eastAsia="宋体"/>
          <w:sz w:val="18"/>
          <w:szCs w:val="18"/>
        </w:rPr>
      </w:pPr>
      <w:r>
        <w:rPr>
          <w:rFonts w:hint="eastAsia" w:ascii="宋体" w:hAnsi="宋体" w:eastAsia="宋体"/>
          <w:b/>
          <w:bCs/>
          <w:sz w:val="27"/>
          <w:szCs w:val="27"/>
        </w:rPr>
        <w:t>项目名称：</w:t>
      </w:r>
    </w:p>
    <w:p>
      <w:pPr>
        <w:pStyle w:val="85"/>
        <w:spacing w:line="360" w:lineRule="auto"/>
        <w:rPr>
          <w:rFonts w:hint="eastAsia" w:ascii="宋体" w:hAnsi="宋体" w:eastAsia="宋体"/>
          <w:sz w:val="18"/>
          <w:szCs w:val="18"/>
        </w:rPr>
      </w:pPr>
    </w:p>
    <w:p>
      <w:pPr>
        <w:pStyle w:val="85"/>
        <w:spacing w:line="360" w:lineRule="auto"/>
        <w:rPr>
          <w:rFonts w:hint="eastAsia" w:ascii="宋体" w:hAnsi="宋体" w:eastAsia="宋体"/>
          <w:sz w:val="18"/>
          <w:szCs w:val="18"/>
        </w:rPr>
      </w:pPr>
      <w:r>
        <w:rPr>
          <w:rFonts w:hint="eastAsia" w:ascii="宋体" w:hAnsi="宋体" w:eastAsia="宋体"/>
          <w:b/>
          <w:bCs/>
          <w:sz w:val="27"/>
          <w:szCs w:val="27"/>
        </w:rPr>
        <w:t>项目编号：</w:t>
      </w:r>
    </w:p>
    <w:p>
      <w:pPr>
        <w:pStyle w:val="85"/>
        <w:spacing w:line="360" w:lineRule="auto"/>
        <w:rPr>
          <w:rFonts w:hint="eastAsia" w:ascii="宋体" w:hAnsi="宋体" w:eastAsia="宋体"/>
          <w:sz w:val="18"/>
          <w:szCs w:val="18"/>
        </w:rPr>
      </w:pPr>
    </w:p>
    <w:p>
      <w:pPr>
        <w:pStyle w:val="85"/>
        <w:spacing w:line="360" w:lineRule="auto"/>
        <w:rPr>
          <w:rFonts w:hint="eastAsia" w:ascii="宋体" w:hAnsi="宋体" w:eastAsia="宋体"/>
          <w:b/>
          <w:bCs/>
          <w:sz w:val="27"/>
          <w:szCs w:val="27"/>
        </w:rPr>
      </w:pPr>
      <w:r>
        <w:rPr>
          <w:rFonts w:hint="eastAsia" w:ascii="宋体" w:hAnsi="宋体" w:eastAsia="宋体"/>
          <w:b/>
          <w:bCs/>
          <w:sz w:val="27"/>
          <w:szCs w:val="27"/>
        </w:rPr>
        <w:t>项目开标日期：</w:t>
      </w:r>
    </w:p>
    <w:p>
      <w:pPr>
        <w:pStyle w:val="85"/>
        <w:spacing w:line="360" w:lineRule="auto"/>
        <w:rPr>
          <w:rFonts w:hint="eastAsia" w:ascii="宋体" w:hAnsi="宋体" w:eastAsia="宋体"/>
          <w:b/>
          <w:bCs/>
          <w:sz w:val="27"/>
          <w:szCs w:val="27"/>
        </w:rPr>
      </w:pPr>
    </w:p>
    <w:p>
      <w:pPr>
        <w:pStyle w:val="85"/>
        <w:spacing w:line="360" w:lineRule="auto"/>
        <w:rPr>
          <w:rFonts w:hint="eastAsia" w:ascii="宋体" w:hAnsi="宋体" w:eastAsia="宋体"/>
          <w:b/>
          <w:bCs/>
          <w:sz w:val="27"/>
          <w:szCs w:val="27"/>
        </w:rPr>
      </w:pPr>
      <w:r>
        <w:rPr>
          <w:rFonts w:hint="eastAsia" w:ascii="宋体" w:hAnsi="宋体" w:eastAsia="宋体"/>
          <w:b/>
          <w:bCs/>
          <w:sz w:val="27"/>
          <w:szCs w:val="27"/>
        </w:rPr>
        <w:t>联系方式：</w:t>
      </w:r>
    </w:p>
    <w:p>
      <w:pPr>
        <w:pStyle w:val="85"/>
        <w:spacing w:line="360" w:lineRule="auto"/>
        <w:rPr>
          <w:rFonts w:hint="eastAsia" w:ascii="宋体" w:hAnsi="宋体" w:eastAsia="宋体"/>
          <w:b/>
          <w:bCs/>
          <w:sz w:val="27"/>
          <w:szCs w:val="27"/>
        </w:rPr>
      </w:pPr>
    </w:p>
    <w:p>
      <w:pPr>
        <w:pStyle w:val="85"/>
        <w:spacing w:line="360" w:lineRule="auto"/>
        <w:rPr>
          <w:rFonts w:hint="eastAsia" w:ascii="宋体" w:hAnsi="宋体" w:eastAsia="宋体"/>
          <w:sz w:val="18"/>
          <w:szCs w:val="18"/>
        </w:rPr>
      </w:pPr>
      <w:r>
        <w:rPr>
          <w:rFonts w:hint="eastAsia" w:ascii="宋体" w:hAnsi="宋体" w:eastAsia="宋体"/>
          <w:b/>
          <w:bCs/>
          <w:sz w:val="27"/>
          <w:szCs w:val="27"/>
        </w:rPr>
        <w:t>联系电子邮箱：</w:t>
      </w:r>
    </w:p>
    <w:p>
      <w:pPr>
        <w:pStyle w:val="17"/>
        <w:jc w:val="center"/>
        <w:rPr>
          <w:rFonts w:hint="eastAsia" w:ascii="宋体" w:hAnsi="宋体" w:eastAsia="宋体" w:cs="宋体"/>
          <w:b/>
          <w:sz w:val="48"/>
          <w:szCs w:val="48"/>
        </w:rPr>
        <w:sectPr>
          <w:footerReference r:id="rId9" w:type="first"/>
          <w:footerReference r:id="rId8" w:type="default"/>
          <w:pgSz w:w="11906" w:h="16838"/>
          <w:pgMar w:top="1440" w:right="1080" w:bottom="1440" w:left="1080" w:header="851" w:footer="907" w:gutter="0"/>
          <w:cols w:space="720" w:num="1"/>
          <w:titlePg/>
          <w:docGrid w:type="lines" w:linePitch="312" w:charSpace="0"/>
        </w:sectPr>
      </w:pPr>
    </w:p>
    <w:p>
      <w:pPr>
        <w:pStyle w:val="17"/>
        <w:jc w:val="center"/>
        <w:rPr>
          <w:rFonts w:hint="eastAsia" w:ascii="宋体" w:hAnsi="宋体" w:eastAsia="宋体" w:cs="宋体"/>
          <w:b/>
          <w:sz w:val="48"/>
          <w:szCs w:val="48"/>
        </w:rPr>
      </w:pPr>
      <w:r>
        <w:rPr>
          <w:rFonts w:hint="eastAsia" w:ascii="宋体" w:hAnsi="宋体" w:eastAsia="宋体" w:cs="宋体"/>
          <w:b/>
          <w:sz w:val="48"/>
          <w:szCs w:val="48"/>
        </w:rPr>
        <w:t>目     录</w:t>
      </w:r>
    </w:p>
    <w:p>
      <w:pPr>
        <w:pStyle w:val="17"/>
        <w:tabs>
          <w:tab w:val="left" w:pos="4011"/>
        </w:tabs>
        <w:rPr>
          <w:rFonts w:hint="eastAsia" w:ascii="宋体" w:hAnsi="宋体" w:eastAsia="宋体" w:cs="宋体"/>
          <w:b/>
          <w:sz w:val="48"/>
          <w:szCs w:val="48"/>
        </w:rPr>
      </w:pPr>
      <w:r>
        <w:rPr>
          <w:rFonts w:hint="eastAsia" w:ascii="宋体" w:hAnsi="宋体" w:eastAsia="宋体" w:cs="宋体"/>
          <w:b/>
          <w:sz w:val="48"/>
          <w:szCs w:val="48"/>
        </w:rPr>
        <w:tab/>
      </w:r>
      <w:permStart w:id="2" w:edGrp="everyone"/>
      <w:permEnd w:id="2"/>
    </w:p>
    <w:p>
      <w:pPr>
        <w:pStyle w:val="17"/>
        <w:rPr>
          <w:rFonts w:hint="eastAsia" w:ascii="宋体" w:hAnsi="宋体" w:eastAsia="宋体" w:cs="宋体"/>
          <w:b/>
          <w:sz w:val="48"/>
          <w:szCs w:val="48"/>
        </w:rPr>
      </w:pPr>
    </w:p>
    <w:p>
      <w:pPr>
        <w:pStyle w:val="20"/>
        <w:tabs>
          <w:tab w:val="right" w:leader="dot" w:pos="9746"/>
        </w:tabs>
        <w:rPr>
          <w:rFonts w:hint="eastAsia" w:ascii="宋体" w:hAnsi="宋体" w:eastAsia="宋体" w:cs="宋体"/>
          <w:b/>
          <w:sz w:val="28"/>
          <w:szCs w:val="36"/>
        </w:rPr>
      </w:pPr>
      <w:r>
        <w:rPr>
          <w:rFonts w:hint="eastAsia" w:ascii="宋体" w:hAnsi="宋体" w:eastAsia="宋体" w:cs="宋体"/>
          <w:b/>
          <w:bCs/>
          <w:sz w:val="56"/>
          <w:szCs w:val="56"/>
          <w:highlight w:val="yellow"/>
        </w:rPr>
        <w:fldChar w:fldCharType="begin"/>
      </w:r>
      <w:r>
        <w:rPr>
          <w:rFonts w:hint="eastAsia" w:ascii="宋体" w:hAnsi="宋体" w:eastAsia="宋体" w:cs="宋体"/>
          <w:b/>
          <w:bCs/>
          <w:sz w:val="56"/>
          <w:szCs w:val="56"/>
          <w:highlight w:val="yellow"/>
        </w:rPr>
        <w:instrText xml:space="preserve"> TOC \o "1-3" \h \z \u </w:instrText>
      </w:r>
      <w:r>
        <w:rPr>
          <w:rFonts w:hint="eastAsia" w:ascii="宋体" w:hAnsi="宋体" w:eastAsia="宋体" w:cs="宋体"/>
          <w:b/>
          <w:bCs/>
          <w:sz w:val="56"/>
          <w:szCs w:val="56"/>
          <w:highlight w:val="yellow"/>
        </w:rPr>
        <w:fldChar w:fldCharType="separate"/>
      </w:r>
      <w:r>
        <w:rPr>
          <w:rFonts w:hint="eastAsia" w:ascii="宋体" w:hAnsi="宋体" w:cs="宋体"/>
        </w:rPr>
        <w:fldChar w:fldCharType="begin"/>
      </w:r>
      <w:r>
        <w:rPr>
          <w:rFonts w:hint="eastAsia" w:ascii="宋体" w:hAnsi="宋体" w:cs="宋体"/>
        </w:rPr>
        <w:instrText xml:space="preserve"> HYPERLINK \l "_Toc26249" </w:instrText>
      </w:r>
      <w:r>
        <w:rPr>
          <w:rFonts w:hint="eastAsia" w:ascii="宋体" w:hAnsi="宋体" w:cs="宋体"/>
        </w:rPr>
        <w:fldChar w:fldCharType="separate"/>
      </w:r>
      <w:r>
        <w:rPr>
          <w:rFonts w:hint="eastAsia" w:ascii="宋体" w:hAnsi="宋体" w:eastAsia="宋体" w:cs="宋体"/>
          <w:b/>
          <w:sz w:val="28"/>
          <w:szCs w:val="36"/>
        </w:rPr>
        <w:t>第一章 公告</w:t>
      </w:r>
      <w:r>
        <w:rPr>
          <w:rFonts w:hint="eastAsia" w:ascii="宋体" w:hAnsi="宋体" w:eastAsia="宋体" w:cs="宋体"/>
          <w:b/>
          <w:sz w:val="28"/>
          <w:szCs w:val="36"/>
        </w:rPr>
        <w:tab/>
      </w:r>
      <w:r>
        <w:rPr>
          <w:rFonts w:hint="eastAsia" w:ascii="宋体" w:hAnsi="宋体" w:eastAsia="宋体" w:cs="宋体"/>
          <w:b/>
          <w:sz w:val="28"/>
          <w:szCs w:val="36"/>
        </w:rPr>
        <w:t>1</w:t>
      </w:r>
      <w:r>
        <w:rPr>
          <w:rFonts w:hint="eastAsia" w:ascii="宋体" w:hAnsi="宋体" w:eastAsia="宋体" w:cs="宋体"/>
          <w:b/>
          <w:sz w:val="28"/>
          <w:szCs w:val="36"/>
        </w:rPr>
        <w:fldChar w:fldCharType="end"/>
      </w:r>
    </w:p>
    <w:p>
      <w:pPr>
        <w:pStyle w:val="20"/>
        <w:tabs>
          <w:tab w:val="right" w:leader="dot" w:pos="9746"/>
        </w:tabs>
        <w:rPr>
          <w:rFonts w:hint="eastAsia" w:ascii="宋体" w:hAnsi="宋体" w:eastAsia="宋体" w:cs="宋体"/>
          <w:b/>
          <w:sz w:val="28"/>
          <w:szCs w:val="36"/>
        </w:rPr>
      </w:pPr>
      <w:r>
        <w:rPr>
          <w:rFonts w:hint="eastAsia" w:ascii="宋体" w:hAnsi="宋体" w:cs="宋体"/>
        </w:rPr>
        <w:fldChar w:fldCharType="begin"/>
      </w:r>
      <w:r>
        <w:rPr>
          <w:rFonts w:hint="eastAsia" w:ascii="宋体" w:hAnsi="宋体" w:cs="宋体"/>
        </w:rPr>
        <w:instrText xml:space="preserve"> HYPERLINK \l "_Toc32448" </w:instrText>
      </w:r>
      <w:r>
        <w:rPr>
          <w:rFonts w:hint="eastAsia" w:ascii="宋体" w:hAnsi="宋体" w:cs="宋体"/>
        </w:rPr>
        <w:fldChar w:fldCharType="separate"/>
      </w:r>
      <w:r>
        <w:rPr>
          <w:rFonts w:hint="eastAsia" w:ascii="宋体" w:hAnsi="宋体" w:eastAsia="宋体" w:cs="宋体"/>
          <w:b/>
          <w:sz w:val="28"/>
          <w:szCs w:val="36"/>
        </w:rPr>
        <w:t>第二章  服务需求一览表</w:t>
      </w:r>
      <w:r>
        <w:rPr>
          <w:rFonts w:hint="eastAsia" w:ascii="宋体" w:hAnsi="宋体" w:eastAsia="宋体" w:cs="宋体"/>
          <w:b/>
          <w:sz w:val="28"/>
          <w:szCs w:val="36"/>
        </w:rPr>
        <w:tab/>
      </w:r>
      <w:r>
        <w:rPr>
          <w:rFonts w:hint="eastAsia" w:ascii="宋体" w:hAnsi="宋体" w:eastAsia="宋体" w:cs="宋体"/>
          <w:b/>
          <w:sz w:val="28"/>
          <w:szCs w:val="36"/>
        </w:rPr>
        <w:t>4</w:t>
      </w:r>
      <w:r>
        <w:rPr>
          <w:rFonts w:hint="eastAsia" w:ascii="宋体" w:hAnsi="宋体" w:eastAsia="宋体" w:cs="宋体"/>
          <w:b/>
          <w:sz w:val="28"/>
          <w:szCs w:val="36"/>
        </w:rPr>
        <w:fldChar w:fldCharType="end"/>
      </w:r>
    </w:p>
    <w:p>
      <w:pPr>
        <w:pStyle w:val="20"/>
        <w:tabs>
          <w:tab w:val="right" w:leader="dot" w:pos="9746"/>
        </w:tabs>
        <w:rPr>
          <w:rFonts w:hint="eastAsia" w:ascii="宋体" w:hAnsi="宋体" w:eastAsia="宋体" w:cs="宋体"/>
          <w:b/>
          <w:sz w:val="28"/>
          <w:szCs w:val="36"/>
        </w:rPr>
      </w:pPr>
      <w:r>
        <w:rPr>
          <w:rFonts w:hint="eastAsia" w:ascii="宋体" w:hAnsi="宋体" w:cs="宋体"/>
        </w:rPr>
        <w:fldChar w:fldCharType="begin"/>
      </w:r>
      <w:r>
        <w:rPr>
          <w:rFonts w:hint="eastAsia" w:ascii="宋体" w:hAnsi="宋体" w:cs="宋体"/>
        </w:rPr>
        <w:instrText xml:space="preserve"> HYPERLINK \l "_Toc2133" </w:instrText>
      </w:r>
      <w:r>
        <w:rPr>
          <w:rFonts w:hint="eastAsia" w:ascii="宋体" w:hAnsi="宋体" w:cs="宋体"/>
        </w:rPr>
        <w:fldChar w:fldCharType="separate"/>
      </w:r>
      <w:r>
        <w:rPr>
          <w:rFonts w:hint="eastAsia" w:ascii="宋体" w:hAnsi="宋体" w:eastAsia="宋体" w:cs="宋体"/>
          <w:b/>
          <w:sz w:val="28"/>
          <w:szCs w:val="36"/>
        </w:rPr>
        <w:t>第三章  评审方法</w:t>
      </w:r>
      <w:r>
        <w:rPr>
          <w:rFonts w:hint="eastAsia" w:ascii="宋体" w:hAnsi="宋体" w:eastAsia="宋体" w:cs="宋体"/>
          <w:b/>
          <w:sz w:val="28"/>
          <w:szCs w:val="36"/>
        </w:rPr>
        <w:tab/>
      </w:r>
      <w:r>
        <w:rPr>
          <w:rFonts w:hint="eastAsia" w:ascii="宋体" w:hAnsi="宋体" w:eastAsia="宋体" w:cs="宋体"/>
          <w:b/>
          <w:sz w:val="28"/>
          <w:szCs w:val="36"/>
        </w:rPr>
        <w:fldChar w:fldCharType="begin"/>
      </w:r>
      <w:r>
        <w:rPr>
          <w:rFonts w:hint="eastAsia" w:ascii="宋体" w:hAnsi="宋体" w:eastAsia="宋体" w:cs="宋体"/>
          <w:b/>
          <w:sz w:val="28"/>
          <w:szCs w:val="36"/>
        </w:rPr>
        <w:instrText xml:space="preserve"> PAGEREF _Toc2133 </w:instrText>
      </w:r>
      <w:r>
        <w:rPr>
          <w:rFonts w:hint="eastAsia" w:ascii="宋体" w:hAnsi="宋体" w:eastAsia="宋体" w:cs="宋体"/>
          <w:b/>
          <w:sz w:val="28"/>
          <w:szCs w:val="36"/>
        </w:rPr>
        <w:fldChar w:fldCharType="separate"/>
      </w:r>
      <w:r>
        <w:rPr>
          <w:rFonts w:hint="eastAsia" w:ascii="宋体" w:hAnsi="宋体" w:eastAsia="宋体" w:cs="宋体"/>
          <w:b/>
          <w:sz w:val="28"/>
          <w:szCs w:val="36"/>
        </w:rPr>
        <w:t>75</w:t>
      </w:r>
      <w:r>
        <w:rPr>
          <w:rFonts w:hint="eastAsia" w:ascii="宋体" w:hAnsi="宋体" w:eastAsia="宋体" w:cs="宋体"/>
          <w:b/>
          <w:sz w:val="28"/>
          <w:szCs w:val="36"/>
        </w:rPr>
        <w:fldChar w:fldCharType="end"/>
      </w:r>
      <w:r>
        <w:rPr>
          <w:rFonts w:hint="eastAsia" w:ascii="宋体" w:hAnsi="宋体" w:eastAsia="宋体" w:cs="宋体"/>
          <w:b/>
          <w:sz w:val="28"/>
          <w:szCs w:val="36"/>
        </w:rPr>
        <w:fldChar w:fldCharType="end"/>
      </w:r>
    </w:p>
    <w:p>
      <w:pPr>
        <w:pStyle w:val="20"/>
        <w:tabs>
          <w:tab w:val="right" w:leader="dot" w:pos="9746"/>
        </w:tabs>
        <w:rPr>
          <w:rFonts w:hint="eastAsia" w:ascii="宋体" w:hAnsi="宋体" w:eastAsia="宋体" w:cs="宋体"/>
          <w:b/>
          <w:sz w:val="28"/>
          <w:szCs w:val="36"/>
          <w:lang w:eastAsia="zh-CN"/>
        </w:rPr>
      </w:pPr>
      <w:r>
        <w:rPr>
          <w:rFonts w:hint="eastAsia" w:ascii="宋体" w:hAnsi="宋体" w:cs="宋体"/>
        </w:rPr>
        <w:fldChar w:fldCharType="begin"/>
      </w:r>
      <w:r>
        <w:rPr>
          <w:rFonts w:hint="eastAsia" w:ascii="宋体" w:hAnsi="宋体" w:cs="宋体"/>
        </w:rPr>
        <w:instrText xml:space="preserve"> HYPERLINK \l "_Toc27800" </w:instrText>
      </w:r>
      <w:r>
        <w:rPr>
          <w:rFonts w:hint="eastAsia" w:ascii="宋体" w:hAnsi="宋体" w:cs="宋体"/>
        </w:rPr>
        <w:fldChar w:fldCharType="separate"/>
      </w:r>
      <w:r>
        <w:rPr>
          <w:rFonts w:hint="eastAsia" w:ascii="宋体" w:hAnsi="宋体" w:eastAsia="宋体" w:cs="宋体"/>
          <w:b/>
          <w:sz w:val="28"/>
          <w:szCs w:val="36"/>
        </w:rPr>
        <w:t>第四章  投标人须知</w:t>
      </w:r>
      <w:r>
        <w:rPr>
          <w:rFonts w:hint="eastAsia" w:ascii="宋体" w:hAnsi="宋体" w:eastAsia="宋体" w:cs="宋体"/>
          <w:b/>
          <w:sz w:val="28"/>
          <w:szCs w:val="36"/>
        </w:rPr>
        <w:tab/>
      </w:r>
      <w:r>
        <w:rPr>
          <w:rFonts w:hint="eastAsia" w:ascii="宋体" w:hAnsi="宋体" w:eastAsia="宋体" w:cs="宋体"/>
          <w:b/>
          <w:sz w:val="28"/>
          <w:szCs w:val="36"/>
        </w:rPr>
        <w:t>8</w:t>
      </w:r>
      <w:r>
        <w:rPr>
          <w:rFonts w:hint="eastAsia" w:ascii="宋体" w:hAnsi="宋体" w:eastAsia="宋体" w:cs="宋体"/>
          <w:b/>
          <w:sz w:val="28"/>
          <w:szCs w:val="36"/>
        </w:rPr>
        <w:fldChar w:fldCharType="end"/>
      </w:r>
      <w:r>
        <w:rPr>
          <w:rFonts w:hint="eastAsia" w:ascii="宋体" w:hAnsi="宋体" w:cs="宋体"/>
          <w:b/>
          <w:sz w:val="28"/>
          <w:szCs w:val="36"/>
          <w:lang w:val="en-US" w:eastAsia="zh-CN"/>
        </w:rPr>
        <w:t>0</w:t>
      </w:r>
    </w:p>
    <w:p>
      <w:pPr>
        <w:pStyle w:val="21"/>
        <w:tabs>
          <w:tab w:val="right" w:leader="dot" w:pos="9746"/>
        </w:tabs>
        <w:ind w:left="440"/>
        <w:rPr>
          <w:rFonts w:hint="eastAsia" w:ascii="宋体" w:hAnsi="宋体" w:eastAsia="宋体" w:cs="宋体"/>
          <w:b/>
          <w:sz w:val="28"/>
          <w:szCs w:val="36"/>
          <w:lang w:eastAsia="zh-CN"/>
        </w:rPr>
      </w:pPr>
      <w:r>
        <w:rPr>
          <w:rFonts w:hint="eastAsia" w:ascii="宋体" w:hAnsi="宋体" w:cs="宋体"/>
        </w:rPr>
        <w:fldChar w:fldCharType="begin"/>
      </w:r>
      <w:r>
        <w:rPr>
          <w:rFonts w:hint="eastAsia" w:ascii="宋体" w:hAnsi="宋体" w:cs="宋体"/>
        </w:rPr>
        <w:instrText xml:space="preserve"> HYPERLINK \l "_Toc5564" </w:instrText>
      </w:r>
      <w:r>
        <w:rPr>
          <w:rFonts w:hint="eastAsia" w:ascii="宋体" w:hAnsi="宋体" w:cs="宋体"/>
        </w:rPr>
        <w:fldChar w:fldCharType="separate"/>
      </w:r>
      <w:r>
        <w:rPr>
          <w:rFonts w:hint="eastAsia" w:ascii="宋体" w:hAnsi="宋体" w:eastAsia="宋体" w:cs="宋体"/>
          <w:b/>
          <w:sz w:val="28"/>
          <w:szCs w:val="40"/>
        </w:rPr>
        <w:t>一    总则</w:t>
      </w:r>
      <w:r>
        <w:rPr>
          <w:rFonts w:hint="eastAsia" w:ascii="宋体" w:hAnsi="宋体" w:eastAsia="宋体" w:cs="宋体"/>
          <w:b/>
          <w:sz w:val="28"/>
          <w:szCs w:val="36"/>
        </w:rPr>
        <w:tab/>
      </w:r>
      <w:r>
        <w:rPr>
          <w:rFonts w:hint="eastAsia" w:ascii="宋体" w:hAnsi="宋体" w:eastAsia="宋体" w:cs="宋体"/>
          <w:b/>
          <w:sz w:val="28"/>
          <w:szCs w:val="36"/>
        </w:rPr>
        <w:t>8</w:t>
      </w:r>
      <w:r>
        <w:rPr>
          <w:rFonts w:hint="eastAsia" w:ascii="宋体" w:hAnsi="宋体" w:eastAsia="宋体" w:cs="宋体"/>
          <w:b/>
          <w:sz w:val="28"/>
          <w:szCs w:val="36"/>
        </w:rPr>
        <w:fldChar w:fldCharType="end"/>
      </w:r>
      <w:r>
        <w:rPr>
          <w:rFonts w:hint="eastAsia" w:ascii="宋体" w:hAnsi="宋体" w:cs="宋体"/>
          <w:b/>
          <w:sz w:val="28"/>
          <w:szCs w:val="36"/>
          <w:lang w:val="en-US" w:eastAsia="zh-CN"/>
        </w:rPr>
        <w:t>3</w:t>
      </w:r>
    </w:p>
    <w:p>
      <w:pPr>
        <w:pStyle w:val="21"/>
        <w:tabs>
          <w:tab w:val="right" w:leader="dot" w:pos="9746"/>
        </w:tabs>
        <w:ind w:left="440"/>
        <w:rPr>
          <w:rFonts w:hint="eastAsia" w:ascii="宋体" w:hAnsi="宋体" w:eastAsia="宋体" w:cs="宋体"/>
          <w:b/>
          <w:sz w:val="28"/>
          <w:szCs w:val="36"/>
          <w:lang w:eastAsia="zh-CN"/>
        </w:rPr>
      </w:pPr>
      <w:r>
        <w:rPr>
          <w:rFonts w:hint="eastAsia" w:ascii="宋体" w:hAnsi="宋体" w:cs="宋体"/>
        </w:rPr>
        <w:fldChar w:fldCharType="begin"/>
      </w:r>
      <w:r>
        <w:rPr>
          <w:rFonts w:hint="eastAsia" w:ascii="宋体" w:hAnsi="宋体" w:cs="宋体"/>
        </w:rPr>
        <w:instrText xml:space="preserve"> HYPERLINK \l "_Toc19901" </w:instrText>
      </w:r>
      <w:r>
        <w:rPr>
          <w:rFonts w:hint="eastAsia" w:ascii="宋体" w:hAnsi="宋体" w:cs="宋体"/>
        </w:rPr>
        <w:fldChar w:fldCharType="separate"/>
      </w:r>
      <w:r>
        <w:rPr>
          <w:rFonts w:hint="eastAsia" w:ascii="宋体" w:hAnsi="宋体" w:eastAsia="宋体" w:cs="宋体"/>
          <w:b/>
          <w:sz w:val="28"/>
          <w:szCs w:val="40"/>
        </w:rPr>
        <w:t>二    公开招标文件</w:t>
      </w:r>
      <w:r>
        <w:rPr>
          <w:rFonts w:hint="eastAsia" w:ascii="宋体" w:hAnsi="宋体" w:eastAsia="宋体" w:cs="宋体"/>
          <w:b/>
          <w:sz w:val="28"/>
          <w:szCs w:val="36"/>
        </w:rPr>
        <w:tab/>
      </w:r>
      <w:r>
        <w:rPr>
          <w:rFonts w:hint="eastAsia" w:ascii="宋体" w:hAnsi="宋体" w:eastAsia="宋体" w:cs="宋体"/>
          <w:b/>
          <w:sz w:val="28"/>
          <w:szCs w:val="36"/>
        </w:rPr>
        <w:t>8</w:t>
      </w:r>
      <w:r>
        <w:rPr>
          <w:rFonts w:hint="eastAsia" w:ascii="宋体" w:hAnsi="宋体" w:eastAsia="宋体" w:cs="宋体"/>
          <w:b/>
          <w:sz w:val="28"/>
          <w:szCs w:val="36"/>
        </w:rPr>
        <w:fldChar w:fldCharType="end"/>
      </w:r>
      <w:r>
        <w:rPr>
          <w:rFonts w:hint="eastAsia" w:ascii="宋体" w:hAnsi="宋体" w:cs="宋体"/>
          <w:b/>
          <w:sz w:val="28"/>
          <w:szCs w:val="36"/>
          <w:lang w:val="en-US" w:eastAsia="zh-CN"/>
        </w:rPr>
        <w:t>6</w:t>
      </w:r>
    </w:p>
    <w:p>
      <w:pPr>
        <w:pStyle w:val="21"/>
        <w:tabs>
          <w:tab w:val="right" w:leader="dot" w:pos="9746"/>
        </w:tabs>
        <w:ind w:left="440"/>
        <w:rPr>
          <w:rFonts w:hint="eastAsia" w:ascii="宋体" w:hAnsi="宋体" w:eastAsia="宋体" w:cs="宋体"/>
          <w:b/>
          <w:sz w:val="28"/>
          <w:szCs w:val="36"/>
        </w:rPr>
      </w:pPr>
      <w:r>
        <w:rPr>
          <w:rFonts w:hint="eastAsia" w:ascii="宋体" w:hAnsi="宋体" w:cs="宋体"/>
        </w:rPr>
        <w:fldChar w:fldCharType="begin"/>
      </w:r>
      <w:r>
        <w:rPr>
          <w:rFonts w:hint="eastAsia" w:ascii="宋体" w:hAnsi="宋体" w:cs="宋体"/>
        </w:rPr>
        <w:instrText xml:space="preserve"> HYPERLINK \l "_Toc11232" </w:instrText>
      </w:r>
      <w:r>
        <w:rPr>
          <w:rFonts w:hint="eastAsia" w:ascii="宋体" w:hAnsi="宋体" w:cs="宋体"/>
        </w:rPr>
        <w:fldChar w:fldCharType="separate"/>
      </w:r>
      <w:r>
        <w:rPr>
          <w:rFonts w:hint="eastAsia" w:ascii="宋体" w:hAnsi="宋体" w:eastAsia="宋体" w:cs="宋体"/>
          <w:b/>
          <w:sz w:val="28"/>
          <w:szCs w:val="40"/>
        </w:rPr>
        <w:t>三    投标文件</w:t>
      </w:r>
      <w:r>
        <w:rPr>
          <w:rFonts w:hint="eastAsia" w:ascii="宋体" w:hAnsi="宋体" w:eastAsia="宋体" w:cs="宋体"/>
          <w:b/>
          <w:sz w:val="28"/>
          <w:szCs w:val="36"/>
        </w:rPr>
        <w:tab/>
      </w:r>
      <w:r>
        <w:rPr>
          <w:rFonts w:hint="eastAsia" w:ascii="宋体" w:hAnsi="宋体" w:eastAsia="宋体" w:cs="宋体"/>
          <w:b/>
          <w:sz w:val="28"/>
          <w:szCs w:val="36"/>
        </w:rPr>
        <w:fldChar w:fldCharType="begin"/>
      </w:r>
      <w:r>
        <w:rPr>
          <w:rFonts w:hint="eastAsia" w:ascii="宋体" w:hAnsi="宋体" w:eastAsia="宋体" w:cs="宋体"/>
          <w:b/>
          <w:sz w:val="28"/>
          <w:szCs w:val="36"/>
        </w:rPr>
        <w:instrText xml:space="preserve"> PAGEREF _Toc11232 </w:instrText>
      </w:r>
      <w:r>
        <w:rPr>
          <w:rFonts w:hint="eastAsia" w:ascii="宋体" w:hAnsi="宋体" w:eastAsia="宋体" w:cs="宋体"/>
          <w:b/>
          <w:sz w:val="28"/>
          <w:szCs w:val="36"/>
        </w:rPr>
        <w:fldChar w:fldCharType="separate"/>
      </w:r>
      <w:r>
        <w:rPr>
          <w:rFonts w:hint="eastAsia" w:ascii="宋体" w:hAnsi="宋体" w:eastAsia="宋体" w:cs="宋体"/>
          <w:b/>
          <w:sz w:val="28"/>
          <w:szCs w:val="36"/>
        </w:rPr>
        <w:t>87</w:t>
      </w:r>
      <w:r>
        <w:rPr>
          <w:rFonts w:hint="eastAsia" w:ascii="宋体" w:hAnsi="宋体" w:eastAsia="宋体" w:cs="宋体"/>
          <w:b/>
          <w:sz w:val="28"/>
          <w:szCs w:val="36"/>
        </w:rPr>
        <w:fldChar w:fldCharType="end"/>
      </w:r>
      <w:r>
        <w:rPr>
          <w:rFonts w:hint="eastAsia" w:ascii="宋体" w:hAnsi="宋体" w:eastAsia="宋体" w:cs="宋体"/>
          <w:b/>
          <w:sz w:val="28"/>
          <w:szCs w:val="36"/>
        </w:rPr>
        <w:fldChar w:fldCharType="end"/>
      </w:r>
    </w:p>
    <w:p>
      <w:pPr>
        <w:pStyle w:val="21"/>
        <w:tabs>
          <w:tab w:val="right" w:leader="dot" w:pos="9746"/>
        </w:tabs>
        <w:ind w:left="440"/>
        <w:rPr>
          <w:rFonts w:hint="eastAsia" w:ascii="宋体" w:hAnsi="宋体" w:eastAsia="宋体" w:cs="宋体"/>
          <w:b/>
          <w:sz w:val="28"/>
          <w:szCs w:val="36"/>
          <w:lang w:eastAsia="zh-CN"/>
        </w:rPr>
      </w:pPr>
      <w:r>
        <w:rPr>
          <w:rFonts w:hint="eastAsia" w:ascii="宋体" w:hAnsi="宋体" w:cs="宋体"/>
        </w:rPr>
        <w:fldChar w:fldCharType="begin"/>
      </w:r>
      <w:r>
        <w:rPr>
          <w:rFonts w:hint="eastAsia" w:ascii="宋体" w:hAnsi="宋体" w:cs="宋体"/>
        </w:rPr>
        <w:instrText xml:space="preserve"> HYPERLINK \l "_Toc23984" </w:instrText>
      </w:r>
      <w:r>
        <w:rPr>
          <w:rFonts w:hint="eastAsia" w:ascii="宋体" w:hAnsi="宋体" w:cs="宋体"/>
        </w:rPr>
        <w:fldChar w:fldCharType="separate"/>
      </w:r>
      <w:r>
        <w:rPr>
          <w:rFonts w:hint="eastAsia" w:ascii="宋体" w:hAnsi="宋体" w:eastAsia="宋体" w:cs="宋体"/>
          <w:b/>
          <w:sz w:val="28"/>
          <w:szCs w:val="40"/>
        </w:rPr>
        <w:t>四    投标</w:t>
      </w:r>
      <w:r>
        <w:rPr>
          <w:rFonts w:hint="eastAsia" w:ascii="宋体" w:hAnsi="宋体" w:eastAsia="宋体" w:cs="宋体"/>
          <w:b/>
          <w:sz w:val="28"/>
          <w:szCs w:val="36"/>
        </w:rPr>
        <w:tab/>
      </w:r>
      <w:r>
        <w:rPr>
          <w:rFonts w:hint="eastAsia" w:ascii="宋体" w:hAnsi="宋体" w:eastAsia="宋体" w:cs="宋体"/>
          <w:b/>
          <w:sz w:val="28"/>
          <w:szCs w:val="36"/>
        </w:rPr>
        <w:t>9</w:t>
      </w:r>
      <w:r>
        <w:rPr>
          <w:rFonts w:hint="eastAsia" w:ascii="宋体" w:hAnsi="宋体" w:eastAsia="宋体" w:cs="宋体"/>
          <w:b/>
          <w:sz w:val="28"/>
          <w:szCs w:val="36"/>
        </w:rPr>
        <w:fldChar w:fldCharType="end"/>
      </w:r>
      <w:r>
        <w:rPr>
          <w:rFonts w:hint="eastAsia" w:ascii="宋体" w:hAnsi="宋体" w:cs="宋体"/>
          <w:b/>
          <w:sz w:val="28"/>
          <w:szCs w:val="36"/>
          <w:lang w:val="en-US" w:eastAsia="zh-CN"/>
        </w:rPr>
        <w:t>1</w:t>
      </w:r>
    </w:p>
    <w:p>
      <w:pPr>
        <w:pStyle w:val="21"/>
        <w:tabs>
          <w:tab w:val="right" w:leader="dot" w:pos="9746"/>
        </w:tabs>
        <w:ind w:left="440"/>
        <w:rPr>
          <w:rFonts w:hint="eastAsia" w:ascii="宋体" w:hAnsi="宋体" w:eastAsia="宋体" w:cs="宋体"/>
          <w:b/>
          <w:sz w:val="28"/>
          <w:szCs w:val="36"/>
          <w:lang w:eastAsia="zh-CN"/>
        </w:rPr>
      </w:pPr>
      <w:r>
        <w:rPr>
          <w:rFonts w:hint="eastAsia" w:ascii="宋体" w:hAnsi="宋体" w:cs="宋体"/>
        </w:rPr>
        <w:fldChar w:fldCharType="begin"/>
      </w:r>
      <w:r>
        <w:rPr>
          <w:rFonts w:hint="eastAsia" w:ascii="宋体" w:hAnsi="宋体" w:cs="宋体"/>
        </w:rPr>
        <w:instrText xml:space="preserve"> HYPERLINK \l "_Toc1928" </w:instrText>
      </w:r>
      <w:r>
        <w:rPr>
          <w:rFonts w:hint="eastAsia" w:ascii="宋体" w:hAnsi="宋体" w:cs="宋体"/>
        </w:rPr>
        <w:fldChar w:fldCharType="separate"/>
      </w:r>
      <w:r>
        <w:rPr>
          <w:rFonts w:hint="eastAsia" w:ascii="宋体" w:hAnsi="宋体" w:eastAsia="宋体" w:cs="宋体"/>
          <w:b/>
          <w:sz w:val="28"/>
          <w:szCs w:val="40"/>
        </w:rPr>
        <w:t>五  开标、资格审查与评标</w:t>
      </w:r>
      <w:r>
        <w:rPr>
          <w:rFonts w:hint="eastAsia" w:ascii="宋体" w:hAnsi="宋体" w:eastAsia="宋体" w:cs="宋体"/>
          <w:b/>
          <w:sz w:val="28"/>
          <w:szCs w:val="36"/>
        </w:rPr>
        <w:tab/>
      </w:r>
      <w:r>
        <w:rPr>
          <w:rFonts w:hint="eastAsia" w:ascii="宋体" w:hAnsi="宋体" w:eastAsia="宋体" w:cs="宋体"/>
          <w:b/>
          <w:sz w:val="28"/>
          <w:szCs w:val="36"/>
        </w:rPr>
        <w:t>9</w:t>
      </w:r>
      <w:r>
        <w:rPr>
          <w:rFonts w:hint="eastAsia" w:ascii="宋体" w:hAnsi="宋体" w:eastAsia="宋体" w:cs="宋体"/>
          <w:b/>
          <w:sz w:val="28"/>
          <w:szCs w:val="36"/>
        </w:rPr>
        <w:fldChar w:fldCharType="end"/>
      </w:r>
      <w:r>
        <w:rPr>
          <w:rFonts w:hint="eastAsia" w:ascii="宋体" w:hAnsi="宋体" w:cs="宋体"/>
          <w:b/>
          <w:sz w:val="28"/>
          <w:szCs w:val="36"/>
          <w:lang w:val="en-US" w:eastAsia="zh-CN"/>
        </w:rPr>
        <w:t>2</w:t>
      </w:r>
    </w:p>
    <w:p>
      <w:pPr>
        <w:pStyle w:val="21"/>
        <w:tabs>
          <w:tab w:val="right" w:leader="dot" w:pos="9746"/>
        </w:tabs>
        <w:ind w:left="440"/>
        <w:rPr>
          <w:rFonts w:hint="eastAsia" w:ascii="宋体" w:hAnsi="宋体" w:eastAsia="宋体" w:cs="宋体"/>
          <w:b/>
          <w:sz w:val="28"/>
          <w:szCs w:val="36"/>
          <w:lang w:eastAsia="zh-CN"/>
        </w:rPr>
      </w:pPr>
      <w:r>
        <w:rPr>
          <w:rFonts w:hint="eastAsia" w:ascii="宋体" w:hAnsi="宋体" w:cs="宋体"/>
        </w:rPr>
        <w:fldChar w:fldCharType="begin"/>
      </w:r>
      <w:r>
        <w:rPr>
          <w:rFonts w:hint="eastAsia" w:ascii="宋体" w:hAnsi="宋体" w:cs="宋体"/>
        </w:rPr>
        <w:instrText xml:space="preserve"> HYPERLINK \l "_Toc8281" </w:instrText>
      </w:r>
      <w:r>
        <w:rPr>
          <w:rFonts w:hint="eastAsia" w:ascii="宋体" w:hAnsi="宋体" w:cs="宋体"/>
        </w:rPr>
        <w:fldChar w:fldCharType="separate"/>
      </w:r>
      <w:r>
        <w:rPr>
          <w:rFonts w:hint="eastAsia" w:ascii="宋体" w:hAnsi="宋体" w:eastAsia="宋体" w:cs="宋体"/>
          <w:b/>
          <w:sz w:val="28"/>
          <w:szCs w:val="40"/>
        </w:rPr>
        <w:t>六    合同授予</w:t>
      </w:r>
      <w:r>
        <w:rPr>
          <w:rFonts w:hint="eastAsia" w:ascii="宋体" w:hAnsi="宋体" w:eastAsia="宋体" w:cs="宋体"/>
          <w:b/>
          <w:sz w:val="28"/>
          <w:szCs w:val="36"/>
        </w:rPr>
        <w:tab/>
      </w:r>
      <w:r>
        <w:rPr>
          <w:rFonts w:hint="eastAsia" w:ascii="宋体" w:hAnsi="宋体" w:eastAsia="宋体" w:cs="宋体"/>
          <w:b/>
          <w:sz w:val="28"/>
          <w:szCs w:val="36"/>
        </w:rPr>
        <w:fldChar w:fldCharType="end"/>
      </w:r>
      <w:r>
        <w:rPr>
          <w:rFonts w:hint="eastAsia" w:ascii="宋体" w:hAnsi="宋体" w:cs="宋体"/>
          <w:b/>
          <w:sz w:val="28"/>
          <w:szCs w:val="36"/>
          <w:lang w:val="en-US" w:eastAsia="zh-CN"/>
        </w:rPr>
        <w:t>96</w:t>
      </w:r>
    </w:p>
    <w:p>
      <w:pPr>
        <w:pStyle w:val="21"/>
        <w:tabs>
          <w:tab w:val="right" w:leader="dot" w:pos="9746"/>
        </w:tabs>
        <w:ind w:left="440"/>
        <w:rPr>
          <w:rFonts w:hint="eastAsia" w:ascii="宋体" w:hAnsi="宋体" w:eastAsia="宋体" w:cs="宋体"/>
          <w:b/>
          <w:sz w:val="28"/>
          <w:szCs w:val="36"/>
        </w:rPr>
      </w:pPr>
      <w:r>
        <w:rPr>
          <w:rFonts w:hint="eastAsia" w:ascii="宋体" w:hAnsi="宋体" w:cs="宋体"/>
        </w:rPr>
        <w:fldChar w:fldCharType="begin"/>
      </w:r>
      <w:r>
        <w:rPr>
          <w:rFonts w:hint="eastAsia" w:ascii="宋体" w:hAnsi="宋体" w:cs="宋体"/>
        </w:rPr>
        <w:instrText xml:space="preserve"> HYPERLINK \l "_Toc22087" </w:instrText>
      </w:r>
      <w:r>
        <w:rPr>
          <w:rFonts w:hint="eastAsia" w:ascii="宋体" w:hAnsi="宋体" w:cs="宋体"/>
        </w:rPr>
        <w:fldChar w:fldCharType="separate"/>
      </w:r>
      <w:r>
        <w:rPr>
          <w:rFonts w:hint="eastAsia" w:ascii="宋体" w:hAnsi="宋体" w:eastAsia="宋体" w:cs="宋体"/>
          <w:b/>
          <w:sz w:val="28"/>
          <w:szCs w:val="40"/>
        </w:rPr>
        <w:t>七    其他事项</w:t>
      </w:r>
      <w:r>
        <w:rPr>
          <w:rFonts w:hint="eastAsia" w:ascii="宋体" w:hAnsi="宋体" w:eastAsia="宋体" w:cs="宋体"/>
          <w:b/>
          <w:sz w:val="28"/>
          <w:szCs w:val="36"/>
        </w:rPr>
        <w:tab/>
      </w:r>
      <w:r>
        <w:rPr>
          <w:rFonts w:hint="eastAsia" w:ascii="宋体" w:hAnsi="宋体" w:eastAsia="宋体" w:cs="宋体"/>
          <w:b/>
          <w:sz w:val="28"/>
          <w:szCs w:val="36"/>
        </w:rPr>
        <w:fldChar w:fldCharType="end"/>
      </w:r>
      <w:r>
        <w:rPr>
          <w:rFonts w:hint="eastAsia" w:ascii="宋体" w:hAnsi="宋体" w:cs="宋体"/>
          <w:b/>
          <w:sz w:val="28"/>
          <w:szCs w:val="36"/>
          <w:lang w:val="en-US" w:eastAsia="zh-CN"/>
        </w:rPr>
        <w:t>97</w:t>
      </w:r>
    </w:p>
    <w:p>
      <w:pPr>
        <w:pStyle w:val="20"/>
        <w:tabs>
          <w:tab w:val="right" w:leader="dot" w:pos="9746"/>
        </w:tabs>
        <w:rPr>
          <w:rFonts w:hint="eastAsia" w:ascii="宋体" w:hAnsi="宋体" w:eastAsia="宋体" w:cs="宋体"/>
          <w:b/>
          <w:sz w:val="28"/>
          <w:szCs w:val="36"/>
        </w:rPr>
      </w:pPr>
      <w:r>
        <w:rPr>
          <w:rFonts w:hint="eastAsia" w:ascii="宋体" w:hAnsi="宋体" w:cs="宋体"/>
        </w:rPr>
        <w:fldChar w:fldCharType="begin"/>
      </w:r>
      <w:r>
        <w:rPr>
          <w:rFonts w:hint="eastAsia" w:ascii="宋体" w:hAnsi="宋体" w:cs="宋体"/>
        </w:rPr>
        <w:instrText xml:space="preserve"> HYPERLINK \l "_Toc10506" </w:instrText>
      </w:r>
      <w:r>
        <w:rPr>
          <w:rFonts w:hint="eastAsia" w:ascii="宋体" w:hAnsi="宋体" w:cs="宋体"/>
        </w:rPr>
        <w:fldChar w:fldCharType="separate"/>
      </w:r>
      <w:r>
        <w:rPr>
          <w:rFonts w:hint="eastAsia" w:ascii="宋体" w:hAnsi="宋体" w:eastAsia="宋体" w:cs="宋体"/>
          <w:b/>
          <w:sz w:val="28"/>
          <w:szCs w:val="36"/>
        </w:rPr>
        <w:t>第五章  投标文件格式</w:t>
      </w:r>
      <w:r>
        <w:rPr>
          <w:rFonts w:hint="eastAsia" w:ascii="宋体" w:hAnsi="宋体" w:eastAsia="宋体" w:cs="宋体"/>
          <w:b/>
          <w:sz w:val="28"/>
          <w:szCs w:val="36"/>
        </w:rPr>
        <w:tab/>
      </w:r>
      <w:r>
        <w:rPr>
          <w:rFonts w:hint="eastAsia" w:ascii="宋体" w:hAnsi="宋体" w:eastAsia="宋体" w:cs="宋体"/>
          <w:b/>
          <w:sz w:val="28"/>
          <w:szCs w:val="36"/>
        </w:rPr>
        <w:fldChar w:fldCharType="end"/>
      </w:r>
      <w:r>
        <w:rPr>
          <w:rFonts w:hint="eastAsia" w:ascii="宋体" w:hAnsi="宋体" w:cs="宋体"/>
          <w:b/>
          <w:sz w:val="28"/>
          <w:szCs w:val="36"/>
          <w:lang w:val="en-US" w:eastAsia="zh-CN"/>
        </w:rPr>
        <w:t>98</w:t>
      </w:r>
    </w:p>
    <w:p>
      <w:pPr>
        <w:pStyle w:val="20"/>
        <w:tabs>
          <w:tab w:val="right" w:leader="dot" w:pos="9746"/>
        </w:tabs>
        <w:rPr>
          <w:rFonts w:hint="eastAsia" w:ascii="宋体" w:hAnsi="宋体" w:eastAsia="宋体" w:cs="宋体"/>
          <w:b/>
          <w:sz w:val="28"/>
          <w:szCs w:val="36"/>
          <w:lang w:eastAsia="zh-CN"/>
        </w:rPr>
      </w:pPr>
      <w:r>
        <w:rPr>
          <w:rFonts w:hint="eastAsia" w:ascii="宋体" w:hAnsi="宋体" w:cs="宋体"/>
        </w:rPr>
        <w:fldChar w:fldCharType="begin"/>
      </w:r>
      <w:r>
        <w:rPr>
          <w:rFonts w:hint="eastAsia" w:ascii="宋体" w:hAnsi="宋体" w:cs="宋体"/>
        </w:rPr>
        <w:instrText xml:space="preserve"> HYPERLINK \l "_Toc12816" </w:instrText>
      </w:r>
      <w:r>
        <w:rPr>
          <w:rFonts w:hint="eastAsia" w:ascii="宋体" w:hAnsi="宋体" w:cs="宋体"/>
        </w:rPr>
        <w:fldChar w:fldCharType="separate"/>
      </w:r>
      <w:r>
        <w:rPr>
          <w:rFonts w:hint="eastAsia" w:ascii="宋体" w:hAnsi="宋体" w:eastAsia="宋体" w:cs="宋体"/>
          <w:b/>
          <w:sz w:val="28"/>
          <w:szCs w:val="48"/>
        </w:rPr>
        <w:t>第六章  合同条款及格式</w:t>
      </w:r>
      <w:r>
        <w:rPr>
          <w:rFonts w:hint="eastAsia" w:ascii="宋体" w:hAnsi="宋体" w:eastAsia="宋体" w:cs="宋体"/>
          <w:b/>
          <w:sz w:val="28"/>
          <w:szCs w:val="36"/>
        </w:rPr>
        <w:tab/>
      </w:r>
      <w:r>
        <w:rPr>
          <w:rFonts w:hint="eastAsia" w:ascii="宋体" w:hAnsi="宋体" w:eastAsia="宋体" w:cs="宋体"/>
          <w:b/>
          <w:sz w:val="28"/>
          <w:szCs w:val="36"/>
        </w:rPr>
        <w:t>1</w:t>
      </w:r>
      <w:r>
        <w:rPr>
          <w:rFonts w:hint="eastAsia" w:ascii="宋体" w:hAnsi="宋体" w:eastAsia="宋体" w:cs="宋体"/>
          <w:b/>
          <w:sz w:val="28"/>
          <w:szCs w:val="36"/>
        </w:rPr>
        <w:fldChar w:fldCharType="end"/>
      </w:r>
      <w:r>
        <w:rPr>
          <w:rFonts w:hint="eastAsia" w:ascii="宋体" w:hAnsi="宋体" w:eastAsia="宋体" w:cs="宋体"/>
          <w:b/>
          <w:sz w:val="28"/>
          <w:szCs w:val="36"/>
        </w:rPr>
        <w:t>1</w:t>
      </w:r>
      <w:r>
        <w:rPr>
          <w:rFonts w:hint="eastAsia" w:ascii="宋体" w:hAnsi="宋体" w:cs="宋体"/>
          <w:b/>
          <w:sz w:val="28"/>
          <w:szCs w:val="36"/>
          <w:lang w:val="en-US" w:eastAsia="zh-CN"/>
        </w:rPr>
        <w:t>1</w:t>
      </w:r>
    </w:p>
    <w:p>
      <w:pPr>
        <w:pStyle w:val="64"/>
        <w:tabs>
          <w:tab w:val="right" w:leader="dot" w:pos="9660"/>
        </w:tabs>
        <w:spacing w:before="0" w:after="0" w:line="600" w:lineRule="exact"/>
        <w:rPr>
          <w:rFonts w:hint="eastAsia" w:ascii="宋体" w:hAnsi="宋体" w:eastAsia="宋体" w:cs="宋体"/>
          <w:b w:val="0"/>
          <w:bCs w:val="0"/>
          <w:caps w:val="0"/>
          <w:sz w:val="72"/>
          <w:szCs w:val="72"/>
        </w:rPr>
      </w:pPr>
      <w:r>
        <w:rPr>
          <w:rFonts w:hint="eastAsia" w:ascii="宋体" w:hAnsi="宋体" w:eastAsia="宋体" w:cs="宋体"/>
          <w:sz w:val="24"/>
          <w:szCs w:val="56"/>
          <w:highlight w:val="yellow"/>
        </w:rPr>
        <w:fldChar w:fldCharType="end"/>
      </w:r>
      <w:bookmarkStart w:id="0" w:name="_Toc213206171"/>
      <w:bookmarkStart w:id="1" w:name="_Toc139966433"/>
      <w:bookmarkStart w:id="2" w:name="_Toc213325920"/>
      <w:bookmarkStart w:id="3" w:name="_Toc139967217"/>
      <w:bookmarkStart w:id="4" w:name="_Toc139966426"/>
      <w:bookmarkStart w:id="5" w:name="_Toc139967210"/>
    </w:p>
    <w:p>
      <w:pPr>
        <w:pStyle w:val="17"/>
        <w:jc w:val="center"/>
        <w:rPr>
          <w:rFonts w:hint="eastAsia" w:ascii="宋体" w:hAnsi="宋体" w:eastAsia="宋体" w:cs="宋体"/>
          <w:b/>
          <w:bCs/>
          <w:caps/>
          <w:sz w:val="28"/>
          <w:szCs w:val="28"/>
        </w:rPr>
      </w:pPr>
    </w:p>
    <w:p>
      <w:pPr>
        <w:pStyle w:val="65"/>
        <w:widowControl w:val="0"/>
        <w:numPr>
          <w:ilvl w:val="255"/>
          <w:numId w:val="0"/>
        </w:numPr>
        <w:spacing w:after="156" w:line="500" w:lineRule="exact"/>
        <w:outlineLvl w:val="0"/>
        <w:rPr>
          <w:rFonts w:hint="eastAsia" w:ascii="宋体" w:hAnsi="宋体" w:eastAsia="宋体" w:cs="宋体"/>
          <w:b/>
          <w:bCs/>
          <w:caps/>
          <w:sz w:val="28"/>
          <w:szCs w:val="28"/>
        </w:rPr>
        <w:sectPr>
          <w:pgSz w:w="11906" w:h="16838"/>
          <w:pgMar w:top="1440" w:right="1080" w:bottom="1440" w:left="1080" w:header="851" w:footer="907" w:gutter="0"/>
          <w:cols w:space="720" w:num="1"/>
          <w:titlePg/>
          <w:docGrid w:type="lines" w:linePitch="312" w:charSpace="0"/>
        </w:sectPr>
      </w:pPr>
    </w:p>
    <w:p>
      <w:pPr>
        <w:pStyle w:val="65"/>
        <w:widowControl w:val="0"/>
        <w:numPr>
          <w:ilvl w:val="255"/>
          <w:numId w:val="0"/>
        </w:numPr>
        <w:spacing w:after="156" w:line="500" w:lineRule="exact"/>
        <w:jc w:val="center"/>
        <w:outlineLvl w:val="0"/>
        <w:rPr>
          <w:rFonts w:hint="eastAsia" w:ascii="宋体" w:hAnsi="宋体" w:eastAsia="宋体" w:cs="宋体"/>
          <w:b/>
          <w:sz w:val="36"/>
        </w:rPr>
      </w:pPr>
      <w:bookmarkStart w:id="6" w:name="_Toc26249"/>
      <w:r>
        <w:rPr>
          <w:rFonts w:hint="eastAsia" w:ascii="宋体" w:hAnsi="宋体" w:eastAsia="宋体" w:cs="宋体"/>
          <w:b/>
          <w:sz w:val="36"/>
        </w:rPr>
        <w:t>第一章</w:t>
      </w:r>
      <w:bookmarkStart w:id="7" w:name="_Toc452363802"/>
      <w:r>
        <w:rPr>
          <w:rFonts w:hint="eastAsia" w:ascii="宋体" w:hAnsi="宋体" w:eastAsia="宋体" w:cs="宋体"/>
          <w:b/>
          <w:sz w:val="36"/>
        </w:rPr>
        <w:t xml:space="preserve">  公告</w:t>
      </w:r>
      <w:bookmarkEnd w:id="6"/>
      <w:bookmarkEnd w:id="7"/>
    </w:p>
    <w:bookmarkEnd w:id="0"/>
    <w:bookmarkEnd w:id="1"/>
    <w:bookmarkEnd w:id="2"/>
    <w:bookmarkEnd w:id="3"/>
    <w:p>
      <w:pPr>
        <w:pStyle w:val="65"/>
        <w:widowControl w:val="0"/>
        <w:spacing w:after="156" w:line="500" w:lineRule="exact"/>
        <w:ind w:firstLine="0" w:firstLineChars="0"/>
        <w:jc w:val="center"/>
        <w:rPr>
          <w:rFonts w:hint="eastAsia" w:ascii="宋体" w:hAnsi="宋体" w:eastAsia="宋体" w:cs="宋体"/>
          <w:b/>
          <w:sz w:val="36"/>
        </w:rPr>
      </w:pPr>
      <w:r>
        <w:rPr>
          <w:rFonts w:hint="eastAsia" w:ascii="宋体" w:hAnsi="宋体" w:eastAsia="宋体" w:cs="宋体"/>
          <w:b/>
          <w:sz w:val="36"/>
        </w:rPr>
        <w:t>公开招标公告</w:t>
      </w:r>
    </w:p>
    <w:tbl>
      <w:tblPr>
        <w:tblStyle w:val="2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2"/>
              <w:spacing w:before="75" w:beforeAutospacing="0" w:after="75" w:afterAutospacing="0" w:line="360" w:lineRule="auto"/>
              <w:rPr>
                <w:rFonts w:hint="eastAsia" w:ascii="宋体" w:hAnsi="宋体" w:eastAsia="宋体"/>
              </w:rPr>
            </w:pPr>
            <w:bookmarkStart w:id="8" w:name="_Toc450053769"/>
            <w:bookmarkStart w:id="9" w:name="_Toc139966431"/>
            <w:bookmarkStart w:id="10" w:name="_Toc139967215"/>
            <w:bookmarkStart w:id="11" w:name="_Toc213206172"/>
            <w:bookmarkStart w:id="12" w:name="_Toc213325921"/>
            <w:r>
              <w:rPr>
                <w:rFonts w:hint="eastAsia" w:ascii="宋体" w:hAnsi="宋体" w:eastAsia="宋体"/>
              </w:rPr>
              <w:t>项目概况:</w:t>
            </w:r>
          </w:p>
          <w:p>
            <w:pPr>
              <w:pStyle w:val="22"/>
              <w:wordWrap w:val="0"/>
              <w:spacing w:before="75" w:beforeAutospacing="0" w:after="75" w:afterAutospacing="0" w:line="360" w:lineRule="auto"/>
              <w:rPr>
                <w:rFonts w:hint="eastAsia" w:ascii="宋体" w:hAnsi="宋体" w:eastAsia="宋体"/>
              </w:rPr>
            </w:pPr>
            <w:r>
              <w:rPr>
                <w:rFonts w:hint="eastAsia" w:ascii="宋体" w:hAnsi="宋体" w:eastAsia="宋体"/>
              </w:rPr>
              <w:t>  </w:t>
            </w:r>
            <w:r>
              <w:rPr>
                <w:rFonts w:hint="eastAsia" w:ascii="宋体" w:hAnsi="宋体" w:eastAsia="宋体"/>
                <w:u w:val="single"/>
              </w:rPr>
              <w:t>扬尘治理视频综合管理系统（二期）（项目编号：NNZC2020-G3-990080-GXYZ）</w:t>
            </w:r>
            <w:r>
              <w:rPr>
                <w:rFonts w:hint="eastAsia" w:ascii="宋体" w:hAnsi="宋体" w:eastAsia="宋体"/>
              </w:rPr>
              <w:t>采购项目的潜在投标人应在</w:t>
            </w:r>
            <w:r>
              <w:rPr>
                <w:rFonts w:hint="eastAsia" w:ascii="宋体" w:hAnsi="宋体" w:eastAsia="宋体"/>
                <w:u w:val="single"/>
              </w:rPr>
              <w:t>南宁市公共资源交易平台(https://www.nnggzy.org.cn/gxnnhy)</w:t>
            </w:r>
            <w:r>
              <w:rPr>
                <w:rFonts w:hint="eastAsia" w:ascii="宋体" w:hAnsi="宋体" w:eastAsia="宋体"/>
              </w:rPr>
              <w:t>的信息公告处自行下载获取本项目招标文件，并于</w:t>
            </w:r>
            <w:r>
              <w:rPr>
                <w:rFonts w:hint="eastAsia" w:ascii="宋体" w:hAnsi="宋体" w:eastAsia="宋体"/>
                <w:u w:val="single"/>
              </w:rPr>
              <w:t>2020年</w:t>
            </w:r>
            <w:r>
              <w:rPr>
                <w:rFonts w:hint="eastAsia"/>
                <w:u w:val="single"/>
                <w:lang w:val="en-US" w:eastAsia="zh-CN"/>
              </w:rPr>
              <w:t>10</w:t>
            </w:r>
            <w:r>
              <w:rPr>
                <w:rFonts w:hint="eastAsia" w:ascii="宋体" w:hAnsi="宋体" w:eastAsia="宋体"/>
                <w:u w:val="single"/>
              </w:rPr>
              <w:t>月</w:t>
            </w:r>
            <w:r>
              <w:rPr>
                <w:rFonts w:hint="eastAsia"/>
                <w:u w:val="single"/>
                <w:lang w:val="en-US" w:eastAsia="zh-CN"/>
              </w:rPr>
              <w:t>16</w:t>
            </w:r>
            <w:r>
              <w:rPr>
                <w:rFonts w:hint="eastAsia" w:ascii="宋体" w:hAnsi="宋体" w:eastAsia="宋体"/>
                <w:u w:val="single"/>
              </w:rPr>
              <w:t>日</w:t>
            </w:r>
            <w:r>
              <w:rPr>
                <w:rFonts w:hint="eastAsia"/>
                <w:u w:val="single"/>
                <w:lang w:val="en-US" w:eastAsia="zh-CN"/>
              </w:rPr>
              <w:t>09</w:t>
            </w:r>
            <w:r>
              <w:rPr>
                <w:rFonts w:hint="eastAsia" w:ascii="宋体" w:hAnsi="宋体" w:eastAsia="宋体"/>
                <w:u w:val="single"/>
              </w:rPr>
              <w:t>点</w:t>
            </w:r>
            <w:r>
              <w:rPr>
                <w:rFonts w:hint="eastAsia"/>
                <w:u w:val="single"/>
                <w:lang w:val="en-US" w:eastAsia="zh-CN"/>
              </w:rPr>
              <w:t>30</w:t>
            </w:r>
            <w:r>
              <w:rPr>
                <w:rFonts w:hint="eastAsia" w:ascii="宋体" w:hAnsi="宋体" w:eastAsia="宋体"/>
                <w:u w:val="single"/>
              </w:rPr>
              <w:t>分</w:t>
            </w:r>
            <w:r>
              <w:rPr>
                <w:rFonts w:hint="eastAsia" w:ascii="宋体" w:hAnsi="宋体" w:eastAsia="宋体"/>
              </w:rPr>
              <w:t>（北京时间）前递交投标文件。</w:t>
            </w:r>
          </w:p>
        </w:tc>
      </w:tr>
    </w:tbl>
    <w:p>
      <w:pPr>
        <w:pStyle w:val="22"/>
        <w:spacing w:before="75" w:beforeAutospacing="0" w:after="75" w:afterAutospacing="0" w:line="360" w:lineRule="auto"/>
        <w:rPr>
          <w:rFonts w:hint="eastAsia" w:ascii="宋体" w:hAnsi="宋体" w:eastAsia="宋体"/>
        </w:rPr>
      </w:pPr>
      <w:r>
        <w:rPr>
          <w:rStyle w:val="28"/>
          <w:rFonts w:hint="eastAsia" w:ascii="宋体" w:hAnsi="宋体" w:eastAsia="宋体"/>
        </w:rPr>
        <w:t>一、项目基本情况：</w:t>
      </w:r>
    </w:p>
    <w:p>
      <w:pPr>
        <w:pStyle w:val="22"/>
        <w:spacing w:before="75" w:beforeAutospacing="0" w:after="75" w:afterAutospacing="0" w:line="360" w:lineRule="auto"/>
        <w:ind w:firstLine="240" w:firstLineChars="100"/>
        <w:rPr>
          <w:rFonts w:hint="eastAsia" w:ascii="宋体" w:hAnsi="宋体" w:eastAsia="宋体"/>
        </w:rPr>
      </w:pPr>
      <w:r>
        <w:rPr>
          <w:rFonts w:hint="eastAsia" w:ascii="宋体" w:hAnsi="宋体" w:eastAsia="宋体"/>
        </w:rPr>
        <w:t>项目编号：</w:t>
      </w:r>
      <w:r>
        <w:rPr>
          <w:rFonts w:hint="eastAsia" w:ascii="宋体" w:hAnsi="宋体" w:eastAsia="宋体"/>
          <w:u w:val="single"/>
        </w:rPr>
        <w:t>NNZC2020-G3-990080-GXYZ</w:t>
      </w:r>
    </w:p>
    <w:p>
      <w:pPr>
        <w:pStyle w:val="22"/>
        <w:spacing w:before="75" w:beforeAutospacing="0" w:after="75" w:afterAutospacing="0" w:line="360" w:lineRule="auto"/>
        <w:ind w:firstLine="240" w:firstLineChars="100"/>
        <w:rPr>
          <w:rFonts w:hint="eastAsia" w:ascii="宋体" w:hAnsi="宋体" w:eastAsia="宋体"/>
        </w:rPr>
      </w:pPr>
      <w:r>
        <w:rPr>
          <w:rFonts w:hint="eastAsia" w:ascii="宋体" w:hAnsi="宋体" w:eastAsia="宋体"/>
        </w:rPr>
        <w:t>项目名称：扬尘治理视频综合管理系统（二期）</w:t>
      </w:r>
    </w:p>
    <w:p>
      <w:pPr>
        <w:pStyle w:val="22"/>
        <w:spacing w:before="75" w:beforeAutospacing="0" w:after="75" w:afterAutospacing="0" w:line="360" w:lineRule="auto"/>
        <w:ind w:firstLine="240" w:firstLineChars="100"/>
        <w:rPr>
          <w:rFonts w:hint="eastAsia" w:ascii="宋体" w:hAnsi="宋体" w:eastAsia="宋体"/>
        </w:rPr>
      </w:pPr>
      <w:r>
        <w:rPr>
          <w:rFonts w:hint="eastAsia" w:ascii="宋体" w:hAnsi="宋体" w:eastAsia="宋体"/>
        </w:rPr>
        <w:t>审批编号： [2020]NCCJA058/1</w:t>
      </w:r>
    </w:p>
    <w:p>
      <w:pPr>
        <w:pStyle w:val="22"/>
        <w:spacing w:before="75" w:beforeAutospacing="0" w:after="75" w:afterAutospacing="0" w:line="360" w:lineRule="auto"/>
        <w:ind w:firstLine="240" w:firstLineChars="100"/>
        <w:rPr>
          <w:rFonts w:hint="eastAsia" w:ascii="宋体" w:hAnsi="宋体" w:eastAsia="宋体"/>
        </w:rPr>
      </w:pPr>
      <w:r>
        <w:rPr>
          <w:rFonts w:hint="eastAsia" w:ascii="宋体" w:hAnsi="宋体" w:eastAsia="宋体"/>
        </w:rPr>
        <w:t>预算金额：人民币</w:t>
      </w:r>
      <w:r>
        <w:rPr>
          <w:rFonts w:hint="eastAsia" w:ascii="宋体" w:hAnsi="宋体" w:eastAsia="宋体"/>
        </w:rPr>
        <w:fldChar w:fldCharType="begin"/>
      </w:r>
      <w:r>
        <w:rPr>
          <w:rFonts w:hint="eastAsia" w:ascii="宋体" w:hAnsi="宋体" w:eastAsia="宋体"/>
        </w:rPr>
        <w:instrText xml:space="preserve"> = 9103000 \* CHINESENUM2 </w:instrText>
      </w:r>
      <w:r>
        <w:rPr>
          <w:rFonts w:hint="eastAsia" w:ascii="宋体" w:hAnsi="宋体" w:eastAsia="宋体"/>
        </w:rPr>
        <w:fldChar w:fldCharType="separate"/>
      </w:r>
      <w:r>
        <w:rPr>
          <w:rFonts w:hint="eastAsia" w:ascii="宋体" w:hAnsi="宋体" w:eastAsia="宋体"/>
        </w:rPr>
        <w:t>玖佰壹拾万叁仟</w:t>
      </w:r>
      <w:r>
        <w:rPr>
          <w:rFonts w:hint="eastAsia" w:ascii="宋体" w:hAnsi="宋体" w:eastAsia="宋体"/>
        </w:rPr>
        <w:fldChar w:fldCharType="end"/>
      </w:r>
      <w:r>
        <w:rPr>
          <w:rFonts w:hint="eastAsia" w:ascii="宋体" w:hAnsi="宋体" w:eastAsia="宋体"/>
        </w:rPr>
        <w:t>元整(￥9103000.00元)</w:t>
      </w:r>
    </w:p>
    <w:p>
      <w:pPr>
        <w:pStyle w:val="22"/>
        <w:spacing w:before="75" w:beforeAutospacing="0" w:after="75" w:afterAutospacing="0" w:line="360" w:lineRule="auto"/>
        <w:ind w:firstLine="240" w:firstLineChars="100"/>
        <w:rPr>
          <w:rFonts w:hint="eastAsia" w:ascii="宋体" w:hAnsi="宋体" w:eastAsia="宋体"/>
        </w:rPr>
      </w:pPr>
      <w:r>
        <w:rPr>
          <w:rFonts w:hint="eastAsia" w:ascii="宋体" w:hAnsi="宋体" w:eastAsia="宋体"/>
        </w:rPr>
        <w:t>最高限价为：人民币</w:t>
      </w:r>
      <w:r>
        <w:rPr>
          <w:rFonts w:hint="eastAsia" w:ascii="宋体" w:hAnsi="宋体" w:eastAsia="宋体"/>
        </w:rPr>
        <w:fldChar w:fldCharType="begin"/>
      </w:r>
      <w:r>
        <w:rPr>
          <w:rFonts w:hint="eastAsia" w:ascii="宋体" w:hAnsi="宋体" w:eastAsia="宋体"/>
        </w:rPr>
        <w:instrText xml:space="preserve"> = 9103000 \* CHINESENUM2 </w:instrText>
      </w:r>
      <w:r>
        <w:rPr>
          <w:rFonts w:hint="eastAsia" w:ascii="宋体" w:hAnsi="宋体" w:eastAsia="宋体"/>
        </w:rPr>
        <w:fldChar w:fldCharType="separate"/>
      </w:r>
      <w:r>
        <w:rPr>
          <w:rFonts w:hint="eastAsia" w:ascii="宋体" w:hAnsi="宋体" w:eastAsia="宋体"/>
        </w:rPr>
        <w:t>玖佰壹拾万叁仟</w:t>
      </w:r>
      <w:r>
        <w:rPr>
          <w:rFonts w:hint="eastAsia" w:ascii="宋体" w:hAnsi="宋体" w:eastAsia="宋体"/>
        </w:rPr>
        <w:fldChar w:fldCharType="end"/>
      </w:r>
      <w:r>
        <w:rPr>
          <w:rFonts w:hint="eastAsia" w:ascii="宋体" w:hAnsi="宋体" w:eastAsia="宋体"/>
        </w:rPr>
        <w:t>元整(￥9103000.00元)</w:t>
      </w:r>
    </w:p>
    <w:p>
      <w:pPr>
        <w:pStyle w:val="22"/>
        <w:spacing w:before="75" w:beforeAutospacing="0" w:after="75" w:afterAutospacing="0" w:line="360" w:lineRule="auto"/>
        <w:ind w:firstLine="240" w:firstLineChars="100"/>
        <w:rPr>
          <w:rFonts w:hint="eastAsia" w:ascii="宋体" w:hAnsi="宋体" w:eastAsia="宋体"/>
        </w:rPr>
      </w:pPr>
      <w:r>
        <w:rPr>
          <w:rFonts w:hint="eastAsia" w:ascii="宋体" w:hAnsi="宋体" w:eastAsia="宋体"/>
        </w:rPr>
        <w:t>采购需求：</w:t>
      </w:r>
    </w:p>
    <w:tbl>
      <w:tblPr>
        <w:tblStyle w:val="26"/>
        <w:tblW w:w="925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80"/>
        <w:gridCol w:w="1688"/>
        <w:gridCol w:w="1275"/>
        <w:gridCol w:w="56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center"/>
              <w:rPr>
                <w:rFonts w:ascii="宋体" w:hAnsi="宋体" w:eastAsia="宋体"/>
                <w:b/>
                <w:sz w:val="24"/>
                <w:szCs w:val="24"/>
              </w:rPr>
            </w:pPr>
            <w:r>
              <w:rPr>
                <w:rFonts w:hint="eastAsia" w:ascii="宋体" w:hAnsi="宋体" w:eastAsia="宋体"/>
                <w:b/>
                <w:sz w:val="24"/>
                <w:szCs w:val="24"/>
              </w:rPr>
              <w:t>项号</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数量</w:t>
            </w:r>
          </w:p>
        </w:tc>
        <w:tc>
          <w:tcPr>
            <w:tcW w:w="56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服务内容及要求（详见服务需求一览表）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sz w:val="24"/>
                <w:szCs w:val="24"/>
              </w:rPr>
            </w:pPr>
            <w:r>
              <w:rPr>
                <w:rFonts w:ascii="宋体" w:hAnsi="宋体" w:eastAsia="宋体"/>
                <w:sz w:val="24"/>
                <w:szCs w:val="24"/>
              </w:rPr>
              <w:t>1</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ascii="宋体" w:hAnsi="宋体" w:eastAsia="宋体"/>
                <w:sz w:val="24"/>
                <w:szCs w:val="24"/>
              </w:rPr>
            </w:pPr>
            <w:r>
              <w:rPr>
                <w:rFonts w:hint="eastAsia" w:ascii="宋体" w:hAnsi="宋体" w:eastAsia="宋体"/>
                <w:sz w:val="24"/>
                <w:szCs w:val="24"/>
              </w:rPr>
              <w:t>扬尘治理视频综合管理系统（二期）项目概述</w:t>
            </w:r>
          </w:p>
          <w:p>
            <w:pPr>
              <w:pStyle w:val="2"/>
              <w:rPr>
                <w:rFonts w:ascii="宋体" w:hAnsi="宋体" w:eastAsia="宋体"/>
                <w:sz w:val="24"/>
                <w:szCs w:val="24"/>
              </w:rPr>
            </w:pPr>
            <w:r>
              <w:rPr>
                <w:rFonts w:ascii="宋体" w:hAnsi="宋体" w:eastAsia="宋体"/>
                <w:sz w:val="24"/>
                <w:szCs w:val="24"/>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sz w:val="24"/>
                <w:szCs w:val="24"/>
              </w:rPr>
            </w:pPr>
            <w:r>
              <w:rPr>
                <w:rFonts w:ascii="宋体" w:hAnsi="宋体" w:eastAsia="宋体"/>
                <w:sz w:val="24"/>
                <w:szCs w:val="24"/>
              </w:rPr>
              <w:t>1</w:t>
            </w:r>
          </w:p>
        </w:tc>
        <w:tc>
          <w:tcPr>
            <w:tcW w:w="5612"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ind w:firstLine="420"/>
              <w:rPr>
                <w:rFonts w:ascii="宋体" w:hAnsi="宋体" w:eastAsia="宋体"/>
                <w:sz w:val="24"/>
                <w:szCs w:val="24"/>
              </w:rPr>
            </w:pPr>
            <w:r>
              <w:rPr>
                <w:rFonts w:hint="eastAsia" w:ascii="宋体" w:hAnsi="宋体" w:eastAsia="宋体"/>
                <w:sz w:val="24"/>
                <w:szCs w:val="24"/>
              </w:rPr>
              <w:t>一、项目建设目标</w:t>
            </w:r>
          </w:p>
          <w:p>
            <w:pPr>
              <w:pStyle w:val="2"/>
              <w:ind w:firstLine="480" w:firstLineChars="200"/>
              <w:rPr>
                <w:rFonts w:hint="eastAsia" w:ascii="宋体" w:hAnsi="宋体" w:eastAsia="宋体"/>
                <w:sz w:val="24"/>
                <w:szCs w:val="24"/>
              </w:rPr>
            </w:pPr>
            <w:r>
              <w:rPr>
                <w:rFonts w:hint="eastAsia" w:ascii="宋体" w:hAnsi="宋体" w:eastAsia="宋体"/>
                <w:sz w:val="24"/>
                <w:szCs w:val="24"/>
              </w:rPr>
              <w:t>全面对接各扬尘治理参加单位，采集系统所需的采石场、搅拌站、建筑工地、消纳场四大扬尘污染源头的基本数据和监测数据，结合车辆</w:t>
            </w:r>
            <w:r>
              <w:rPr>
                <w:rFonts w:ascii="宋体" w:hAnsi="宋体" w:eastAsia="宋体"/>
                <w:sz w:val="24"/>
                <w:szCs w:val="24"/>
              </w:rPr>
              <w:t>GPS、视频监控图像等智能化设施，利用车辆轨迹，自动对运输车辆的违规等行为进行报警，利用电子围栏技术结合环保、气象、重大活动等预案，对车辆违规上路、建筑工地违规开工等行为进行预报；基于城市信息模型</w:t>
            </w:r>
            <w:r>
              <w:rPr>
                <w:rFonts w:hint="eastAsia" w:ascii="宋体" w:hAnsi="宋体" w:eastAsia="宋体"/>
                <w:sz w:val="24"/>
                <w:szCs w:val="24"/>
              </w:rPr>
              <w:t>构建CIM平台</w:t>
            </w:r>
            <w:r>
              <w:rPr>
                <w:rFonts w:ascii="宋体" w:hAnsi="宋体" w:eastAsia="宋体"/>
                <w:sz w:val="24"/>
                <w:szCs w:val="24"/>
              </w:rPr>
              <w:t>，</w:t>
            </w:r>
            <w:r>
              <w:rPr>
                <w:rFonts w:hint="eastAsia" w:ascii="宋体" w:hAnsi="宋体" w:eastAsia="宋体"/>
                <w:sz w:val="24"/>
                <w:szCs w:val="24"/>
              </w:rPr>
              <w:t>搭建各业务系统功能及数据展示等，</w:t>
            </w:r>
            <w:r>
              <w:rPr>
                <w:rFonts w:ascii="宋体" w:hAnsi="宋体" w:eastAsia="宋体"/>
                <w:sz w:val="24"/>
                <w:szCs w:val="24"/>
              </w:rPr>
              <w:t>对接南宁市电子地图和四大扬尘污染源头的</w:t>
            </w:r>
            <w:r>
              <w:rPr>
                <w:rFonts w:hint="eastAsia" w:ascii="宋体" w:hAnsi="宋体" w:eastAsia="宋体"/>
                <w:sz w:val="24"/>
                <w:szCs w:val="24"/>
              </w:rPr>
              <w:t>信息</w:t>
            </w:r>
            <w:r>
              <w:rPr>
                <w:rFonts w:ascii="宋体" w:hAnsi="宋体" w:eastAsia="宋体"/>
                <w:sz w:val="24"/>
                <w:szCs w:val="24"/>
              </w:rPr>
              <w:t>，结合车辆轨迹，对非法采石场、非法工地、非法消纳场进行分析研判，为扬尘执法提供可靠的数据支撑，实现数据统计和分析自</w:t>
            </w:r>
            <w:r>
              <w:rPr>
                <w:rFonts w:hint="eastAsia" w:ascii="宋体" w:hAnsi="宋体" w:eastAsia="宋体"/>
                <w:sz w:val="24"/>
                <w:szCs w:val="24"/>
              </w:rPr>
              <w:t>动化</w:t>
            </w:r>
          </w:p>
          <w:p>
            <w:pPr>
              <w:pStyle w:val="2"/>
              <w:ind w:firstLine="0"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w:t>
            </w:r>
          </w:p>
        </w:tc>
      </w:tr>
    </w:tbl>
    <w:p>
      <w:pPr>
        <w:pStyle w:val="22"/>
        <w:spacing w:before="75" w:beforeAutospacing="0" w:after="75" w:afterAutospacing="0" w:line="360" w:lineRule="auto"/>
        <w:ind w:firstLine="240" w:firstLineChars="100"/>
        <w:rPr>
          <w:rFonts w:hint="eastAsia" w:ascii="宋体" w:hAnsi="宋体" w:eastAsia="宋体"/>
        </w:rPr>
      </w:pPr>
      <w:r>
        <w:rPr>
          <w:rFonts w:hint="eastAsia" w:ascii="宋体" w:hAnsi="宋体" w:eastAsia="宋体"/>
        </w:rPr>
        <w:t>如需进一步了解详细内容，详见公开招标文件。</w:t>
      </w:r>
    </w:p>
    <w:p>
      <w:pPr>
        <w:pStyle w:val="22"/>
        <w:spacing w:before="75" w:beforeAutospacing="0" w:after="75" w:afterAutospacing="0" w:line="360" w:lineRule="auto"/>
        <w:ind w:firstLine="240" w:firstLineChars="100"/>
        <w:rPr>
          <w:rFonts w:hint="eastAsia" w:ascii="宋体" w:hAnsi="宋体" w:eastAsia="宋体"/>
        </w:rPr>
      </w:pPr>
      <w:r>
        <w:rPr>
          <w:rFonts w:hint="eastAsia" w:ascii="宋体" w:hAnsi="宋体" w:eastAsia="宋体"/>
        </w:rPr>
        <w:t>合同履行期限：详见公开招标文件。</w:t>
      </w:r>
    </w:p>
    <w:p>
      <w:pPr>
        <w:pStyle w:val="22"/>
        <w:spacing w:before="75" w:beforeAutospacing="0" w:after="75" w:afterAutospacing="0" w:line="360" w:lineRule="auto"/>
        <w:rPr>
          <w:rFonts w:hint="eastAsia" w:ascii="宋体" w:hAnsi="宋体" w:eastAsia="宋体"/>
        </w:rPr>
      </w:pPr>
      <w:r>
        <w:rPr>
          <w:rStyle w:val="28"/>
          <w:rFonts w:hint="eastAsia" w:ascii="宋体" w:hAnsi="宋体" w:eastAsia="宋体"/>
        </w:rPr>
        <w:t>二、申请人的资格要求：</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1、符合《中华人民共和国政府采购法》第二十二条规定；</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3、本项目的特定资格要求：无</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4、具有国内法人资格，注册经营范围满足所采购内容的供应商；</w:t>
      </w:r>
    </w:p>
    <w:p>
      <w:pPr>
        <w:pStyle w:val="22"/>
        <w:wordWrap w:val="0"/>
        <w:spacing w:before="75" w:beforeAutospacing="0" w:after="75" w:afterAutospacing="0" w:line="360" w:lineRule="auto"/>
        <w:ind w:firstLine="420"/>
        <w:rPr>
          <w:rFonts w:hint="eastAsia" w:ascii="宋体" w:hAnsi="宋体" w:eastAsia="宋体"/>
        </w:rPr>
      </w:pPr>
      <w:r>
        <w:rPr>
          <w:rFonts w:hint="eastAsia" w:ascii="宋体" w:hAnsi="宋体" w:eastAsia="宋体"/>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7、本项目不接受联合体投标。</w:t>
      </w:r>
    </w:p>
    <w:p>
      <w:pPr>
        <w:pStyle w:val="22"/>
        <w:spacing w:before="75" w:beforeAutospacing="0" w:after="75" w:afterAutospacing="0" w:line="360" w:lineRule="auto"/>
        <w:rPr>
          <w:rFonts w:hint="eastAsia" w:ascii="宋体" w:hAnsi="宋体" w:eastAsia="宋体"/>
        </w:rPr>
      </w:pPr>
      <w:r>
        <w:rPr>
          <w:rStyle w:val="28"/>
          <w:rFonts w:hint="eastAsia" w:ascii="宋体" w:hAnsi="宋体" w:eastAsia="宋体"/>
        </w:rPr>
        <w:t>三、获取招标文件：</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时间：2020年</w:t>
      </w:r>
      <w:r>
        <w:rPr>
          <w:rFonts w:hint="eastAsia"/>
          <w:lang w:val="en-US" w:eastAsia="zh-CN"/>
        </w:rPr>
        <w:t>9</w:t>
      </w:r>
      <w:r>
        <w:rPr>
          <w:rFonts w:hint="eastAsia" w:ascii="宋体" w:hAnsi="宋体" w:eastAsia="宋体"/>
        </w:rPr>
        <w:t>月</w:t>
      </w:r>
      <w:r>
        <w:rPr>
          <w:rFonts w:hint="eastAsia"/>
          <w:lang w:val="en-US" w:eastAsia="zh-CN"/>
        </w:rPr>
        <w:t>26</w:t>
      </w:r>
      <w:r>
        <w:rPr>
          <w:rFonts w:hint="eastAsia" w:ascii="宋体" w:hAnsi="宋体" w:eastAsia="宋体"/>
        </w:rPr>
        <w:t>日至2020年</w:t>
      </w:r>
      <w:r>
        <w:rPr>
          <w:rFonts w:hint="eastAsia"/>
          <w:lang w:val="en-US" w:eastAsia="zh-CN"/>
        </w:rPr>
        <w:t>10</w:t>
      </w:r>
      <w:r>
        <w:rPr>
          <w:rFonts w:hint="eastAsia" w:ascii="宋体" w:hAnsi="宋体" w:eastAsia="宋体"/>
        </w:rPr>
        <w:t>月</w:t>
      </w:r>
      <w:r>
        <w:rPr>
          <w:rFonts w:hint="eastAsia"/>
          <w:lang w:val="en-US" w:eastAsia="zh-CN"/>
        </w:rPr>
        <w:t>9</w:t>
      </w:r>
      <w:r>
        <w:rPr>
          <w:rFonts w:hint="eastAsia" w:ascii="宋体" w:hAnsi="宋体" w:eastAsia="宋体"/>
        </w:rPr>
        <w:t>日</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地址：南宁市公共资源交易平台(https://www.nnggzy.org.cn/gxnnhy)的信息公告处。</w:t>
      </w:r>
    </w:p>
    <w:p>
      <w:pPr>
        <w:pStyle w:val="22"/>
        <w:wordWrap w:val="0"/>
        <w:spacing w:before="75" w:beforeAutospacing="0" w:after="75" w:afterAutospacing="0" w:line="360" w:lineRule="auto"/>
        <w:ind w:firstLine="420"/>
        <w:rPr>
          <w:rFonts w:hint="eastAsia" w:ascii="宋体" w:hAnsi="宋体" w:eastAsia="宋体"/>
        </w:rPr>
      </w:pPr>
      <w:r>
        <w:rPr>
          <w:rFonts w:hint="eastAsia" w:ascii="宋体" w:hAnsi="宋体" w:eastAsia="宋体"/>
        </w:rPr>
        <w:t>方式：本项目不发放纸质文件，投标人自行在南宁市公共资源交易平台(https://www.nnggzy.org.cn/gxnnhy)的信息公告处下载采购文件。</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售价：0元。</w:t>
      </w:r>
    </w:p>
    <w:p>
      <w:pPr>
        <w:pStyle w:val="22"/>
        <w:spacing w:before="75" w:beforeAutospacing="0" w:after="75" w:afterAutospacing="0" w:line="360" w:lineRule="auto"/>
        <w:rPr>
          <w:rFonts w:hint="eastAsia" w:ascii="宋体" w:hAnsi="宋体" w:eastAsia="宋体"/>
        </w:rPr>
      </w:pPr>
      <w:r>
        <w:rPr>
          <w:rStyle w:val="28"/>
          <w:rFonts w:hint="eastAsia" w:ascii="宋体" w:hAnsi="宋体" w:eastAsia="宋体"/>
        </w:rPr>
        <w:t>四、提交投标文件截止时间、开标时间和地点：</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时间：2020年</w:t>
      </w:r>
      <w:r>
        <w:rPr>
          <w:rFonts w:hint="eastAsia"/>
          <w:lang w:val="en-US" w:eastAsia="zh-CN"/>
        </w:rPr>
        <w:t>10</w:t>
      </w:r>
      <w:r>
        <w:rPr>
          <w:rFonts w:hint="eastAsia" w:ascii="宋体" w:hAnsi="宋体" w:eastAsia="宋体"/>
        </w:rPr>
        <w:t>月</w:t>
      </w:r>
      <w:r>
        <w:rPr>
          <w:rFonts w:hint="eastAsia"/>
          <w:lang w:val="en-US" w:eastAsia="zh-CN"/>
        </w:rPr>
        <w:t>16</w:t>
      </w:r>
      <w:r>
        <w:rPr>
          <w:rFonts w:hint="eastAsia" w:ascii="宋体" w:hAnsi="宋体" w:eastAsia="宋体"/>
        </w:rPr>
        <w:t>日</w:t>
      </w:r>
      <w:r>
        <w:rPr>
          <w:rFonts w:hint="eastAsia"/>
          <w:lang w:val="en-US" w:eastAsia="zh-CN"/>
        </w:rPr>
        <w:t>09</w:t>
      </w:r>
      <w:r>
        <w:rPr>
          <w:rFonts w:hint="eastAsia" w:ascii="宋体" w:hAnsi="宋体" w:eastAsia="宋体"/>
        </w:rPr>
        <w:t>时</w:t>
      </w:r>
      <w:r>
        <w:rPr>
          <w:rFonts w:hint="eastAsia"/>
          <w:lang w:val="en-US" w:eastAsia="zh-CN"/>
        </w:rPr>
        <w:t>30</w:t>
      </w:r>
      <w:r>
        <w:rPr>
          <w:rFonts w:hint="eastAsia" w:ascii="宋体" w:hAnsi="宋体" w:eastAsia="宋体"/>
        </w:rPr>
        <w:t>分（北京时间）</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地点：南宁市良庆区玉洞大道33号（青少年活动中心旁）市民中心9楼南宁市公共资源交易中心（具体详见9楼电子显示屏场地安排）。</w:t>
      </w:r>
      <w:r>
        <w:rPr>
          <w:rFonts w:hint="eastAsia" w:ascii="宋体" w:hAnsi="宋体" w:eastAsia="宋体"/>
          <w:b/>
          <w:bCs/>
        </w:rPr>
        <w:t>为做好疫情防控工作，本项目的投标文件通过邮寄快递的方式送达，具体要求详见关于投标文件邮寄形式的通知。</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开标时间：2020年</w:t>
      </w:r>
      <w:r>
        <w:rPr>
          <w:rFonts w:hint="eastAsia"/>
          <w:lang w:val="en-US" w:eastAsia="zh-CN"/>
        </w:rPr>
        <w:t>10</w:t>
      </w:r>
      <w:r>
        <w:rPr>
          <w:rFonts w:hint="eastAsia" w:ascii="宋体" w:hAnsi="宋体" w:eastAsia="宋体"/>
        </w:rPr>
        <w:t>月</w:t>
      </w:r>
      <w:r>
        <w:rPr>
          <w:rFonts w:hint="eastAsia"/>
          <w:lang w:val="en-US" w:eastAsia="zh-CN"/>
        </w:rPr>
        <w:t>16</w:t>
      </w:r>
      <w:r>
        <w:rPr>
          <w:rFonts w:hint="eastAsia" w:ascii="宋体" w:hAnsi="宋体" w:eastAsia="宋体"/>
        </w:rPr>
        <w:t>日</w:t>
      </w:r>
      <w:r>
        <w:rPr>
          <w:rFonts w:hint="eastAsia"/>
          <w:lang w:val="en-US" w:eastAsia="zh-CN"/>
        </w:rPr>
        <w:t>09</w:t>
      </w:r>
      <w:r>
        <w:rPr>
          <w:rFonts w:hint="eastAsia" w:ascii="宋体" w:hAnsi="宋体" w:eastAsia="宋体"/>
        </w:rPr>
        <w:t>时</w:t>
      </w:r>
      <w:r>
        <w:rPr>
          <w:rFonts w:hint="eastAsia"/>
          <w:lang w:val="en-US" w:eastAsia="zh-CN"/>
        </w:rPr>
        <w:t>30</w:t>
      </w:r>
      <w:r>
        <w:rPr>
          <w:rFonts w:hint="eastAsia" w:ascii="宋体" w:hAnsi="宋体" w:eastAsia="宋体"/>
        </w:rPr>
        <w:t>分（北京时间） </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开标地点：南宁市良庆区玉洞大道33号（市青少年活动中心旁）南宁市市民中心9楼南宁市公共资源交易中心（具体详见9楼电子显示屏场地安排） </w:t>
      </w:r>
    </w:p>
    <w:p>
      <w:pPr>
        <w:pStyle w:val="22"/>
        <w:spacing w:before="75" w:beforeAutospacing="0" w:after="75" w:afterAutospacing="0" w:line="360" w:lineRule="auto"/>
        <w:rPr>
          <w:rFonts w:hint="eastAsia" w:ascii="宋体" w:hAnsi="宋体" w:eastAsia="宋体"/>
        </w:rPr>
      </w:pPr>
      <w:r>
        <w:rPr>
          <w:rStyle w:val="28"/>
          <w:rFonts w:hint="eastAsia" w:ascii="宋体" w:hAnsi="宋体" w:eastAsia="宋体"/>
        </w:rPr>
        <w:t>五、公告期限：</w:t>
      </w:r>
    </w:p>
    <w:p>
      <w:pPr>
        <w:pStyle w:val="22"/>
        <w:spacing w:before="75" w:beforeAutospacing="0" w:after="75" w:afterAutospacing="0" w:line="360" w:lineRule="auto"/>
        <w:ind w:firstLine="420"/>
        <w:rPr>
          <w:rFonts w:hint="eastAsia" w:ascii="宋体" w:hAnsi="宋体" w:eastAsia="宋体"/>
        </w:rPr>
      </w:pPr>
      <w:r>
        <w:rPr>
          <w:rFonts w:hint="eastAsia" w:ascii="宋体" w:hAnsi="宋体" w:eastAsia="宋体"/>
        </w:rPr>
        <w:t>自本公告发布之日起5个工作日（ 2020年</w:t>
      </w:r>
      <w:r>
        <w:rPr>
          <w:rFonts w:hint="eastAsia"/>
          <w:lang w:val="en-US" w:eastAsia="zh-CN"/>
        </w:rPr>
        <w:t>9</w:t>
      </w:r>
      <w:r>
        <w:rPr>
          <w:rFonts w:hint="eastAsia" w:ascii="宋体" w:hAnsi="宋体" w:eastAsia="宋体"/>
        </w:rPr>
        <w:t>月</w:t>
      </w:r>
      <w:r>
        <w:rPr>
          <w:rFonts w:hint="eastAsia"/>
          <w:lang w:val="en-US" w:eastAsia="zh-CN"/>
        </w:rPr>
        <w:t>26</w:t>
      </w:r>
      <w:r>
        <w:rPr>
          <w:rFonts w:hint="eastAsia" w:ascii="宋体" w:hAnsi="宋体" w:eastAsia="宋体"/>
        </w:rPr>
        <w:t>日至2020年</w:t>
      </w:r>
      <w:r>
        <w:rPr>
          <w:rFonts w:hint="eastAsia"/>
          <w:lang w:val="en-US" w:eastAsia="zh-CN"/>
        </w:rPr>
        <w:t>10</w:t>
      </w:r>
      <w:r>
        <w:rPr>
          <w:rFonts w:hint="eastAsia" w:ascii="宋体" w:hAnsi="宋体" w:eastAsia="宋体"/>
        </w:rPr>
        <w:t>月</w:t>
      </w:r>
      <w:r>
        <w:rPr>
          <w:rFonts w:hint="eastAsia"/>
          <w:lang w:val="en-US" w:eastAsia="zh-CN"/>
        </w:rPr>
        <w:t>9</w:t>
      </w:r>
      <w:r>
        <w:rPr>
          <w:rFonts w:hint="eastAsia" w:ascii="宋体" w:hAnsi="宋体" w:eastAsia="宋体"/>
        </w:rPr>
        <w:t>日结束）。</w:t>
      </w:r>
    </w:p>
    <w:p>
      <w:pPr>
        <w:pStyle w:val="22"/>
        <w:numPr>
          <w:ilvl w:val="0"/>
          <w:numId w:val="3"/>
        </w:numPr>
        <w:spacing w:before="75" w:beforeAutospacing="0" w:after="75" w:afterAutospacing="0" w:line="360" w:lineRule="auto"/>
        <w:rPr>
          <w:rStyle w:val="28"/>
          <w:rFonts w:hint="eastAsia" w:ascii="宋体" w:hAnsi="宋体" w:eastAsia="宋体"/>
        </w:rPr>
      </w:pPr>
      <w:r>
        <w:rPr>
          <w:rStyle w:val="28"/>
          <w:rFonts w:hint="eastAsia" w:ascii="宋体" w:hAnsi="宋体" w:eastAsia="宋体"/>
        </w:rPr>
        <w:t>其他补充事项：</w:t>
      </w:r>
    </w:p>
    <w:p>
      <w:pPr>
        <w:pStyle w:val="22"/>
        <w:spacing w:before="75" w:beforeAutospacing="0" w:after="75" w:afterAutospacing="0" w:line="360" w:lineRule="auto"/>
        <w:ind w:firstLine="720" w:firstLineChars="300"/>
        <w:rPr>
          <w:rFonts w:hint="eastAsia" w:ascii="宋体" w:hAnsi="宋体" w:eastAsia="宋体"/>
        </w:rPr>
      </w:pPr>
      <w:r>
        <w:rPr>
          <w:rFonts w:hint="eastAsia" w:ascii="宋体" w:hAnsi="宋体" w:eastAsia="宋体"/>
        </w:rPr>
        <w:t>网上查询地址：</w:t>
      </w:r>
      <w:r>
        <w:fldChar w:fldCharType="begin"/>
      </w:r>
      <w:r>
        <w:instrText xml:space="preserve"> HYPERLINK </w:instrText>
      </w:r>
      <w:r>
        <w:fldChar w:fldCharType="separate"/>
      </w:r>
      <w:r>
        <w:rPr>
          <w:rFonts w:hint="eastAsia" w:ascii="宋体" w:hAnsi="宋体" w:eastAsia="宋体"/>
        </w:rPr>
        <w:t>www.ccgp.gov.cn（中国政府采购网）， http://zfcg.gxzf.gov.cn/（广西壮族自治区政府采购网），www.nnggzy.org.cn （南宁市公共资源交易中心网）</w:t>
      </w:r>
      <w:r>
        <w:rPr>
          <w:rFonts w:hint="eastAsia" w:ascii="宋体" w:hAnsi="宋体" w:eastAsia="宋体"/>
        </w:rPr>
        <w:fldChar w:fldCharType="end"/>
      </w:r>
    </w:p>
    <w:p>
      <w:pPr>
        <w:pStyle w:val="22"/>
        <w:spacing w:before="75" w:beforeAutospacing="0" w:after="75" w:afterAutospacing="0" w:line="360" w:lineRule="auto"/>
        <w:rPr>
          <w:rFonts w:hint="eastAsia" w:ascii="宋体" w:hAnsi="宋体" w:eastAsia="宋体"/>
        </w:rPr>
      </w:pPr>
      <w:r>
        <w:rPr>
          <w:rStyle w:val="28"/>
          <w:rFonts w:hint="eastAsia" w:ascii="宋体" w:hAnsi="宋体" w:eastAsia="宋体"/>
        </w:rPr>
        <w:t>七、对本次招标提出询问，请按以下方式联系。</w:t>
      </w:r>
    </w:p>
    <w:p>
      <w:pPr>
        <w:pStyle w:val="22"/>
        <w:spacing w:before="75" w:beforeAutospacing="0" w:after="75" w:afterAutospacing="0" w:line="360" w:lineRule="auto"/>
        <w:ind w:right="840" w:firstLine="420"/>
        <w:rPr>
          <w:rFonts w:hint="eastAsia" w:ascii="宋体" w:hAnsi="宋体" w:eastAsia="宋体"/>
        </w:rPr>
      </w:pPr>
      <w:r>
        <w:rPr>
          <w:rFonts w:hint="eastAsia" w:ascii="宋体" w:hAnsi="宋体" w:eastAsia="宋体"/>
        </w:rPr>
        <w:t>1.采购人信息：</w:t>
      </w:r>
    </w:p>
    <w:p>
      <w:pPr>
        <w:pStyle w:val="22"/>
        <w:spacing w:before="75" w:beforeAutospacing="0" w:after="75" w:afterAutospacing="0" w:line="360" w:lineRule="auto"/>
        <w:ind w:right="840" w:firstLine="420"/>
        <w:rPr>
          <w:rFonts w:hint="eastAsia" w:ascii="宋体" w:hAnsi="宋体" w:eastAsia="宋体"/>
        </w:rPr>
      </w:pPr>
      <w:r>
        <w:rPr>
          <w:rFonts w:hint="eastAsia" w:ascii="宋体" w:hAnsi="宋体" w:eastAsia="宋体"/>
        </w:rPr>
        <w:t>名称：南宁市智慧城管信息中心</w:t>
      </w:r>
    </w:p>
    <w:p>
      <w:pPr>
        <w:pStyle w:val="22"/>
        <w:spacing w:before="75" w:beforeAutospacing="0" w:after="75" w:afterAutospacing="0" w:line="360" w:lineRule="auto"/>
        <w:ind w:right="840" w:firstLine="420"/>
        <w:rPr>
          <w:rFonts w:hint="eastAsia" w:ascii="宋体" w:hAnsi="宋体" w:eastAsia="宋体"/>
        </w:rPr>
      </w:pPr>
      <w:r>
        <w:rPr>
          <w:rFonts w:hint="eastAsia" w:ascii="宋体" w:hAnsi="宋体" w:eastAsia="宋体"/>
        </w:rPr>
        <w:t>地址：</w:t>
      </w:r>
      <w:r>
        <w:rPr>
          <w:rFonts w:hint="eastAsia" w:eastAsia="宋体"/>
        </w:rPr>
        <w:t>南宁市青秀区汇春路2号希尔顿阳光B座</w:t>
      </w:r>
    </w:p>
    <w:p>
      <w:pPr>
        <w:pStyle w:val="22"/>
        <w:spacing w:before="75" w:beforeAutospacing="0" w:after="75" w:afterAutospacing="0" w:line="360" w:lineRule="auto"/>
        <w:ind w:right="840" w:firstLine="420"/>
        <w:rPr>
          <w:rFonts w:hint="eastAsia" w:ascii="宋体" w:hAnsi="宋体" w:eastAsia="宋体"/>
        </w:rPr>
      </w:pPr>
      <w:r>
        <w:rPr>
          <w:rFonts w:hint="eastAsia" w:ascii="宋体" w:hAnsi="宋体" w:eastAsia="宋体"/>
        </w:rPr>
        <w:t>联系人及电话：韦工；0771-5827629</w:t>
      </w:r>
    </w:p>
    <w:p>
      <w:pPr>
        <w:pStyle w:val="22"/>
        <w:spacing w:before="75" w:beforeAutospacing="0" w:after="75" w:afterAutospacing="0" w:line="360" w:lineRule="auto"/>
        <w:ind w:right="840" w:firstLine="420"/>
        <w:rPr>
          <w:rFonts w:hint="eastAsia" w:ascii="宋体" w:hAnsi="宋体" w:eastAsia="宋体"/>
        </w:rPr>
      </w:pPr>
      <w:r>
        <w:rPr>
          <w:rFonts w:hint="eastAsia" w:ascii="宋体" w:hAnsi="宋体" w:eastAsia="宋体"/>
        </w:rPr>
        <w:t>2.采购代理机构信息：</w:t>
      </w:r>
    </w:p>
    <w:p>
      <w:pPr>
        <w:pStyle w:val="22"/>
        <w:spacing w:before="75" w:beforeAutospacing="0" w:after="75" w:afterAutospacing="0" w:line="360" w:lineRule="auto"/>
        <w:ind w:right="840" w:firstLine="420"/>
        <w:rPr>
          <w:rFonts w:hint="eastAsia" w:ascii="宋体" w:hAnsi="宋体" w:eastAsia="宋体"/>
        </w:rPr>
      </w:pPr>
      <w:r>
        <w:rPr>
          <w:rFonts w:hint="eastAsia" w:ascii="宋体" w:hAnsi="宋体" w:eastAsia="宋体"/>
        </w:rPr>
        <w:t>名称：广西邕政采购代理有限公司</w:t>
      </w:r>
    </w:p>
    <w:p>
      <w:pPr>
        <w:pStyle w:val="22"/>
        <w:spacing w:before="75" w:beforeAutospacing="0" w:after="75" w:afterAutospacing="0" w:line="360" w:lineRule="auto"/>
        <w:ind w:right="840" w:firstLine="420"/>
        <w:rPr>
          <w:rFonts w:hint="eastAsia" w:ascii="宋体" w:hAnsi="宋体" w:eastAsia="宋体"/>
        </w:rPr>
      </w:pPr>
      <w:r>
        <w:rPr>
          <w:rFonts w:hint="eastAsia" w:ascii="宋体" w:hAnsi="宋体" w:eastAsia="宋体"/>
        </w:rPr>
        <w:t>联系地址：南宁市青秀区思贤路45号创投中心16A层</w:t>
      </w:r>
    </w:p>
    <w:p>
      <w:pPr>
        <w:pStyle w:val="22"/>
        <w:spacing w:before="75" w:beforeAutospacing="0" w:after="75" w:afterAutospacing="0" w:line="360" w:lineRule="auto"/>
        <w:ind w:right="840" w:firstLine="420"/>
        <w:rPr>
          <w:rFonts w:hint="eastAsia" w:ascii="宋体" w:hAnsi="宋体" w:eastAsia="宋体"/>
        </w:rPr>
      </w:pPr>
      <w:r>
        <w:rPr>
          <w:rFonts w:hint="eastAsia" w:ascii="宋体" w:hAnsi="宋体" w:eastAsia="宋体"/>
        </w:rPr>
        <w:t xml:space="preserve">项目联系人及联系电话：蔺工、黎工  0771-2442850 </w:t>
      </w:r>
    </w:p>
    <w:p>
      <w:pPr>
        <w:pStyle w:val="22"/>
        <w:spacing w:before="75" w:beforeAutospacing="0" w:after="75" w:afterAutospacing="0" w:line="360" w:lineRule="auto"/>
        <w:ind w:right="840" w:firstLine="420"/>
        <w:rPr>
          <w:rFonts w:hint="eastAsia" w:ascii="宋体" w:hAnsi="宋体" w:eastAsia="宋体"/>
        </w:rPr>
      </w:pPr>
      <w:r>
        <w:rPr>
          <w:rFonts w:hint="eastAsia" w:ascii="宋体" w:hAnsi="宋体" w:eastAsia="宋体"/>
        </w:rPr>
        <w:t>3.项目联系方式</w:t>
      </w:r>
    </w:p>
    <w:p>
      <w:pPr>
        <w:pStyle w:val="22"/>
        <w:spacing w:before="75" w:beforeAutospacing="0" w:after="75" w:afterAutospacing="0" w:line="360" w:lineRule="auto"/>
        <w:ind w:right="840" w:firstLine="420"/>
        <w:rPr>
          <w:rFonts w:hint="eastAsia" w:ascii="宋体" w:hAnsi="宋体" w:eastAsia="宋体"/>
        </w:rPr>
      </w:pPr>
      <w:r>
        <w:rPr>
          <w:rFonts w:hint="eastAsia" w:ascii="宋体" w:hAnsi="宋体" w:eastAsia="宋体"/>
        </w:rPr>
        <w:t>项目联系人：蔺工、黎工</w:t>
      </w:r>
    </w:p>
    <w:p>
      <w:pPr>
        <w:pStyle w:val="22"/>
        <w:spacing w:before="75" w:beforeAutospacing="0" w:after="75" w:afterAutospacing="0" w:line="360" w:lineRule="auto"/>
        <w:ind w:right="840" w:firstLine="420"/>
        <w:rPr>
          <w:rFonts w:hint="eastAsia" w:ascii="宋体" w:hAnsi="宋体" w:eastAsia="宋体"/>
        </w:rPr>
      </w:pPr>
      <w:r>
        <w:rPr>
          <w:rFonts w:hint="eastAsia" w:ascii="宋体" w:hAnsi="宋体" w:eastAsia="宋体"/>
        </w:rPr>
        <w:t xml:space="preserve">电话：0771-2442850 </w:t>
      </w:r>
    </w:p>
    <w:p>
      <w:pPr>
        <w:spacing w:line="360" w:lineRule="auto"/>
        <w:ind w:firstLine="2880" w:firstLineChars="1200"/>
        <w:jc w:val="both"/>
        <w:rPr>
          <w:rFonts w:hint="eastAsia" w:ascii="宋体" w:hAnsi="宋体" w:eastAsia="宋体"/>
          <w:b/>
          <w:sz w:val="36"/>
          <w:szCs w:val="20"/>
        </w:rPr>
      </w:pPr>
      <w:r>
        <w:rPr>
          <w:rFonts w:hint="eastAsia" w:ascii="宋体" w:hAnsi="宋体" w:eastAsia="宋体"/>
          <w:sz w:val="24"/>
          <w:szCs w:val="24"/>
        </w:rPr>
        <w:t xml:space="preserve">                           发布日期：2020年</w:t>
      </w:r>
      <w:r>
        <w:rPr>
          <w:rFonts w:hint="eastAsia" w:ascii="宋体" w:hAnsi="宋体" w:eastAsia="宋体"/>
          <w:sz w:val="24"/>
          <w:szCs w:val="24"/>
          <w:lang w:val="en-US" w:eastAsia="zh-CN"/>
        </w:rPr>
        <w:t>9</w:t>
      </w:r>
      <w:r>
        <w:rPr>
          <w:rFonts w:hint="eastAsia" w:ascii="宋体" w:hAnsi="宋体" w:eastAsia="宋体"/>
          <w:sz w:val="24"/>
          <w:szCs w:val="24"/>
        </w:rPr>
        <w:t>月</w:t>
      </w:r>
      <w:r>
        <w:rPr>
          <w:rFonts w:hint="eastAsia" w:ascii="宋体" w:hAnsi="宋体" w:eastAsia="宋体"/>
          <w:sz w:val="24"/>
          <w:szCs w:val="24"/>
          <w:lang w:val="en-US" w:eastAsia="zh-CN"/>
        </w:rPr>
        <w:t>25</w:t>
      </w:r>
      <w:r>
        <w:rPr>
          <w:rFonts w:hint="eastAsia" w:ascii="宋体" w:hAnsi="宋体" w:eastAsia="宋体"/>
          <w:sz w:val="24"/>
          <w:szCs w:val="24"/>
        </w:rPr>
        <w:t>日</w:t>
      </w:r>
      <w:r>
        <w:rPr>
          <w:rFonts w:hint="eastAsia" w:ascii="宋体" w:hAnsi="宋体" w:eastAsia="宋体"/>
          <w:b/>
          <w:sz w:val="36"/>
        </w:rPr>
        <w:br w:type="page"/>
      </w:r>
      <w:bookmarkEnd w:id="8"/>
    </w:p>
    <w:p>
      <w:pPr>
        <w:pStyle w:val="65"/>
        <w:widowControl w:val="0"/>
        <w:numPr>
          <w:ilvl w:val="255"/>
          <w:numId w:val="0"/>
        </w:numPr>
        <w:spacing w:after="156" w:line="500" w:lineRule="exact"/>
        <w:jc w:val="center"/>
        <w:outlineLvl w:val="0"/>
        <w:rPr>
          <w:rFonts w:hint="eastAsia" w:ascii="宋体" w:hAnsi="宋体" w:eastAsia="宋体" w:cs="宋体"/>
          <w:b/>
          <w:sz w:val="36"/>
        </w:rPr>
      </w:pPr>
      <w:bookmarkStart w:id="13" w:name="_Toc32448"/>
      <w:r>
        <w:rPr>
          <w:rFonts w:hint="eastAsia" w:ascii="宋体" w:hAnsi="宋体" w:eastAsia="宋体" w:cs="宋体"/>
          <w:b/>
          <w:sz w:val="36"/>
        </w:rPr>
        <w:t>第二章  服务需求一览表</w:t>
      </w:r>
      <w:bookmarkEnd w:id="13"/>
    </w:p>
    <w:p>
      <w:pPr>
        <w:spacing w:line="340" w:lineRule="exact"/>
        <w:rPr>
          <w:rFonts w:hint="eastAsia" w:ascii="宋体" w:hAnsi="宋体" w:eastAsia="宋体"/>
          <w:b/>
          <w:sz w:val="24"/>
        </w:rPr>
      </w:pPr>
      <w:r>
        <w:rPr>
          <w:rFonts w:hint="eastAsia" w:ascii="宋体" w:hAnsi="宋体" w:eastAsia="宋体"/>
          <w:b/>
          <w:sz w:val="24"/>
        </w:rPr>
        <w:t>说明：</w:t>
      </w:r>
    </w:p>
    <w:p>
      <w:pPr>
        <w:ind w:left="6" w:firstLine="412" w:firstLineChars="172"/>
        <w:rPr>
          <w:rFonts w:hint="eastAsia" w:ascii="宋体" w:hAnsi="宋体" w:eastAsia="宋体"/>
          <w:b/>
          <w:bCs/>
          <w:sz w:val="24"/>
        </w:rPr>
      </w:pPr>
      <w:r>
        <w:rPr>
          <w:rFonts w:hint="eastAsia" w:ascii="宋体" w:hAnsi="宋体" w:eastAsia="宋体"/>
          <w:sz w:val="24"/>
        </w:rPr>
        <w:t>1、</w:t>
      </w:r>
      <w:r>
        <w:rPr>
          <w:rFonts w:hint="eastAsia" w:ascii="宋体" w:hAnsi="宋体" w:eastAsia="宋体"/>
          <w:b/>
          <w:bCs/>
          <w:sz w:val="24"/>
        </w:rPr>
        <w:t>本服务需求一览表中标注★号的部分为实质性要求和条件。</w:t>
      </w:r>
    </w:p>
    <w:p>
      <w:pPr>
        <w:ind w:left="6" w:firstLine="412" w:firstLineChars="172"/>
        <w:rPr>
          <w:rFonts w:hint="eastAsia" w:ascii="宋体" w:hAnsi="宋体" w:eastAsia="宋体"/>
          <w:sz w:val="24"/>
        </w:rPr>
      </w:pPr>
      <w:r>
        <w:rPr>
          <w:rFonts w:hint="eastAsia" w:ascii="宋体" w:hAnsi="宋体" w:eastAsia="宋体"/>
          <w:sz w:val="24"/>
        </w:rPr>
        <w:t>2、本服务需求一览表中内容如与第六章“合同条款及格式”相关条款不一致的，以本表为准。</w:t>
      </w:r>
    </w:p>
    <w:p>
      <w:pPr>
        <w:pStyle w:val="17"/>
        <w:ind w:left="240" w:leftChars="109" w:firstLine="217" w:firstLineChars="90"/>
        <w:rPr>
          <w:rFonts w:hint="eastAsia" w:ascii="宋体" w:hAnsi="宋体" w:eastAsia="宋体" w:cs="宋体"/>
          <w:b/>
          <w:sz w:val="24"/>
        </w:rPr>
      </w:pPr>
      <w:r>
        <w:rPr>
          <w:rFonts w:hint="eastAsia" w:ascii="宋体" w:hAnsi="宋体" w:eastAsia="宋体" w:cs="宋体"/>
          <w:b/>
          <w:sz w:val="24"/>
        </w:rPr>
        <w:t>3、本次服务采购最高限价为：人民币</w:t>
      </w:r>
      <w:r>
        <w:rPr>
          <w:rFonts w:hint="eastAsia" w:ascii="宋体" w:hAnsi="宋体" w:eastAsia="宋体" w:cs="宋体"/>
          <w:b/>
          <w:sz w:val="24"/>
        </w:rPr>
        <w:fldChar w:fldCharType="begin"/>
      </w:r>
      <w:r>
        <w:rPr>
          <w:rFonts w:hint="eastAsia" w:ascii="宋体" w:hAnsi="宋体" w:eastAsia="宋体" w:cs="宋体"/>
          <w:b/>
          <w:sz w:val="24"/>
        </w:rPr>
        <w:instrText xml:space="preserve"> = 9103000 \* CHINESENUM2 </w:instrText>
      </w:r>
      <w:r>
        <w:rPr>
          <w:rFonts w:hint="eastAsia" w:ascii="宋体" w:hAnsi="宋体" w:eastAsia="宋体" w:cs="宋体"/>
          <w:b/>
          <w:sz w:val="24"/>
        </w:rPr>
        <w:fldChar w:fldCharType="separate"/>
      </w:r>
      <w:r>
        <w:rPr>
          <w:rFonts w:hint="eastAsia" w:ascii="宋体" w:hAnsi="宋体" w:eastAsia="宋体" w:cs="宋体"/>
          <w:b/>
          <w:sz w:val="24"/>
        </w:rPr>
        <w:t>玖佰壹拾万叁仟</w:t>
      </w:r>
      <w:r>
        <w:rPr>
          <w:rFonts w:hint="eastAsia" w:ascii="宋体" w:hAnsi="宋体" w:eastAsia="宋体" w:cs="宋体"/>
          <w:b/>
          <w:sz w:val="24"/>
        </w:rPr>
        <w:fldChar w:fldCharType="end"/>
      </w:r>
      <w:r>
        <w:rPr>
          <w:rFonts w:hint="eastAsia" w:ascii="宋体" w:hAnsi="宋体" w:eastAsia="宋体" w:cs="宋体"/>
          <w:b/>
          <w:sz w:val="24"/>
        </w:rPr>
        <w:t>元整(￥9103000.00元)</w:t>
      </w:r>
    </w:p>
    <w:tbl>
      <w:tblPr>
        <w:tblStyle w:val="26"/>
        <w:tblpPr w:leftFromText="180" w:rightFromText="180" w:vertAnchor="text" w:horzAnchor="page" w:tblpX="543" w:tblpY="324"/>
        <w:tblOverlap w:val="never"/>
        <w:tblW w:w="10920" w:type="dxa"/>
        <w:tblInd w:w="0" w:type="dxa"/>
        <w:tblLayout w:type="fixed"/>
        <w:tblCellMar>
          <w:top w:w="0" w:type="dxa"/>
          <w:left w:w="0" w:type="dxa"/>
          <w:bottom w:w="0" w:type="dxa"/>
          <w:right w:w="0" w:type="dxa"/>
        </w:tblCellMar>
      </w:tblPr>
      <w:tblGrid>
        <w:gridCol w:w="714"/>
        <w:gridCol w:w="1508"/>
        <w:gridCol w:w="763"/>
        <w:gridCol w:w="5683"/>
        <w:gridCol w:w="2252"/>
      </w:tblGrid>
      <w:tr>
        <w:tblPrEx>
          <w:tblCellMar>
            <w:top w:w="0" w:type="dxa"/>
            <w:left w:w="0" w:type="dxa"/>
            <w:bottom w:w="0" w:type="dxa"/>
            <w:right w:w="0" w:type="dxa"/>
          </w:tblCellMar>
        </w:tblPrEx>
        <w:trPr>
          <w:trHeight w:val="826"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sz w:val="24"/>
                <w:szCs w:val="24"/>
              </w:rPr>
            </w:pPr>
            <w:r>
              <w:rPr>
                <w:rFonts w:hint="eastAsia" w:ascii="宋体" w:hAnsi="宋体" w:eastAsia="宋体"/>
                <w:b/>
                <w:sz w:val="24"/>
                <w:szCs w:val="24"/>
              </w:rPr>
              <w:t>序号</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sz w:val="24"/>
                <w:szCs w:val="24"/>
              </w:rPr>
            </w:pPr>
            <w:r>
              <w:rPr>
                <w:rFonts w:hint="eastAsia" w:ascii="宋体" w:hAnsi="宋体" w:eastAsia="宋体"/>
                <w:b/>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b/>
                <w:sz w:val="24"/>
                <w:szCs w:val="24"/>
              </w:rPr>
            </w:pPr>
            <w:r>
              <w:rPr>
                <w:rFonts w:hint="eastAsia" w:ascii="宋体" w:hAnsi="宋体" w:eastAsia="宋体"/>
                <w:b/>
                <w:sz w:val="24"/>
                <w:szCs w:val="24"/>
              </w:rPr>
              <w:t>数量</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b/>
                <w:sz w:val="24"/>
                <w:szCs w:val="24"/>
              </w:rPr>
            </w:pPr>
            <w:r>
              <w:rPr>
                <w:rFonts w:hint="eastAsia" w:ascii="宋体" w:hAnsi="宋体" w:eastAsia="宋体"/>
                <w:b/>
                <w:sz w:val="24"/>
                <w:szCs w:val="24"/>
              </w:rPr>
              <w:t>服务内容及要求</w:t>
            </w:r>
          </w:p>
        </w:tc>
        <w:tc>
          <w:tcPr>
            <w:tcW w:w="2252" w:type="dxa"/>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sz w:val="24"/>
                <w:szCs w:val="24"/>
              </w:rPr>
            </w:pPr>
            <w:r>
              <w:rPr>
                <w:rFonts w:hint="eastAsia" w:ascii="宋体" w:hAnsi="宋体" w:eastAsia="宋体"/>
                <w:b/>
                <w:sz w:val="24"/>
                <w:szCs w:val="24"/>
              </w:rPr>
              <w:t>分项最高限价（元）</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sz w:val="24"/>
                <w:szCs w:val="24"/>
              </w:rPr>
            </w:pPr>
            <w:r>
              <w:rPr>
                <w:rFonts w:ascii="宋体" w:hAnsi="宋体" w:eastAsia="宋体"/>
                <w:sz w:val="24"/>
                <w:szCs w:val="24"/>
              </w:rPr>
              <w:t>1</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sz w:val="24"/>
                <w:szCs w:val="24"/>
              </w:rPr>
            </w:pPr>
            <w:r>
              <w:rPr>
                <w:rFonts w:hint="eastAsia" w:ascii="宋体" w:hAnsi="宋体" w:eastAsia="宋体"/>
                <w:sz w:val="24"/>
                <w:szCs w:val="24"/>
              </w:rPr>
              <w:t>扬尘治理视频综合管理系统（二期）项目概述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sz w:val="24"/>
                <w:szCs w:val="24"/>
              </w:rPr>
            </w:pPr>
            <w:r>
              <w:rPr>
                <w:rFonts w:ascii="宋体" w:hAnsi="宋体" w:eastAsia="宋体"/>
                <w:sz w:val="24"/>
                <w:szCs w:val="24"/>
              </w:rPr>
              <w:t>1</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20"/>
              <w:outlineLvl w:val="0"/>
              <w:rPr>
                <w:rFonts w:ascii="宋体" w:hAnsi="宋体" w:eastAsia="宋体"/>
                <w:sz w:val="24"/>
                <w:szCs w:val="24"/>
              </w:rPr>
            </w:pPr>
            <w:r>
              <w:rPr>
                <w:rFonts w:hint="eastAsia" w:ascii="宋体" w:hAnsi="宋体" w:eastAsia="宋体"/>
                <w:sz w:val="24"/>
                <w:szCs w:val="24"/>
              </w:rPr>
              <w:t>一、项目建设目标</w:t>
            </w:r>
          </w:p>
          <w:p>
            <w:pPr>
              <w:spacing w:beforeAutospacing="1" w:afterAutospacing="1" w:line="440" w:lineRule="exact"/>
              <w:ind w:firstLine="420"/>
              <w:outlineLvl w:val="0"/>
              <w:rPr>
                <w:rFonts w:ascii="宋体" w:hAnsi="宋体" w:eastAsia="宋体"/>
                <w:sz w:val="24"/>
                <w:szCs w:val="24"/>
              </w:rPr>
            </w:pPr>
            <w:r>
              <w:rPr>
                <w:rFonts w:hint="eastAsia" w:ascii="宋体" w:hAnsi="宋体" w:eastAsia="宋体"/>
                <w:sz w:val="24"/>
                <w:szCs w:val="24"/>
              </w:rPr>
              <w:t>全面对接各扬尘治理参加单位，采集系统所需的采石场、搅拌站、建筑工地、消纳场四大扬尘污染源头的基本数据和监测数据，结合车辆</w:t>
            </w:r>
            <w:r>
              <w:rPr>
                <w:rFonts w:ascii="宋体" w:hAnsi="宋体" w:eastAsia="宋体"/>
                <w:sz w:val="24"/>
                <w:szCs w:val="24"/>
              </w:rPr>
              <w:t>GPS、视频监控图像等智能化设施，利用车辆轨迹，自动对运输车辆的违规等行为进行报警，利用电子围栏技术结合环保、气象、重大活动等预案，对车辆违规上路、建筑工地违规开工等行为进行预报；基于城市信息模型</w:t>
            </w:r>
            <w:r>
              <w:rPr>
                <w:rFonts w:hint="eastAsia" w:ascii="宋体" w:hAnsi="宋体" w:eastAsia="宋体"/>
                <w:sz w:val="24"/>
                <w:szCs w:val="24"/>
              </w:rPr>
              <w:t>构建CIM平台</w:t>
            </w:r>
            <w:r>
              <w:rPr>
                <w:rFonts w:ascii="宋体" w:hAnsi="宋体" w:eastAsia="宋体"/>
                <w:sz w:val="24"/>
                <w:szCs w:val="24"/>
              </w:rPr>
              <w:t>，</w:t>
            </w:r>
            <w:r>
              <w:rPr>
                <w:rFonts w:hint="eastAsia" w:ascii="宋体" w:hAnsi="宋体" w:eastAsia="宋体"/>
                <w:sz w:val="24"/>
                <w:szCs w:val="24"/>
              </w:rPr>
              <w:t>搭建各业务系统功能及数据展示等，</w:t>
            </w:r>
            <w:r>
              <w:rPr>
                <w:rFonts w:ascii="宋体" w:hAnsi="宋体" w:eastAsia="宋体"/>
                <w:sz w:val="24"/>
                <w:szCs w:val="24"/>
              </w:rPr>
              <w:t>对接南宁市电子地图和四大扬尘污染源头的</w:t>
            </w:r>
            <w:r>
              <w:rPr>
                <w:rFonts w:hint="eastAsia" w:ascii="宋体" w:hAnsi="宋体" w:eastAsia="宋体"/>
                <w:sz w:val="24"/>
                <w:szCs w:val="24"/>
              </w:rPr>
              <w:t>信息</w:t>
            </w:r>
            <w:r>
              <w:rPr>
                <w:rFonts w:ascii="宋体" w:hAnsi="宋体" w:eastAsia="宋体"/>
                <w:sz w:val="24"/>
                <w:szCs w:val="24"/>
              </w:rPr>
              <w:t>，结合车辆轨迹，对非法采石场、非法工地、非法消纳场进行分析研判，为扬尘执法提供可靠的数据支撑，实现数据统计和分析自动化。</w:t>
            </w:r>
          </w:p>
        </w:tc>
        <w:tc>
          <w:tcPr>
            <w:tcW w:w="2252" w:type="dxa"/>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sz w:val="24"/>
                <w:szCs w:val="24"/>
              </w:rPr>
            </w:pPr>
            <w:r>
              <w:rPr>
                <w:rFonts w:ascii="宋体" w:hAnsi="宋体" w:eastAsia="宋体"/>
                <w:b/>
                <w:sz w:val="24"/>
                <w:szCs w:val="24"/>
              </w:rPr>
              <w:t>/</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sz w:val="24"/>
                <w:szCs w:val="24"/>
              </w:rPr>
            </w:pPr>
            <w:r>
              <w:rPr>
                <w:rFonts w:ascii="宋体" w:hAnsi="宋体" w:eastAsia="宋体"/>
                <w:sz w:val="24"/>
                <w:szCs w:val="24"/>
              </w:rPr>
              <w:t>2</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sz w:val="24"/>
                <w:szCs w:val="24"/>
              </w:rPr>
            </w:pPr>
            <w:r>
              <w:rPr>
                <w:rFonts w:hint="eastAsia" w:ascii="宋体" w:hAnsi="宋体" w:eastAsia="宋体"/>
                <w:sz w:val="24"/>
                <w:szCs w:val="24"/>
              </w:rPr>
              <w:t>扬尘治理大数据资源中心</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sz w:val="24"/>
                <w:szCs w:val="24"/>
              </w:rPr>
            </w:pPr>
            <w:r>
              <w:rPr>
                <w:rFonts w:ascii="宋体" w:hAnsi="宋体" w:eastAsia="宋体"/>
                <w:sz w:val="24"/>
                <w:szCs w:val="24"/>
              </w:rPr>
              <w:t>1套</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一、</w:t>
            </w:r>
            <w:r>
              <w:rPr>
                <w:rFonts w:ascii="宋体" w:hAnsi="宋体" w:eastAsia="宋体"/>
                <w:sz w:val="24"/>
                <w:szCs w:val="24"/>
              </w:rPr>
              <w:t xml:space="preserve"> </w:t>
            </w:r>
            <w:r>
              <w:rPr>
                <w:rFonts w:hint="eastAsia" w:ascii="宋体" w:hAnsi="宋体" w:eastAsia="宋体"/>
                <w:sz w:val="24"/>
                <w:szCs w:val="24"/>
              </w:rPr>
              <w:t>系统概述</w:t>
            </w:r>
          </w:p>
          <w:p>
            <w:pPr>
              <w:spacing w:beforeAutospacing="1"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建立扬尘治理大数据资源中心，利用大数据平台技术，全面对接各扬尘治理参加单位，采集系统所需的采石场、搅拌站、建筑工地、消纳场四大扬尘污染源头的基本数据和监测数据，提供数据采集与存储、数据清洗与归约、数据查询与检索等大数据基础技术能力；完善四点一线的数据采集机制和持续更新机制，最大程度的丰富扬尘数据资源；搭建数据服务总线，为所有业务功能提供统一的数据服务，便于统一数据标准的实施，不断汇集扬尘治理数字资产，最终形成具有专业特色的扬尘治理大数据资源中心；利用大数据技术分析扬尘治理大数据，为扬尘治理的分析研判和案件处置提供辅助的数据支撑，并与南宁市数据共享交换平台进行对接，作为扬尘治理专题为各扬尘治理参加单位提供数据服务。南宁市扬尘治理视频综合管理系统（一期）数据内容做衔接融合到扬尘治理大数据资源中心。</w:t>
            </w:r>
          </w:p>
          <w:p>
            <w:pPr>
              <w:spacing w:beforeAutospacing="1"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建立数据动态更新机制，持续与市工信局、市公安局、市自然资源局、市生态环境局、市住建局、市交通局、市政园林局、市城管执法局、市行政审批局、市数据共享交换平台进行数据对接，采集扬尘业务所需信息资源。扬尘治理数据资源中心实现对外和对内的统一的数据共享和交换</w:t>
            </w:r>
            <w:r>
              <w:rPr>
                <w:rFonts w:ascii="宋体" w:hAnsi="宋体" w:eastAsia="宋体"/>
                <w:sz w:val="24"/>
                <w:szCs w:val="24"/>
              </w:rPr>
              <w:t>,城市信息模型管理平台、视频综合管理平台、扬尘治理业务平台、扬尘治理公共服务平台数据统一经扬尘治理数据资源中心进行数据共享和交换。实现对扬尘治理数据共享交换集中管理，建立底层元数据服务管理，形成大数据支撑服务，基于数据算法模型，构建决策指数，并以数据可视化形式展现。主要包括数据数据灾备、可视化展示、数据目录整合、数据总量汇集、元数据管理、大数据算法模型和数据血缘分析等功能。</w:t>
            </w:r>
          </w:p>
          <w:p>
            <w:pPr>
              <w:spacing w:beforeAutospacing="1"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支持将所有非涉密并经过治理的数据，以前置库数据推送方式有效归集至市政务数据中心，按南宁市政务数据中心数据采集及接口调用规范中前置库数据推送要求进行前置库设计，确保前置库与生产库的数据同步。</w:t>
            </w:r>
          </w:p>
          <w:p>
            <w:pPr>
              <w:spacing w:beforeAutospacing="1"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项目建设完成后，基本建立完善的扬尘治理数据采集和动态更新机制，四大扬尘污染源头和运输车辆的相关数据动态更新，全面实现数据统计和分析自动化，可按需给出数据报表。</w:t>
            </w:r>
          </w:p>
          <w:p>
            <w:pPr>
              <w:spacing w:beforeAutospacing="1"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★二、</w:t>
            </w:r>
            <w:r>
              <w:rPr>
                <w:rFonts w:ascii="宋体" w:hAnsi="宋体" w:eastAsia="宋体"/>
                <w:sz w:val="24"/>
                <w:szCs w:val="24"/>
              </w:rPr>
              <w:t xml:space="preserve"> </w:t>
            </w:r>
            <w:r>
              <w:rPr>
                <w:rFonts w:hint="eastAsia" w:ascii="宋体" w:hAnsi="宋体" w:eastAsia="宋体"/>
                <w:sz w:val="24"/>
                <w:szCs w:val="24"/>
              </w:rPr>
              <w:t>系统功能要求</w:t>
            </w:r>
          </w:p>
          <w:p>
            <w:pPr>
              <w:spacing w:beforeAutospacing="1" w:afterAutospacing="1" w:line="440" w:lineRule="exact"/>
              <w:ind w:firstLine="42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大数据基础平台</w:t>
            </w:r>
          </w:p>
          <w:p>
            <w:pPr>
              <w:spacing w:beforeAutospacing="1"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大数据平台包含数据采集与存储、数据清洗与归约、数据查询与检索等大数据基础技术组件，通过大数据平台的建立可满足对各部门数据采集、存储、治理、建模、分析等需求。</w:t>
            </w:r>
          </w:p>
          <w:p>
            <w:pPr>
              <w:spacing w:beforeAutospacing="1" w:afterAutospacing="1" w:line="440" w:lineRule="exact"/>
              <w:ind w:firstLine="42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支持数据采集与存储</w:t>
            </w:r>
          </w:p>
          <w:p>
            <w:pPr>
              <w:spacing w:beforeAutospacing="1" w:afterAutospacing="1" w:line="440" w:lineRule="exact"/>
              <w:ind w:firstLine="420"/>
              <w:outlineLvl w:val="0"/>
              <w:rPr>
                <w:rFonts w:ascii="宋体" w:hAnsi="宋体" w:eastAsia="宋体"/>
                <w:kern w:val="2"/>
                <w:sz w:val="24"/>
                <w:szCs w:val="24"/>
              </w:rPr>
            </w:pPr>
            <w:r>
              <w:rPr>
                <w:rFonts w:ascii="宋体" w:hAnsi="宋体" w:eastAsia="宋体"/>
                <w:sz w:val="24"/>
                <w:szCs w:val="24"/>
              </w:rPr>
              <w:t xml:space="preserve">1) 数据采集功能 </w:t>
            </w:r>
          </w:p>
          <w:p>
            <w:pPr>
              <w:spacing w:beforeAutospacing="1"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支持收集各信息化系统业务数据以及物联网监测数据，并将所有采集上来的数据汇总到数据汇聚库中供业务系统以及数据仓库等使用。支持在源数据到融合库的归一化过程阶段、融合库数据到专题库的聚合分析过程阶段中使用</w:t>
            </w:r>
            <w:r>
              <w:rPr>
                <w:rFonts w:ascii="宋体" w:hAnsi="宋体" w:eastAsia="宋体"/>
                <w:sz w:val="24"/>
                <w:szCs w:val="24"/>
              </w:rPr>
              <w:t>ETL工具。</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支持灵活多样的系统接入和数据采集方式，支持多部门、复杂异构系统接入和数据采集的需要。支持灵活的基于适配器方式的系统接入和数据采集方式。对从外部接入的所有数据是否正常传输进行监测，记录数据内容、时间，监控数据调用和修改记录。</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采集安全控制：平台适配器服务提供不同的安全控制机制。数据接入适配器支持安全访问、数据加解密、签名验签。且支持第三方扩展。可以与统一用户管理、</w:t>
            </w:r>
            <w:r>
              <w:rPr>
                <w:rFonts w:ascii="宋体" w:hAnsi="宋体" w:eastAsia="宋体"/>
                <w:sz w:val="24"/>
                <w:szCs w:val="24"/>
              </w:rPr>
              <w:t xml:space="preserve">CA </w:t>
            </w:r>
            <w:r>
              <w:rPr>
                <w:rFonts w:hint="eastAsia" w:ascii="宋体" w:hAnsi="宋体" w:eastAsia="宋体"/>
                <w:sz w:val="24"/>
                <w:szCs w:val="24"/>
              </w:rPr>
              <w:t>认证等集成。</w:t>
            </w:r>
          </w:p>
          <w:p>
            <w:pPr>
              <w:spacing w:beforeAutospacing="1" w:after="0" w:afterAutospacing="1" w:line="440" w:lineRule="exact"/>
              <w:ind w:firstLine="42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数据存储功能</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支持平台内部的数据存储系统能够满足对各种不同类型的海量异构数据的存储与管理需求，并构建一套采用分布式架构构建的异构数据统一存储与管理体系，满足平台整体的业务服务功能与数据处理分析需求。</w:t>
            </w:r>
          </w:p>
          <w:p>
            <w:pPr>
              <w:spacing w:beforeAutospacing="1" w:after="0" w:afterAutospacing="1" w:line="440" w:lineRule="exact"/>
              <w:ind w:firstLine="42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质量管理</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支持对数据生成及传输、数据存储、数据处理及应用、数据销毁四方面的质量管理，并支持对数据质量的分析。</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数据生成及传输阶段：支持数据按照扬尘治理数据质量标准和发展需要产生，采取措施保证数据的准确性和完整性，业务系统上线前应该进行必要的安全测试，以保证上述措施的有效性。对于手工流程中产生的数据在相关制度中明确要求，并通过事中复核、事后检查等手段保证其准确性和完整性。制定检验规则，保证数据传输过程中保密性和完整性，对不同种类的数据分别采取不同的措施防止数据泄漏或数据被篡改，对于检测到错误的数据进行回溯。</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数据存储阶段：支持分级存储技术，可根据数据的重要性、访问频率、保留时间、容量、性能等指标，将数据采取不同的存储方式分别存储在不同性能的存储设备上。</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数据处理和应用：支持对数据进行分析处理，保证过程中数据的安全性，应采用联机处理，系统只输出分析处理的结果，对数据进行处理与分析的过程中禁止对源数据进行写操作，避免对数据及数据库造成破坏。</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数据销毁阶段：这个阶段主要涉及数据的保密性。应明确数据销毁的流程，采用必要的工具，数据的销毁应该有完整的记录。尤其是对于需要送出外部修理的存储设备，送修之前应该对数据进行可靠的销毁。</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数据质量分析：支持数据质量管理，能够根据预设的规则来检测数据中的质量问题，检测规则可自主配置，系统提供默认的规则模板，用户也可以自主编写规则表达式。数据质量监控与调度系统强耦合，发现脏数据可实现事中拦截，避免错误的数据流入下游应用。数据发生变化的时候，则会触发数据质量的校验逻辑，对数据进行校验，帮助用户避免脏数据的产生和质量不高的数据对整体数据的污染，同时需要保留所有规则的历史检验结果，以方便用户对数据的质量进行分析和定级。数据质量需要提供了配置规则、按照各种力度查看历史校验结果，订阅表的数据质量报警等能力。</w:t>
            </w:r>
          </w:p>
          <w:p>
            <w:pPr>
              <w:spacing w:beforeAutospacing="1" w:after="0" w:afterAutospacing="1" w:line="440" w:lineRule="exact"/>
              <w:ind w:firstLine="42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数据清洗与归约</w:t>
            </w:r>
          </w:p>
          <w:p>
            <w:pPr>
              <w:spacing w:beforeAutospacing="1" w:after="0" w:afterAutospacing="1" w:line="440" w:lineRule="exact"/>
              <w:ind w:firstLine="42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数据清洗</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支持数据清洗管理包括数据格式转换，数据映射配置，数据校验，对于缺漏数据采用缺省设置或重新采集。</w:t>
            </w:r>
          </w:p>
          <w:p>
            <w:pPr>
              <w:spacing w:beforeAutospacing="1" w:after="0" w:afterAutospacing="1" w:line="440" w:lineRule="exact"/>
              <w:ind w:firstLine="42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数据归约</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支持数据规约功能，可对大规模数据进行处理，降低数据规模，需提供维归约、数量归约和数据压缩</w:t>
            </w:r>
            <w:r>
              <w:rPr>
                <w:rFonts w:ascii="宋体" w:hAnsi="宋体" w:eastAsia="宋体"/>
                <w:sz w:val="24"/>
                <w:szCs w:val="24"/>
              </w:rPr>
              <w:t>3种处理方式，并支持有损压缩和无损压缩。</w:t>
            </w:r>
          </w:p>
          <w:p>
            <w:pPr>
              <w:spacing w:beforeAutospacing="1" w:after="0" w:afterAutospacing="1" w:line="440" w:lineRule="exact"/>
              <w:ind w:firstLine="42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数据查询与检索</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支持为用户提供一个非常简洁的数据查询与检索界面环境，提供给用户一个检索内容输入框，用户只需要简单填入自己要搜索的目标关键信息，便可以从信息检索获得相关的结果。包含一键检索、分类检索、模糊检索、范围检索、逻辑组合检索、字段检索、筛选检索、个性化推荐、我的足迹相关功能。</w:t>
            </w:r>
          </w:p>
          <w:p>
            <w:pPr>
              <w:spacing w:beforeAutospacing="1" w:after="0" w:afterAutospacing="1" w:line="440" w:lineRule="exact"/>
              <w:ind w:firstLine="420"/>
              <w:outlineLvl w:val="0"/>
              <w:rPr>
                <w:rFonts w:ascii="宋体" w:hAnsi="宋体" w:eastAsia="宋体"/>
                <w:kern w:val="2"/>
                <w:sz w:val="24"/>
                <w:szCs w:val="24"/>
              </w:rPr>
            </w:pPr>
            <w:r>
              <w:rPr>
                <w:rFonts w:ascii="宋体" w:hAnsi="宋体" w:eastAsia="宋体"/>
                <w:sz w:val="24"/>
                <w:szCs w:val="24"/>
              </w:rPr>
              <w:t xml:space="preserve">(4) </w:t>
            </w:r>
            <w:r>
              <w:rPr>
                <w:rFonts w:hint="eastAsia" w:ascii="宋体" w:hAnsi="宋体" w:eastAsia="宋体"/>
                <w:sz w:val="24"/>
                <w:szCs w:val="24"/>
              </w:rPr>
              <w:t>数据建模与分析系统</w:t>
            </w:r>
          </w:p>
          <w:p>
            <w:pPr>
              <w:spacing w:beforeAutospacing="1"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支持通过运用数据仓库、在线分析和数据挖掘等技术处理分析数据，建立数据模型，如：车辆行进轨迹分析模型和四点一线分析模型，为用户提供数据信息的集成、分析、报告等功能，从海量的数据中钻取信息与知识，实现分析挖掘数据中的价值，为用户提高辅助决策能力。系统支持可</w:t>
            </w:r>
            <w:r>
              <w:rPr>
                <w:rFonts w:hint="eastAsia" w:ascii="宋体" w:hAnsi="宋体" w:eastAsia="宋体"/>
                <w:sz w:val="24"/>
                <w:szCs w:val="24"/>
                <w:lang w:eastAsia="zh-CN"/>
              </w:rPr>
              <w:t>根据</w:t>
            </w:r>
            <w:r>
              <w:rPr>
                <w:rFonts w:hint="eastAsia" w:ascii="宋体" w:hAnsi="宋体" w:eastAsia="宋体"/>
                <w:sz w:val="24"/>
                <w:szCs w:val="24"/>
              </w:rPr>
              <w:t>用户对数据模型展示的需求，通过拖拉拽的方式布局，可调整可视化图表的大小，提供相关可视化分析支持组件，应用不同可视化应用场景的需求。（透视表、垂直表、网格、柱状图、条形图、组合图、饼状图、仪表盘、散点图、雷达图、分析报告、图文结合、</w:t>
            </w:r>
            <w:r>
              <w:rPr>
                <w:rFonts w:ascii="宋体" w:hAnsi="宋体" w:eastAsia="宋体"/>
                <w:sz w:val="24"/>
                <w:szCs w:val="24"/>
              </w:rPr>
              <w:t>3D等）呈现，支持数据连接、查询、统计分析，支持基本OLAP操作，并提供数据模型展示布局设置、以及可视化数据模型发布、构建、展示、与管理功能，用户可自主配置不同专题的分析统计。</w:t>
            </w:r>
          </w:p>
          <w:p>
            <w:pPr>
              <w:spacing w:beforeAutospacing="1" w:after="0" w:afterAutospacing="1" w:line="440" w:lineRule="exact"/>
              <w:ind w:firstLine="42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数据服务总线</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扬尘治理数据资源中心建设完后要实现对外和对内的数据共享和交换。对外将通过政务外网数据共享交换平台实现对其他政府各部门、企事业单位和和社会用户的数据共享。对内将通过建设数据服务总线实现城管内部的数据共享和交换。数据服务总线包含服务管理、服务目录、总线管理、日志分析、运行监控、服务接口菜单功能。用户可配置和管理不同数据的发布服务。支持数据血缘分析，对数据源的交换共享到应用层的流程绘制分析，并支持数据血缘分析图的导出至文档等功能。</w:t>
            </w:r>
          </w:p>
          <w:p>
            <w:pPr>
              <w:spacing w:beforeAutospacing="1" w:after="0" w:afterAutospacing="1" w:line="440" w:lineRule="exact"/>
              <w:ind w:firstLine="420"/>
              <w:outlineLvl w:val="0"/>
              <w:rPr>
                <w:rFonts w:ascii="宋体" w:hAnsi="宋体" w:eastAsia="宋体"/>
                <w:kern w:val="2"/>
                <w:sz w:val="24"/>
                <w:szCs w:val="24"/>
              </w:rPr>
            </w:pPr>
            <w:r>
              <w:rPr>
                <w:rFonts w:ascii="宋体" w:hAnsi="宋体" w:eastAsia="宋体"/>
                <w:sz w:val="24"/>
                <w:szCs w:val="24"/>
              </w:rPr>
              <w:t>3、数据采集来源</w:t>
            </w:r>
          </w:p>
          <w:p>
            <w:pPr>
              <w:spacing w:beforeAutospacing="1" w:after="0"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本期项目将依托市数据共享交换平台，持续对接市工信局、市公安局、市自然资源局、市生态环境局、市住建局、市交通运输局、市市政园林局、市行政审批局、五象新区规建局等各部门数据，采集扬尘业务所需信息资源，建立数据动态更新机制。</w:t>
            </w:r>
          </w:p>
          <w:p>
            <w:pPr>
              <w:spacing w:beforeAutospacing="1" w:after="0" w:afterAutospacing="1" w:line="440" w:lineRule="exact"/>
              <w:ind w:firstLine="420"/>
              <w:outlineLvl w:val="0"/>
              <w:rPr>
                <w:rFonts w:ascii="宋体" w:hAnsi="宋体" w:eastAsia="宋体"/>
                <w:kern w:val="2"/>
                <w:sz w:val="24"/>
                <w:szCs w:val="24"/>
              </w:rPr>
            </w:pPr>
            <w:r>
              <w:rPr>
                <w:rFonts w:ascii="宋体" w:hAnsi="宋体" w:eastAsia="宋体"/>
                <w:sz w:val="24"/>
                <w:szCs w:val="24"/>
              </w:rPr>
              <w:t>4、数据库资源管理</w:t>
            </w:r>
          </w:p>
          <w:p>
            <w:pPr>
              <w:spacing w:beforeAutospacing="1" w:afterAutospacing="1" w:line="440" w:lineRule="exact"/>
              <w:ind w:firstLine="420"/>
              <w:outlineLvl w:val="0"/>
              <w:rPr>
                <w:rFonts w:ascii="宋体" w:hAnsi="宋体" w:eastAsia="宋体"/>
                <w:kern w:val="2"/>
                <w:sz w:val="24"/>
                <w:szCs w:val="24"/>
              </w:rPr>
            </w:pPr>
            <w:r>
              <w:rPr>
                <w:rFonts w:hint="eastAsia" w:ascii="宋体" w:hAnsi="宋体" w:eastAsia="宋体"/>
                <w:sz w:val="24"/>
                <w:szCs w:val="24"/>
              </w:rPr>
              <w:t>本项目实际使用的分布式存储方式等特点，采用国产数据库系统作为数据库。建立数据资源目录，对共享和产生的各类数据进行目录管理，对各业务平台产生的数据进行统一采集、整理，并根据各业务系统需求进行分派。</w:t>
            </w:r>
          </w:p>
          <w:p>
            <w:pPr>
              <w:pStyle w:val="2"/>
              <w:numPr>
                <w:ilvl w:val="0"/>
                <w:numId w:val="4"/>
              </w:numPr>
              <w:spacing w:beforeAutospacing="1" w:afterAutospacing="1" w:line="440" w:lineRule="exact"/>
              <w:outlineLvl w:val="0"/>
              <w:rPr>
                <w:rFonts w:ascii="宋体" w:hAnsi="宋体" w:eastAsia="宋体"/>
                <w:kern w:val="2"/>
                <w:sz w:val="24"/>
                <w:szCs w:val="24"/>
              </w:rPr>
            </w:pPr>
            <w:r>
              <w:rPr>
                <w:rFonts w:hint="eastAsia" w:ascii="宋体" w:hAnsi="宋体" w:eastAsia="宋体"/>
                <w:sz w:val="24"/>
                <w:szCs w:val="24"/>
              </w:rPr>
              <w:t>数据备份</w:t>
            </w:r>
          </w:p>
          <w:p>
            <w:pPr>
              <w:pStyle w:val="2"/>
              <w:spacing w:beforeAutospacing="1" w:afterAutospacing="1" w:line="440" w:lineRule="exact"/>
              <w:outlineLvl w:val="0"/>
              <w:rPr>
                <w:rFonts w:ascii="宋体" w:hAnsi="宋体" w:eastAsia="宋体"/>
                <w:kern w:val="2"/>
                <w:sz w:val="24"/>
                <w:szCs w:val="24"/>
              </w:rPr>
            </w:pPr>
            <w:r>
              <w:rPr>
                <w:rFonts w:ascii="宋体" w:hAnsi="宋体" w:eastAsia="宋体"/>
                <w:sz w:val="24"/>
                <w:szCs w:val="24"/>
              </w:rPr>
              <w:t xml:space="preserve">    建立数据备份机制，支持对接南宁市电子政务云平台的数据灾备功能。</w:t>
            </w:r>
          </w:p>
        </w:tc>
        <w:tc>
          <w:tcPr>
            <w:tcW w:w="2252" w:type="dxa"/>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kern w:val="2"/>
                <w:sz w:val="24"/>
                <w:szCs w:val="24"/>
              </w:rPr>
            </w:pPr>
            <w:r>
              <w:rPr>
                <w:rFonts w:ascii="宋体" w:hAnsi="宋体" w:eastAsia="宋体"/>
                <w:b/>
                <w:sz w:val="24"/>
                <w:szCs w:val="24"/>
              </w:rPr>
              <w:t>1600000.00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kern w:val="2"/>
                <w:sz w:val="24"/>
                <w:szCs w:val="24"/>
              </w:rPr>
            </w:pPr>
            <w:r>
              <w:rPr>
                <w:rFonts w:ascii="宋体" w:hAnsi="宋体" w:eastAsia="宋体"/>
                <w:sz w:val="24"/>
                <w:szCs w:val="24"/>
              </w:rPr>
              <w:t>3</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kern w:val="2"/>
                <w:sz w:val="24"/>
                <w:szCs w:val="24"/>
              </w:rPr>
            </w:pPr>
            <w:r>
              <w:rPr>
                <w:rFonts w:hint="eastAsia" w:ascii="宋体" w:hAnsi="宋体" w:eastAsia="宋体"/>
                <w:sz w:val="24"/>
                <w:szCs w:val="24"/>
              </w:rPr>
              <w:t>城市信息模型管理平台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kern w:val="2"/>
                <w:sz w:val="24"/>
                <w:szCs w:val="24"/>
              </w:rPr>
            </w:pPr>
            <w:r>
              <w:rPr>
                <w:rFonts w:ascii="宋体" w:hAnsi="宋体" w:eastAsia="宋体"/>
                <w:sz w:val="24"/>
                <w:szCs w:val="24"/>
              </w:rPr>
              <w:t>1套</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82" w:firstLineChars="200"/>
              <w:outlineLvl w:val="0"/>
              <w:rPr>
                <w:rFonts w:ascii="宋体" w:hAnsi="宋体" w:eastAsia="宋体"/>
                <w:b/>
                <w:bCs/>
                <w:kern w:val="2"/>
                <w:sz w:val="24"/>
                <w:szCs w:val="24"/>
              </w:rPr>
            </w:pPr>
            <w:r>
              <w:rPr>
                <w:rFonts w:hint="eastAsia" w:ascii="宋体" w:hAnsi="宋体" w:eastAsia="宋体"/>
                <w:b/>
                <w:bCs/>
                <w:sz w:val="24"/>
                <w:szCs w:val="24"/>
              </w:rPr>
              <w:t>一、</w:t>
            </w:r>
            <w:r>
              <w:rPr>
                <w:rFonts w:ascii="宋体" w:hAnsi="宋体" w:eastAsia="宋体"/>
                <w:b/>
                <w:bCs/>
                <w:sz w:val="24"/>
                <w:szCs w:val="24"/>
              </w:rPr>
              <w:t xml:space="preserve"> </w:t>
            </w:r>
            <w:r>
              <w:rPr>
                <w:rFonts w:hint="eastAsia" w:ascii="宋体" w:hAnsi="宋体" w:eastAsia="宋体"/>
                <w:b/>
                <w:bCs/>
                <w:sz w:val="24"/>
                <w:szCs w:val="24"/>
              </w:rPr>
              <w:t>系统概述</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基于</w:t>
            </w:r>
            <w:r>
              <w:rPr>
                <w:rFonts w:ascii="宋体" w:hAnsi="宋体" w:eastAsia="宋体"/>
                <w:sz w:val="24"/>
                <w:szCs w:val="24"/>
              </w:rPr>
              <w:t>2000国家大地坐标系提供二维静态地图等基本地图服务和时空三维技术服务，具备二维矢量数据、三维倾斜摄影、三维手工建模、地形数据、城市信息模型（CIM）的统一融合管理与相关服务发布能力，整合扬尘一期一张图，构建更全面的扬尘一张图，增加网格化管理、缓冲区分析、叠加分析、聚合分析、热力分析、轨迹自动纠偏、轨迹预测等空间分析等能力，基于扬尘一张图平台进行图层展示和空间分析，结合视频监控、移动式卡点为预警预报、分析研判等业务系统提供决策，支持外部同坐标系城市信息模型（CIM）数据导入和自动融合，针对城市信息模型（CIM）全生命周期管理，本期项目以五象新区为试点，对接五象新区管委会，共享五象新区5.4平方公里的城市信息模型（CIM）。</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在城市信息模型管理平台实现对城市信息模型的统一管理，在该平台基础上整合扬尘治理数据资源中心、视频综合管理平台、扬尘治理业务平台、扬尘治理公共服务平台相关功能，各个系统之间在该平台基础上进行集成。</w:t>
            </w:r>
          </w:p>
          <w:p>
            <w:pPr>
              <w:spacing w:beforeAutospacing="1" w:afterAutospacing="1" w:line="440" w:lineRule="exact"/>
              <w:ind w:firstLine="480" w:firstLineChars="200"/>
              <w:outlineLvl w:val="0"/>
              <w:rPr>
                <w:rFonts w:ascii="宋体" w:hAnsi="宋体" w:eastAsia="宋体"/>
                <w:b/>
                <w:bCs/>
                <w:kern w:val="2"/>
                <w:sz w:val="24"/>
                <w:szCs w:val="24"/>
              </w:rPr>
            </w:pPr>
            <w:r>
              <w:rPr>
                <w:rFonts w:hint="eastAsia" w:ascii="宋体" w:hAnsi="宋体" w:eastAsia="宋体"/>
                <w:sz w:val="24"/>
                <w:szCs w:val="24"/>
              </w:rPr>
              <w:t>★</w:t>
            </w:r>
            <w:r>
              <w:rPr>
                <w:rFonts w:hint="eastAsia" w:ascii="宋体" w:hAnsi="宋体" w:eastAsia="宋体"/>
                <w:b/>
                <w:bCs/>
                <w:sz w:val="24"/>
                <w:szCs w:val="24"/>
              </w:rPr>
              <w:t>二、</w:t>
            </w:r>
            <w:r>
              <w:rPr>
                <w:rFonts w:ascii="宋体" w:hAnsi="宋体" w:eastAsia="宋体"/>
                <w:b/>
                <w:bCs/>
                <w:sz w:val="24"/>
                <w:szCs w:val="24"/>
              </w:rPr>
              <w:t xml:space="preserve"> </w:t>
            </w:r>
            <w:r>
              <w:rPr>
                <w:rFonts w:hint="eastAsia" w:ascii="宋体" w:hAnsi="宋体" w:eastAsia="宋体"/>
                <w:b/>
                <w:bCs/>
                <w:sz w:val="24"/>
                <w:szCs w:val="24"/>
              </w:rPr>
              <w:t>系统功能要求</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数据来源</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南宁市矢量电子地图</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支持使用</w:t>
            </w:r>
            <w:r>
              <w:rPr>
                <w:rFonts w:ascii="宋体" w:hAnsi="宋体" w:eastAsia="宋体"/>
                <w:sz w:val="24"/>
                <w:szCs w:val="24"/>
              </w:rPr>
              <w:t>WMTS、WMS等服务形式的南宁市建城区矢量电子地图，最大比例尺为1:500，坐标系为2000国家大地坐标系。</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南宁市影像图</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支持使用</w:t>
            </w:r>
            <w:r>
              <w:rPr>
                <w:rFonts w:ascii="宋体" w:hAnsi="宋体" w:eastAsia="宋体"/>
                <w:sz w:val="24"/>
                <w:szCs w:val="24"/>
              </w:rPr>
              <w:t>WMTS、WMS等服务形式的南宁市影像图，最大比例尺为1:500，坐标系为2000国家大地坐标系。</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南宁市卡口影像图</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支持接入由南宁市公安局交通警察支队提供卡口影像图，主要包含卡口坐标，坐标系为</w:t>
            </w:r>
            <w:r>
              <w:rPr>
                <w:rFonts w:ascii="宋体" w:hAnsi="宋体" w:eastAsia="宋体"/>
                <w:sz w:val="24"/>
                <w:szCs w:val="24"/>
              </w:rPr>
              <w:t>2000国家大地坐标系，数据共享格式为UTF-8，通过接口方式进行共享，应每月更新一次。</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(4) </w:t>
            </w:r>
            <w:r>
              <w:rPr>
                <w:rFonts w:hint="eastAsia" w:ascii="宋体" w:hAnsi="宋体" w:eastAsia="宋体"/>
                <w:sz w:val="24"/>
                <w:szCs w:val="24"/>
              </w:rPr>
              <w:t>五象新区城市信息模型（</w:t>
            </w:r>
            <w:r>
              <w:rPr>
                <w:rFonts w:ascii="宋体" w:hAnsi="宋体" w:eastAsia="宋体"/>
                <w:sz w:val="24"/>
                <w:szCs w:val="24"/>
              </w:rPr>
              <w:t>CIM）</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接入南宁五象新区规划建设管理委员会的五象新区</w:t>
            </w:r>
            <w:r>
              <w:rPr>
                <w:rFonts w:ascii="宋体" w:hAnsi="宋体" w:eastAsia="宋体"/>
                <w:sz w:val="24"/>
                <w:szCs w:val="24"/>
              </w:rPr>
              <w:t>5.4平方公里的城市信息模型（CIM）。</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系统功能</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地图服务</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具备国产独立自主知识产权的三维</w:t>
            </w:r>
            <w:r>
              <w:rPr>
                <w:rFonts w:ascii="宋体" w:hAnsi="宋体" w:eastAsia="宋体"/>
                <w:sz w:val="24"/>
                <w:szCs w:val="24"/>
              </w:rPr>
              <w:t>GIS空间引擎，具备三维服务管理、数据发布等功能。支持不同坐标系直接数据的转换，可将非2000国家大地坐标系的定位数据转成2000国家大地坐标系数据。</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地图漫游</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支持对辖区全三维场景地图的基本操作，能够实现无级放大、缩小、上升、下降、俯视、仰视、旋转，实现对场景的</w:t>
            </w:r>
            <w:r>
              <w:rPr>
                <w:rFonts w:ascii="宋体" w:hAnsi="宋体" w:eastAsia="宋体"/>
                <w:sz w:val="24"/>
                <w:szCs w:val="24"/>
              </w:rPr>
              <w:t>360°全方位操作。能够模拟步行、车行和飞行三种漫游方式，并支持方向盘等外设操作。</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信息查询</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1）</w:t>
            </w:r>
            <w:r>
              <w:rPr>
                <w:rFonts w:hint="eastAsia" w:ascii="宋体" w:hAnsi="宋体" w:eastAsia="宋体"/>
                <w:sz w:val="24"/>
                <w:szCs w:val="24"/>
              </w:rPr>
              <w:t>一键查询</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满足场景中的多条件查询模式，可以支持基于位置的查询，例如查询任意多边形区域内的监控分布、传感设备分布、人员分布等；支持对道路、建筑、以及地名地址等各类信息的综合查询。系统按照空间查询和属性查询等不同查询类别，查询符合条件对象，支持模糊字段搜索，对搜索结果在三维地图上进行精确定位。</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2）</w:t>
            </w:r>
            <w:r>
              <w:rPr>
                <w:rFonts w:hint="eastAsia" w:ascii="宋体" w:hAnsi="宋体" w:eastAsia="宋体"/>
                <w:sz w:val="24"/>
                <w:szCs w:val="24"/>
              </w:rPr>
              <w:t>关键字查询</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支持精确、模糊匹配的形式查询整个地图中的资源信息，支持根据当前地图视野范围单个条件来查询资源。</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(4) </w:t>
            </w:r>
            <w:r>
              <w:rPr>
                <w:rFonts w:hint="eastAsia" w:ascii="宋体" w:hAnsi="宋体" w:eastAsia="宋体"/>
                <w:sz w:val="24"/>
                <w:szCs w:val="24"/>
              </w:rPr>
              <w:t>空间查询</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支持框选、圆选、多边形选等多种方式地图空间查询。</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(5) </w:t>
            </w:r>
            <w:r>
              <w:rPr>
                <w:rFonts w:hint="eastAsia" w:ascii="宋体" w:hAnsi="宋体" w:eastAsia="宋体"/>
                <w:sz w:val="24"/>
                <w:szCs w:val="24"/>
              </w:rPr>
              <w:t>图层管理</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1）</w:t>
            </w:r>
            <w:r>
              <w:rPr>
                <w:rFonts w:hint="eastAsia" w:ascii="宋体" w:hAnsi="宋体" w:eastAsia="宋体"/>
                <w:sz w:val="24"/>
                <w:szCs w:val="24"/>
              </w:rPr>
              <w:t>模型数据图</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支持场景数据的分图层管理，将场景地图分为地形、影像、路网、建筑、自定义图层等，用户可以根据需求操作图层的开启和隐藏。也可以支持按区域管理，通过分区支持对不同片区多层数据分别显示和管理。</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2）</w:t>
            </w:r>
            <w:r>
              <w:rPr>
                <w:rFonts w:hint="eastAsia" w:ascii="宋体" w:hAnsi="宋体" w:eastAsia="宋体"/>
                <w:sz w:val="24"/>
                <w:szCs w:val="24"/>
              </w:rPr>
              <w:t>业务应用图层</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地图整合消纳场、建筑工地、采石场、搅拌站四大场地视频监控、车辆轨迹等数据以及交警道路监控、卡口、社会监控点，将不同数据类型划分不同业务图层，支持在三维虚拟场景中叠加单个或多个拼接的业务图层，可以在地图上控制显示或隐藏。</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3）</w:t>
            </w:r>
            <w:r>
              <w:rPr>
                <w:rFonts w:hint="eastAsia" w:ascii="宋体" w:hAnsi="宋体" w:eastAsia="宋体"/>
                <w:sz w:val="24"/>
                <w:szCs w:val="24"/>
              </w:rPr>
              <w:t>网格图层</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接入外部单位城市部件责任关联数据，在系统中嵌入责任网格</w:t>
            </w:r>
            <w:r>
              <w:rPr>
                <w:rFonts w:ascii="宋体" w:hAnsi="宋体" w:eastAsia="宋体"/>
                <w:sz w:val="24"/>
                <w:szCs w:val="24"/>
              </w:rPr>
              <w:t>400余个；根据监督评价中心巡查网格划分，在系统中添加划分300余个巡查网格。选中网格可查看网格内扬尘污染源头、责任部分、网格巡查人员等。</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(6) </w:t>
            </w:r>
            <w:r>
              <w:rPr>
                <w:rFonts w:hint="eastAsia" w:ascii="宋体" w:hAnsi="宋体" w:eastAsia="宋体"/>
                <w:sz w:val="24"/>
                <w:szCs w:val="24"/>
              </w:rPr>
              <w:t>视点功能</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具备视点管理的功能，能根据用户在场景中选定的任意高度和任意角度的位置信息进行添加、删除、修改保存，类似书签的功能，方便用户对特定场景进行定位，快速切换到指定视点进行浏览。</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(7) </w:t>
            </w:r>
            <w:r>
              <w:rPr>
                <w:rFonts w:hint="eastAsia" w:ascii="宋体" w:hAnsi="宋体" w:eastAsia="宋体"/>
                <w:sz w:val="24"/>
                <w:szCs w:val="24"/>
              </w:rPr>
              <w:t>空间分析</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支持制高点分析、控高分析、视域分析。</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(8) </w:t>
            </w:r>
            <w:r>
              <w:rPr>
                <w:rFonts w:hint="eastAsia" w:ascii="宋体" w:hAnsi="宋体" w:eastAsia="宋体"/>
                <w:sz w:val="24"/>
                <w:szCs w:val="24"/>
              </w:rPr>
              <w:t>空间测量</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支持交互式量算，支持对道路、建筑及各类对象的面积、高度进行量算。具备任意平面距离的量算（两点和多点距离）、平面面积的量算、垂直高度的量算以及空间任意距离的量算功能。</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(9) </w:t>
            </w:r>
            <w:r>
              <w:rPr>
                <w:rFonts w:hint="eastAsia" w:ascii="宋体" w:hAnsi="宋体" w:eastAsia="宋体"/>
                <w:sz w:val="24"/>
                <w:szCs w:val="24"/>
              </w:rPr>
              <w:t>路径漫游</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支持在场景中自定义漫游路径，并可以控制该路径的播放速度以及更改漫游方式，方便接待和展示。</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(10) </w:t>
            </w:r>
            <w:r>
              <w:rPr>
                <w:rFonts w:hint="eastAsia" w:ascii="宋体" w:hAnsi="宋体" w:eastAsia="宋体"/>
                <w:sz w:val="24"/>
                <w:szCs w:val="24"/>
              </w:rPr>
              <w:t>成图输出</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对设定好的各种专题图可以直接输出为</w:t>
            </w:r>
            <w:r>
              <w:rPr>
                <w:rFonts w:ascii="宋体" w:hAnsi="宋体" w:eastAsia="宋体"/>
                <w:sz w:val="24"/>
                <w:szCs w:val="24"/>
              </w:rPr>
              <w:t>jpg、bmp等图片格式。</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(11) </w:t>
            </w:r>
            <w:r>
              <w:rPr>
                <w:rFonts w:hint="eastAsia" w:ascii="宋体" w:hAnsi="宋体" w:eastAsia="宋体"/>
                <w:sz w:val="24"/>
                <w:szCs w:val="24"/>
              </w:rPr>
              <w:t>地图切换</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支持电子地图、矢量地图、影像图两种地图之间的切换，以及支持直接拖拉比例尺实现地图的缩放。</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(12) </w:t>
            </w:r>
            <w:r>
              <w:rPr>
                <w:rFonts w:hint="eastAsia" w:ascii="宋体" w:hAnsi="宋体" w:eastAsia="宋体"/>
                <w:sz w:val="24"/>
                <w:szCs w:val="24"/>
              </w:rPr>
              <w:t>统一用户管理</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支持统一的用户管理、单位管理，并与各业务系统的用户信息、单位机构信息进行整合与同步，实现统一管理。</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(13) </w:t>
            </w:r>
            <w:r>
              <w:rPr>
                <w:rFonts w:hint="eastAsia" w:ascii="宋体" w:hAnsi="宋体" w:eastAsia="宋体"/>
                <w:sz w:val="24"/>
                <w:szCs w:val="24"/>
              </w:rPr>
              <w:t>统一门户</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支持统一的用户集成门户。</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(14) </w:t>
            </w:r>
            <w:r>
              <w:rPr>
                <w:rFonts w:hint="eastAsia" w:ascii="宋体" w:hAnsi="宋体" w:eastAsia="宋体"/>
                <w:sz w:val="24"/>
                <w:szCs w:val="24"/>
              </w:rPr>
              <w:t>角色管理</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支持统一的角色权限管理，以及与</w:t>
            </w:r>
            <w:r>
              <w:rPr>
                <w:rFonts w:ascii="宋体" w:hAnsi="宋体" w:eastAsia="宋体"/>
                <w:sz w:val="24"/>
                <w:szCs w:val="24"/>
              </w:rPr>
              <w:t>PKI/PMI对接。</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(15) </w:t>
            </w:r>
            <w:r>
              <w:rPr>
                <w:rFonts w:hint="eastAsia" w:ascii="宋体" w:hAnsi="宋体" w:eastAsia="宋体"/>
                <w:sz w:val="24"/>
                <w:szCs w:val="24"/>
              </w:rPr>
              <w:t>日志管理</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支持对三维平台的操作使用情况进行日志记录以及统一监控。</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(16) </w:t>
            </w:r>
            <w:r>
              <w:rPr>
                <w:rFonts w:hint="eastAsia" w:ascii="宋体" w:hAnsi="宋体" w:eastAsia="宋体"/>
                <w:sz w:val="24"/>
                <w:szCs w:val="24"/>
              </w:rPr>
              <w:t>图层维护</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支持对三维地图平台上的所有图层进行维护和管理，并实现角色权限的管理与分配。</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(17) </w:t>
            </w:r>
            <w:r>
              <w:rPr>
                <w:rFonts w:hint="eastAsia" w:ascii="宋体" w:hAnsi="宋体" w:eastAsia="宋体"/>
                <w:sz w:val="24"/>
                <w:szCs w:val="24"/>
              </w:rPr>
              <w:t>功能菜单管理</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支持对三维地图平台上的所有功能菜单进行维护和管理，并根据角色进行功能菜单的权限分配。</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业务功能</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视频资源展示</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支持整合消纳场、建筑工地、采石场、搅拌站四大</w:t>
            </w:r>
            <w:r>
              <w:rPr>
                <w:rFonts w:hint="eastAsia" w:ascii="宋体" w:hAnsi="宋体" w:eastAsia="宋体"/>
                <w:sz w:val="24"/>
                <w:szCs w:val="24"/>
                <w:lang w:eastAsia="zh-CN"/>
              </w:rPr>
              <w:t>源头</w:t>
            </w:r>
            <w:r>
              <w:rPr>
                <w:rFonts w:hint="eastAsia" w:ascii="宋体" w:hAnsi="宋体" w:eastAsia="宋体"/>
                <w:sz w:val="24"/>
                <w:szCs w:val="24"/>
              </w:rPr>
              <w:t>视频监控等数据以及交警道路监控，并且将不同视频及数据类型按技术和业务类型分类，在三维可视化平台进行多维多资源的视频资源分布一张图展示，可以自定义展示选定的内容。做到视频资源展示、视频播放、视频检索、视频标注等。</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视频融合</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三维地图与视频监控信号的联动，可在三维虚拟场景中叠加单个或多个拼接的视频监控图层，实现虚拟与现实结合的视频投影分析模式，解决了原有视频监控单点、离散的问题，在连续的虚拟空间中分析目标人与车辆的大范围行进轨迹。</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视频巡检</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自定义巡检管理，允许用户设定漫游路线并进行保存，沿路线自动漫游。用户可以在三维电子地图中设定起点、终点路径等，视频巡检时将会在三维环境下按照设定的路线前进，当经过监控摄像头位置时，三维系统会自动调用视频监控，弹出监控画面，查看完毕后继续按照设定路线前进。</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(4) </w:t>
            </w:r>
            <w:r>
              <w:rPr>
                <w:rFonts w:hint="eastAsia" w:ascii="宋体" w:hAnsi="宋体" w:eastAsia="宋体"/>
                <w:sz w:val="24"/>
                <w:szCs w:val="24"/>
              </w:rPr>
              <w:t>车辆</w:t>
            </w:r>
            <w:r>
              <w:rPr>
                <w:rFonts w:ascii="宋体" w:hAnsi="宋体" w:eastAsia="宋体"/>
                <w:sz w:val="24"/>
                <w:szCs w:val="24"/>
              </w:rPr>
              <w:t>GPS上图</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支持将实时车辆</w:t>
            </w:r>
            <w:r>
              <w:rPr>
                <w:rFonts w:ascii="宋体" w:hAnsi="宋体" w:eastAsia="宋体"/>
                <w:sz w:val="24"/>
                <w:szCs w:val="24"/>
              </w:rPr>
              <w:t>GPS信号点在三维地图中进行展现。点击选择地图上的车辆定位，可查看该车辆的基本信息以及传输的视频信息。支持多台车辆在一定时间范围内的轨迹叠加，实现车辆行驶轨迹一张图。</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(5) </w:t>
            </w:r>
            <w:r>
              <w:rPr>
                <w:rFonts w:hint="eastAsia" w:ascii="宋体" w:hAnsi="宋体" w:eastAsia="宋体"/>
                <w:sz w:val="24"/>
                <w:szCs w:val="24"/>
              </w:rPr>
              <w:t>车辆轨迹绘制</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支持重点车辆经过重点卡口时，系统自动关联车辆运行轨迹数据。监控视频识别车牌后自动关联显示车辆轨迹路线。</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(6) </w:t>
            </w:r>
            <w:r>
              <w:rPr>
                <w:rFonts w:hint="eastAsia" w:ascii="宋体" w:hAnsi="宋体" w:eastAsia="宋体"/>
                <w:sz w:val="24"/>
                <w:szCs w:val="24"/>
              </w:rPr>
              <w:t>车辆识别</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支持对接第三方平台实现视频识别功能，车辆识别信息包括车牌号码、车辆品牌、型号、颜色等信息进行定位展示。</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(7) </w:t>
            </w:r>
            <w:r>
              <w:rPr>
                <w:rFonts w:hint="eastAsia" w:ascii="宋体" w:hAnsi="宋体" w:eastAsia="宋体"/>
                <w:sz w:val="24"/>
                <w:szCs w:val="24"/>
              </w:rPr>
              <w:t>预警联动</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对接预警预报系统，整合预警定位、预警联动、预警查询等各类功能，根据预警预报系统提供的预警信息，在三维场景中进行联动预警定位，实现直观化预警管理。</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(8) </w:t>
            </w:r>
            <w:r>
              <w:rPr>
                <w:rFonts w:hint="eastAsia" w:ascii="宋体" w:hAnsi="宋体" w:eastAsia="宋体"/>
                <w:sz w:val="24"/>
                <w:szCs w:val="24"/>
              </w:rPr>
              <w:t>预案管理</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支持预案管理，对各种突发事件制定应急预案，做好事前推演，事中调度和事后复盘。</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1）</w:t>
            </w:r>
            <w:r>
              <w:rPr>
                <w:rFonts w:hint="eastAsia" w:ascii="宋体" w:hAnsi="宋体" w:eastAsia="宋体"/>
                <w:sz w:val="24"/>
                <w:szCs w:val="24"/>
              </w:rPr>
              <w:t>预案图案绘制</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支持预案路线、预案范围的范围绘制，支持颜色、宽度、长度控制，支持涉及到的污染源头分别展示。</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2）</w:t>
            </w:r>
            <w:r>
              <w:rPr>
                <w:rFonts w:hint="eastAsia" w:ascii="宋体" w:hAnsi="宋体" w:eastAsia="宋体"/>
                <w:sz w:val="24"/>
                <w:szCs w:val="24"/>
              </w:rPr>
              <w:t>预案信息查询</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扬尘污染源头、执法人员、预案信息查询。</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3）</w:t>
            </w:r>
            <w:r>
              <w:rPr>
                <w:rFonts w:hint="eastAsia" w:ascii="宋体" w:hAnsi="宋体" w:eastAsia="宋体"/>
                <w:sz w:val="24"/>
                <w:szCs w:val="24"/>
              </w:rPr>
              <w:t>绘图管理</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支持预案绘图的增加、删除、修改。</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(9) </w:t>
            </w:r>
            <w:r>
              <w:rPr>
                <w:rFonts w:hint="eastAsia" w:ascii="宋体" w:hAnsi="宋体" w:eastAsia="宋体"/>
                <w:sz w:val="24"/>
                <w:szCs w:val="24"/>
              </w:rPr>
              <w:t>业务系统对接</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对接各业务系统，如视频监控、移动式卡点、预警预报、分析研判等系统，将业务系统功能整合至城市信息模型管理平台，业务图层在扬尘一张图上进行展示和分析，实现一个地块的全生命周期管理，包括事件分析、记录、展示等。</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(10) </w:t>
            </w:r>
            <w:r>
              <w:rPr>
                <w:rFonts w:hint="eastAsia" w:ascii="宋体" w:hAnsi="宋体" w:eastAsia="宋体"/>
                <w:sz w:val="24"/>
                <w:szCs w:val="24"/>
              </w:rPr>
              <w:t>系统管理优化</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优化扬尘一期的用户管理、权限管理、资源分配等功能，增加易用性。</w:t>
            </w:r>
          </w:p>
        </w:tc>
        <w:tc>
          <w:tcPr>
            <w:tcW w:w="2252" w:type="dxa"/>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kern w:val="2"/>
                <w:sz w:val="24"/>
                <w:szCs w:val="24"/>
              </w:rPr>
            </w:pPr>
            <w:r>
              <w:rPr>
                <w:rFonts w:ascii="宋体" w:hAnsi="宋体" w:eastAsia="宋体"/>
                <w:b/>
                <w:sz w:val="24"/>
                <w:szCs w:val="24"/>
              </w:rPr>
              <w:t>1000000.00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kern w:val="2"/>
                <w:sz w:val="24"/>
                <w:szCs w:val="24"/>
              </w:rPr>
            </w:pPr>
            <w:r>
              <w:rPr>
                <w:rFonts w:ascii="宋体" w:hAnsi="宋体" w:eastAsia="宋体"/>
                <w:sz w:val="24"/>
                <w:szCs w:val="24"/>
              </w:rPr>
              <w:t>4</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kern w:val="2"/>
                <w:sz w:val="24"/>
                <w:szCs w:val="24"/>
              </w:rPr>
            </w:pPr>
            <w:r>
              <w:rPr>
                <w:rFonts w:hint="eastAsia" w:ascii="宋体" w:hAnsi="宋体" w:eastAsia="宋体"/>
                <w:sz w:val="24"/>
                <w:szCs w:val="24"/>
              </w:rPr>
              <w:t>视频综合管理平台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kern w:val="2"/>
                <w:sz w:val="24"/>
                <w:szCs w:val="24"/>
              </w:rPr>
            </w:pPr>
            <w:r>
              <w:rPr>
                <w:rFonts w:ascii="宋体" w:hAnsi="宋体" w:eastAsia="宋体"/>
                <w:sz w:val="24"/>
                <w:szCs w:val="24"/>
              </w:rPr>
              <w:t>1套</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82" w:firstLineChars="200"/>
              <w:outlineLvl w:val="0"/>
              <w:rPr>
                <w:rFonts w:ascii="宋体" w:hAnsi="宋体" w:eastAsia="宋体"/>
                <w:b/>
                <w:bCs/>
                <w:kern w:val="2"/>
                <w:sz w:val="24"/>
                <w:szCs w:val="24"/>
              </w:rPr>
            </w:pPr>
            <w:r>
              <w:rPr>
                <w:rFonts w:hint="eastAsia" w:ascii="宋体" w:hAnsi="宋体" w:eastAsia="宋体"/>
                <w:b/>
                <w:bCs/>
                <w:sz w:val="24"/>
                <w:szCs w:val="24"/>
              </w:rPr>
              <w:t>一、</w:t>
            </w:r>
            <w:r>
              <w:rPr>
                <w:rFonts w:ascii="宋体" w:hAnsi="宋体" w:eastAsia="宋体"/>
                <w:b/>
                <w:bCs/>
                <w:sz w:val="24"/>
                <w:szCs w:val="24"/>
              </w:rPr>
              <w:t xml:space="preserve"> </w:t>
            </w:r>
            <w:r>
              <w:rPr>
                <w:rFonts w:hint="eastAsia" w:ascii="宋体" w:hAnsi="宋体" w:eastAsia="宋体"/>
                <w:b/>
                <w:bCs/>
                <w:sz w:val="24"/>
                <w:szCs w:val="24"/>
              </w:rPr>
              <w:t>系统概述</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对视频监控提供统一接口，接入大数据平台，并对一期的视频整合平台进行升级，整合二期新接入的视频，能自动识别监控是否掉线，并自动统计在线时长且能报警掉线分析掉线原因。具备自动唤醒和自动轮询功能，各类视频资源统一接入后经过编码转换和智能分析后，提供给扬尘治理业务系统使用，具备车牌识别、人脸识别、车辆未清洗识别、车辆超高识别、车辆密闭不严识别等智能分析功能，提供智能训练学习模块。视频平台要符合：</w:t>
            </w:r>
            <w:r>
              <w:rPr>
                <w:rFonts w:ascii="宋体" w:hAnsi="宋体" w:eastAsia="宋体"/>
                <w:sz w:val="24"/>
                <w:szCs w:val="24"/>
              </w:rPr>
              <w:t>GA/T 1400-2017《公安视频图像信息应用系统》,GA/T 1399-2017《公安视频图像分析系统》中的视频图像技术要求，各种品牌摄像头可通过此标准接入平台。在城市信息模型管理平台基础上搭建视频综合管理平台，视频综合管理平台实现对视频资源的统一分析，扬尘治理数据资源中心、城市信息模型管理平台、扬尘治理业务平台、扬尘治理公共服务平台应用的视频资源分析服务，统一由视频综合管理平台提供。</w:t>
            </w:r>
          </w:p>
          <w:p>
            <w:pPr>
              <w:spacing w:beforeAutospacing="1" w:afterAutospacing="1" w:line="440" w:lineRule="exact"/>
              <w:ind w:firstLine="480" w:firstLineChars="200"/>
              <w:outlineLvl w:val="0"/>
              <w:rPr>
                <w:rFonts w:ascii="宋体" w:hAnsi="宋体" w:eastAsia="宋体"/>
                <w:b/>
                <w:bCs/>
                <w:kern w:val="2"/>
                <w:sz w:val="24"/>
                <w:szCs w:val="24"/>
              </w:rPr>
            </w:pPr>
            <w:r>
              <w:rPr>
                <w:rFonts w:hint="eastAsia" w:ascii="宋体" w:hAnsi="宋体" w:eastAsia="宋体"/>
                <w:sz w:val="24"/>
                <w:szCs w:val="24"/>
              </w:rPr>
              <w:t>★</w:t>
            </w:r>
            <w:r>
              <w:rPr>
                <w:rFonts w:hint="eastAsia" w:ascii="宋体" w:hAnsi="宋体" w:eastAsia="宋体"/>
                <w:b/>
                <w:bCs/>
                <w:sz w:val="24"/>
                <w:szCs w:val="24"/>
              </w:rPr>
              <w:t>二、</w:t>
            </w:r>
            <w:r>
              <w:rPr>
                <w:rFonts w:ascii="宋体" w:hAnsi="宋体" w:eastAsia="宋体"/>
                <w:b/>
                <w:bCs/>
                <w:sz w:val="24"/>
                <w:szCs w:val="24"/>
              </w:rPr>
              <w:t xml:space="preserve"> </w:t>
            </w:r>
            <w:r>
              <w:rPr>
                <w:rFonts w:hint="eastAsia" w:ascii="宋体" w:hAnsi="宋体" w:eastAsia="宋体"/>
                <w:b/>
                <w:bCs/>
                <w:sz w:val="24"/>
                <w:szCs w:val="24"/>
              </w:rPr>
              <w:t>系统功能要求</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视频图像分析</w:t>
            </w:r>
            <w:r>
              <w:rPr>
                <w:rFonts w:ascii="宋体" w:hAnsi="宋体" w:eastAsia="宋体"/>
                <w:sz w:val="24"/>
                <w:szCs w:val="24"/>
              </w:rPr>
              <w:tab/>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支持针对安装在污染源头出入口和城市道路上的视频监控，将捕获的过车图片信息推送给视频综合管理平台，进行车型和车牌分析、车身未清洗、超高、密闭不严检测，将以报警的形式在预警预报系统中展现。</w:t>
            </w:r>
            <w:r>
              <w:rPr>
                <w:rFonts w:ascii="宋体" w:hAnsi="宋体" w:eastAsia="宋体"/>
                <w:sz w:val="24"/>
                <w:szCs w:val="24"/>
              </w:rPr>
              <w:t xml:space="preserve"> </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车牌识别</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支持自动对图片中的车牌进行识别，若获取的车牌属于监管的运输车辆，将进一步进行车辆特征识别，识别车身未清洗、车辆超高、密闭不严等行为。</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车身未清洗识别</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在光照充足的情况下对车身未清洗进行识别，由于车身未清洗是通过车辆颜色进行智能识别，对光照要求较为严格，所以仅对光照能长期保持技术要求的视频监控开启该功能，如联合执法卡口、不停车超限检测系统</w:t>
            </w:r>
            <w:r>
              <w:rPr>
                <w:rFonts w:hint="eastAsia" w:ascii="宋体" w:hAnsi="宋体" w:eastAsia="宋体"/>
                <w:sz w:val="24"/>
                <w:szCs w:val="24"/>
                <w:lang w:eastAsia="zh-CN"/>
              </w:rPr>
              <w:t>视频监控</w:t>
            </w:r>
            <w:r>
              <w:rPr>
                <w:rFonts w:hint="eastAsia" w:ascii="宋体" w:hAnsi="宋体" w:eastAsia="宋体"/>
                <w:sz w:val="24"/>
                <w:szCs w:val="24"/>
              </w:rPr>
              <w:t>。</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车辆超高识别</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支持对不停车超限检测系统的视频监控启用车辆超高识别功能，对运输车辆超高运载的行为进行智能识别。</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(4) </w:t>
            </w:r>
            <w:r>
              <w:rPr>
                <w:rFonts w:hint="eastAsia" w:ascii="宋体" w:hAnsi="宋体" w:eastAsia="宋体"/>
                <w:sz w:val="24"/>
                <w:szCs w:val="24"/>
              </w:rPr>
              <w:t>车辆密闭不严识别</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支持基于成熟的车辆密闭不严识别算法，在四大扬尘污染源头出入口和城市道路的视频监控开启车辆密闭不严识别检测，自动判断并进行报警。</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(5) </w:t>
            </w:r>
            <w:r>
              <w:rPr>
                <w:rFonts w:hint="eastAsia" w:ascii="宋体" w:hAnsi="宋体" w:eastAsia="宋体"/>
                <w:sz w:val="24"/>
                <w:szCs w:val="24"/>
              </w:rPr>
              <w:t>车辆类型识别</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接入渣土车、混凝土搅拌车等车辆主管部门提供的车辆监管数据，系统根据视频监控识别的车牌号跟外部单位提供的数据进行匹配，自动识别车辆类型。对于不在外部单位提供的监管数据中的车辆，系统支持用户根据视频监控图像判断，手动设置车辆类型及对监管外的车辆进行标识。</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(6) </w:t>
            </w:r>
            <w:r>
              <w:rPr>
                <w:rFonts w:hint="eastAsia" w:ascii="宋体" w:hAnsi="宋体" w:eastAsia="宋体"/>
                <w:sz w:val="24"/>
                <w:szCs w:val="24"/>
              </w:rPr>
              <w:t>人工智能训练学习</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具备人工智能学习模块，根据四大扬尘污染源头出入口和城市道路视频监控提供的视频监控图像，对车身未清洗、车辆超高、道路撒漏等行为进行训练。</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(7) </w:t>
            </w:r>
            <w:r>
              <w:rPr>
                <w:rFonts w:hint="eastAsia" w:ascii="宋体" w:hAnsi="宋体" w:eastAsia="宋体"/>
                <w:sz w:val="24"/>
                <w:szCs w:val="24"/>
              </w:rPr>
              <w:t>视频监控选择</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具备可根据视频监控的图像质量和在线率自动筛选摄像头，纳入不同的视频图像分析和智能训练学习功能中，视频图像分析和智能训练学习仅对纳入列表的视频监控的图像有效。</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视频运维系统</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视频运维系统建设概述</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支持针对接入的</w:t>
            </w:r>
            <w:r>
              <w:rPr>
                <w:rFonts w:ascii="宋体" w:hAnsi="宋体" w:eastAsia="宋体"/>
                <w:sz w:val="24"/>
                <w:szCs w:val="24"/>
              </w:rPr>
              <w:t>10000路的视频监控，利用视频质量诊断技术来检测监控系统中存在的各种视频常见故障，对于因使用过程中出现的故障（雪花、滚屏、模糊、偏色、画面冻结、增益失衡和云台失控等）进行视频质量诊断，有效预防因硬件导致的图像质量问题及所带来的不必要的损失，为视频监控的持续和有效监控提供坚实的基础。分析视频质量报警，通知监控中值班人员及时处理问题。</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视频运维系统主要包括视频在线诊断管理系统和视频状态分析管理系统。</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视频在线状态诊断管理系统</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支持从监控网络获取视频信号（支持</w:t>
            </w:r>
            <w:r>
              <w:rPr>
                <w:rFonts w:ascii="宋体" w:hAnsi="宋体" w:eastAsia="宋体"/>
                <w:sz w:val="24"/>
                <w:szCs w:val="24"/>
              </w:rPr>
              <w:t>IPC、DVR、流媒体等数字视频信号）后，系统完成智能运维功能，利用运维交互服务器完成用户交互，利用数据库服务器存储诊断结果和系统配置。</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前端设备在线监测</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具备基于</w:t>
            </w:r>
            <w:r>
              <w:rPr>
                <w:rFonts w:ascii="宋体" w:hAnsi="宋体" w:eastAsia="宋体"/>
                <w:sz w:val="24"/>
                <w:szCs w:val="24"/>
              </w:rPr>
              <w:t>GB/T28181规范获取视频共享平台中摄像机设备的运行状态，状态指标包括：</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SIP信令状态、视频流状态、关键帧状态，以及设备的网络联通状态监测分析。</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前端设备图像质量诊断监测</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对视频图像质量的诊断分析功能，通过定时轮询机制，对图像处理和识别技术定期进行视频图像质量的诊断和分析，分析视频图像是否存在：无视频信号以及其他视频图像异常故障检测（如：视频亮度、条纹、模糊、偏色、雪花等）。</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具备无视频信号检测：自动检测视频丢失、无视频信号、黑屏、蓝屏的图像现象。</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其他视频图像故障检测包括：自动检测由于各种摄像头故障引起的画面过亮、过暗等情况，视频图像中出现的条纹；由于聚焦不准等情况引起的视频图像模糊，视频图像的偏色现象，视频图像中的雪花等现象。</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视频在线状态监测记录</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通过网络接入数字视频信号，系统将诊断结果发送给用户，并在数据库服务器中记录有关信息。用户可以通过服务器页面监控系统状态，进行信息查询、统计，设置诊断预案，维护设备信息，进行系统管理等各种操作。</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视频图像状态分析管理系统</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视频质量诊断</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按照诊断预案自动对摄像头进行检测，并记录所有的检测结果。用户可通过客户端对系统运行情况进行监控，接收报警，处理报警，查询历史信息，并可根据摄像头所在区域、品牌、故障类型、故障严重程度等不同属性进行多种统计分析。</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利用视频质量诊断系统，实现设备资源的综合管理与运维，通过配置巡检计划，定期对监控资源进行信息采集，实现信息的展现与异常报警。通过以事件管理为中心的管理功能和流程，提高管理人员对设备的实时监控运维能力。提供完善的网络及服务统计分析、趋势分析功能，并具备合理、完善、可靠、综合、智能的配置、性能、故障、安全管理功能。为确保监控管理的客观性，应采用行业标准信息采集手段和管理协议，利用非被监控管理设备厂商的监控运维管理系统进行监控。</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视频诊断服务器通过网络接入数字视频信号。视频诊断服务器将诊断结果通过服务器发送给用户，并在数据库服务器中记录有关信息。用户可以通过页面监控系统状态，进行信息查询、统计，设置诊断预案，维护设备信息，进行系统管理等各种操作。</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报警管理</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支持管理系统中被管设备的报警信息，并通过数据列表、统计图形及操作接口等方式进行展示和业务交互。系统根据阈值或管理规则对各设备上报的报警信息进行处理，然后产生报警。</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具备报警按级别划分，可以有：严重报警、主要报警、次要报警等，同时根据默认规则和客户自定义规则进行自动分级等操作。</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具备报警管理功能，主要包括报警采集和过滤、报警入库、报警联动、报警确认与转发、报警查询统计、报警配置管理等。系统通过图形用户界面展示报警信息，并通过丰富的业务接口提供报警相关的处理功能。</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主要的相关功能有：</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①报警的声光提醒功能；</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②报警事件的查询、过滤、实时数据统计、历史数据统计等功能；</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③报警事件的确认、消除、删除等功能；</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④报警事件的联动，及相关配置功能。</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设备管理</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根据条件过滤所有设备的功能，并能够查看每台设备的明细。设备主要分为编码器、服务器、网络设备、矩阵设备、智能设备。可根据关键字、设备编码、在线状态、设备类型、管理类型对设备进行筛选，针对性的查看某类设备的情况。所有设备都与树进行了联动；在线设备可查看设备详细信息。系统应具有兼容性，能够兼容主流厂家标准协议（</w:t>
            </w:r>
            <w:r>
              <w:rPr>
                <w:rFonts w:ascii="宋体" w:hAnsi="宋体" w:eastAsia="宋体"/>
                <w:sz w:val="24"/>
                <w:szCs w:val="24"/>
              </w:rPr>
              <w:t>ONVIF，GB/T28181）的网络摄像机。</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①查询功能</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支持根据设备名称、设备编码、在线状态、管理类型等条件进行查询；</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②增加设备</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支持增加摄像头设备，主要设备基本信息和参数等；</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③修改设备参数</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具备只允许修改设备名称、描述、</w:t>
            </w:r>
            <w:r>
              <w:rPr>
                <w:rFonts w:ascii="宋体" w:hAnsi="宋体" w:eastAsia="宋体"/>
                <w:sz w:val="24"/>
                <w:szCs w:val="24"/>
              </w:rPr>
              <w:t>SDK用户名、SDK密码；</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④查看设备信息</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具备查看设备的详细信息、在线情况和参数等。</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⑤信息导出</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具备导出查询到的所有设备的详细信息和在线情况到文档中。</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视频监控连接</w:t>
            </w:r>
            <w:r>
              <w:rPr>
                <w:rFonts w:ascii="宋体" w:hAnsi="宋体" w:eastAsia="宋体"/>
                <w:sz w:val="24"/>
                <w:szCs w:val="24"/>
              </w:rPr>
              <w:tab/>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授权新增接入</w:t>
            </w:r>
            <w:r>
              <w:rPr>
                <w:rFonts w:ascii="宋体" w:hAnsi="宋体" w:eastAsia="宋体"/>
                <w:sz w:val="24"/>
                <w:szCs w:val="24"/>
              </w:rPr>
              <w:t>4000路项目一期的视频监控，使扬尘治理视频综合管理系统总共可以支持10000路的视频监控统一接入。视频监控连接兼容H.264和H.265等主流视频编码标准。视频传输使用主流ONVIF和GB/28181视频传输协议，图片传输使用GA/T 1400传输协议。</w:t>
            </w:r>
          </w:p>
        </w:tc>
        <w:tc>
          <w:tcPr>
            <w:tcW w:w="2252" w:type="dxa"/>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kern w:val="2"/>
                <w:sz w:val="24"/>
                <w:szCs w:val="24"/>
              </w:rPr>
            </w:pPr>
            <w:r>
              <w:rPr>
                <w:rFonts w:ascii="宋体" w:hAnsi="宋体" w:eastAsia="宋体"/>
                <w:b/>
                <w:sz w:val="24"/>
                <w:szCs w:val="24"/>
              </w:rPr>
              <w:t>850000.00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kern w:val="2"/>
                <w:sz w:val="24"/>
                <w:szCs w:val="24"/>
              </w:rPr>
            </w:pPr>
            <w:r>
              <w:rPr>
                <w:rFonts w:ascii="宋体" w:hAnsi="宋体" w:eastAsia="宋体"/>
                <w:sz w:val="24"/>
                <w:szCs w:val="24"/>
              </w:rPr>
              <w:t>5</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kern w:val="2"/>
                <w:sz w:val="24"/>
                <w:szCs w:val="24"/>
              </w:rPr>
            </w:pPr>
            <w:r>
              <w:rPr>
                <w:rFonts w:hint="eastAsia" w:ascii="宋体" w:hAnsi="宋体" w:eastAsia="宋体"/>
                <w:bCs/>
                <w:sz w:val="24"/>
                <w:szCs w:val="24"/>
              </w:rPr>
              <w:t>扬尘治理业务平台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kern w:val="2"/>
                <w:sz w:val="24"/>
                <w:szCs w:val="24"/>
              </w:rPr>
            </w:pPr>
            <w:r>
              <w:rPr>
                <w:rFonts w:ascii="宋体" w:hAnsi="宋体" w:eastAsia="宋体"/>
                <w:sz w:val="24"/>
                <w:szCs w:val="24"/>
              </w:rPr>
              <w:t>1套</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82" w:firstLineChars="200"/>
              <w:outlineLvl w:val="0"/>
              <w:rPr>
                <w:rFonts w:ascii="宋体" w:hAnsi="宋体" w:eastAsia="宋体"/>
                <w:b/>
                <w:kern w:val="2"/>
                <w:sz w:val="24"/>
                <w:szCs w:val="24"/>
              </w:rPr>
            </w:pPr>
            <w:r>
              <w:rPr>
                <w:rFonts w:hint="eastAsia" w:ascii="宋体" w:hAnsi="宋体" w:eastAsia="宋体"/>
                <w:b/>
                <w:sz w:val="24"/>
                <w:szCs w:val="24"/>
              </w:rPr>
              <w:t>一、</w:t>
            </w:r>
            <w:r>
              <w:rPr>
                <w:rFonts w:ascii="宋体" w:hAnsi="宋体" w:eastAsia="宋体"/>
                <w:b/>
                <w:sz w:val="24"/>
                <w:szCs w:val="24"/>
              </w:rPr>
              <w:t xml:space="preserve"> </w:t>
            </w:r>
            <w:r>
              <w:rPr>
                <w:rFonts w:hint="eastAsia" w:ascii="宋体" w:hAnsi="宋体" w:eastAsia="宋体"/>
                <w:b/>
                <w:sz w:val="24"/>
                <w:szCs w:val="24"/>
              </w:rPr>
              <w:t>系统概述概述</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扬尘治理业务平台基于城市模型管理平台，整合一期扬尘治理视频综合管理系统的扬尘一张图，利用大数据技术，对预警预报、分析研判系统升级，在智能化、自动化方向上进行优化改造，新建扬尘数据展示系统、指挥系统、坐席人员辅助系统，辅助领导决策，辅助执法人员和坐席人员日常工作。扬尘治理业务平台集中处理扬尘治理大数据资源中心、城市信息模型管理平台、视频综合管理平台这三个平台的大数据分析、分析研判、预警预报等辅助决策信息，为扬尘执法提供可靠的数据、应用支撑。</w:t>
            </w:r>
          </w:p>
          <w:p>
            <w:pPr>
              <w:spacing w:beforeAutospacing="1" w:afterAutospacing="1" w:line="440" w:lineRule="exact"/>
              <w:ind w:firstLine="480" w:firstLineChars="200"/>
              <w:outlineLvl w:val="0"/>
              <w:rPr>
                <w:rFonts w:ascii="宋体" w:hAnsi="宋体" w:eastAsia="宋体"/>
                <w:b/>
                <w:kern w:val="2"/>
                <w:sz w:val="24"/>
                <w:szCs w:val="24"/>
              </w:rPr>
            </w:pPr>
            <w:r>
              <w:rPr>
                <w:rFonts w:hint="eastAsia" w:ascii="宋体" w:hAnsi="宋体" w:eastAsia="宋体"/>
                <w:sz w:val="24"/>
                <w:szCs w:val="24"/>
              </w:rPr>
              <w:t>★</w:t>
            </w:r>
            <w:r>
              <w:rPr>
                <w:rFonts w:hint="eastAsia" w:ascii="宋体" w:hAnsi="宋体" w:eastAsia="宋体"/>
                <w:b/>
                <w:sz w:val="24"/>
                <w:szCs w:val="24"/>
              </w:rPr>
              <w:t>二、</w:t>
            </w:r>
            <w:r>
              <w:rPr>
                <w:rFonts w:ascii="宋体" w:hAnsi="宋体" w:eastAsia="宋体"/>
                <w:b/>
                <w:sz w:val="24"/>
                <w:szCs w:val="24"/>
              </w:rPr>
              <w:t xml:space="preserve"> </w:t>
            </w:r>
            <w:r>
              <w:rPr>
                <w:rFonts w:hint="eastAsia" w:ascii="宋体" w:hAnsi="宋体" w:eastAsia="宋体"/>
                <w:b/>
                <w:sz w:val="24"/>
                <w:szCs w:val="24"/>
              </w:rPr>
              <w:t>系统功能要求</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 </w:t>
            </w:r>
            <w:r>
              <w:rPr>
                <w:rFonts w:hint="eastAsia" w:ascii="宋体" w:hAnsi="宋体" w:eastAsia="宋体"/>
                <w:bCs/>
                <w:sz w:val="24"/>
                <w:szCs w:val="24"/>
              </w:rPr>
              <w:t>预警预报系统升级</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 </w:t>
            </w:r>
            <w:r>
              <w:rPr>
                <w:rFonts w:hint="eastAsia" w:ascii="宋体" w:hAnsi="宋体" w:eastAsia="宋体"/>
                <w:bCs/>
                <w:sz w:val="24"/>
                <w:szCs w:val="24"/>
              </w:rPr>
              <w:t>预警预报系统升级概述</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针对现有预警预报系统自动报警功能存在的不足，结合本期项目完善的数据采集和监测手段，利用车辆轨迹分析，在以下方面提供预警预报功能：针对驶入混凝土搅拌站的未知采石场来源、驶出建筑工地未知消纳场去向的车辆提供预警预报功能。对预警预报的信息在经过人工判断是否可以立案时应具备一键生成案件的能力，自动填充案件信息，截取相关案件证据。</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(2) </w:t>
            </w:r>
            <w:r>
              <w:rPr>
                <w:rFonts w:hint="eastAsia" w:ascii="宋体" w:hAnsi="宋体" w:eastAsia="宋体"/>
                <w:bCs/>
                <w:sz w:val="24"/>
                <w:szCs w:val="24"/>
              </w:rPr>
              <w:t>预警预报系统功能设计</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 </w:t>
            </w:r>
            <w:r>
              <w:rPr>
                <w:rFonts w:hint="eastAsia" w:ascii="宋体" w:hAnsi="宋体" w:eastAsia="宋体"/>
                <w:bCs/>
                <w:sz w:val="24"/>
                <w:szCs w:val="24"/>
              </w:rPr>
              <w:t>采石场预警预报</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根据外部单位提供的采石场的监测数据和车辆进出数据进行判断，如果监测数据表示采石场已经超采但仍然有多辆运输车辆出入，将会触发采石场超采预警，自动生成预警信息，提示坐席人员查看。</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根据采石场的视频监控数据，自动对进出车辆超高、密闭不严、车身未清洗、黑车出入场进行报警，自动生成案件，自动填充案件信息。</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2) </w:t>
            </w:r>
            <w:r>
              <w:rPr>
                <w:rFonts w:hint="eastAsia" w:ascii="宋体" w:hAnsi="宋体" w:eastAsia="宋体"/>
                <w:bCs/>
                <w:sz w:val="24"/>
                <w:szCs w:val="24"/>
              </w:rPr>
              <w:t>搅拌站预警预报</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根据搅拌站的视频监控数据，对入场车辆超高、密闭不严、车身未清洗、黑车入场进行报警；对未知来源（无采石场出入记录）的运输车辆进行预警，自动生成预警信息，提示坐席人员查看。</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3) </w:t>
            </w:r>
            <w:r>
              <w:rPr>
                <w:rFonts w:hint="eastAsia" w:ascii="宋体" w:hAnsi="宋体" w:eastAsia="宋体"/>
                <w:bCs/>
                <w:sz w:val="24"/>
                <w:szCs w:val="24"/>
              </w:rPr>
              <w:t>建筑工地预警预报</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在启动应急预案时，如果该工地属于需要停工的建筑工地，但仍有运输车辆进出场的，将触发建筑工地施工预警，自动生成预警信息，提示坐席人员查看。</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根据建筑工地的视频监控，对入场的车辆超高、密闭不严、车身未清洗进行报警；对</w:t>
            </w:r>
            <w:r>
              <w:rPr>
                <w:rFonts w:ascii="宋体" w:hAnsi="宋体" w:eastAsia="宋体"/>
                <w:bCs/>
                <w:sz w:val="24"/>
                <w:szCs w:val="24"/>
              </w:rPr>
              <w:t>PM10超标进行报警；对未知去向的消纳场进行预警，自动生成预警信息，提示坐席人员查看。</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4) </w:t>
            </w:r>
            <w:r>
              <w:rPr>
                <w:rFonts w:hint="eastAsia" w:ascii="宋体" w:hAnsi="宋体" w:eastAsia="宋体"/>
                <w:bCs/>
                <w:sz w:val="24"/>
                <w:szCs w:val="24"/>
              </w:rPr>
              <w:t>消纳场预警预报</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外部单位提供的消纳场的监测数据和车辆进出数据进行判断，如果监测数据表示消纳场已经超过受纳方量时仍有多辆运输车辆从建筑工地使出并驶入该消纳场，将会触发消纳场超受纳方量预警，自动生成预警信息，提示坐席人员查看。</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根据消纳场的视频监控数据，对入场车辆超高、密闭不严、车身未清洗、黑车入场自动生成案件，自动填充案件信息。</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5) </w:t>
            </w:r>
            <w:r>
              <w:rPr>
                <w:rFonts w:hint="eastAsia" w:ascii="宋体" w:hAnsi="宋体" w:eastAsia="宋体"/>
                <w:bCs/>
                <w:sz w:val="24"/>
                <w:szCs w:val="24"/>
              </w:rPr>
              <w:t>执法卡口预警预报</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在执法卡口，根据视频监控和不停车监测系统，对车辆超重、超高、密闭不严、车身未清洗、黑车上路进行报警，自动生成案件，自动填充案件信息。</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6) </w:t>
            </w:r>
            <w:r>
              <w:rPr>
                <w:rFonts w:hint="eastAsia" w:ascii="宋体" w:hAnsi="宋体" w:eastAsia="宋体"/>
                <w:bCs/>
                <w:sz w:val="24"/>
                <w:szCs w:val="24"/>
              </w:rPr>
              <w:t>城市道路预警预报</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在环保预案、天气预报预案、重大活动预案启动时，对限制行驶的道路，利用道路交警视频监控和车辆</w:t>
            </w:r>
            <w:r>
              <w:rPr>
                <w:rFonts w:ascii="宋体" w:hAnsi="宋体" w:eastAsia="宋体"/>
                <w:bCs/>
                <w:sz w:val="24"/>
                <w:szCs w:val="24"/>
              </w:rPr>
              <w:t>GPS信息，对行驶的运输车辆进行预警和报警，自动生成预警信息，提示坐席人员查看。</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利用车辆轨迹、抓拍以及电子围栏，与数据库信息比对、自动对黑车进行报警，超道路限行进行报警。</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结合摄像头抓拍车辆识别运输车（根据车牌），可报警违规开工，并筛选正在开工的工地消纳场等源头。</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根据道路交警视频和移动视频卡口的视频图像，对车辆超高、密闭不严、车身未清洗、道路撒漏、违规关闭定位进行报警，自动生成案件，自动填充案件信息。</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7) </w:t>
            </w:r>
            <w:r>
              <w:rPr>
                <w:rFonts w:hint="eastAsia" w:ascii="宋体" w:hAnsi="宋体" w:eastAsia="宋体"/>
                <w:bCs/>
                <w:sz w:val="24"/>
                <w:szCs w:val="24"/>
              </w:rPr>
              <w:t>生成案件</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根据预警信息一键生成案件，并根据上述不同的预警预报匹配案件类型，自动填充车辆信息、时间、地点（车辆</w:t>
            </w:r>
            <w:r>
              <w:rPr>
                <w:rFonts w:ascii="宋体" w:hAnsi="宋体" w:eastAsia="宋体"/>
                <w:bCs/>
                <w:sz w:val="24"/>
                <w:szCs w:val="24"/>
              </w:rPr>
              <w:t>GPS坐标）、案件类别、视频图像，如果属于需要对车辆源头进行处置的案件自动匹配源头信息，匹配源头出场时间的视频图像。</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2. </w:t>
            </w:r>
            <w:r>
              <w:rPr>
                <w:rFonts w:hint="eastAsia" w:ascii="宋体" w:hAnsi="宋体" w:eastAsia="宋体"/>
                <w:bCs/>
                <w:sz w:val="24"/>
                <w:szCs w:val="24"/>
              </w:rPr>
              <w:t>分析研判系统升级</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 </w:t>
            </w:r>
            <w:r>
              <w:rPr>
                <w:rFonts w:hint="eastAsia" w:ascii="宋体" w:hAnsi="宋体" w:eastAsia="宋体"/>
                <w:bCs/>
                <w:sz w:val="24"/>
                <w:szCs w:val="24"/>
              </w:rPr>
              <w:t>分析研判系统升级概述</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利用大数据基础平台，在一期项目分析研判系统的基础上，增加采石场、混凝土搅拌站、建筑工地、消纳场之间的互相关联，建立分析模型，确保相关渣土车、混凝土搅拌车的出场和入场与其报备审批的一致，便于掌握南宁市整体扬尘治理状况，对非法采石场、非法工地、非法消纳场进行识别。</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(2) </w:t>
            </w:r>
            <w:r>
              <w:rPr>
                <w:rFonts w:hint="eastAsia" w:ascii="宋体" w:hAnsi="宋体" w:eastAsia="宋体"/>
                <w:bCs/>
                <w:sz w:val="24"/>
                <w:szCs w:val="24"/>
              </w:rPr>
              <w:t>分析研判系统功能设计</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 </w:t>
            </w:r>
            <w:r>
              <w:rPr>
                <w:rFonts w:hint="eastAsia" w:ascii="宋体" w:hAnsi="宋体" w:eastAsia="宋体"/>
                <w:bCs/>
                <w:sz w:val="24"/>
                <w:szCs w:val="24"/>
              </w:rPr>
              <w:t>采石场分析研判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车辆行驶轨迹，研判采石场与各搅拌站之间车辆的主要行驶轨迹，建立分析模型，研判采石场土方使用情况（某一采石场出场车辆对应的去向搅拌站）。根据自然资源局提供的勘测数据，研判采石场土方构成。</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车辆荷载</w:t>
            </w:r>
            <w:r>
              <w:rPr>
                <w:rFonts w:ascii="宋体" w:hAnsi="宋体" w:eastAsia="宋体"/>
                <w:bCs/>
                <w:sz w:val="24"/>
                <w:szCs w:val="24"/>
              </w:rPr>
              <w:t>*出入次数*空载系数=增加土方量。</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2) </w:t>
            </w:r>
            <w:r>
              <w:rPr>
                <w:rFonts w:hint="eastAsia" w:ascii="宋体" w:hAnsi="宋体" w:eastAsia="宋体"/>
                <w:bCs/>
                <w:sz w:val="24"/>
                <w:szCs w:val="24"/>
              </w:rPr>
              <w:t>搅拌站分析研判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车辆行驶轨迹和采石场、搅拌站、建筑工地的坐标，建立分析模型，综合判断搅拌站与各关联采石场、建筑工地之间车辆的主要行驶轨迹，建立分析模型，研判搅拌站进出车辆的来源采石场或去向建筑工地；判断无去向采石场或建筑工地的可疑车辆行驶路径；研判可疑非法采石场、非法工地位置。</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3) </w:t>
            </w:r>
            <w:r>
              <w:rPr>
                <w:rFonts w:hint="eastAsia" w:ascii="宋体" w:hAnsi="宋体" w:eastAsia="宋体"/>
                <w:bCs/>
                <w:sz w:val="24"/>
                <w:szCs w:val="24"/>
              </w:rPr>
              <w:t>建筑工地分析研判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车辆行驶轨迹和搅拌站、消纳场的坐标，建立分析模型，综合判断建筑工地与各关联搅拌站、消纳场之间车辆的主要行驶轨迹，研判建筑工地进出车辆的来源搅拌站或去向消纳场的土方使用、运输情况，判断可疑的车辆行驶路径；研判可疑非法消纳场位置。根据外部单位提供的勘测数据，研判建筑工地土方构成、开挖等情况。</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4) </w:t>
            </w:r>
            <w:r>
              <w:rPr>
                <w:rFonts w:hint="eastAsia" w:ascii="宋体" w:hAnsi="宋体" w:eastAsia="宋体"/>
                <w:bCs/>
                <w:sz w:val="24"/>
                <w:szCs w:val="24"/>
              </w:rPr>
              <w:t>消纳场分析研判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车辆行驶轨迹和消纳场、建筑工地的坐标，建立分析模型，综合判断消纳场与各关联建筑工地之间车辆的主要行驶轨迹，研判消纳场车辆的来源建筑工地；判断可疑的车辆行驶路径，研判可疑非法工地位置。根据外部单位监测数据及车辆运输数据，研判消纳场土方构成、填埋情况。</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5) </w:t>
            </w:r>
            <w:r>
              <w:rPr>
                <w:rFonts w:hint="eastAsia" w:ascii="宋体" w:hAnsi="宋体" w:eastAsia="宋体"/>
                <w:bCs/>
                <w:sz w:val="24"/>
                <w:szCs w:val="24"/>
              </w:rPr>
              <w:t>渣土车分析研判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根据车辆路径研判关联采石场、关联建筑工地、关联搅拌站、关联消纳场，根据车辆出入次数及车辆轨迹数据，建立分析模型，研判渣土车运输能力、近期运输业务量是上升还是下降等运输行业态势。</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6) </w:t>
            </w:r>
            <w:r>
              <w:rPr>
                <w:rFonts w:hint="eastAsia" w:ascii="宋体" w:hAnsi="宋体" w:eastAsia="宋体"/>
                <w:bCs/>
                <w:sz w:val="24"/>
                <w:szCs w:val="24"/>
              </w:rPr>
              <w:t>混凝土搅拌车分析研判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根据车辆路径和源头坐标，建立分析模型，研判关联搅拌站、关联建筑工地，根据车辆出入次数及车辆轨迹数据研判混凝土搅拌车运输能力、近期运输业务量是上升还是下降等运输行业态势。</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7) </w:t>
            </w:r>
            <w:r>
              <w:rPr>
                <w:rFonts w:hint="eastAsia" w:ascii="宋体" w:hAnsi="宋体" w:eastAsia="宋体"/>
                <w:bCs/>
                <w:sz w:val="24"/>
                <w:szCs w:val="24"/>
              </w:rPr>
              <w:t>黑车分析研判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根据采集到的黑车信息，通过打标签的方式为车辆进行黑车标识，并可定义车辆类型、车辆来源、车辆目的等标签，便于进行黑车的综合分析研判。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8) </w:t>
            </w:r>
            <w:r>
              <w:rPr>
                <w:rFonts w:hint="eastAsia" w:ascii="宋体" w:hAnsi="宋体" w:eastAsia="宋体"/>
                <w:bCs/>
                <w:sz w:val="24"/>
                <w:szCs w:val="24"/>
              </w:rPr>
              <w:t>建筑垃圾产生量分析</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根据车辆车次分时段，分工地统计建筑垃圾产生量，支持按工地展示各时段各月份的建筑垃圾产生量统计图表，支持按时间段查询某一工地建筑垃圾产生量。</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建筑垃圾生产量</w:t>
            </w:r>
            <w:r>
              <w:rPr>
                <w:rFonts w:ascii="宋体" w:hAnsi="宋体" w:eastAsia="宋体"/>
                <w:bCs/>
                <w:sz w:val="24"/>
                <w:szCs w:val="24"/>
              </w:rPr>
              <w:t>=车辆载重*驶出车辆次数*空载系数</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9) </w:t>
            </w:r>
            <w:r>
              <w:rPr>
                <w:rFonts w:hint="eastAsia" w:ascii="宋体" w:hAnsi="宋体" w:eastAsia="宋体"/>
                <w:bCs/>
                <w:sz w:val="24"/>
                <w:szCs w:val="24"/>
              </w:rPr>
              <w:t>建筑垃圾流向分析</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根据车辆的运输路线及车辆类型，形成建筑垃圾流向分析，支持按工地展示各工地建筑垃圾去向及去向各点的总垃圾运输量。</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10) </w:t>
            </w:r>
            <w:r>
              <w:rPr>
                <w:rFonts w:hint="eastAsia" w:ascii="宋体" w:hAnsi="宋体" w:eastAsia="宋体"/>
                <w:bCs/>
                <w:sz w:val="24"/>
                <w:szCs w:val="24"/>
              </w:rPr>
              <w:t>建筑垃圾处置分析</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根据车辆运输轨迹及车辆类型，分析消纳场、混凝土搅拌站的建筑垃圾处置情况分析。统计分析其来源工地及处理量。</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11) </w:t>
            </w:r>
            <w:r>
              <w:rPr>
                <w:rFonts w:hint="eastAsia" w:ascii="宋体" w:hAnsi="宋体" w:eastAsia="宋体"/>
                <w:bCs/>
                <w:sz w:val="24"/>
                <w:szCs w:val="24"/>
              </w:rPr>
              <w:t>报警位置时段热力分析</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根据系统预警数据分析预警频繁位置及时间段，支持按预警时间段来查询展示热力分析图。</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12) </w:t>
            </w:r>
            <w:r>
              <w:rPr>
                <w:rFonts w:hint="eastAsia" w:ascii="宋体" w:hAnsi="宋体" w:eastAsia="宋体"/>
                <w:bCs/>
                <w:sz w:val="24"/>
                <w:szCs w:val="24"/>
              </w:rPr>
              <w:t>运输路线时段热力分析</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根据系统车辆轨迹叠加和时间段叠加，按道路和时间展示热力分析图。</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13) </w:t>
            </w:r>
            <w:r>
              <w:rPr>
                <w:rFonts w:hint="eastAsia" w:ascii="宋体" w:hAnsi="宋体" w:eastAsia="宋体"/>
                <w:bCs/>
                <w:sz w:val="24"/>
                <w:szCs w:val="24"/>
              </w:rPr>
              <w:t>违章建筑工地分析</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根据系统事件上报数统计各工地违章类型及相应次数；统计系统所有建筑工地出现的违章类型及相应次数。支持按时间、工地进行查询统计。</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14) </w:t>
            </w:r>
            <w:r>
              <w:rPr>
                <w:rFonts w:hint="eastAsia" w:ascii="宋体" w:hAnsi="宋体" w:eastAsia="宋体"/>
                <w:bCs/>
                <w:sz w:val="24"/>
                <w:szCs w:val="24"/>
              </w:rPr>
              <w:t>建筑工地时段进出车辆分析</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统计各时段工地进出车辆数，支持按时间段、按工地进行查询统计。</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15) </w:t>
            </w:r>
            <w:r>
              <w:rPr>
                <w:rFonts w:hint="eastAsia" w:ascii="宋体" w:hAnsi="宋体" w:eastAsia="宋体"/>
                <w:bCs/>
                <w:sz w:val="24"/>
                <w:szCs w:val="24"/>
              </w:rPr>
              <w:t>建筑工地垃圾产生量分析</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根据车辆车次分析工地垃圾产生量，支持按时间段、按工地进行查询统计。</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16) </w:t>
            </w:r>
            <w:r>
              <w:rPr>
                <w:rFonts w:hint="eastAsia" w:ascii="宋体" w:hAnsi="宋体" w:eastAsia="宋体"/>
                <w:bCs/>
                <w:sz w:val="24"/>
                <w:szCs w:val="24"/>
              </w:rPr>
              <w:t>运输企业服务情况分析</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根据车辆轨迹数据及工地抓拍数据，分析工地相关的各运输公司土方运输次数、土方运输车辆数、土方运输数量等服务情况，支持按时间段、工地进行查询统计。</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17) </w:t>
            </w:r>
            <w:r>
              <w:rPr>
                <w:rFonts w:hint="eastAsia" w:ascii="宋体" w:hAnsi="宋体" w:eastAsia="宋体"/>
                <w:bCs/>
                <w:sz w:val="24"/>
                <w:szCs w:val="24"/>
              </w:rPr>
              <w:t>各类单位评级</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根据业务开展情况生成能力图，展示建筑垃圾处理单位处理建筑垃圾量、建筑垃圾运输单位运输建筑垃圾量等建筑垃圾处置业务情况数据。</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18) </w:t>
            </w:r>
            <w:r>
              <w:rPr>
                <w:rFonts w:hint="eastAsia" w:ascii="宋体" w:hAnsi="宋体" w:eastAsia="宋体"/>
                <w:bCs/>
                <w:sz w:val="24"/>
                <w:szCs w:val="24"/>
              </w:rPr>
              <w:t>案件闭环信息分析研判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以源头为起点，针对每个案件，建立以时间轴为主线的立案、派遣、处置、考评和信用惩戒闭环进行全流程关联和分析研判。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19) </w:t>
            </w:r>
            <w:r>
              <w:rPr>
                <w:rFonts w:hint="eastAsia" w:ascii="宋体" w:hAnsi="宋体" w:eastAsia="宋体"/>
                <w:bCs/>
                <w:sz w:val="24"/>
                <w:szCs w:val="24"/>
              </w:rPr>
              <w:t>污染源头生命周期案件分析研判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针对各污染源头，以时间轴为主线，建立全生命周期的案件分析研判。</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20) </w:t>
            </w:r>
            <w:r>
              <w:rPr>
                <w:rFonts w:hint="eastAsia" w:ascii="宋体" w:hAnsi="宋体" w:eastAsia="宋体"/>
                <w:bCs/>
                <w:sz w:val="24"/>
                <w:szCs w:val="24"/>
              </w:rPr>
              <w:t>分析研判留痕</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对于系统分析研判功能生成的分析结果可导出图片等文件，用于指导现场工作。</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3. </w:t>
            </w:r>
            <w:r>
              <w:rPr>
                <w:rFonts w:hint="eastAsia" w:ascii="宋体" w:hAnsi="宋体" w:eastAsia="宋体"/>
                <w:bCs/>
                <w:sz w:val="24"/>
                <w:szCs w:val="24"/>
              </w:rPr>
              <w:t>扬尘数据展示系统</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 </w:t>
            </w:r>
            <w:r>
              <w:rPr>
                <w:rFonts w:hint="eastAsia" w:ascii="宋体" w:hAnsi="宋体" w:eastAsia="宋体"/>
                <w:bCs/>
                <w:sz w:val="24"/>
                <w:szCs w:val="24"/>
              </w:rPr>
              <w:t>扬尘数据展示系统概述</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基于扬尘一张图，利用扬尘数据可视化组件通过数据驾驶舱的模式，对采石场、搅拌站、建筑工地、消纳场、渣土车、混凝土搅拌车的基本信息、人员信息、审批信息、监测信息、研判信息和视频的实时数据进行一个综合的展示，同时对扬尘治理视频综合管理系统进行综合的项目展示。</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(2) </w:t>
            </w:r>
            <w:r>
              <w:rPr>
                <w:rFonts w:hint="eastAsia" w:ascii="宋体" w:hAnsi="宋体" w:eastAsia="宋体"/>
                <w:bCs/>
                <w:sz w:val="24"/>
                <w:szCs w:val="24"/>
              </w:rPr>
              <w:t>扬尘数据展示系统功能设计</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 </w:t>
            </w:r>
            <w:r>
              <w:rPr>
                <w:rFonts w:hint="eastAsia" w:ascii="宋体" w:hAnsi="宋体" w:eastAsia="宋体"/>
                <w:bCs/>
                <w:sz w:val="24"/>
                <w:szCs w:val="24"/>
              </w:rPr>
              <w:t>数据可视化组件</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系统以简洁、直观的大屏界面，展现扬尘治理各分析研判数据，并以丰富的展现形式为决策者提供分析和管理上的帮助。支持数据多维钻取、智能数据面板、主从联动、组件切换。</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a) </w:t>
            </w:r>
            <w:r>
              <w:rPr>
                <w:rFonts w:hint="eastAsia" w:ascii="宋体" w:hAnsi="宋体" w:eastAsia="宋体"/>
                <w:bCs/>
                <w:sz w:val="24"/>
                <w:szCs w:val="24"/>
              </w:rPr>
              <w:t>数据多维钻取</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针对领导及数据分析人员对扬尘治理业务从宏观到微观的信息资源监测，实现大数据资源多维度、多角度的分析等的需要，可以对多维形式组织起来的数据进行上卷、下钻、切片、旋转等各种分析操作，以便剖析数据，使分析者、决策者能从多个角度、多个侧面观察数据，从而深入了解包含在数据中的信息和知识。</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b) </w:t>
            </w:r>
            <w:r>
              <w:rPr>
                <w:rFonts w:hint="eastAsia" w:ascii="宋体" w:hAnsi="宋体" w:eastAsia="宋体"/>
                <w:bCs/>
                <w:sz w:val="24"/>
                <w:szCs w:val="24"/>
              </w:rPr>
              <w:t>智能数据面板</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用户所拖入的指标维度自动生成最适合于数据展现的图表形式，除此之外还提供智能面板功能，通过图表展现形式的任意切换、智能匹配，更直观的展现数据，为决策与数据分析业务提供直观的支撑与监控，同时，系统根据数据的维度、指标等进行智能化匹配为用户推荐数据的展现图表形式。</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c) </w:t>
            </w:r>
            <w:r>
              <w:rPr>
                <w:rFonts w:hint="eastAsia" w:ascii="宋体" w:hAnsi="宋体" w:eastAsia="宋体"/>
                <w:bCs/>
                <w:sz w:val="24"/>
                <w:szCs w:val="24"/>
              </w:rPr>
              <w:t>主从联动</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支持实现两个或多个展示区域联动显示，达到在同一页面同一区域中切换显示不同类别明细数据的效果。</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d) </w:t>
            </w:r>
            <w:r>
              <w:rPr>
                <w:rFonts w:hint="eastAsia" w:ascii="宋体" w:hAnsi="宋体" w:eastAsia="宋体"/>
                <w:bCs/>
                <w:sz w:val="24"/>
                <w:szCs w:val="24"/>
              </w:rPr>
              <w:t>组件切换</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支持对展示的区域内容进行选择或配置，重新组装成新的展示界面，从而达到丰富演示内容的目的，并能灵活高效的完成演示工作。</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2) </w:t>
            </w:r>
            <w:r>
              <w:rPr>
                <w:rFonts w:hint="eastAsia" w:ascii="宋体" w:hAnsi="宋体" w:eastAsia="宋体"/>
                <w:bCs/>
                <w:sz w:val="24"/>
                <w:szCs w:val="24"/>
              </w:rPr>
              <w:t>基础信息展示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a) </w:t>
            </w:r>
            <w:r>
              <w:rPr>
                <w:rFonts w:hint="eastAsia" w:ascii="宋体" w:hAnsi="宋体" w:eastAsia="宋体"/>
                <w:bCs/>
                <w:sz w:val="24"/>
                <w:szCs w:val="24"/>
              </w:rPr>
              <w:t>采石场信息展示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接入外部单位实时监管数据，展示采石场的总量、作业数量、停业数量、作业中的总审批面积、作业中的总审批方量、作业中的总开采量、作业中的剩余开采量、采石场实时视频。</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b) </w:t>
            </w:r>
            <w:r>
              <w:rPr>
                <w:rFonts w:hint="eastAsia" w:ascii="宋体" w:hAnsi="宋体" w:eastAsia="宋体"/>
                <w:bCs/>
                <w:sz w:val="24"/>
                <w:szCs w:val="24"/>
              </w:rPr>
              <w:t>搅拌站信息展示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接入外部单位实时监管数据，展示搅拌站总量、作业数量、停业数量、搅拌站实时视频。</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c) </w:t>
            </w:r>
            <w:r>
              <w:rPr>
                <w:rFonts w:hint="eastAsia" w:ascii="宋体" w:hAnsi="宋体" w:eastAsia="宋体"/>
                <w:bCs/>
                <w:sz w:val="24"/>
                <w:szCs w:val="24"/>
              </w:rPr>
              <w:t>建筑工地信息展示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接入外部单位实时监管数据，展示建筑工地总量、作业数量、停业数量、作业中总需挖掘的土方量、作业中剩余需要挖掘的土方量，支持按照工程类别、工程进度分类统计、建筑工地实时视频展示。</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d) </w:t>
            </w:r>
            <w:r>
              <w:rPr>
                <w:rFonts w:hint="eastAsia" w:ascii="宋体" w:hAnsi="宋体" w:eastAsia="宋体"/>
                <w:bCs/>
                <w:sz w:val="24"/>
                <w:szCs w:val="24"/>
              </w:rPr>
              <w:t>消纳场信息展示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接入外部单位实时监管数据，展示消纳场总量、作业数量、停业数量、作业中的总审批面积、作业中的总受纳容量、作业中的实际受纳范围、作业中的实际受纳方量、作业中的剩余消纳方量、作业、停业的已超受纳方量、作业、停业的审批范围外消纳面积、作业、停业的审批范围外消纳方量和消纳场实时视频。</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e) </w:t>
            </w:r>
            <w:r>
              <w:rPr>
                <w:rFonts w:hint="eastAsia" w:ascii="宋体" w:hAnsi="宋体" w:eastAsia="宋体"/>
                <w:bCs/>
                <w:sz w:val="24"/>
                <w:szCs w:val="24"/>
              </w:rPr>
              <w:t>渣土车信息展示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接入外部单位实时监管数据，展示渣土车注册数量及明细，支持在系统查询自定义时间段内的运营数量及明细。</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f) </w:t>
            </w:r>
            <w:r>
              <w:rPr>
                <w:rFonts w:hint="eastAsia" w:ascii="宋体" w:hAnsi="宋体" w:eastAsia="宋体"/>
                <w:bCs/>
                <w:sz w:val="24"/>
                <w:szCs w:val="24"/>
              </w:rPr>
              <w:t>混凝土搅拌车信息展示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接入外部单位实时监管数据，展示混凝土搅拌车注册数量支持在系统查询自定义时间段内的运营数量及明细。</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3) </w:t>
            </w:r>
            <w:r>
              <w:rPr>
                <w:rFonts w:hint="eastAsia" w:ascii="宋体" w:hAnsi="宋体" w:eastAsia="宋体"/>
                <w:bCs/>
                <w:sz w:val="24"/>
                <w:szCs w:val="24"/>
              </w:rPr>
              <w:t>运行信息展示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a) </w:t>
            </w:r>
            <w:r>
              <w:rPr>
                <w:rFonts w:hint="eastAsia" w:ascii="宋体" w:hAnsi="宋体" w:eastAsia="宋体"/>
                <w:bCs/>
                <w:sz w:val="24"/>
                <w:szCs w:val="24"/>
              </w:rPr>
              <w:t>采石场运行信息展示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接入外部单位实时监管数据，展示采石场实际开采面积（㎡）、实际开采方量（</w:t>
            </w:r>
            <w:r>
              <w:rPr>
                <w:rFonts w:ascii="宋体" w:hAnsi="宋体" w:eastAsia="宋体"/>
                <w:bCs/>
                <w:sz w:val="24"/>
                <w:szCs w:val="24"/>
              </w:rPr>
              <w:t>m³）、采石场运输车辆统计、采石场运输车流量统计（进出车车次）、待运输方量、待运输次数。</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其中待运输方量为按照数据更新周期，减去上一周期的开采量，计算出已开采的土方量，作为待运输的土方量，用来判断时间范围内可造成扬尘事件的基础预警值。</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b) </w:t>
            </w:r>
            <w:r>
              <w:rPr>
                <w:rFonts w:hint="eastAsia" w:ascii="宋体" w:hAnsi="宋体" w:eastAsia="宋体"/>
                <w:bCs/>
                <w:sz w:val="24"/>
                <w:szCs w:val="24"/>
              </w:rPr>
              <w:t>搅拌站运行信息展示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接入外部单位实时监管数据，展示搅拌站散体物料车辆统计、散体物料车辆流量统计（进出车车次）、混凝土搅拌车统计、混凝土搅拌车流量统计（进出车车次）。</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c) </w:t>
            </w:r>
            <w:r>
              <w:rPr>
                <w:rFonts w:hint="eastAsia" w:ascii="宋体" w:hAnsi="宋体" w:eastAsia="宋体"/>
                <w:bCs/>
                <w:sz w:val="24"/>
                <w:szCs w:val="24"/>
              </w:rPr>
              <w:t>建筑工地运行信息展示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接入外部单位实时监管数据，展示建筑工地已开采土方量（</w:t>
            </w:r>
            <w:r>
              <w:rPr>
                <w:rFonts w:ascii="宋体" w:hAnsi="宋体" w:eastAsia="宋体"/>
                <w:bCs/>
                <w:sz w:val="24"/>
                <w:szCs w:val="24"/>
              </w:rPr>
              <w:t>m³）、剩余土方量（m³）、待运输方量、待运输次数、渣土车辆统计、渣土车流量统计（进出车车次）、混凝土搅拌车统计、混凝土搅拌车流量统计（进出车车次）。</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其中待运输方量，按照数据更新周期，减去上一周期的开采量，计算出已开采的土方量，作为待运输的土方量，作为挖掘时间范围内扬尘案件发生规律的基础数据。</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d) </w:t>
            </w:r>
            <w:r>
              <w:rPr>
                <w:rFonts w:hint="eastAsia" w:ascii="宋体" w:hAnsi="宋体" w:eastAsia="宋体"/>
                <w:bCs/>
                <w:sz w:val="24"/>
                <w:szCs w:val="24"/>
              </w:rPr>
              <w:t>消纳场运行信息展示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接入外部单位实时监管数据，展示消纳场的实际受纳方量（</w:t>
            </w:r>
            <w:r>
              <w:rPr>
                <w:rFonts w:ascii="宋体" w:hAnsi="宋体" w:eastAsia="宋体"/>
                <w:bCs/>
                <w:sz w:val="24"/>
                <w:szCs w:val="24"/>
              </w:rPr>
              <w:t>m³）、剩余消纳方量（m³）、已超消纳量（m³）、审批范围外消纳面积（㎡）、审批范围外消纳方量（m³）、边坡塌划区范围、渣土车辆统计、渣土车流量统计（进出车车次）。</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e) </w:t>
            </w:r>
            <w:r>
              <w:rPr>
                <w:rFonts w:hint="eastAsia" w:ascii="宋体" w:hAnsi="宋体" w:eastAsia="宋体"/>
                <w:bCs/>
                <w:sz w:val="24"/>
                <w:szCs w:val="24"/>
              </w:rPr>
              <w:t>渣土车运行信息展示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展示实时渣土车运输车辆统计、运输次数统计，根据识别到的车辆进行统计，有出场有进场算一次，支持自定义时间、源头测站名称分类查询统计各源头之间线路的运输车辆数、运输次数。</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f) </w:t>
            </w:r>
            <w:r>
              <w:rPr>
                <w:rFonts w:hint="eastAsia" w:ascii="宋体" w:hAnsi="宋体" w:eastAsia="宋体"/>
                <w:bCs/>
                <w:sz w:val="24"/>
                <w:szCs w:val="24"/>
              </w:rPr>
              <w:t>混凝土搅拌车运行信息展示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展示实时混凝土搅拌车运输车辆统计、运输次数统计，根据识别到的车辆进行统计，有出场有进场算一次，支持自定义时间、源头测站名称分类查询统计各源头之间线路的运输车辆数、运输次数。</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4) </w:t>
            </w:r>
            <w:r>
              <w:rPr>
                <w:rFonts w:hint="eastAsia" w:ascii="宋体" w:hAnsi="宋体" w:eastAsia="宋体"/>
                <w:bCs/>
                <w:sz w:val="24"/>
                <w:szCs w:val="24"/>
              </w:rPr>
              <w:t>研判信息展示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a) </w:t>
            </w:r>
            <w:r>
              <w:rPr>
                <w:rFonts w:hint="eastAsia" w:ascii="宋体" w:hAnsi="宋体" w:eastAsia="宋体"/>
                <w:bCs/>
                <w:sz w:val="24"/>
                <w:szCs w:val="24"/>
              </w:rPr>
              <w:t>采石场研判信息展示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基于扬尘一张图，展示采石场位置、采石场出入口位置、采石场审批范围、采石场实际范围、采石场物联网设备部署位置、关联搅拌站，展示关联车辆行驶轨迹。</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b) </w:t>
            </w:r>
            <w:r>
              <w:rPr>
                <w:rFonts w:hint="eastAsia" w:ascii="宋体" w:hAnsi="宋体" w:eastAsia="宋体"/>
                <w:bCs/>
                <w:sz w:val="24"/>
                <w:szCs w:val="24"/>
              </w:rPr>
              <w:t>搅拌站研判信息展示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基于扬尘一张图，展示搅拌站位置、搅拌站出入口位置、搅拌站审批范围、搅拌站物联网设备部署位置、关联采石场、关联建筑工地，展示关联车辆行驶轨迹。</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c) </w:t>
            </w:r>
            <w:r>
              <w:rPr>
                <w:rFonts w:hint="eastAsia" w:ascii="宋体" w:hAnsi="宋体" w:eastAsia="宋体"/>
                <w:bCs/>
                <w:sz w:val="24"/>
                <w:szCs w:val="24"/>
              </w:rPr>
              <w:t>建筑工地研判信息展示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基于扬尘一张图，展示建筑工地位置、建筑工地出入口位置、建筑工地审批范围、物联网设备部署位置、关联搅拌站、关联消纳场，展示关联车辆行驶轨迹。</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d) </w:t>
            </w:r>
            <w:r>
              <w:rPr>
                <w:rFonts w:hint="eastAsia" w:ascii="宋体" w:hAnsi="宋体" w:eastAsia="宋体"/>
                <w:bCs/>
                <w:sz w:val="24"/>
                <w:szCs w:val="24"/>
              </w:rPr>
              <w:t>消纳场研判信息展示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基于扬尘一张图，展示消纳场消纳场位置、消纳场出入口位置、消纳场审批范围、消纳场实际范围、物联网设备部署位置、关联建筑工地，展示关联车辆行驶轨迹。</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e) </w:t>
            </w:r>
            <w:r>
              <w:rPr>
                <w:rFonts w:hint="eastAsia" w:ascii="宋体" w:hAnsi="宋体" w:eastAsia="宋体"/>
                <w:bCs/>
                <w:sz w:val="24"/>
                <w:szCs w:val="24"/>
              </w:rPr>
              <w:t>渣土车研判信息展示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基于扬尘一张图，展示行驶中的车辆定位、车辆路径、关联采石场、关联建筑工地、关联搅拌站、关联消纳场。</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f) </w:t>
            </w:r>
            <w:r>
              <w:rPr>
                <w:rFonts w:hint="eastAsia" w:ascii="宋体" w:hAnsi="宋体" w:eastAsia="宋体"/>
                <w:bCs/>
                <w:sz w:val="24"/>
                <w:szCs w:val="24"/>
              </w:rPr>
              <w:t>混凝土搅拌车研判信息展示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基于扬尘一张图，展示行驶中的车辆定位、车辆路径、关联搅拌站、关联建筑工地。</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g) </w:t>
            </w:r>
            <w:r>
              <w:rPr>
                <w:rFonts w:hint="eastAsia" w:ascii="宋体" w:hAnsi="宋体" w:eastAsia="宋体"/>
                <w:bCs/>
                <w:sz w:val="24"/>
                <w:szCs w:val="24"/>
              </w:rPr>
              <w:t>信用信息展示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展示各行业主管部门扬尘系统数据信用惩戒应用情况，及信用惩戒结果。</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h) </w:t>
            </w:r>
            <w:r>
              <w:rPr>
                <w:rFonts w:hint="eastAsia" w:ascii="宋体" w:hAnsi="宋体" w:eastAsia="宋体"/>
                <w:bCs/>
                <w:sz w:val="24"/>
                <w:szCs w:val="24"/>
              </w:rPr>
              <w:t>考评信息展示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展示案件考评情况，案件考评统计，案件相关联的考评信息。</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i) </w:t>
            </w:r>
            <w:r>
              <w:rPr>
                <w:rFonts w:hint="eastAsia" w:ascii="宋体" w:hAnsi="宋体" w:eastAsia="宋体"/>
                <w:bCs/>
                <w:sz w:val="24"/>
                <w:szCs w:val="24"/>
              </w:rPr>
              <w:t>案件全生命周期展示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针对案件立案、派遣、处置、考评和信用惩戒闭环进行全流程数据展示。</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j) </w:t>
            </w:r>
            <w:r>
              <w:rPr>
                <w:rFonts w:hint="eastAsia" w:ascii="宋体" w:hAnsi="宋体" w:eastAsia="宋体"/>
                <w:bCs/>
                <w:sz w:val="24"/>
                <w:szCs w:val="24"/>
              </w:rPr>
              <w:t>源头全生命周期信息展示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针对每个源头的案件立案、派遣、处置、考评和信用惩戒闭环进行全流程数据展示。</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k) </w:t>
            </w:r>
            <w:r>
              <w:rPr>
                <w:rFonts w:hint="eastAsia" w:ascii="宋体" w:hAnsi="宋体" w:eastAsia="宋体"/>
                <w:bCs/>
                <w:sz w:val="24"/>
                <w:szCs w:val="24"/>
              </w:rPr>
              <w:t>其他研判信息展示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根据分析研判系统的研判结果，利用数据可视化系统，进行综合展示，包含但不限于车辆行驶密集区域、自动报警案件地点、人工发现案件地点等数据分析的热力图、时间分布图、趋势变化图等内容。</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5) </w:t>
            </w:r>
            <w:r>
              <w:rPr>
                <w:rFonts w:hint="eastAsia" w:ascii="宋体" w:hAnsi="宋体" w:eastAsia="宋体"/>
                <w:bCs/>
                <w:sz w:val="24"/>
                <w:szCs w:val="24"/>
              </w:rPr>
              <w:t>扬尘治理综合展示</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采用统一的内容管理系统（以下简称</w:t>
            </w:r>
            <w:r>
              <w:rPr>
                <w:rFonts w:ascii="宋体" w:hAnsi="宋体" w:eastAsia="宋体"/>
                <w:bCs/>
                <w:sz w:val="24"/>
                <w:szCs w:val="24"/>
              </w:rPr>
              <w:t>CMS）作为底层框架，包括展示平台的前端网站系统和后台管理系统。所有分类和内容均动态管理，内容的增加、修改和删除全部可由运维人员自主完成，无需修改系统代码和等待升级。</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a) </w:t>
            </w:r>
            <w:r>
              <w:rPr>
                <w:rFonts w:hint="eastAsia" w:ascii="宋体" w:hAnsi="宋体" w:eastAsia="宋体"/>
                <w:bCs/>
                <w:sz w:val="24"/>
                <w:szCs w:val="24"/>
              </w:rPr>
              <w:t>前端网站</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网站采用三层导航模式，分为主页、分类列表及内容详情页。主页是网站主入口，用于介绍平台概况和主要功能导航。分类列表则聚焦单个分类的内容归集和详情向导。</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b) </w:t>
            </w:r>
            <w:r>
              <w:rPr>
                <w:rFonts w:hint="eastAsia" w:ascii="宋体" w:hAnsi="宋体" w:eastAsia="宋体"/>
                <w:bCs/>
                <w:sz w:val="24"/>
                <w:szCs w:val="24"/>
              </w:rPr>
              <w:t>后台管理</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后台管理主要负责新增、编辑、删除系统的文章内容，设置文章分类，提供无限级树形分类节点支持，富文本编辑器以及文件管理工具。</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c) </w:t>
            </w:r>
            <w:r>
              <w:rPr>
                <w:rFonts w:hint="eastAsia" w:ascii="宋体" w:hAnsi="宋体" w:eastAsia="宋体"/>
                <w:bCs/>
                <w:sz w:val="24"/>
                <w:szCs w:val="24"/>
              </w:rPr>
              <w:t>内容分类</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层级分类</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通过树形结构维护内容分类，支持无限层级，考虑到实际性能和效果建议采用最多</w:t>
            </w:r>
            <w:r>
              <w:rPr>
                <w:rFonts w:ascii="宋体" w:hAnsi="宋体" w:eastAsia="宋体"/>
                <w:bCs/>
                <w:sz w:val="24"/>
                <w:szCs w:val="24"/>
              </w:rPr>
              <w:t>5级树目录。</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自动分类统计</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ascii="宋体" w:hAnsi="宋体" w:eastAsia="宋体"/>
                <w:bCs/>
                <w:sz w:val="24"/>
                <w:szCs w:val="24"/>
              </w:rPr>
              <w:t>CMS自动统计每个分类的新增、未发布、已发布和删除的文章内容数量，提供关键字快速查询和基于文章内容的全文检索功能。</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d) </w:t>
            </w:r>
            <w:r>
              <w:rPr>
                <w:rFonts w:hint="eastAsia" w:ascii="宋体" w:hAnsi="宋体" w:eastAsia="宋体"/>
                <w:bCs/>
                <w:sz w:val="24"/>
                <w:szCs w:val="24"/>
              </w:rPr>
              <w:t>文章管理</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内容新增和编辑可通过富文本编辑器完成。图片和文件附件均可支持地址链接和实际文件下载的方式提供，图文混排支持多种格式在线设置，可导出内容下载。提供按时间设置自动发布功能，同时也支持设置时限让文章内容自动下架，减少运维工作量。</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e) </w:t>
            </w:r>
            <w:r>
              <w:rPr>
                <w:rFonts w:hint="eastAsia" w:ascii="宋体" w:hAnsi="宋体" w:eastAsia="宋体"/>
                <w:bCs/>
                <w:sz w:val="24"/>
                <w:szCs w:val="24"/>
              </w:rPr>
              <w:t>导航及内容展示</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项目概况</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系统建设历程：简要介绍项目目标，解决的行业痛点，实现的项目突破，突出项目的建设意义和投入价值。利用时间轴的图样编排，将项目建设的里程碑时间点和重大事件串接起来，形成直观的建设历程介绍。</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运行管理模式：针对实际业务的管理需要，将系统监测与管控的重要举措进行分类展示。</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业务流程简介：结合现场图片和实时视屏，将场景与案例进行数字化呈现，对扬尘治理工作流程和步骤进行对比说明，实现扬尘治理的业务清晰化和可视化。</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政策法规：系统列举项目中实施和试行的重要政策法规，指导系统中各相关部门的协同工作。</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f) </w:t>
            </w:r>
            <w:r>
              <w:rPr>
                <w:rFonts w:hint="eastAsia" w:ascii="宋体" w:hAnsi="宋体" w:eastAsia="宋体"/>
                <w:bCs/>
                <w:sz w:val="24"/>
                <w:szCs w:val="24"/>
              </w:rPr>
              <w:t>系统应用情况及亮点</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系统运行基本情况</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展示项目目标中既定的关键指标数据：</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1)</w:t>
            </w:r>
            <w:r>
              <w:rPr>
                <w:rFonts w:hint="eastAsia" w:ascii="宋体" w:hAnsi="宋体" w:eastAsia="宋体"/>
                <w:sz w:val="24"/>
                <w:szCs w:val="24"/>
              </w:rPr>
              <w:t>支持</w:t>
            </w:r>
            <w:r>
              <w:rPr>
                <w:rFonts w:hint="eastAsia" w:ascii="宋体" w:hAnsi="宋体" w:eastAsia="宋体"/>
                <w:bCs/>
                <w:sz w:val="24"/>
                <w:szCs w:val="24"/>
              </w:rPr>
              <w:t>在</w:t>
            </w:r>
            <w:r>
              <w:rPr>
                <w:rFonts w:ascii="宋体" w:hAnsi="宋体" w:eastAsia="宋体"/>
                <w:bCs/>
                <w:sz w:val="24"/>
                <w:szCs w:val="24"/>
              </w:rPr>
              <w:t>CIM模型上标注污染源，统计采石场、搅拌站、建筑工地、消纳场四大扬尘污染源总数，包括试点区域和南宁市全市的污染场地。地图标注每个污染源的监测数据，包括监测指标名称、实时采集数据、预警（警告）次数等。让使用者一目了然，直观看出项目实际建设成果与计划建设目标的完成情况。</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2)</w:t>
            </w:r>
            <w:r>
              <w:rPr>
                <w:rFonts w:hint="eastAsia" w:ascii="宋体" w:hAnsi="宋体" w:eastAsia="宋体"/>
                <w:sz w:val="24"/>
                <w:szCs w:val="24"/>
              </w:rPr>
              <w:t>支持</w:t>
            </w:r>
            <w:r>
              <w:rPr>
                <w:rFonts w:hint="eastAsia" w:ascii="宋体" w:hAnsi="宋体" w:eastAsia="宋体"/>
                <w:bCs/>
                <w:sz w:val="24"/>
                <w:szCs w:val="24"/>
              </w:rPr>
              <w:t>列表形式给出执法案件数据采集率，运输车辆超重报警准确率，违规开工预警准确率，智能视频分析（</w:t>
            </w:r>
            <w:r>
              <w:rPr>
                <w:rFonts w:ascii="宋体" w:hAnsi="宋体" w:eastAsia="宋体"/>
                <w:bCs/>
                <w:sz w:val="24"/>
                <w:szCs w:val="24"/>
              </w:rPr>
              <w:t>AI）研判违规工地数量及准确率，“四点一线”接入覆盖率等KPI指标数据，清晰展现系统运行状况。</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系统核心功能</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简要介绍功能特点及效用，将以下系统的数据提取并统计成高度业务化的指标分析项，通过固定的实时数据展示模块进行展示和说明：</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1)视频人工智能研判违规污染源</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2)业务智能大数据（Business Intelligence）</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3)“四点一线”数据采集全覆盖</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4)基于城市信息模型（CIM）建立的智慧化防治管理平台</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数据应用成效</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通过大数据仪表盘实现信息总览，充分展示系统各业务块和各监控场景的实时数据情况，重点决策支撑与问题处置的智能型系统控制策略，高度自动化的预警及响应方案体系。基于视频的人工智能研判训练机制，以及各项指标数据准确度与可靠性的综合评估模型。</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系统应用案例</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切换进入图文内容模式，通过图片与视频方式，展现案例分析及场景比对的项目成效，通过案例实时数据结合现场动态影像进行立体说明。</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g) </w:t>
            </w:r>
            <w:r>
              <w:rPr>
                <w:rFonts w:hint="eastAsia" w:ascii="宋体" w:hAnsi="宋体" w:eastAsia="宋体"/>
                <w:bCs/>
                <w:sz w:val="24"/>
                <w:szCs w:val="24"/>
              </w:rPr>
              <w:t>蓝图</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 系统蓝图</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给出项目建设的路线图，规划从试点到全市，从单一城市到全区联动的推广普及形势。按照规模化防控治理的总体要求，对整个项目及相关系统进行不断升级和优化，并最终实现系统蓝图的长远战略。</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4. </w:t>
            </w:r>
            <w:r>
              <w:rPr>
                <w:rFonts w:hint="eastAsia" w:ascii="宋体" w:hAnsi="宋体" w:eastAsia="宋体"/>
                <w:bCs/>
                <w:sz w:val="24"/>
                <w:szCs w:val="24"/>
              </w:rPr>
              <w:t>指挥系统</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 </w:t>
            </w:r>
            <w:r>
              <w:rPr>
                <w:rFonts w:hint="eastAsia" w:ascii="宋体" w:hAnsi="宋体" w:eastAsia="宋体"/>
                <w:bCs/>
                <w:sz w:val="24"/>
                <w:szCs w:val="24"/>
              </w:rPr>
              <w:t>指挥系统概述</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搭建指挥系统，实现扬尘治理视频综合管理系统和南宁市数字化城市管理信息系统和南宁市城市管理综合行政执法数字化系统的数据汇聚、数据共享。对事件全过程的统筹指挥、关联各相关责任部门和人员的指挥调度、处置现场及周边事物的可视化。支持统筹调度、点名督查、污染源头相关信息可视化、案件流转等功能。</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(2) </w:t>
            </w:r>
            <w:r>
              <w:rPr>
                <w:rFonts w:hint="eastAsia" w:ascii="宋体" w:hAnsi="宋体" w:eastAsia="宋体"/>
                <w:bCs/>
                <w:sz w:val="24"/>
                <w:szCs w:val="24"/>
              </w:rPr>
              <w:t>指挥系统功能设计</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 </w:t>
            </w:r>
            <w:r>
              <w:rPr>
                <w:rFonts w:hint="eastAsia" w:ascii="宋体" w:hAnsi="宋体" w:eastAsia="宋体"/>
                <w:bCs/>
                <w:sz w:val="24"/>
                <w:szCs w:val="24"/>
              </w:rPr>
              <w:t>可视化指挥调度子系统</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a) </w:t>
            </w:r>
            <w:r>
              <w:rPr>
                <w:rFonts w:hint="eastAsia" w:ascii="宋体" w:hAnsi="宋体" w:eastAsia="宋体"/>
                <w:bCs/>
                <w:sz w:val="24"/>
                <w:szCs w:val="24"/>
              </w:rPr>
              <w:t>案件处置</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bCs/>
                <w:sz w:val="24"/>
                <w:szCs w:val="24"/>
              </w:rPr>
              <w:t>支持在可视化子系统中形成重要数据可视化统计和将事件、分析研判、预警预报等信息发送至南宁市城市管理综合行政执法数字化系统，形成案件信息。</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对接南宁市城市管理综合行政执法数字化系统，在接到案件后，案件信息实施同步到可视化指挥调度系统中，可通过系统进行案件的后续处置跟踪工作。</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案件先期调派之后，通知相关领导及时了解案件态势，可调取执法人员所在位置的周边摄像头，显示人员所在位置，及时了解案发点现场情况，针对关键画面进行一键截图，并推送给执法人员。</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主要包含以下功能：</w:t>
            </w:r>
          </w:p>
          <w:p>
            <w:pPr>
              <w:numPr>
                <w:ilvl w:val="0"/>
                <w:numId w:val="5"/>
              </w:num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bCs/>
                <w:sz w:val="24"/>
                <w:szCs w:val="24"/>
              </w:rPr>
              <w:t>执法单位派遣</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w:t>
            </w:r>
            <w:r>
              <w:rPr>
                <w:rFonts w:hint="eastAsia" w:ascii="宋体" w:hAnsi="宋体" w:eastAsia="宋体"/>
                <w:bCs/>
                <w:sz w:val="24"/>
                <w:szCs w:val="24"/>
              </w:rPr>
              <w:t>将地理位置发送给指定各单位各部门、执法人员，各单位各部门、执法人员执法人员在执法记录仪上接受到地理信息后，可通过导航前往地点。</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w:t>
            </w:r>
            <w:r>
              <w:rPr>
                <w:rFonts w:ascii="宋体" w:hAnsi="宋体" w:eastAsia="宋体"/>
                <w:bCs/>
                <w:sz w:val="24"/>
                <w:szCs w:val="24"/>
              </w:rPr>
              <w:t>2）就近派遣</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指定地理位置，系统将根据附近执法人员的位置，自动选择适合的执法人员推送案件位置信息，人员在执法记录仪上接受到地理信息后，可通过导航前往地点。</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w:t>
            </w:r>
            <w:r>
              <w:rPr>
                <w:rFonts w:ascii="宋体" w:hAnsi="宋体" w:eastAsia="宋体"/>
                <w:bCs/>
                <w:sz w:val="24"/>
                <w:szCs w:val="24"/>
              </w:rPr>
              <w:t>3）案件信息发送、回传</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支持视频、图像、文字等案件信息的发送，可选择单向发送和群发，能接收执法记录仪的实时回传视频、语音等信息。</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b) </w:t>
            </w:r>
            <w:r>
              <w:rPr>
                <w:rFonts w:hint="eastAsia" w:ascii="宋体" w:hAnsi="宋体" w:eastAsia="宋体"/>
                <w:bCs/>
                <w:sz w:val="24"/>
                <w:szCs w:val="24"/>
              </w:rPr>
              <w:t>案件图层</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可视化指挥调度系统地图展示区域主要显示执法人员在线状态、分布位置以及各种外部资源的点位分布。用户切换不同图层可针对性的查看不同的数据，辅助案件处置。</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c) </w:t>
            </w:r>
            <w:r>
              <w:rPr>
                <w:rFonts w:hint="eastAsia" w:ascii="宋体" w:hAnsi="宋体" w:eastAsia="宋体"/>
                <w:bCs/>
                <w:sz w:val="24"/>
                <w:szCs w:val="24"/>
              </w:rPr>
              <w:t>调度辅助</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提供语音呼叫、语音传输、通讯录等功能，支持多方语音传输。</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w:t>
            </w:r>
            <w:r>
              <w:rPr>
                <w:rFonts w:ascii="宋体" w:hAnsi="宋体" w:eastAsia="宋体"/>
                <w:bCs/>
                <w:sz w:val="24"/>
                <w:szCs w:val="24"/>
              </w:rPr>
              <w:t>4）点名督查子系统</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a) </w:t>
            </w:r>
            <w:r>
              <w:rPr>
                <w:rFonts w:hint="eastAsia" w:ascii="宋体" w:hAnsi="宋体" w:eastAsia="宋体"/>
                <w:bCs/>
                <w:sz w:val="24"/>
                <w:szCs w:val="24"/>
              </w:rPr>
              <w:t>点名清单</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点名清单分为两部分：一部分为点名对象（可添加组</w:t>
            </w:r>
            <w:r>
              <w:rPr>
                <w:rFonts w:ascii="宋体" w:hAnsi="宋体" w:eastAsia="宋体"/>
                <w:bCs/>
                <w:sz w:val="24"/>
                <w:szCs w:val="24"/>
              </w:rPr>
              <w:t>/设备）；一部分是应答对象，用于组呼点名时，具有应答权限的对象维护。应答对象为空时不对应答对象校验，默认不启动应答对象校验，即任何成员应答均有效，可手动启动对象校验模式。</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点名对象有两部分来源：一部分是用户自己添加的单位，点名对象可修改名称（别名）；一部分是从执法系统同步过来的执法人员。执法人员会自动添加到应答对象名单。</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b) </w:t>
            </w:r>
            <w:r>
              <w:rPr>
                <w:rFonts w:hint="eastAsia" w:ascii="宋体" w:hAnsi="宋体" w:eastAsia="宋体"/>
                <w:bCs/>
                <w:sz w:val="24"/>
                <w:szCs w:val="24"/>
              </w:rPr>
              <w:t>点名督查</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用户可根据实际需要，对点名清单中的单位</w:t>
            </w:r>
            <w:r>
              <w:rPr>
                <w:rFonts w:ascii="宋体" w:hAnsi="宋体" w:eastAsia="宋体"/>
                <w:bCs/>
                <w:sz w:val="24"/>
                <w:szCs w:val="24"/>
              </w:rPr>
              <w:t>/人员进行点名，并动态展示点名结果，并提供点名记录查询功能，且可导出报表。点名分为单位点名和个人点名。</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w:t>
            </w:r>
            <w:r>
              <w:rPr>
                <w:rFonts w:ascii="宋体" w:hAnsi="宋体" w:eastAsia="宋体"/>
                <w:bCs/>
                <w:sz w:val="24"/>
                <w:szCs w:val="24"/>
              </w:rPr>
              <w:t xml:space="preserve">5） </w:t>
            </w:r>
            <w:r>
              <w:rPr>
                <w:rFonts w:hint="eastAsia" w:ascii="宋体" w:hAnsi="宋体" w:eastAsia="宋体"/>
                <w:bCs/>
                <w:sz w:val="24"/>
                <w:szCs w:val="24"/>
              </w:rPr>
              <w:t>智能巡防管理子系统</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网格化管理，可绘制巡区、巡段、巡逻点位、执法卡点等巡逻元素，制定案件处置计划；</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有权限的管理员可以根据不同单位配置不同颜色，改变巡区和执法队员在地图上的颜色，从而能够直观的区分各单位；</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根据巡逻元素类型（如：巡区、巡段、巡逻点位等）来筛选巡防计划的地图上可展示的巡逻元素；</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提供巡逻元素和时长设置可维护功能。</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w:t>
            </w:r>
            <w:r>
              <w:rPr>
                <w:rFonts w:ascii="宋体" w:hAnsi="宋体" w:eastAsia="宋体"/>
                <w:bCs/>
                <w:sz w:val="24"/>
                <w:szCs w:val="24"/>
              </w:rPr>
              <w:t>5）污染源头信息查询</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根据执法记录仪的定位信息或者通过污染源头名称搜索，提供污染源头的基本信息和近期出入的车辆信息查询渠道。</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w:t>
            </w:r>
            <w:r>
              <w:rPr>
                <w:rFonts w:ascii="宋体" w:hAnsi="宋体" w:eastAsia="宋体"/>
                <w:bCs/>
                <w:sz w:val="24"/>
                <w:szCs w:val="24"/>
              </w:rPr>
              <w:t xml:space="preserve">6） </w:t>
            </w:r>
            <w:r>
              <w:rPr>
                <w:rFonts w:hint="eastAsia" w:ascii="宋体" w:hAnsi="宋体" w:eastAsia="宋体"/>
                <w:bCs/>
                <w:sz w:val="24"/>
                <w:szCs w:val="24"/>
              </w:rPr>
              <w:t>案件流转</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与南宁市数字化城市管理信息系统对接，增加案件过程、案件结案时的视频、图像、音频、坐标等信息的上传与显示。</w:t>
            </w:r>
          </w:p>
          <w:p>
            <w:pPr>
              <w:numPr>
                <w:ilvl w:val="0"/>
                <w:numId w:val="6"/>
              </w:num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可视化指挥协同子系统</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bCs/>
                <w:sz w:val="24"/>
                <w:szCs w:val="24"/>
              </w:rPr>
              <w:t>支持在可视化子系统中形成重要数据可视化统计和将事件、分析研判、预警预报等信息发送至相关部门，各部门接收到信息后采取相应的处置措施，在系统上反馈响应信息、案件处置的流程信息等，形成事件闭环。</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5. </w:t>
            </w:r>
            <w:r>
              <w:rPr>
                <w:rFonts w:hint="eastAsia" w:ascii="宋体" w:hAnsi="宋体" w:eastAsia="宋体"/>
                <w:bCs/>
                <w:sz w:val="24"/>
                <w:szCs w:val="24"/>
              </w:rPr>
              <w:t>坐席人员辅助系统</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 </w:t>
            </w:r>
            <w:r>
              <w:rPr>
                <w:rFonts w:hint="eastAsia" w:ascii="宋体" w:hAnsi="宋体" w:eastAsia="宋体"/>
                <w:bCs/>
                <w:sz w:val="24"/>
                <w:szCs w:val="24"/>
              </w:rPr>
              <w:t>坐席人员辅助系统概述</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根据摄像头状态、各源头运营状态、车辆出入状态等信息，筛选出需要关注的摄像头，自行设定分配原则，根据所需关注的摄像头，按照原则分配给坐班的坐席人员。</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(2) </w:t>
            </w:r>
            <w:r>
              <w:rPr>
                <w:rFonts w:hint="eastAsia" w:ascii="宋体" w:hAnsi="宋体" w:eastAsia="宋体"/>
                <w:bCs/>
                <w:sz w:val="24"/>
                <w:szCs w:val="24"/>
              </w:rPr>
              <w:t>坐席人员辅助系统功能设计</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1) </w:t>
            </w:r>
            <w:r>
              <w:rPr>
                <w:rFonts w:hint="eastAsia" w:ascii="宋体" w:hAnsi="宋体" w:eastAsia="宋体"/>
                <w:bCs/>
                <w:sz w:val="24"/>
                <w:szCs w:val="24"/>
              </w:rPr>
              <w:t>摄像头自动筛选</w:t>
            </w:r>
            <w:r>
              <w:rPr>
                <w:rFonts w:ascii="宋体" w:hAnsi="宋体" w:eastAsia="宋体"/>
                <w:bCs/>
                <w:sz w:val="24"/>
                <w:szCs w:val="24"/>
              </w:rPr>
              <w:tab/>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支持用户根据摄像头状态、各源头运营状态、车辆出入状态，筛选出需要关注的摄像头。</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2) </w:t>
            </w:r>
            <w:r>
              <w:rPr>
                <w:rFonts w:hint="eastAsia" w:ascii="宋体" w:hAnsi="宋体" w:eastAsia="宋体"/>
                <w:bCs/>
                <w:sz w:val="24"/>
                <w:szCs w:val="24"/>
              </w:rPr>
              <w:t>摄像头自动分配</w:t>
            </w:r>
            <w:r>
              <w:rPr>
                <w:rFonts w:ascii="宋体" w:hAnsi="宋体" w:eastAsia="宋体"/>
                <w:bCs/>
                <w:sz w:val="24"/>
                <w:szCs w:val="24"/>
              </w:rPr>
              <w:tab/>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可自行设定分配原则，对于根据摄像头状态、各源头运营状态、车辆出入状态筛选后获取到的所需关注的摄像头，按照原则分配给坐班的坐席。</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6. </w:t>
            </w:r>
            <w:r>
              <w:rPr>
                <w:rFonts w:hint="eastAsia" w:ascii="宋体" w:hAnsi="宋体" w:eastAsia="宋体"/>
                <w:bCs/>
                <w:sz w:val="24"/>
                <w:szCs w:val="24"/>
              </w:rPr>
              <w:t>移动端升级，搭建微信小程序</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支持在原有移动端的基础上增加信息推送、信息查询、信息反馈等功能，各单位按照权限配置赋予不同的查询和信息反馈权限，并迁移至微信小程序，与公共服务的移动端按照权限进行访问控制。</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(1)原有功能整合</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bCs/>
                <w:sz w:val="24"/>
                <w:szCs w:val="24"/>
              </w:rPr>
              <w:t>具备微信小程序版本，整合一期移动端功能。</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(2)信息推送</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向移动端推送应急预案、案件处置情况。根据设定的自动预警、分析研判等信息可自动推送至相关人员的移动终端。</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(3)信息查询</w:t>
            </w:r>
          </w:p>
          <w:p>
            <w:pPr>
              <w:spacing w:beforeAutospacing="1" w:afterAutospacing="1" w:line="440" w:lineRule="exact"/>
              <w:ind w:firstLine="480" w:firstLineChars="200"/>
              <w:outlineLvl w:val="0"/>
              <w:rPr>
                <w:rFonts w:ascii="宋体" w:hAnsi="宋体" w:eastAsia="宋体"/>
                <w:bCs/>
                <w:kern w:val="2"/>
                <w:sz w:val="24"/>
                <w:szCs w:val="24"/>
              </w:rPr>
            </w:pPr>
            <w:r>
              <w:rPr>
                <w:rFonts w:hint="eastAsia" w:ascii="宋体" w:hAnsi="宋体" w:eastAsia="宋体"/>
                <w:sz w:val="24"/>
                <w:szCs w:val="24"/>
              </w:rPr>
              <w:t>支持</w:t>
            </w:r>
            <w:r>
              <w:rPr>
                <w:rFonts w:hint="eastAsia" w:ascii="宋体" w:hAnsi="宋体" w:eastAsia="宋体"/>
                <w:bCs/>
                <w:sz w:val="24"/>
                <w:szCs w:val="24"/>
              </w:rPr>
              <w:t>查询案件处置情况、考评信息、车辆轨迹分析研判结果、源头违规信息、源头视频监控在线情况。</w:t>
            </w:r>
          </w:p>
          <w:p>
            <w:pPr>
              <w:spacing w:beforeAutospacing="1" w:afterAutospacing="1" w:line="440" w:lineRule="exact"/>
              <w:ind w:firstLine="480" w:firstLineChars="200"/>
              <w:outlineLvl w:val="0"/>
              <w:rPr>
                <w:rFonts w:ascii="宋体" w:hAnsi="宋体" w:eastAsia="宋体"/>
                <w:bCs/>
                <w:kern w:val="2"/>
                <w:sz w:val="24"/>
                <w:szCs w:val="24"/>
              </w:rPr>
            </w:pPr>
            <w:r>
              <w:rPr>
                <w:rFonts w:ascii="宋体" w:hAnsi="宋体" w:eastAsia="宋体"/>
                <w:bCs/>
                <w:sz w:val="24"/>
                <w:szCs w:val="24"/>
              </w:rPr>
              <w:t xml:space="preserve">(4) </w:t>
            </w:r>
            <w:r>
              <w:rPr>
                <w:rFonts w:hint="eastAsia" w:ascii="宋体" w:hAnsi="宋体" w:eastAsia="宋体"/>
                <w:bCs/>
                <w:sz w:val="24"/>
                <w:szCs w:val="24"/>
              </w:rPr>
              <w:t>信息反馈</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w:t>
            </w:r>
            <w:r>
              <w:rPr>
                <w:rFonts w:hint="eastAsia" w:ascii="宋体" w:hAnsi="宋体" w:eastAsia="宋体"/>
                <w:bCs/>
                <w:sz w:val="24"/>
                <w:szCs w:val="24"/>
              </w:rPr>
              <w:t>提供源头信息临时变更、巡查立案案件上报。</w:t>
            </w:r>
          </w:p>
        </w:tc>
        <w:tc>
          <w:tcPr>
            <w:tcW w:w="2252" w:type="dxa"/>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kern w:val="2"/>
                <w:sz w:val="24"/>
                <w:szCs w:val="24"/>
              </w:rPr>
            </w:pPr>
            <w:r>
              <w:rPr>
                <w:rFonts w:ascii="宋体" w:hAnsi="宋体" w:eastAsia="宋体"/>
                <w:b/>
                <w:sz w:val="24"/>
                <w:szCs w:val="24"/>
              </w:rPr>
              <w:t>2365000.00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kern w:val="2"/>
                <w:sz w:val="24"/>
                <w:szCs w:val="24"/>
              </w:rPr>
            </w:pPr>
            <w:r>
              <w:rPr>
                <w:rFonts w:ascii="宋体" w:hAnsi="宋体" w:eastAsia="宋体"/>
                <w:sz w:val="24"/>
                <w:szCs w:val="24"/>
              </w:rPr>
              <w:t>6</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kern w:val="2"/>
                <w:sz w:val="24"/>
                <w:szCs w:val="24"/>
              </w:rPr>
            </w:pPr>
            <w:r>
              <w:rPr>
                <w:rFonts w:hint="eastAsia" w:ascii="宋体" w:hAnsi="宋体" w:eastAsia="宋体"/>
                <w:sz w:val="24"/>
                <w:szCs w:val="24"/>
              </w:rPr>
              <w:t>扬尘治理公共服务平台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jc w:val="center"/>
              <w:outlineLvl w:val="0"/>
              <w:rPr>
                <w:rFonts w:ascii="宋体" w:hAnsi="宋体" w:eastAsia="宋体"/>
                <w:kern w:val="2"/>
                <w:sz w:val="24"/>
                <w:szCs w:val="24"/>
              </w:rPr>
            </w:pPr>
            <w:r>
              <w:rPr>
                <w:rFonts w:ascii="宋体" w:hAnsi="宋体" w:eastAsia="宋体"/>
                <w:sz w:val="24"/>
                <w:szCs w:val="24"/>
              </w:rPr>
              <w:t>1项</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440" w:lineRule="exact"/>
              <w:ind w:firstLine="482" w:firstLineChars="200"/>
              <w:outlineLvl w:val="0"/>
              <w:rPr>
                <w:rFonts w:ascii="宋体" w:hAnsi="宋体" w:eastAsia="宋体"/>
                <w:b/>
                <w:bCs/>
                <w:kern w:val="2"/>
                <w:sz w:val="24"/>
                <w:szCs w:val="24"/>
              </w:rPr>
            </w:pPr>
            <w:r>
              <w:rPr>
                <w:rFonts w:hint="eastAsia" w:ascii="宋体" w:hAnsi="宋体" w:eastAsia="宋体"/>
                <w:b/>
                <w:bCs/>
                <w:sz w:val="24"/>
                <w:szCs w:val="24"/>
              </w:rPr>
              <w:t>一、</w:t>
            </w:r>
            <w:r>
              <w:rPr>
                <w:rFonts w:ascii="宋体" w:hAnsi="宋体" w:eastAsia="宋体"/>
                <w:b/>
                <w:bCs/>
                <w:sz w:val="24"/>
                <w:szCs w:val="24"/>
              </w:rPr>
              <w:t xml:space="preserve"> </w:t>
            </w:r>
            <w:r>
              <w:rPr>
                <w:rFonts w:hint="eastAsia" w:ascii="宋体" w:hAnsi="宋体" w:eastAsia="宋体"/>
                <w:b/>
                <w:bCs/>
                <w:sz w:val="24"/>
                <w:szCs w:val="24"/>
              </w:rPr>
              <w:t>系统概述</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为扬尘治理治理的相关企业和市民提供扬尘信息的发布与查询通道，建立市民与各方参加单位共同参与沟通渠道，为扬尘治理资源的利用搭建信息交换平台，从微信公众号和小程序上对外提供公共服务，并于相关扬尘治理工作网站联合，发布资源信息。</w:t>
            </w:r>
          </w:p>
          <w:p>
            <w:pPr>
              <w:spacing w:beforeAutospacing="1" w:afterAutospacing="1" w:line="440" w:lineRule="exact"/>
              <w:ind w:firstLine="480" w:firstLineChars="200"/>
              <w:outlineLvl w:val="0"/>
              <w:rPr>
                <w:rFonts w:ascii="宋体" w:hAnsi="宋体" w:eastAsia="宋体"/>
                <w:b/>
                <w:bCs/>
                <w:kern w:val="2"/>
                <w:sz w:val="24"/>
                <w:szCs w:val="24"/>
              </w:rPr>
            </w:pPr>
            <w:r>
              <w:rPr>
                <w:rFonts w:hint="eastAsia" w:ascii="宋体" w:hAnsi="宋体" w:eastAsia="宋体"/>
                <w:sz w:val="24"/>
                <w:szCs w:val="24"/>
              </w:rPr>
              <w:t>★</w:t>
            </w:r>
            <w:r>
              <w:rPr>
                <w:rFonts w:hint="eastAsia" w:ascii="宋体" w:hAnsi="宋体" w:eastAsia="宋体"/>
                <w:b/>
                <w:bCs/>
                <w:sz w:val="24"/>
                <w:szCs w:val="24"/>
              </w:rPr>
              <w:t>二、</w:t>
            </w:r>
            <w:r>
              <w:rPr>
                <w:rFonts w:ascii="宋体" w:hAnsi="宋体" w:eastAsia="宋体"/>
                <w:b/>
                <w:bCs/>
                <w:sz w:val="24"/>
                <w:szCs w:val="24"/>
              </w:rPr>
              <w:t xml:space="preserve"> </w:t>
            </w:r>
            <w:r>
              <w:rPr>
                <w:rFonts w:hint="eastAsia" w:ascii="宋体" w:hAnsi="宋体" w:eastAsia="宋体"/>
                <w:b/>
                <w:bCs/>
                <w:sz w:val="24"/>
                <w:szCs w:val="24"/>
              </w:rPr>
              <w:t>系统功能需求</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1. </w:t>
            </w:r>
            <w:r>
              <w:rPr>
                <w:rFonts w:hint="eastAsia" w:ascii="宋体" w:hAnsi="宋体" w:eastAsia="宋体"/>
                <w:sz w:val="24"/>
                <w:szCs w:val="24"/>
              </w:rPr>
              <w:t>扬尘信息发布系统</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具备为扬尘政策、最新消息、扬尘新闻、扬尘热点等信息提供发布能力，支持多媒体信息发布，可配置栏目和自定义界面布局，支持信息发布和审核。</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支持扬尘治理相关业务提供商可通过平台发布所提供的服务和产品，支持上传图片作为服务，发布的信息通过审核后对外进行展示。</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2. </w:t>
            </w:r>
            <w:r>
              <w:rPr>
                <w:rFonts w:hint="eastAsia" w:ascii="宋体" w:hAnsi="宋体" w:eastAsia="宋体"/>
                <w:sz w:val="24"/>
                <w:szCs w:val="24"/>
              </w:rPr>
              <w:t>扬尘信息查询系统</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支持合法合规的源头、车辆查询，为企业和车主提供违规查询，提供扬尘行业的企业查询，查询结果为脱敏后的内容。</w:t>
            </w:r>
          </w:p>
          <w:p>
            <w:pPr>
              <w:spacing w:beforeAutospacing="1" w:afterAutospacing="1" w:line="440" w:lineRule="exact"/>
              <w:ind w:firstLine="480" w:firstLineChars="200"/>
              <w:outlineLvl w:val="0"/>
              <w:rPr>
                <w:rFonts w:ascii="宋体" w:hAnsi="宋体" w:eastAsia="宋体"/>
                <w:kern w:val="2"/>
                <w:sz w:val="24"/>
                <w:szCs w:val="24"/>
              </w:rPr>
            </w:pPr>
            <w:r>
              <w:rPr>
                <w:rFonts w:ascii="宋体" w:hAnsi="宋体" w:eastAsia="宋体"/>
                <w:sz w:val="24"/>
                <w:szCs w:val="24"/>
              </w:rPr>
              <w:t xml:space="preserve">3. </w:t>
            </w:r>
            <w:r>
              <w:rPr>
                <w:rFonts w:hint="eastAsia" w:ascii="宋体" w:hAnsi="宋体" w:eastAsia="宋体"/>
                <w:sz w:val="24"/>
                <w:szCs w:val="24"/>
              </w:rPr>
              <w:t>公共服务移动端</w:t>
            </w:r>
          </w:p>
          <w:p>
            <w:pPr>
              <w:spacing w:beforeAutospacing="1" w:afterAutospacing="1" w:line="440" w:lineRule="exact"/>
              <w:ind w:firstLine="480" w:firstLineChars="200"/>
              <w:outlineLvl w:val="0"/>
              <w:rPr>
                <w:rFonts w:ascii="宋体" w:hAnsi="宋体" w:eastAsia="宋体"/>
                <w:kern w:val="2"/>
                <w:sz w:val="24"/>
                <w:szCs w:val="24"/>
              </w:rPr>
            </w:pPr>
            <w:r>
              <w:rPr>
                <w:rFonts w:hint="eastAsia" w:ascii="宋体" w:hAnsi="宋体" w:eastAsia="宋体"/>
                <w:sz w:val="24"/>
                <w:szCs w:val="24"/>
              </w:rPr>
              <w:t>支持基于</w:t>
            </w:r>
            <w:r>
              <w:rPr>
                <w:rFonts w:ascii="宋体" w:hAnsi="宋体" w:eastAsia="宋体"/>
                <w:sz w:val="24"/>
                <w:szCs w:val="24"/>
              </w:rPr>
              <w:t>H5技术和微信小程序开发技术，提供扬尘信息展示、信息查询、资源供需发布、扬尘微建议，为市民和相关企业提供扬尘公共服务，与业务平台的移动端按照权限进行访问控制。</w:t>
            </w:r>
          </w:p>
        </w:tc>
        <w:tc>
          <w:tcPr>
            <w:tcW w:w="2252" w:type="dxa"/>
            <w:tcBorders>
              <w:top w:val="single" w:color="auto" w:sz="4" w:space="0"/>
              <w:left w:val="nil"/>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b/>
                <w:kern w:val="2"/>
                <w:sz w:val="24"/>
                <w:szCs w:val="24"/>
              </w:rPr>
            </w:pPr>
            <w:r>
              <w:rPr>
                <w:rFonts w:ascii="宋体" w:hAnsi="宋体" w:eastAsia="宋体"/>
                <w:b/>
                <w:sz w:val="24"/>
                <w:szCs w:val="24"/>
              </w:rPr>
              <w:t>180000.00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jc w:val="center"/>
              <w:outlineLvl w:val="0"/>
              <w:rPr>
                <w:rFonts w:ascii="宋体" w:hAnsi="宋体" w:eastAsia="宋体"/>
                <w:kern w:val="2"/>
                <w:sz w:val="24"/>
                <w:szCs w:val="24"/>
              </w:rPr>
            </w:pPr>
            <w:r>
              <w:rPr>
                <w:rFonts w:ascii="宋体" w:hAnsi="宋体" w:eastAsia="宋体"/>
                <w:sz w:val="24"/>
                <w:szCs w:val="24"/>
              </w:rPr>
              <w:t>7</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440" w:lineRule="exact"/>
              <w:outlineLvl w:val="0"/>
              <w:rPr>
                <w:rFonts w:ascii="宋体" w:hAnsi="宋体" w:eastAsia="宋体"/>
                <w:kern w:val="2"/>
                <w:sz w:val="24"/>
                <w:szCs w:val="24"/>
              </w:rPr>
            </w:pPr>
            <w:r>
              <w:rPr>
                <w:rFonts w:hint="eastAsia" w:ascii="宋体" w:hAnsi="宋体" w:eastAsia="宋体"/>
                <w:sz w:val="24"/>
                <w:szCs w:val="24"/>
              </w:rPr>
              <w:t>移动式卡点视频监控系统</w:t>
            </w:r>
          </w:p>
          <w:p>
            <w:pPr>
              <w:spacing w:line="440" w:lineRule="exact"/>
              <w:rPr>
                <w:rFonts w:ascii="宋体" w:hAnsi="宋体" w:eastAsia="宋体"/>
                <w:sz w:val="24"/>
                <w:szCs w:val="24"/>
              </w:rPr>
            </w:pP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sz w:val="24"/>
                <w:szCs w:val="24"/>
              </w:rPr>
            </w:pPr>
            <w:r>
              <w:rPr>
                <w:rFonts w:ascii="宋体" w:hAnsi="宋体" w:eastAsia="宋体"/>
                <w:sz w:val="24"/>
                <w:szCs w:val="24"/>
              </w:rPr>
              <w:t>10套</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 xml:space="preserve"> </w:t>
            </w:r>
            <w:r>
              <w:rPr>
                <w:rFonts w:hint="eastAsia" w:ascii="宋体" w:hAnsi="宋体" w:eastAsia="宋体"/>
                <w:sz w:val="24"/>
                <w:szCs w:val="24"/>
              </w:rPr>
              <w:t>系统概述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针对城市周边道路，雪亮工程和交警视频监控覆盖的盲区，车辆扬尘治理事件频发的路段，且该路段没有公安、交警和综治的视频监控，选用高清网络智能摄像机和监控点配套设备，搭建</w:t>
            </w:r>
            <w:r>
              <w:rPr>
                <w:rFonts w:ascii="宋体" w:hAnsi="宋体" w:eastAsia="宋体"/>
                <w:sz w:val="24"/>
                <w:szCs w:val="24"/>
              </w:rPr>
              <w:t>10套高清的视频监控系统，作为移动式卡点视频监控，用于监控扬尘环境，为扬尘治理业务、扬尘治理公共服务提供数据支撑，作为视频图像分析来源的补充，作为扬尘案件数据采集的补充手段。支持新建的移动式卡点视频监控系统接入视频综合管理平台进行整合，图片抓拍、视频支持AI算法训练的智能分析识别。</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 xml:space="preserve"> </w:t>
            </w:r>
            <w:r>
              <w:rPr>
                <w:rFonts w:hint="eastAsia" w:ascii="宋体" w:hAnsi="宋体" w:eastAsia="宋体"/>
                <w:sz w:val="24"/>
                <w:szCs w:val="24"/>
              </w:rPr>
              <w:t>系统功能要求</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前端子系统</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摄像机选型</w:t>
            </w:r>
          </w:p>
          <w:p>
            <w:pPr>
              <w:spacing w:line="440" w:lineRule="exact"/>
              <w:ind w:firstLine="480" w:firstLineChars="200"/>
              <w:rPr>
                <w:rFonts w:ascii="宋体" w:hAnsi="宋体" w:eastAsia="宋体"/>
                <w:sz w:val="24"/>
                <w:szCs w:val="24"/>
              </w:rPr>
            </w:pPr>
            <w:r>
              <w:rPr>
                <w:rFonts w:ascii="宋体" w:hAnsi="宋体" w:eastAsia="宋体"/>
                <w:sz w:val="24"/>
                <w:szCs w:val="24"/>
              </w:rPr>
              <w:t>1）图像质量</w:t>
            </w:r>
          </w:p>
          <w:p>
            <w:pPr>
              <w:pStyle w:val="2"/>
              <w:spacing w:line="440" w:lineRule="exact"/>
              <w:rPr>
                <w:rFonts w:ascii="宋体" w:hAnsi="宋体" w:eastAsia="宋体"/>
                <w:sz w:val="24"/>
                <w:szCs w:val="24"/>
              </w:rPr>
            </w:pPr>
            <w:r>
              <w:rPr>
                <w:rFonts w:ascii="宋体" w:hAnsi="宋体" w:eastAsia="宋体"/>
                <w:sz w:val="24"/>
                <w:szCs w:val="24"/>
              </w:rPr>
              <w:t xml:space="preserve">     具备像素≥800万；最大分辨率≥3840×2160。</w:t>
            </w:r>
          </w:p>
          <w:p>
            <w:pPr>
              <w:spacing w:line="440" w:lineRule="exact"/>
              <w:ind w:firstLine="480" w:firstLineChars="200"/>
              <w:rPr>
                <w:rFonts w:ascii="宋体" w:hAnsi="宋体" w:eastAsia="宋体"/>
                <w:sz w:val="24"/>
                <w:szCs w:val="24"/>
              </w:rPr>
            </w:pPr>
            <w:r>
              <w:rPr>
                <w:rFonts w:ascii="宋体" w:hAnsi="宋体" w:eastAsia="宋体"/>
                <w:sz w:val="24"/>
                <w:szCs w:val="24"/>
              </w:rPr>
              <w:t>2）网络适应性</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具备对于</w:t>
            </w:r>
            <w:r>
              <w:rPr>
                <w:rFonts w:ascii="宋体" w:hAnsi="宋体" w:eastAsia="宋体"/>
                <w:sz w:val="24"/>
                <w:szCs w:val="24"/>
              </w:rPr>
              <w:t>IPC应用的良好网络环境。</w:t>
            </w:r>
          </w:p>
          <w:p>
            <w:pPr>
              <w:spacing w:line="440" w:lineRule="exact"/>
              <w:ind w:firstLine="480" w:firstLineChars="200"/>
              <w:rPr>
                <w:rFonts w:ascii="宋体" w:hAnsi="宋体" w:eastAsia="宋体"/>
                <w:sz w:val="24"/>
                <w:szCs w:val="24"/>
              </w:rPr>
            </w:pPr>
            <w:r>
              <w:rPr>
                <w:rFonts w:ascii="宋体" w:hAnsi="宋体" w:eastAsia="宋体"/>
                <w:sz w:val="24"/>
                <w:szCs w:val="24"/>
              </w:rPr>
              <w:t>3）系统安装与升级</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具备</w:t>
            </w:r>
            <w:r>
              <w:rPr>
                <w:rFonts w:ascii="宋体" w:hAnsi="宋体" w:eastAsia="宋体"/>
                <w:sz w:val="24"/>
                <w:szCs w:val="24"/>
              </w:rPr>
              <w:t>IPC支持本地视频输出以方便调试；具有POE功能支持网络供电；支持远程、广域、局域网的固件升级；系统设备更换的流程及时间等因素都将是影响维护运营成本中的主要因素。</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前端监控点全部采用</w:t>
            </w:r>
            <w:r>
              <w:rPr>
                <w:rFonts w:ascii="宋体" w:hAnsi="宋体" w:eastAsia="宋体"/>
                <w:sz w:val="24"/>
                <w:szCs w:val="24"/>
              </w:rPr>
              <w:t>400万像素的高清网络智能AI球机，视频传输支持使用主流onvif和GB28181视频传输协议，符合GA/T 1400-2017《公安视频图像信息应用系统》要求，图片传输使用GA/T 1400传输协议，符合GA/T 1399-2017《公安视频图像分析系统》中的视频图像技术要求。实现24小时全天候道路实时监控。</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监控点配套</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监控杆选型</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根据监控要求及现场实际环境，选择</w:t>
            </w:r>
            <w:r>
              <w:rPr>
                <w:rFonts w:ascii="宋体" w:hAnsi="宋体" w:eastAsia="宋体"/>
                <w:sz w:val="24"/>
                <w:szCs w:val="24"/>
              </w:rPr>
              <w:t>6.5m高度的路灯杆进行抱箍横臂安装，横臂的长度1m，减少死角范围。</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室外机箱</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所有的电源、光端机、防雷器等前端辅助设备都安装在设备箱内，内部安装架的设计充分考虑设备的安装位置，同时具有防雨、防尘、防高温、防盗等功能。不便于在立杆上部安装设备箱的，在地面设置设备机柜，其设计按照相关的规范标准执行，同时具有防尘、防雨、防破坏等功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设备箱能放置光端机、光纤终端盒、供电设备及防雷接地装置等前端设备。</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箱体大小保证有充足的空间，方便设备安装和维护。</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监控标志牌</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支持各监控点立杆上设立监控区域明显标志，户外监控标志一般用扣襻固定安装在监控立杆上，监控标志下边距地面高度保持在</w:t>
            </w:r>
            <w:r>
              <w:rPr>
                <w:rFonts w:ascii="宋体" w:hAnsi="宋体" w:eastAsia="宋体"/>
                <w:sz w:val="24"/>
                <w:szCs w:val="24"/>
              </w:rPr>
              <w:t xml:space="preserve"> 2.5 </w:t>
            </w:r>
            <w:r>
              <w:rPr>
                <w:rFonts w:hint="eastAsia" w:ascii="宋体" w:hAnsi="宋体" w:eastAsia="宋体"/>
                <w:sz w:val="24"/>
                <w:szCs w:val="24"/>
              </w:rPr>
              <w:t>米以上。现场无现成立杆可以安装的，安装在建筑外墙上。监控标志图案为等边三角形，边长</w:t>
            </w:r>
            <w:r>
              <w:rPr>
                <w:rFonts w:ascii="宋体" w:hAnsi="宋体" w:eastAsia="宋体"/>
                <w:sz w:val="24"/>
                <w:szCs w:val="24"/>
              </w:rPr>
              <w:t xml:space="preserve"> 70 </w:t>
            </w:r>
            <w:r>
              <w:rPr>
                <w:rFonts w:hint="eastAsia" w:ascii="宋体" w:hAnsi="宋体" w:eastAsia="宋体"/>
                <w:sz w:val="24"/>
                <w:szCs w:val="24"/>
              </w:rPr>
              <w:t>厘米，黄底黑框黑图形。户外使用铝板加反光膜。</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前端防雷接地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具备严格执行国家的有关标准和规范，立杆防雷接地电阻≦</w:t>
            </w:r>
            <w:r>
              <w:rPr>
                <w:rFonts w:ascii="宋体" w:hAnsi="宋体" w:eastAsia="宋体"/>
                <w:sz w:val="24"/>
                <w:szCs w:val="24"/>
              </w:rPr>
              <w:t>10Ω。</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采用原路灯立杆防雷接地。</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5) </w:t>
            </w:r>
            <w:r>
              <w:rPr>
                <w:rFonts w:hint="eastAsia" w:ascii="宋体" w:hAnsi="宋体" w:eastAsia="宋体"/>
                <w:sz w:val="24"/>
                <w:szCs w:val="24"/>
              </w:rPr>
              <w:t>前端设备防雷</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支持避雷针采用不小于</w:t>
            </w:r>
            <w:r>
              <w:rPr>
                <w:rFonts w:ascii="宋体" w:hAnsi="宋体" w:eastAsia="宋体"/>
                <w:sz w:val="24"/>
                <w:szCs w:val="24"/>
              </w:rPr>
              <w:t>25mm的圆钢，并和立杆一次成型。</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在设备箱内应对电源、信号线及控制线路安装相应的防感应雷措施，型号选用合格名牌避雷器，在安装现场所有的信号线路做屏蔽等电位接地处理。</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支持前端摄像机的视频信号、控制信号、网络信号加装信号避雷器。每个监控点设备箱电源进线做好电源避雷。</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支持前端摄像机电源使用</w:t>
            </w:r>
            <w:r>
              <w:rPr>
                <w:rFonts w:ascii="宋体" w:hAnsi="宋体" w:eastAsia="宋体"/>
                <w:sz w:val="24"/>
                <w:szCs w:val="24"/>
              </w:rPr>
              <w:t>AC24V或DC12V，由变压器供电的，单相电源避雷器串联或并联在变压器前端，如直流电源传输距离大于15米，则摄像机端还应串接低压直流避雷器。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支持选用</w:t>
            </w:r>
            <w:r>
              <w:rPr>
                <w:rFonts w:ascii="宋体" w:hAnsi="宋体" w:eastAsia="宋体"/>
                <w:sz w:val="24"/>
                <w:szCs w:val="24"/>
              </w:rPr>
              <w:t>C级电源浪涌保护器，除了能够防止间接雷8/20us的能力，还具备防止直击雷10/350us的能力。</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6) </w:t>
            </w:r>
            <w:r>
              <w:rPr>
                <w:rFonts w:hint="eastAsia" w:ascii="宋体" w:hAnsi="宋体" w:eastAsia="宋体"/>
                <w:sz w:val="24"/>
                <w:szCs w:val="24"/>
              </w:rPr>
              <w:t>前端设备供电</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1）前端监控点取电方式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支持前端摄像机终端在就近的公共供电网络</w:t>
            </w:r>
            <w:r>
              <w:rPr>
                <w:rFonts w:ascii="宋体" w:hAnsi="宋体" w:eastAsia="宋体"/>
                <w:sz w:val="24"/>
                <w:szCs w:val="24"/>
              </w:rPr>
              <w:t xml:space="preserve">(如路灯供电网)取一路220V </w:t>
            </w:r>
            <w:r>
              <w:rPr>
                <w:rFonts w:hint="eastAsia" w:ascii="宋体" w:hAnsi="宋体" w:eastAsia="宋体"/>
                <w:sz w:val="24"/>
                <w:szCs w:val="24"/>
              </w:rPr>
              <w:t>市电，市电经加装自动重合闸开关（含</w:t>
            </w:r>
            <w:r>
              <w:rPr>
                <w:rFonts w:ascii="宋体" w:hAnsi="宋体" w:eastAsia="宋体"/>
                <w:sz w:val="24"/>
                <w:szCs w:val="24"/>
              </w:rPr>
              <w:t>SPD），引到设备箱使用，保证了引入部分电源线路的漏电及防雷防护。快球供电电压要求为24V/AC，功率约为30VA。</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2）室外监控专用UPS设备</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支持前端采用室外监控专用</w:t>
            </w:r>
            <w:r>
              <w:rPr>
                <w:rFonts w:ascii="宋体" w:hAnsi="宋体" w:eastAsia="宋体"/>
                <w:sz w:val="24"/>
                <w:szCs w:val="24"/>
              </w:rPr>
              <w:t>UPS,在路灯电源关闭时，监控不间断电源系统转入由电池逆变为交流电源和直流电源向监控系统供电，从而有效的保证监控系统供电的连续性，免受市电的干扰。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支持室外监控专用</w:t>
            </w:r>
            <w:r>
              <w:rPr>
                <w:rFonts w:ascii="宋体" w:hAnsi="宋体" w:eastAsia="宋体"/>
                <w:sz w:val="24"/>
                <w:szCs w:val="24"/>
              </w:rPr>
              <w:t>UPS规格要求：户外、室内适用性UPS主机。主机最大功率要求1KVA，针对道路监控设备后备12小时。要求输出稳压精度为220V+10%/24/12V组，输入电压范围为165～275Vac,频率范围50Hz+15%。输入端有超压与欠压保护功能，延长电池长时间户外工作使用寿命，内置胶体电池。</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支持室外监控专用</w:t>
            </w:r>
            <w:r>
              <w:rPr>
                <w:rFonts w:ascii="宋体" w:hAnsi="宋体" w:eastAsia="宋体"/>
                <w:sz w:val="24"/>
                <w:szCs w:val="24"/>
              </w:rPr>
              <w:t>UPS机内配备的大电流高频充电器，缩短电池补充能量的时间，提高电池的使用寿命，最大限度地满足户外工作的备用时间，保证监控系统的正常进行。</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存储子系统</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支持对球机录像保存时间为</w:t>
            </w:r>
            <w:r>
              <w:rPr>
                <w:rFonts w:ascii="宋体" w:hAnsi="宋体" w:eastAsia="宋体"/>
                <w:sz w:val="24"/>
                <w:szCs w:val="24"/>
              </w:rPr>
              <w:t>2个月，违法图片及数据存储3年。图片和视频分开存储，要求图片和录像做关联，可通平台中的违法图片查找相关录像。</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图片存储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支持抓拍图片通过四合一的方式进行合成，车辆图片信息采用</w:t>
            </w:r>
            <w:r>
              <w:rPr>
                <w:rFonts w:ascii="宋体" w:hAnsi="宋体" w:eastAsia="宋体"/>
                <w:sz w:val="24"/>
                <w:szCs w:val="24"/>
              </w:rPr>
              <w:t>JPEG编码格式，符合ISO/IEC1544：2000要求，压缩因子不高于70，输出照片文件平均大小为500K，每个点位每天产生卡口图片5000张，图片存储三年；违法图片200张，违法图片存储三年。</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视频存储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支持对违法过程短视频进行存储，根据图片关联事件短视频，并能从实时视频存储中提取相关短视频并进行存储。短视频时间为</w:t>
            </w:r>
            <w:r>
              <w:rPr>
                <w:rFonts w:ascii="宋体" w:hAnsi="宋体" w:eastAsia="宋体"/>
                <w:sz w:val="24"/>
                <w:szCs w:val="24"/>
              </w:rPr>
              <w:t>3分钟，码流为4Mbps。</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系统功能</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车辆卡口记录抓拍功能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支持覆盖</w:t>
            </w:r>
            <w:r>
              <w:rPr>
                <w:rFonts w:ascii="宋体" w:hAnsi="宋体" w:eastAsia="宋体"/>
                <w:sz w:val="24"/>
                <w:szCs w:val="24"/>
              </w:rPr>
              <w:t xml:space="preserve">5-6车道并对近端2-3条车道进行卡口抓拍。支持车辆特征识别，包括车牌识别、车身颜色识别、车型识别、车标识别、并上传到中心管理系统平台 </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车牌自动识别功能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支持自动对车辆进行跟踪放大，自动识别车牌号码。车牌自动识别功能包括车牌号码和车牌颜色的识别。</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多目标处理功能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支持对检测区域内多个违法车辆进行检测取证，支持同时处理不少于</w:t>
            </w:r>
            <w:r>
              <w:rPr>
                <w:rFonts w:ascii="宋体" w:hAnsi="宋体" w:eastAsia="宋体"/>
                <w:sz w:val="24"/>
                <w:szCs w:val="24"/>
              </w:rPr>
              <w:t>20个目标。</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手动取证功能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支持手动取证功能对违法车辆进行手动捕获抓拍，抓拍间隔可在（</w:t>
            </w:r>
            <w:r>
              <w:rPr>
                <w:rFonts w:ascii="宋体" w:hAnsi="宋体" w:eastAsia="宋体"/>
                <w:sz w:val="24"/>
                <w:szCs w:val="24"/>
              </w:rPr>
              <w:t>1-300S）范围内设置，图片类型根据实际要求配置全景/特写。</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(5) </w:t>
            </w:r>
            <w:r>
              <w:rPr>
                <w:rFonts w:hint="eastAsia" w:ascii="宋体" w:hAnsi="宋体" w:eastAsia="宋体"/>
                <w:sz w:val="24"/>
                <w:szCs w:val="24"/>
              </w:rPr>
              <w:t>超长延时抓拍</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同一预置点可根据场景需要，手动设定延时抓拍时间，支持</w:t>
            </w:r>
            <w:r>
              <w:rPr>
                <w:rFonts w:ascii="宋体" w:hAnsi="宋体" w:eastAsia="宋体"/>
                <w:sz w:val="24"/>
                <w:szCs w:val="24"/>
              </w:rPr>
              <w:t>6秒-3小时，最长时间可根据需要延长，同一时间内，能够对监视范围内20辆车辆进行跟踪抓拍，防止误抓、漏抓。</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(6) </w:t>
            </w:r>
            <w:r>
              <w:rPr>
                <w:rFonts w:hint="eastAsia" w:ascii="宋体" w:hAnsi="宋体" w:eastAsia="宋体"/>
                <w:sz w:val="24"/>
                <w:szCs w:val="24"/>
              </w:rPr>
              <w:t>多场景巡航取证</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w:t>
            </w:r>
            <w:r>
              <w:rPr>
                <w:rFonts w:ascii="宋体" w:hAnsi="宋体" w:eastAsia="宋体"/>
                <w:sz w:val="24"/>
                <w:szCs w:val="24"/>
              </w:rPr>
              <w:t>16个预置点位的自动抓拍，每个预置点场景支持10个规则区域。可根据实际情况设置巡航路径，实现一机多区域监控。</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主要设备</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网络卡口球机</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具备卡口和</w:t>
            </w:r>
            <w:r>
              <w:rPr>
                <w:rFonts w:ascii="宋体" w:hAnsi="宋体" w:eastAsia="宋体"/>
                <w:sz w:val="24"/>
                <w:szCs w:val="24"/>
              </w:rPr>
              <w:t>AI智能化功能，支持车辆特征识别，包括车牌识别、车身颜色识别、车型识别、车标识别、并上传到平台，支持人脸识别。单球机可以覆盖5-6车道并对近端2-3条车道进行卡口抓拍，抓拍距离半径达到165m（多场景）/70m（单场景）。采用红外补光灯，红外照射距离25米，支持光学透雾，具有37倍光学变倍，16倍数字变倍，支持水平方向360度连续旋转，垂直方向-30度-90度自动翻转180度后连续监视。支持H.265编码，实现超低码流传输。应该具备IP67防护等级，8000V防雷、防浪涌和防突波保护。</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终端管理设备</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支持违章图片普通合成功能、新国标合成功能，支持</w:t>
            </w:r>
            <w:r>
              <w:rPr>
                <w:rFonts w:ascii="宋体" w:hAnsi="宋体" w:eastAsia="宋体"/>
                <w:sz w:val="24"/>
                <w:szCs w:val="24"/>
              </w:rPr>
              <w:t>4路高清图片，4路高清实时录像，支持2个3.5硬盘，具备100M交换网口，支持支持按时间、通道、违章类型、车牌、车速、车道查询的车辆查询，支持黑白名单文件导入导出，支持按照车牌模糊查询，工作温度为零下30度至70度。</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室外</w:t>
            </w:r>
            <w:r>
              <w:rPr>
                <w:rFonts w:ascii="宋体" w:hAnsi="宋体" w:eastAsia="宋体"/>
                <w:sz w:val="24"/>
                <w:szCs w:val="24"/>
              </w:rPr>
              <w:t>UPS</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支持各功能部件应该采用模块化设计，方便安装与维护，使用铅酸蓄电池，容量至少</w:t>
            </w:r>
            <w:r>
              <w:rPr>
                <w:rFonts w:ascii="宋体" w:hAnsi="宋体" w:eastAsia="宋体"/>
                <w:sz w:val="24"/>
                <w:szCs w:val="24"/>
              </w:rPr>
              <w:t xml:space="preserve">1KVA/0.8KW，输出0.8PF，交流输入电压范围115±5Vac至295 </w:t>
            </w:r>
            <w:r>
              <w:rPr>
                <w:rFonts w:hint="eastAsia" w:ascii="宋体" w:hAnsi="宋体" w:eastAsia="宋体"/>
                <w:sz w:val="24"/>
                <w:szCs w:val="24"/>
              </w:rPr>
              <w:t>±</w:t>
            </w:r>
            <w:r>
              <w:rPr>
                <w:rFonts w:ascii="宋体" w:hAnsi="宋体" w:eastAsia="宋体"/>
                <w:sz w:val="24"/>
                <w:szCs w:val="24"/>
              </w:rPr>
              <w:t xml:space="preserve">5Vac，输出电压220（1±1% </w:t>
            </w:r>
            <w:r>
              <w:rPr>
                <w:rFonts w:hint="eastAsia" w:ascii="宋体" w:hAnsi="宋体" w:eastAsia="宋体"/>
                <w:sz w:val="24"/>
                <w:szCs w:val="24"/>
              </w:rPr>
              <w:t>）</w:t>
            </w:r>
            <w:r>
              <w:rPr>
                <w:rFonts w:ascii="宋体" w:hAnsi="宋体" w:eastAsia="宋体"/>
                <w:sz w:val="24"/>
                <w:szCs w:val="24"/>
              </w:rPr>
              <w:t>Vac，输出波形为标准正弦波。具备冷启动，自动重启功能，具备维修旁路功能，具有市电电压过高/过低、输出电压过高/过低、过载；短路、逆变器温度过高、电池低压、电池过充电、浪涌、防雷击等保护功能。IP防护等级为室外IP55。</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 xml:space="preserve"> </w:t>
            </w:r>
            <w:r>
              <w:rPr>
                <w:rFonts w:hint="eastAsia" w:ascii="宋体" w:hAnsi="宋体" w:eastAsia="宋体"/>
                <w:sz w:val="24"/>
                <w:szCs w:val="24"/>
              </w:rPr>
              <w:t>移动式卡点视频监控部署位置</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移动式卡点视频监控部署的位置是在扬尘治理案件频发路段，且该路段没有公安、交警和综治的视频监控，本期项目考察了</w:t>
            </w:r>
            <w:r>
              <w:rPr>
                <w:rFonts w:ascii="宋体" w:hAnsi="宋体" w:eastAsia="宋体"/>
                <w:sz w:val="24"/>
                <w:szCs w:val="24"/>
              </w:rPr>
              <w:t>32个部署位置，作为建议部署移动式卡点视频监控的参考，最终点位以采购方选定为准。</w:t>
            </w:r>
          </w:p>
          <w:p>
            <w:pPr>
              <w:spacing w:line="440" w:lineRule="exact"/>
              <w:ind w:firstLine="480" w:firstLineChars="200"/>
              <w:rPr>
                <w:rFonts w:ascii="宋体" w:hAnsi="宋体" w:eastAsia="宋体"/>
                <w:sz w:val="24"/>
                <w:szCs w:val="24"/>
              </w:rPr>
            </w:pPr>
            <w:r>
              <w:rPr>
                <w:rFonts w:ascii="宋体" w:hAnsi="宋体" w:eastAsia="宋体"/>
                <w:sz w:val="24"/>
                <w:szCs w:val="24"/>
              </w:rPr>
              <w:t>32个部署位置的定点位置、X坐标、Y坐标如下：</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1）北部湾科技园1号国凯大道交叉路口</w:t>
            </w:r>
            <w:r>
              <w:rPr>
                <w:rFonts w:ascii="宋体" w:hAnsi="宋体" w:eastAsia="宋体"/>
                <w:sz w:val="24"/>
                <w:szCs w:val="24"/>
              </w:rPr>
              <w:tab/>
            </w:r>
            <w:r>
              <w:rPr>
                <w:rFonts w:ascii="宋体" w:hAnsi="宋体" w:eastAsia="宋体"/>
                <w:sz w:val="24"/>
                <w:szCs w:val="24"/>
              </w:rPr>
              <w:t>108.30551</w:t>
            </w:r>
            <w:r>
              <w:rPr>
                <w:rFonts w:ascii="宋体" w:hAnsi="宋体" w:eastAsia="宋体"/>
                <w:sz w:val="24"/>
                <w:szCs w:val="24"/>
              </w:rPr>
              <w:tab/>
            </w:r>
            <w:r>
              <w:rPr>
                <w:rFonts w:ascii="宋体" w:hAnsi="宋体" w:eastAsia="宋体"/>
                <w:sz w:val="24"/>
                <w:szCs w:val="24"/>
              </w:rPr>
              <w:t>22.756402</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2）国凯二支路高岭路口</w:t>
            </w:r>
            <w:r>
              <w:rPr>
                <w:rFonts w:ascii="宋体" w:hAnsi="宋体" w:eastAsia="宋体"/>
                <w:sz w:val="24"/>
                <w:szCs w:val="24"/>
              </w:rPr>
              <w:tab/>
            </w:r>
            <w:r>
              <w:rPr>
                <w:rFonts w:ascii="宋体" w:hAnsi="宋体" w:eastAsia="宋体"/>
                <w:sz w:val="24"/>
                <w:szCs w:val="24"/>
              </w:rPr>
              <w:t>108.3</w:t>
            </w:r>
            <w:r>
              <w:rPr>
                <w:rFonts w:ascii="宋体" w:hAnsi="宋体" w:eastAsia="宋体"/>
                <w:sz w:val="24"/>
                <w:szCs w:val="24"/>
              </w:rPr>
              <w:tab/>
            </w:r>
            <w:r>
              <w:rPr>
                <w:rFonts w:ascii="宋体" w:hAnsi="宋体" w:eastAsia="宋体"/>
                <w:sz w:val="24"/>
                <w:szCs w:val="24"/>
              </w:rPr>
              <w:t>22.751307</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3）江南大道宏德路口</w:t>
            </w:r>
            <w:r>
              <w:rPr>
                <w:rFonts w:ascii="宋体" w:hAnsi="宋体" w:eastAsia="宋体"/>
                <w:sz w:val="24"/>
                <w:szCs w:val="24"/>
              </w:rPr>
              <w:tab/>
            </w:r>
            <w:r>
              <w:rPr>
                <w:rFonts w:ascii="宋体" w:hAnsi="宋体" w:eastAsia="宋体"/>
                <w:sz w:val="24"/>
                <w:szCs w:val="24"/>
              </w:rPr>
              <w:t>108.271682</w:t>
            </w:r>
            <w:r>
              <w:rPr>
                <w:rFonts w:ascii="宋体" w:hAnsi="宋体" w:eastAsia="宋体"/>
                <w:sz w:val="24"/>
                <w:szCs w:val="24"/>
              </w:rPr>
              <w:tab/>
            </w:r>
            <w:r>
              <w:rPr>
                <w:rFonts w:ascii="宋体" w:hAnsi="宋体" w:eastAsia="宋体"/>
                <w:sz w:val="24"/>
                <w:szCs w:val="24"/>
              </w:rPr>
              <w:t>22.812904</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4）提园路</w:t>
            </w:r>
            <w:r>
              <w:rPr>
                <w:rFonts w:ascii="宋体" w:hAnsi="宋体" w:eastAsia="宋体"/>
                <w:sz w:val="24"/>
                <w:szCs w:val="24"/>
              </w:rPr>
              <w:tab/>
            </w:r>
            <w:r>
              <w:rPr>
                <w:rFonts w:ascii="宋体" w:hAnsi="宋体" w:eastAsia="宋体"/>
                <w:sz w:val="24"/>
                <w:szCs w:val="24"/>
              </w:rPr>
              <w:t>108.206448</w:t>
            </w:r>
            <w:r>
              <w:rPr>
                <w:rFonts w:ascii="宋体" w:hAnsi="宋体" w:eastAsia="宋体"/>
                <w:sz w:val="24"/>
                <w:szCs w:val="24"/>
              </w:rPr>
              <w:tab/>
            </w:r>
            <w:r>
              <w:rPr>
                <w:rFonts w:ascii="宋体" w:hAnsi="宋体" w:eastAsia="宋体"/>
                <w:sz w:val="24"/>
                <w:szCs w:val="24"/>
              </w:rPr>
              <w:t>22.771641</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5）亭洪路南建路口</w:t>
            </w:r>
            <w:r>
              <w:rPr>
                <w:rFonts w:ascii="宋体" w:hAnsi="宋体" w:eastAsia="宋体"/>
                <w:sz w:val="24"/>
                <w:szCs w:val="24"/>
              </w:rPr>
              <w:tab/>
            </w:r>
            <w:r>
              <w:rPr>
                <w:rFonts w:ascii="宋体" w:hAnsi="宋体" w:eastAsia="宋体"/>
                <w:sz w:val="24"/>
                <w:szCs w:val="24"/>
              </w:rPr>
              <w:t>108.289217</w:t>
            </w:r>
            <w:r>
              <w:rPr>
                <w:rFonts w:ascii="宋体" w:hAnsi="宋体" w:eastAsia="宋体"/>
                <w:sz w:val="24"/>
                <w:szCs w:val="24"/>
              </w:rPr>
              <w:tab/>
            </w:r>
            <w:r>
              <w:rPr>
                <w:rFonts w:ascii="宋体" w:hAnsi="宋体" w:eastAsia="宋体"/>
                <w:sz w:val="24"/>
                <w:szCs w:val="24"/>
              </w:rPr>
              <w:t>22.790651</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6）五象大道龙岗大道交叉路口</w:t>
            </w:r>
            <w:r>
              <w:rPr>
                <w:rFonts w:ascii="宋体" w:hAnsi="宋体" w:eastAsia="宋体"/>
                <w:sz w:val="24"/>
                <w:szCs w:val="24"/>
              </w:rPr>
              <w:tab/>
            </w:r>
            <w:r>
              <w:rPr>
                <w:rFonts w:ascii="宋体" w:hAnsi="宋体" w:eastAsia="宋体"/>
                <w:sz w:val="24"/>
                <w:szCs w:val="24"/>
              </w:rPr>
              <w:t>108.459391</w:t>
            </w:r>
            <w:r>
              <w:rPr>
                <w:rFonts w:ascii="宋体" w:hAnsi="宋体" w:eastAsia="宋体"/>
                <w:sz w:val="24"/>
                <w:szCs w:val="24"/>
              </w:rPr>
              <w:tab/>
            </w:r>
            <w:r>
              <w:rPr>
                <w:rFonts w:ascii="宋体" w:hAnsi="宋体" w:eastAsia="宋体"/>
                <w:sz w:val="24"/>
                <w:szCs w:val="24"/>
              </w:rPr>
              <w:t>22.762676</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7）银海大道光山路口</w:t>
            </w:r>
            <w:r>
              <w:rPr>
                <w:rFonts w:ascii="宋体" w:hAnsi="宋体" w:eastAsia="宋体"/>
                <w:sz w:val="24"/>
                <w:szCs w:val="24"/>
              </w:rPr>
              <w:tab/>
            </w:r>
            <w:r>
              <w:rPr>
                <w:rFonts w:ascii="宋体" w:hAnsi="宋体" w:eastAsia="宋体"/>
                <w:sz w:val="24"/>
                <w:szCs w:val="24"/>
              </w:rPr>
              <w:t>108.341974</w:t>
            </w:r>
            <w:r>
              <w:rPr>
                <w:rFonts w:ascii="宋体" w:hAnsi="宋体" w:eastAsia="宋体"/>
                <w:sz w:val="24"/>
                <w:szCs w:val="24"/>
              </w:rPr>
              <w:tab/>
            </w:r>
            <w:r>
              <w:rPr>
                <w:rFonts w:ascii="宋体" w:hAnsi="宋体" w:eastAsia="宋体"/>
                <w:sz w:val="24"/>
                <w:szCs w:val="24"/>
              </w:rPr>
              <w:t>22.715196</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8）凤凰路与东风路交叉路</w:t>
            </w:r>
            <w:r>
              <w:rPr>
                <w:rFonts w:ascii="宋体" w:hAnsi="宋体" w:eastAsia="宋体"/>
                <w:sz w:val="24"/>
                <w:szCs w:val="24"/>
              </w:rPr>
              <w:tab/>
            </w:r>
            <w:r>
              <w:rPr>
                <w:rFonts w:ascii="宋体" w:hAnsi="宋体" w:eastAsia="宋体"/>
                <w:sz w:val="24"/>
                <w:szCs w:val="24"/>
              </w:rPr>
              <w:t>108.345684</w:t>
            </w:r>
            <w:r>
              <w:rPr>
                <w:rFonts w:ascii="宋体" w:hAnsi="宋体" w:eastAsia="宋体"/>
                <w:sz w:val="24"/>
                <w:szCs w:val="24"/>
              </w:rPr>
              <w:tab/>
            </w:r>
            <w:r>
              <w:rPr>
                <w:rFonts w:ascii="宋体" w:hAnsi="宋体" w:eastAsia="宋体"/>
                <w:sz w:val="24"/>
                <w:szCs w:val="24"/>
              </w:rPr>
              <w:t>22.731245</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9）平乐大道与凤凰路口</w:t>
            </w:r>
            <w:r>
              <w:rPr>
                <w:rFonts w:ascii="宋体" w:hAnsi="宋体" w:eastAsia="宋体"/>
                <w:sz w:val="24"/>
                <w:szCs w:val="24"/>
              </w:rPr>
              <w:tab/>
            </w:r>
            <w:r>
              <w:rPr>
                <w:rFonts w:ascii="宋体" w:hAnsi="宋体" w:eastAsia="宋体"/>
                <w:sz w:val="24"/>
                <w:szCs w:val="24"/>
              </w:rPr>
              <w:t>108.379629</w:t>
            </w:r>
            <w:r>
              <w:rPr>
                <w:rFonts w:ascii="宋体" w:hAnsi="宋体" w:eastAsia="宋体"/>
                <w:sz w:val="24"/>
                <w:szCs w:val="24"/>
              </w:rPr>
              <w:tab/>
            </w:r>
            <w:r>
              <w:rPr>
                <w:rFonts w:ascii="宋体" w:hAnsi="宋体" w:eastAsia="宋体"/>
                <w:sz w:val="24"/>
                <w:szCs w:val="24"/>
              </w:rPr>
              <w:t>22.735322</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10）101省道与022县道交叉路口</w:t>
            </w:r>
            <w:r>
              <w:rPr>
                <w:rFonts w:ascii="宋体" w:hAnsi="宋体" w:eastAsia="宋体"/>
                <w:sz w:val="24"/>
                <w:szCs w:val="24"/>
              </w:rPr>
              <w:tab/>
            </w:r>
            <w:r>
              <w:rPr>
                <w:rFonts w:ascii="宋体" w:hAnsi="宋体" w:eastAsia="宋体"/>
                <w:sz w:val="24"/>
                <w:szCs w:val="24"/>
              </w:rPr>
              <w:t>108.522345</w:t>
            </w:r>
            <w:r>
              <w:rPr>
                <w:rFonts w:ascii="宋体" w:hAnsi="宋体" w:eastAsia="宋体"/>
                <w:sz w:val="24"/>
                <w:szCs w:val="24"/>
              </w:rPr>
              <w:tab/>
            </w:r>
            <w:r>
              <w:rPr>
                <w:rFonts w:ascii="宋体" w:hAnsi="宋体" w:eastAsia="宋体"/>
                <w:sz w:val="24"/>
                <w:szCs w:val="24"/>
              </w:rPr>
              <w:t>22.737945</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11）龙岗大道新邕路交叉路口</w:t>
            </w:r>
            <w:r>
              <w:rPr>
                <w:rFonts w:ascii="宋体" w:hAnsi="宋体" w:eastAsia="宋体"/>
                <w:sz w:val="24"/>
                <w:szCs w:val="24"/>
              </w:rPr>
              <w:tab/>
            </w:r>
            <w:r>
              <w:rPr>
                <w:rFonts w:ascii="宋体" w:hAnsi="宋体" w:eastAsia="宋体"/>
                <w:sz w:val="24"/>
                <w:szCs w:val="24"/>
              </w:rPr>
              <w:t>108.466338</w:t>
            </w:r>
            <w:r>
              <w:rPr>
                <w:rFonts w:ascii="宋体" w:hAnsi="宋体" w:eastAsia="宋体"/>
                <w:sz w:val="24"/>
                <w:szCs w:val="24"/>
              </w:rPr>
              <w:tab/>
            </w:r>
            <w:r>
              <w:rPr>
                <w:rFonts w:ascii="宋体" w:hAnsi="宋体" w:eastAsia="宋体"/>
                <w:sz w:val="24"/>
                <w:szCs w:val="24"/>
              </w:rPr>
              <w:t>22.778145</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12）长虹东屯里西路口</w:t>
            </w:r>
            <w:r>
              <w:rPr>
                <w:rFonts w:ascii="宋体" w:hAnsi="宋体" w:eastAsia="宋体"/>
                <w:sz w:val="24"/>
                <w:szCs w:val="24"/>
              </w:rPr>
              <w:tab/>
            </w:r>
            <w:r>
              <w:rPr>
                <w:rFonts w:ascii="宋体" w:hAnsi="宋体" w:eastAsia="宋体"/>
                <w:sz w:val="24"/>
                <w:szCs w:val="24"/>
              </w:rPr>
              <w:t>108.425884</w:t>
            </w:r>
            <w:r>
              <w:rPr>
                <w:rFonts w:ascii="宋体" w:hAnsi="宋体" w:eastAsia="宋体"/>
                <w:sz w:val="24"/>
                <w:szCs w:val="24"/>
              </w:rPr>
              <w:tab/>
            </w:r>
            <w:r>
              <w:rPr>
                <w:rFonts w:ascii="宋体" w:hAnsi="宋体" w:eastAsia="宋体"/>
                <w:sz w:val="24"/>
                <w:szCs w:val="24"/>
              </w:rPr>
              <w:t>22.850424</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13）五合029县道路口</w:t>
            </w:r>
            <w:r>
              <w:rPr>
                <w:rFonts w:ascii="宋体" w:hAnsi="宋体" w:eastAsia="宋体"/>
                <w:sz w:val="24"/>
                <w:szCs w:val="24"/>
              </w:rPr>
              <w:tab/>
            </w:r>
            <w:r>
              <w:rPr>
                <w:rFonts w:ascii="宋体" w:hAnsi="宋体" w:eastAsia="宋体"/>
                <w:sz w:val="24"/>
                <w:szCs w:val="24"/>
              </w:rPr>
              <w:t>108.520374</w:t>
            </w:r>
            <w:r>
              <w:rPr>
                <w:rFonts w:ascii="宋体" w:hAnsi="宋体" w:eastAsia="宋体"/>
                <w:sz w:val="24"/>
                <w:szCs w:val="24"/>
              </w:rPr>
              <w:tab/>
            </w:r>
            <w:r>
              <w:rPr>
                <w:rFonts w:ascii="宋体" w:hAnsi="宋体" w:eastAsia="宋体"/>
                <w:sz w:val="24"/>
                <w:szCs w:val="24"/>
              </w:rPr>
              <w:t>22.800539</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14）三塘凤凰谷路口</w:t>
            </w:r>
            <w:r>
              <w:rPr>
                <w:rFonts w:ascii="宋体" w:hAnsi="宋体" w:eastAsia="宋体"/>
                <w:sz w:val="24"/>
                <w:szCs w:val="24"/>
              </w:rPr>
              <w:tab/>
            </w:r>
            <w:r>
              <w:rPr>
                <w:rFonts w:ascii="宋体" w:hAnsi="宋体" w:eastAsia="宋体"/>
                <w:sz w:val="24"/>
                <w:szCs w:val="24"/>
              </w:rPr>
              <w:t>108.482257</w:t>
            </w:r>
            <w:r>
              <w:rPr>
                <w:rFonts w:ascii="宋体" w:hAnsi="宋体" w:eastAsia="宋体"/>
                <w:sz w:val="24"/>
                <w:szCs w:val="24"/>
              </w:rPr>
              <w:tab/>
            </w:r>
            <w:r>
              <w:rPr>
                <w:rFonts w:ascii="宋体" w:hAnsi="宋体" w:eastAsia="宋体"/>
                <w:sz w:val="24"/>
                <w:szCs w:val="24"/>
              </w:rPr>
              <w:t>22.916865</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15）昆仑大道松柏路口</w:t>
            </w:r>
            <w:r>
              <w:rPr>
                <w:rFonts w:ascii="宋体" w:hAnsi="宋体" w:eastAsia="宋体"/>
                <w:sz w:val="24"/>
                <w:szCs w:val="24"/>
              </w:rPr>
              <w:tab/>
            </w:r>
            <w:r>
              <w:rPr>
                <w:rFonts w:ascii="宋体" w:hAnsi="宋体" w:eastAsia="宋体"/>
                <w:sz w:val="24"/>
                <w:szCs w:val="24"/>
              </w:rPr>
              <w:t>108.425884</w:t>
            </w:r>
            <w:r>
              <w:rPr>
                <w:rFonts w:ascii="宋体" w:hAnsi="宋体" w:eastAsia="宋体"/>
                <w:sz w:val="24"/>
                <w:szCs w:val="24"/>
              </w:rPr>
              <w:tab/>
            </w:r>
            <w:r>
              <w:rPr>
                <w:rFonts w:ascii="宋体" w:hAnsi="宋体" w:eastAsia="宋体"/>
                <w:sz w:val="24"/>
                <w:szCs w:val="24"/>
              </w:rPr>
              <w:t>22.850424</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16）仙葫大道中（上州村）</w:t>
            </w:r>
            <w:r>
              <w:rPr>
                <w:rFonts w:ascii="宋体" w:hAnsi="宋体" w:eastAsia="宋体"/>
                <w:sz w:val="24"/>
                <w:szCs w:val="24"/>
              </w:rPr>
              <w:tab/>
            </w:r>
            <w:r>
              <w:rPr>
                <w:rFonts w:ascii="宋体" w:hAnsi="宋体" w:eastAsia="宋体"/>
                <w:sz w:val="24"/>
                <w:szCs w:val="24"/>
              </w:rPr>
              <w:t>108.520374</w:t>
            </w:r>
            <w:r>
              <w:rPr>
                <w:rFonts w:ascii="宋体" w:hAnsi="宋体" w:eastAsia="宋体"/>
                <w:sz w:val="24"/>
                <w:szCs w:val="24"/>
              </w:rPr>
              <w:tab/>
            </w:r>
            <w:r>
              <w:rPr>
                <w:rFonts w:ascii="宋体" w:hAnsi="宋体" w:eastAsia="宋体"/>
                <w:sz w:val="24"/>
                <w:szCs w:val="24"/>
              </w:rPr>
              <w:t>22.800539</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17）凤岭南路中</w:t>
            </w:r>
            <w:r>
              <w:rPr>
                <w:rFonts w:ascii="宋体" w:hAnsi="宋体" w:eastAsia="宋体"/>
                <w:sz w:val="24"/>
                <w:szCs w:val="24"/>
              </w:rPr>
              <w:tab/>
            </w:r>
            <w:r>
              <w:rPr>
                <w:rFonts w:ascii="宋体" w:hAnsi="宋体" w:eastAsia="宋体"/>
                <w:sz w:val="24"/>
                <w:szCs w:val="24"/>
              </w:rPr>
              <w:t>108.439954</w:t>
            </w:r>
            <w:r>
              <w:rPr>
                <w:rFonts w:ascii="宋体" w:hAnsi="宋体" w:eastAsia="宋体"/>
                <w:sz w:val="24"/>
                <w:szCs w:val="24"/>
              </w:rPr>
              <w:tab/>
            </w:r>
            <w:r>
              <w:rPr>
                <w:rFonts w:ascii="宋体" w:hAnsi="宋体" w:eastAsia="宋体"/>
                <w:sz w:val="24"/>
                <w:szCs w:val="24"/>
              </w:rPr>
              <w:t>22.797105</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18）仙湖大道和长福路口</w:t>
            </w:r>
            <w:r>
              <w:rPr>
                <w:rFonts w:ascii="宋体" w:hAnsi="宋体" w:eastAsia="宋体"/>
                <w:sz w:val="24"/>
                <w:szCs w:val="24"/>
              </w:rPr>
              <w:tab/>
            </w:r>
            <w:r>
              <w:rPr>
                <w:rFonts w:ascii="宋体" w:hAnsi="宋体" w:eastAsia="宋体"/>
                <w:sz w:val="24"/>
                <w:szCs w:val="24"/>
              </w:rPr>
              <w:t>108.459348</w:t>
            </w:r>
            <w:r>
              <w:rPr>
                <w:rFonts w:ascii="宋体" w:hAnsi="宋体" w:eastAsia="宋体"/>
                <w:sz w:val="24"/>
                <w:szCs w:val="24"/>
              </w:rPr>
              <w:tab/>
            </w:r>
            <w:r>
              <w:rPr>
                <w:rFonts w:ascii="宋体" w:hAnsi="宋体" w:eastAsia="宋体"/>
                <w:sz w:val="24"/>
                <w:szCs w:val="24"/>
              </w:rPr>
              <w:t>22.810042</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19）安吉大道和安园西路口</w:t>
            </w:r>
            <w:r>
              <w:rPr>
                <w:rFonts w:ascii="宋体" w:hAnsi="宋体" w:eastAsia="宋体"/>
                <w:sz w:val="24"/>
                <w:szCs w:val="24"/>
              </w:rPr>
              <w:tab/>
            </w:r>
            <w:r>
              <w:rPr>
                <w:rFonts w:ascii="宋体" w:hAnsi="宋体" w:eastAsia="宋体"/>
                <w:sz w:val="24"/>
                <w:szCs w:val="24"/>
              </w:rPr>
              <w:t>108.293381</w:t>
            </w:r>
            <w:r>
              <w:rPr>
                <w:rFonts w:ascii="宋体" w:hAnsi="宋体" w:eastAsia="宋体"/>
                <w:sz w:val="24"/>
                <w:szCs w:val="24"/>
              </w:rPr>
              <w:tab/>
            </w:r>
            <w:r>
              <w:rPr>
                <w:rFonts w:ascii="宋体" w:hAnsi="宋体" w:eastAsia="宋体"/>
                <w:sz w:val="24"/>
                <w:szCs w:val="24"/>
              </w:rPr>
              <w:t>22.878092</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20）江北大道和美丽南方路口</w:t>
            </w:r>
            <w:r>
              <w:rPr>
                <w:rFonts w:ascii="宋体" w:hAnsi="宋体" w:eastAsia="宋体"/>
                <w:sz w:val="24"/>
                <w:szCs w:val="24"/>
              </w:rPr>
              <w:tab/>
            </w:r>
            <w:r>
              <w:rPr>
                <w:rFonts w:ascii="宋体" w:hAnsi="宋体" w:eastAsia="宋体"/>
                <w:sz w:val="24"/>
                <w:szCs w:val="24"/>
              </w:rPr>
              <w:t>108.184765</w:t>
            </w:r>
            <w:r>
              <w:rPr>
                <w:rFonts w:ascii="宋体" w:hAnsi="宋体" w:eastAsia="宋体"/>
                <w:sz w:val="24"/>
                <w:szCs w:val="24"/>
              </w:rPr>
              <w:tab/>
            </w:r>
            <w:r>
              <w:rPr>
                <w:rFonts w:ascii="宋体" w:hAnsi="宋体" w:eastAsia="宋体"/>
                <w:sz w:val="24"/>
                <w:szCs w:val="24"/>
              </w:rPr>
              <w:t>22.818522</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21）西明大桥（北面）路口</w:t>
            </w:r>
            <w:r>
              <w:rPr>
                <w:rFonts w:ascii="宋体" w:hAnsi="宋体" w:eastAsia="宋体"/>
                <w:sz w:val="24"/>
                <w:szCs w:val="24"/>
              </w:rPr>
              <w:tab/>
            </w:r>
            <w:r>
              <w:rPr>
                <w:rFonts w:ascii="宋体" w:hAnsi="宋体" w:eastAsia="宋体"/>
                <w:sz w:val="24"/>
                <w:szCs w:val="24"/>
              </w:rPr>
              <w:t>108.184266</w:t>
            </w:r>
            <w:r>
              <w:rPr>
                <w:rFonts w:ascii="宋体" w:hAnsi="宋体" w:eastAsia="宋体"/>
                <w:sz w:val="24"/>
                <w:szCs w:val="24"/>
              </w:rPr>
              <w:tab/>
            </w:r>
            <w:r>
              <w:rPr>
                <w:rFonts w:ascii="宋体" w:hAnsi="宋体" w:eastAsia="宋体"/>
                <w:sz w:val="24"/>
                <w:szCs w:val="24"/>
              </w:rPr>
              <w:t>22.818791</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22）三津路和罗文大道路口</w:t>
            </w:r>
            <w:r>
              <w:rPr>
                <w:rFonts w:ascii="宋体" w:hAnsi="宋体" w:eastAsia="宋体"/>
                <w:sz w:val="24"/>
                <w:szCs w:val="24"/>
              </w:rPr>
              <w:tab/>
            </w:r>
            <w:r>
              <w:rPr>
                <w:rFonts w:ascii="宋体" w:hAnsi="宋体" w:eastAsia="宋体"/>
                <w:sz w:val="24"/>
                <w:szCs w:val="24"/>
              </w:rPr>
              <w:t>108.215552</w:t>
            </w:r>
            <w:r>
              <w:rPr>
                <w:rFonts w:ascii="宋体" w:hAnsi="宋体" w:eastAsia="宋体"/>
                <w:sz w:val="24"/>
                <w:szCs w:val="24"/>
              </w:rPr>
              <w:tab/>
            </w:r>
            <w:r>
              <w:rPr>
                <w:rFonts w:ascii="宋体" w:hAnsi="宋体" w:eastAsia="宋体"/>
                <w:sz w:val="24"/>
                <w:szCs w:val="24"/>
              </w:rPr>
              <w:t>22.817708</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23）江北大道路口</w:t>
            </w:r>
            <w:r>
              <w:rPr>
                <w:rFonts w:ascii="宋体" w:hAnsi="宋体" w:eastAsia="宋体"/>
                <w:sz w:val="24"/>
                <w:szCs w:val="24"/>
              </w:rPr>
              <w:tab/>
            </w:r>
            <w:r>
              <w:rPr>
                <w:rFonts w:ascii="宋体" w:hAnsi="宋体" w:eastAsia="宋体"/>
                <w:sz w:val="24"/>
                <w:szCs w:val="24"/>
              </w:rPr>
              <w:t>108.186315</w:t>
            </w:r>
            <w:r>
              <w:rPr>
                <w:rFonts w:ascii="宋体" w:hAnsi="宋体" w:eastAsia="宋体"/>
                <w:sz w:val="24"/>
                <w:szCs w:val="24"/>
              </w:rPr>
              <w:tab/>
            </w:r>
            <w:r>
              <w:rPr>
                <w:rFonts w:ascii="宋体" w:hAnsi="宋体" w:eastAsia="宋体"/>
                <w:sz w:val="24"/>
                <w:szCs w:val="24"/>
              </w:rPr>
              <w:t>22.823011</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24）乡思路西路和罗文大道路口</w:t>
            </w:r>
            <w:r>
              <w:rPr>
                <w:rFonts w:ascii="宋体" w:hAnsi="宋体" w:eastAsia="宋体"/>
                <w:sz w:val="24"/>
                <w:szCs w:val="24"/>
              </w:rPr>
              <w:tab/>
            </w:r>
            <w:r>
              <w:rPr>
                <w:rFonts w:ascii="宋体" w:hAnsi="宋体" w:eastAsia="宋体"/>
                <w:sz w:val="24"/>
                <w:szCs w:val="24"/>
              </w:rPr>
              <w:t>108.233703</w:t>
            </w:r>
            <w:r>
              <w:rPr>
                <w:rFonts w:ascii="宋体" w:hAnsi="宋体" w:eastAsia="宋体"/>
                <w:sz w:val="24"/>
                <w:szCs w:val="24"/>
              </w:rPr>
              <w:tab/>
            </w:r>
            <w:r>
              <w:rPr>
                <w:rFonts w:ascii="宋体" w:hAnsi="宋体" w:eastAsia="宋体"/>
                <w:sz w:val="24"/>
                <w:szCs w:val="24"/>
              </w:rPr>
              <w:t>22.86107</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25）邕隆路和大学西路路口</w:t>
            </w:r>
            <w:r>
              <w:rPr>
                <w:rFonts w:ascii="宋体" w:hAnsi="宋体" w:eastAsia="宋体"/>
                <w:sz w:val="24"/>
                <w:szCs w:val="24"/>
              </w:rPr>
              <w:tab/>
            </w:r>
            <w:r>
              <w:rPr>
                <w:rFonts w:ascii="宋体" w:hAnsi="宋体" w:eastAsia="宋体"/>
                <w:sz w:val="24"/>
                <w:szCs w:val="24"/>
              </w:rPr>
              <w:t>108.209759</w:t>
            </w:r>
            <w:r>
              <w:rPr>
                <w:rFonts w:ascii="宋体" w:hAnsi="宋体" w:eastAsia="宋体"/>
                <w:sz w:val="24"/>
                <w:szCs w:val="24"/>
              </w:rPr>
              <w:tab/>
            </w:r>
            <w:r>
              <w:rPr>
                <w:rFonts w:ascii="宋体" w:hAnsi="宋体" w:eastAsia="宋体"/>
                <w:sz w:val="24"/>
                <w:szCs w:val="24"/>
              </w:rPr>
              <w:t>22.836001</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26）大学西路和罗文大道路口</w:t>
            </w:r>
            <w:r>
              <w:rPr>
                <w:rFonts w:ascii="宋体" w:hAnsi="宋体" w:eastAsia="宋体"/>
                <w:sz w:val="24"/>
                <w:szCs w:val="24"/>
              </w:rPr>
              <w:tab/>
            </w:r>
            <w:r>
              <w:rPr>
                <w:rFonts w:ascii="宋体" w:hAnsi="宋体" w:eastAsia="宋体"/>
                <w:sz w:val="24"/>
                <w:szCs w:val="24"/>
              </w:rPr>
              <w:t>108.172232</w:t>
            </w:r>
            <w:r>
              <w:rPr>
                <w:rFonts w:ascii="宋体" w:hAnsi="宋体" w:eastAsia="宋体"/>
                <w:sz w:val="24"/>
                <w:szCs w:val="24"/>
              </w:rPr>
              <w:tab/>
            </w:r>
            <w:r>
              <w:rPr>
                <w:rFonts w:ascii="宋体" w:hAnsi="宋体" w:eastAsia="宋体"/>
                <w:sz w:val="24"/>
                <w:szCs w:val="24"/>
              </w:rPr>
              <w:t>22.828279</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27）北湖安园东路口</w:t>
            </w:r>
            <w:r>
              <w:rPr>
                <w:rFonts w:ascii="宋体" w:hAnsi="宋体" w:eastAsia="宋体"/>
                <w:sz w:val="24"/>
                <w:szCs w:val="24"/>
              </w:rPr>
              <w:tab/>
            </w:r>
            <w:r>
              <w:rPr>
                <w:rFonts w:ascii="宋体" w:hAnsi="宋体" w:eastAsia="宋体"/>
                <w:sz w:val="24"/>
                <w:szCs w:val="24"/>
              </w:rPr>
              <w:t>108.414356</w:t>
            </w:r>
            <w:r>
              <w:rPr>
                <w:rFonts w:ascii="宋体" w:hAnsi="宋体" w:eastAsia="宋体"/>
                <w:sz w:val="24"/>
                <w:szCs w:val="24"/>
              </w:rPr>
              <w:tab/>
            </w:r>
            <w:r>
              <w:rPr>
                <w:rFonts w:ascii="宋体" w:hAnsi="宋体" w:eastAsia="宋体"/>
                <w:sz w:val="24"/>
                <w:szCs w:val="24"/>
              </w:rPr>
              <w:t>22.849118</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28）长虹翠竹路口</w:t>
            </w:r>
            <w:r>
              <w:rPr>
                <w:rFonts w:ascii="宋体" w:hAnsi="宋体" w:eastAsia="宋体"/>
                <w:sz w:val="24"/>
                <w:szCs w:val="24"/>
              </w:rPr>
              <w:tab/>
            </w:r>
            <w:r>
              <w:rPr>
                <w:rFonts w:ascii="宋体" w:hAnsi="宋体" w:eastAsia="宋体"/>
                <w:sz w:val="24"/>
                <w:szCs w:val="24"/>
              </w:rPr>
              <w:t>108.388672</w:t>
            </w:r>
            <w:r>
              <w:rPr>
                <w:rFonts w:ascii="宋体" w:hAnsi="宋体" w:eastAsia="宋体"/>
                <w:sz w:val="24"/>
                <w:szCs w:val="24"/>
              </w:rPr>
              <w:tab/>
            </w:r>
            <w:r>
              <w:rPr>
                <w:rFonts w:ascii="宋体" w:hAnsi="宋体" w:eastAsia="宋体"/>
                <w:sz w:val="24"/>
                <w:szCs w:val="24"/>
              </w:rPr>
              <w:t>22.849658</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29）长虹东平安西路</w:t>
            </w:r>
            <w:r>
              <w:rPr>
                <w:rFonts w:ascii="宋体" w:hAnsi="宋体" w:eastAsia="宋体"/>
                <w:sz w:val="24"/>
                <w:szCs w:val="24"/>
              </w:rPr>
              <w:tab/>
            </w:r>
            <w:r>
              <w:rPr>
                <w:rFonts w:ascii="宋体" w:hAnsi="宋体" w:eastAsia="宋体"/>
                <w:sz w:val="24"/>
                <w:szCs w:val="24"/>
              </w:rPr>
              <w:t>108.413918</w:t>
            </w:r>
            <w:r>
              <w:rPr>
                <w:rFonts w:ascii="宋体" w:hAnsi="宋体" w:eastAsia="宋体"/>
                <w:sz w:val="24"/>
                <w:szCs w:val="24"/>
              </w:rPr>
              <w:tab/>
            </w:r>
            <w:r>
              <w:rPr>
                <w:rFonts w:ascii="宋体" w:hAnsi="宋体" w:eastAsia="宋体"/>
                <w:sz w:val="24"/>
                <w:szCs w:val="24"/>
              </w:rPr>
              <w:t>22.84922</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30）卢村岭路园艺路口</w:t>
            </w:r>
            <w:r>
              <w:rPr>
                <w:rFonts w:ascii="宋体" w:hAnsi="宋体" w:eastAsia="宋体"/>
                <w:sz w:val="24"/>
                <w:szCs w:val="24"/>
              </w:rPr>
              <w:tab/>
            </w:r>
            <w:r>
              <w:rPr>
                <w:rFonts w:ascii="宋体" w:hAnsi="宋体" w:eastAsia="宋体"/>
                <w:sz w:val="24"/>
                <w:szCs w:val="24"/>
              </w:rPr>
              <w:t>108.321946</w:t>
            </w:r>
            <w:r>
              <w:rPr>
                <w:rFonts w:ascii="宋体" w:hAnsi="宋体" w:eastAsia="宋体"/>
                <w:sz w:val="24"/>
                <w:szCs w:val="24"/>
              </w:rPr>
              <w:tab/>
            </w:r>
            <w:r>
              <w:rPr>
                <w:rFonts w:ascii="宋体" w:hAnsi="宋体" w:eastAsia="宋体"/>
                <w:sz w:val="24"/>
                <w:szCs w:val="24"/>
              </w:rPr>
              <w:t>22.90214</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31）国凯大道</w:t>
            </w:r>
            <w:r>
              <w:rPr>
                <w:rFonts w:ascii="宋体" w:hAnsi="宋体" w:eastAsia="宋体"/>
                <w:sz w:val="24"/>
                <w:szCs w:val="24"/>
              </w:rPr>
              <w:tab/>
            </w:r>
            <w:r>
              <w:rPr>
                <w:rFonts w:ascii="宋体" w:hAnsi="宋体" w:eastAsia="宋体"/>
                <w:sz w:val="24"/>
                <w:szCs w:val="24"/>
              </w:rPr>
              <w:t>108.254601</w:t>
            </w:r>
            <w:r>
              <w:rPr>
                <w:rFonts w:ascii="宋体" w:hAnsi="宋体" w:eastAsia="宋体"/>
                <w:sz w:val="24"/>
                <w:szCs w:val="24"/>
              </w:rPr>
              <w:tab/>
            </w:r>
            <w:r>
              <w:rPr>
                <w:rFonts w:ascii="宋体" w:hAnsi="宋体" w:eastAsia="宋体"/>
                <w:sz w:val="24"/>
                <w:szCs w:val="24"/>
              </w:rPr>
              <w:t>22.759113</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32）高峰</w:t>
            </w:r>
            <w:r>
              <w:rPr>
                <w:rFonts w:ascii="宋体" w:hAnsi="宋体" w:eastAsia="宋体"/>
                <w:sz w:val="24"/>
                <w:szCs w:val="24"/>
              </w:rPr>
              <w:tab/>
            </w:r>
            <w:r>
              <w:rPr>
                <w:rFonts w:ascii="宋体" w:hAnsi="宋体" w:eastAsia="宋体"/>
                <w:sz w:val="24"/>
                <w:szCs w:val="24"/>
              </w:rPr>
              <w:t>108.340625</w:t>
            </w:r>
            <w:r>
              <w:rPr>
                <w:rFonts w:ascii="宋体" w:hAnsi="宋体" w:eastAsia="宋体"/>
                <w:sz w:val="24"/>
                <w:szCs w:val="24"/>
              </w:rPr>
              <w:tab/>
            </w:r>
            <w:r>
              <w:rPr>
                <w:rFonts w:ascii="宋体" w:hAnsi="宋体" w:eastAsia="宋体"/>
                <w:sz w:val="24"/>
                <w:szCs w:val="24"/>
              </w:rPr>
              <w:t>22.891654</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四、系统设备</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网络球机，数量</w:t>
            </w:r>
            <w:r>
              <w:rPr>
                <w:rFonts w:ascii="宋体" w:hAnsi="宋体" w:eastAsia="宋体"/>
                <w:sz w:val="24"/>
                <w:szCs w:val="24"/>
              </w:rPr>
              <w:t>10台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性能要求：</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37倍400万星光级红外高清AI卡口球机，超星光级低照度、支持红外补光、内置神经网络处理器，支持AI智能化功能。单球机完成覆盖5-6车道并对近端2-3条车道进行卡口抓拍 </w:t>
            </w:r>
            <w:r>
              <w:rPr>
                <w:rFonts w:hint="eastAsia" w:ascii="宋体" w:hAnsi="宋体" w:eastAsia="宋体"/>
                <w:sz w:val="24"/>
                <w:szCs w:val="24"/>
              </w:rPr>
              <w:t>。支持车辆特征识别，包括车牌识别、车身颜色识别、车型识别、车标识别、并上传到中心管理系统平台。符合</w:t>
            </w:r>
            <w:r>
              <w:rPr>
                <w:rFonts w:ascii="宋体" w:hAnsi="宋体" w:eastAsia="宋体"/>
                <w:sz w:val="24"/>
                <w:szCs w:val="24"/>
              </w:rPr>
              <w:t>GB/T 28181-2016标准，支持Onvif等协议。</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卡口摄像机，数量</w:t>
            </w:r>
            <w:r>
              <w:rPr>
                <w:rFonts w:ascii="宋体" w:hAnsi="宋体" w:eastAsia="宋体"/>
                <w:sz w:val="24"/>
                <w:szCs w:val="24"/>
              </w:rPr>
              <w:t>10台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性能要求：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1）采用星光级1英寸GS-CMOS图像传感器，最大输出 4096×2820@50fps高清图像；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2）支持双码流，且满足H.265&amp;H.264编码，超低延时，超低码率，压缩比高，处理灵活；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3）支持自动白平衡、自动电子快门、自动光圈，适应各种监控环境；</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4）支持1~4车道车辆抓拍、车牌识别和车辆结构化信息提取；</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5）支持单快门、全息双快门、三快门；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6）支持机动车、非机动车和行人目标检测、车牌识别、车辆类型识别、非机动车违法抓拍、机动车违法抓拍、车身颜色识别、视频结构化抓拍、图片合成、OSD信息叠加；</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7）支持车辆逆行、拥堵、停车、行人等交通事件的检测；</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8）支持车辆流量、平均速度、占有率、平均车头时距、平均排队长度、道路状态等流量信息采集；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9）支持年检标志识别，白天准确率≥80%，晚上准确率≥80%；</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10）支持识别车头2000种车系，车尾1000种车系，白天准确率90%，晚上准确率80%；</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11）支持3D降噪功能；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12）支持透雾功能；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13）支持车辆捕获功能白天准确率≥97%，晚上捕获率≥97%;</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14）支持车牌识别功能白天准确率≥97%，晚上准确率≥97%。</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补光灯，数量</w:t>
            </w:r>
            <w:r>
              <w:rPr>
                <w:rFonts w:ascii="宋体" w:hAnsi="宋体" w:eastAsia="宋体"/>
                <w:sz w:val="24"/>
                <w:szCs w:val="24"/>
              </w:rPr>
              <w:t>20台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性能要求：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1）LED灯珠：不少于16颗高亮LED；</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2）闪光间隔：小于65ms；</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3）覆盖范围：单车道；</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4）最佳拍摄距离：16-26m；</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5）闪光寿命：1000万次以上；</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6）提供RS485通信功能，连接闪光灯客户端，设置闪光灯内部参数、调节闪光灯亮度；支持串口升级 </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7）支持开关量触发，短接一次即可判断是否闪光 </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8）支持脉宽检测触发；</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9）支持光敏检测，自动切换亮度；</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10）支持开关量控制切换亮度。</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数据管理单元，数量</w:t>
            </w:r>
            <w:r>
              <w:rPr>
                <w:rFonts w:ascii="宋体" w:hAnsi="宋体" w:eastAsia="宋体"/>
                <w:sz w:val="24"/>
                <w:szCs w:val="24"/>
              </w:rPr>
              <w:t>10台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性能要求：嵌入式</w:t>
            </w:r>
            <w:r>
              <w:rPr>
                <w:rFonts w:ascii="宋体" w:hAnsi="宋体" w:eastAsia="宋体"/>
                <w:sz w:val="24"/>
                <w:szCs w:val="24"/>
              </w:rPr>
              <w:t>Linux实时操作系统；4路网络压缩高清视频输入；支持图片合成功能；最大支持2个SATA接口硬盘，兼容3.5”/2.5”大小的硬盘。</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5. </w:t>
            </w:r>
            <w:r>
              <w:rPr>
                <w:rFonts w:hint="eastAsia" w:ascii="宋体" w:hAnsi="宋体" w:eastAsia="宋体"/>
                <w:sz w:val="24"/>
                <w:szCs w:val="24"/>
              </w:rPr>
              <w:t>前端存储硬盘，数量</w:t>
            </w:r>
            <w:r>
              <w:rPr>
                <w:rFonts w:ascii="宋体" w:hAnsi="宋体" w:eastAsia="宋体"/>
                <w:sz w:val="24"/>
                <w:szCs w:val="24"/>
              </w:rPr>
              <w:t>10块</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性能要求：</w:t>
            </w:r>
            <w:r>
              <w:rPr>
                <w:rFonts w:ascii="宋体" w:hAnsi="宋体" w:eastAsia="宋体"/>
                <w:sz w:val="24"/>
                <w:szCs w:val="24"/>
              </w:rPr>
              <w:t>4000G；5900RPM；64M；SATA。</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6. </w:t>
            </w:r>
            <w:r>
              <w:rPr>
                <w:rFonts w:hint="eastAsia" w:ascii="宋体" w:hAnsi="宋体" w:eastAsia="宋体"/>
                <w:sz w:val="24"/>
                <w:szCs w:val="24"/>
              </w:rPr>
              <w:t>移动点供电管理设备，数量</w:t>
            </w:r>
            <w:r>
              <w:rPr>
                <w:rFonts w:ascii="宋体" w:hAnsi="宋体" w:eastAsia="宋体"/>
                <w:sz w:val="24"/>
                <w:szCs w:val="24"/>
              </w:rPr>
              <w:t>10套</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性能需求：</w:t>
            </w:r>
            <w:r>
              <w:rPr>
                <w:rFonts w:ascii="宋体" w:hAnsi="宋体" w:eastAsia="宋体"/>
                <w:sz w:val="24"/>
                <w:szCs w:val="24"/>
              </w:rPr>
              <w:t>1kVA，主机、电池、配电均内置于一体化机箱内，内置防雷模块，DC36V。</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7. </w:t>
            </w:r>
            <w:r>
              <w:rPr>
                <w:rFonts w:hint="eastAsia" w:ascii="宋体" w:hAnsi="宋体" w:eastAsia="宋体"/>
                <w:sz w:val="24"/>
                <w:szCs w:val="24"/>
              </w:rPr>
              <w:t>续航电池，数量</w:t>
            </w:r>
            <w:r>
              <w:rPr>
                <w:rFonts w:ascii="宋体" w:hAnsi="宋体" w:eastAsia="宋体"/>
                <w:sz w:val="24"/>
                <w:szCs w:val="24"/>
              </w:rPr>
              <w:t>40块</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性能需求：胶体</w:t>
            </w:r>
            <w:r>
              <w:rPr>
                <w:rFonts w:ascii="宋体" w:hAnsi="宋体" w:eastAsia="宋体"/>
                <w:sz w:val="24"/>
                <w:szCs w:val="24"/>
              </w:rPr>
              <w:t>12V 100AH，120W负载延时24小时。</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8. </w:t>
            </w:r>
            <w:r>
              <w:rPr>
                <w:rFonts w:hint="eastAsia" w:ascii="宋体" w:hAnsi="宋体" w:eastAsia="宋体"/>
                <w:sz w:val="24"/>
                <w:szCs w:val="24"/>
              </w:rPr>
              <w:t>供电管理箱，数量</w:t>
            </w:r>
            <w:r>
              <w:rPr>
                <w:rFonts w:ascii="宋体" w:hAnsi="宋体" w:eastAsia="宋体"/>
                <w:sz w:val="24"/>
                <w:szCs w:val="24"/>
              </w:rPr>
              <w:t>10套</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性能需求：尺寸以定制为准。</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9. </w:t>
            </w:r>
            <w:r>
              <w:rPr>
                <w:rFonts w:hint="eastAsia" w:ascii="宋体" w:hAnsi="宋体" w:eastAsia="宋体"/>
                <w:sz w:val="24"/>
                <w:szCs w:val="24"/>
              </w:rPr>
              <w:t>安装支架，数量</w:t>
            </w:r>
            <w:r>
              <w:rPr>
                <w:rFonts w:ascii="宋体" w:hAnsi="宋体" w:eastAsia="宋体"/>
                <w:sz w:val="24"/>
                <w:szCs w:val="24"/>
              </w:rPr>
              <w:t>10套</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性能需求：</w:t>
            </w:r>
            <w:r>
              <w:rPr>
                <w:rFonts w:ascii="宋体" w:hAnsi="宋体" w:eastAsia="宋体"/>
                <w:sz w:val="24"/>
                <w:szCs w:val="24"/>
              </w:rPr>
              <w:t>2米路灯杆抱箍横臂，∅76*4，含吊装法兰接口，万向节，颜色RAL9003信号白。</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10. </w:t>
            </w:r>
            <w:r>
              <w:rPr>
                <w:rFonts w:hint="eastAsia" w:ascii="宋体" w:hAnsi="宋体" w:eastAsia="宋体"/>
                <w:sz w:val="24"/>
                <w:szCs w:val="24"/>
              </w:rPr>
              <w:t>抱杆设备箱，数量</w:t>
            </w:r>
            <w:r>
              <w:rPr>
                <w:rFonts w:ascii="宋体" w:hAnsi="宋体" w:eastAsia="宋体"/>
                <w:sz w:val="24"/>
                <w:szCs w:val="24"/>
              </w:rPr>
              <w:t>10套</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性能需求：高</w:t>
            </w:r>
            <w:r>
              <w:rPr>
                <w:rFonts w:ascii="宋体" w:hAnsi="宋体" w:eastAsia="宋体"/>
                <w:sz w:val="24"/>
                <w:szCs w:val="24"/>
              </w:rPr>
              <w:t>650×宽450×深400（mm），含50mm高防雨顶，前单开门，箱体喷塑，采用优质冷轧板，板材厚度1.2mm，后背焊接固定支架；标配2套抱箍，支持杆件Φ140-370mm，电源模块（包含1个32A、1个电源防雷器，1个20位多功能排插），1个风扇等。</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11. </w:t>
            </w:r>
            <w:r>
              <w:rPr>
                <w:rFonts w:hint="eastAsia" w:ascii="宋体" w:hAnsi="宋体" w:eastAsia="宋体"/>
                <w:sz w:val="24"/>
                <w:szCs w:val="24"/>
              </w:rPr>
              <w:t>链路租赁（有线），数量</w:t>
            </w:r>
            <w:r>
              <w:rPr>
                <w:rFonts w:ascii="宋体" w:hAnsi="宋体" w:eastAsia="宋体"/>
                <w:sz w:val="24"/>
                <w:szCs w:val="24"/>
              </w:rPr>
              <w:t>10条</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性能需求：</w:t>
            </w:r>
            <w:r>
              <w:rPr>
                <w:rFonts w:ascii="宋体" w:hAnsi="宋体" w:eastAsia="宋体"/>
                <w:sz w:val="24"/>
                <w:szCs w:val="24"/>
              </w:rPr>
              <w:t>10M带宽以上，租用1年（含ONU或者光猫、光纤终端、跳线等）。竣工验收之日起计。</w:t>
            </w:r>
          </w:p>
          <w:p>
            <w:pPr>
              <w:numPr>
                <w:ilvl w:val="0"/>
                <w:numId w:val="7"/>
              </w:numPr>
              <w:spacing w:line="440" w:lineRule="exact"/>
              <w:ind w:firstLine="480" w:firstLineChars="200"/>
              <w:rPr>
                <w:rFonts w:ascii="宋体" w:hAnsi="宋体" w:eastAsia="宋体"/>
                <w:sz w:val="24"/>
                <w:szCs w:val="24"/>
              </w:rPr>
            </w:pPr>
            <w:r>
              <w:rPr>
                <w:rFonts w:hint="eastAsia" w:ascii="宋体" w:hAnsi="宋体" w:eastAsia="宋体"/>
                <w:sz w:val="24"/>
                <w:szCs w:val="24"/>
              </w:rPr>
              <w:t>施工安装费用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建设期间由建设单位承担。</w:t>
            </w:r>
          </w:p>
        </w:tc>
        <w:tc>
          <w:tcPr>
            <w:tcW w:w="225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ascii="宋体" w:hAnsi="宋体" w:eastAsia="宋体"/>
                <w:b/>
                <w:sz w:val="24"/>
                <w:szCs w:val="24"/>
              </w:rPr>
              <w:t>767000.00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ascii="宋体" w:hAnsi="宋体" w:eastAsia="宋体"/>
                <w:sz w:val="24"/>
                <w:szCs w:val="24"/>
              </w:rPr>
              <w:t>8</w:t>
            </w:r>
          </w:p>
        </w:tc>
        <w:tc>
          <w:tcPr>
            <w:tcW w:w="15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sz w:val="24"/>
                <w:szCs w:val="24"/>
              </w:rPr>
            </w:pPr>
            <w:r>
              <w:rPr>
                <w:rFonts w:hint="eastAsia" w:ascii="宋体" w:hAnsi="宋体" w:eastAsia="宋体"/>
                <w:sz w:val="24"/>
                <w:szCs w:val="24"/>
              </w:rPr>
              <w:t>车辆卫星定位监控系统升级</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sz w:val="24"/>
                <w:szCs w:val="24"/>
              </w:rPr>
            </w:pPr>
            <w:r>
              <w:rPr>
                <w:rFonts w:ascii="宋体" w:hAnsi="宋体" w:eastAsia="宋体"/>
                <w:sz w:val="24"/>
                <w:szCs w:val="24"/>
              </w:rPr>
              <w:t>1套</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 xml:space="preserve"> </w:t>
            </w:r>
            <w:r>
              <w:rPr>
                <w:rFonts w:hint="eastAsia" w:ascii="宋体" w:hAnsi="宋体" w:eastAsia="宋体"/>
                <w:sz w:val="24"/>
                <w:szCs w:val="24"/>
              </w:rPr>
              <w:t>系统概述</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对接全国道路货运车辆公共监管与服务平台，获取</w:t>
            </w:r>
            <w:r>
              <w:rPr>
                <w:rFonts w:ascii="宋体" w:hAnsi="宋体" w:eastAsia="宋体"/>
                <w:sz w:val="24"/>
                <w:szCs w:val="24"/>
              </w:rPr>
              <w:t>12吨以上的重型货运汽车的位置数据、验证数据和车辆事件数据，获取的数据推送到城市信息模型管理平台进行展示。</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★二、系统功能要求</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车辆最新位置查询</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支持通过车牌号和时间范围，查询指定车辆的最新定位信息。</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多车最新位置查询</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支持通过车牌号和时间范围，查询指定车辆的最新定位信息。</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车辆轨迹查询</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支持提供指定车牌号、指定时间段查询车辆历史轨迹数据服务，返回的结果包含维度、经度、</w:t>
            </w:r>
            <w:r>
              <w:rPr>
                <w:rFonts w:ascii="宋体" w:hAnsi="宋体" w:eastAsia="宋体"/>
                <w:sz w:val="24"/>
                <w:szCs w:val="24"/>
              </w:rPr>
              <w:t>GPS时间、GPS速度、里程、海拔、正北方向夹角。</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车辆入网验证</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支持按车牌号判断指定车辆是否在全国货运平台入网服务。</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5. </w:t>
            </w:r>
            <w:r>
              <w:rPr>
                <w:rFonts w:hint="eastAsia" w:ascii="宋体" w:hAnsi="宋体" w:eastAsia="宋体"/>
                <w:sz w:val="24"/>
                <w:szCs w:val="24"/>
              </w:rPr>
              <w:t>道路运输证验证</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支持通过指定车牌号、道路运输证号码，验证道路运输证信息是否准确。返回结果包含表道路运输证号匹配、不匹配和未知。</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6. </w:t>
            </w:r>
            <w:r>
              <w:rPr>
                <w:rFonts w:hint="eastAsia" w:ascii="宋体" w:hAnsi="宋体" w:eastAsia="宋体"/>
                <w:sz w:val="24"/>
                <w:szCs w:val="24"/>
              </w:rPr>
              <w:t>异常离线提醒</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支持实时监控车辆运行情况，当车辆离线时长达到预设阈值时，平台将车辆异常离线状态数据推送到用户数据接收接口。</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7. </w:t>
            </w:r>
            <w:r>
              <w:rPr>
                <w:rFonts w:hint="eastAsia" w:ascii="宋体" w:hAnsi="宋体" w:eastAsia="宋体"/>
                <w:sz w:val="24"/>
                <w:szCs w:val="24"/>
              </w:rPr>
              <w:t>异常路线预警</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支持提供异常线路预警、离线预警、停车超时监控报警、以及行程报表推送。先订阅，后监控，历史数据无法监控。接口订阅后</w:t>
            </w:r>
            <w:r>
              <w:rPr>
                <w:rFonts w:ascii="宋体" w:hAnsi="宋体" w:eastAsia="宋体"/>
                <w:sz w:val="24"/>
                <w:szCs w:val="24"/>
              </w:rPr>
              <w:t xml:space="preserve"> 10 分钟生效。 </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8. </w:t>
            </w:r>
            <w:r>
              <w:rPr>
                <w:rFonts w:hint="eastAsia" w:ascii="宋体" w:hAnsi="宋体" w:eastAsia="宋体"/>
                <w:sz w:val="24"/>
                <w:szCs w:val="24"/>
              </w:rPr>
              <w:t>车辆停车查询</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支持通过指定车牌号、指定时间段查询车辆停车信息。</w:t>
            </w:r>
          </w:p>
        </w:tc>
        <w:tc>
          <w:tcPr>
            <w:tcW w:w="225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ascii="宋体" w:hAnsi="宋体" w:eastAsia="宋体"/>
                <w:b/>
                <w:sz w:val="24"/>
                <w:szCs w:val="24"/>
              </w:rPr>
              <w:t>1000000.00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ascii="宋体" w:hAnsi="宋体" w:eastAsia="宋体"/>
                <w:sz w:val="24"/>
                <w:szCs w:val="24"/>
              </w:rPr>
              <w:t>9</w:t>
            </w:r>
          </w:p>
        </w:tc>
        <w:tc>
          <w:tcPr>
            <w:tcW w:w="15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操作系统</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sz w:val="24"/>
                <w:szCs w:val="24"/>
              </w:rPr>
            </w:pPr>
            <w:r>
              <w:rPr>
                <w:rFonts w:ascii="宋体" w:hAnsi="宋体" w:eastAsia="宋体"/>
                <w:sz w:val="24"/>
                <w:szCs w:val="24"/>
              </w:rPr>
              <w:t>10套</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服务器国产操作系统正版授权</w:t>
            </w:r>
          </w:p>
        </w:tc>
        <w:tc>
          <w:tcPr>
            <w:tcW w:w="225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ascii="宋体" w:hAnsi="宋体" w:eastAsia="宋体"/>
                <w:b/>
                <w:sz w:val="24"/>
                <w:szCs w:val="24"/>
              </w:rPr>
              <w:t>80000.00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ascii="宋体" w:hAnsi="宋体" w:eastAsia="宋体"/>
                <w:sz w:val="24"/>
                <w:szCs w:val="24"/>
              </w:rPr>
              <w:t>10</w:t>
            </w:r>
          </w:p>
        </w:tc>
        <w:tc>
          <w:tcPr>
            <w:tcW w:w="15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hint="eastAsia" w:ascii="宋体" w:hAnsi="宋体" w:eastAsia="宋体"/>
                <w:sz w:val="24"/>
                <w:szCs w:val="24"/>
              </w:rPr>
              <w:t>数据库软件</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sz w:val="24"/>
                <w:szCs w:val="24"/>
              </w:rPr>
            </w:pPr>
            <w:r>
              <w:rPr>
                <w:rFonts w:ascii="宋体" w:hAnsi="宋体" w:eastAsia="宋体"/>
                <w:sz w:val="24"/>
                <w:szCs w:val="24"/>
              </w:rPr>
              <w:t>2套</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sz w:val="24"/>
                <w:szCs w:val="24"/>
              </w:rPr>
            </w:pPr>
            <w:r>
              <w:rPr>
                <w:rFonts w:hint="eastAsia" w:ascii="宋体" w:hAnsi="宋体" w:eastAsia="宋体"/>
                <w:sz w:val="24"/>
                <w:szCs w:val="24"/>
              </w:rPr>
              <w:t>国产数据库系统软件正版授权</w:t>
            </w:r>
          </w:p>
        </w:tc>
        <w:tc>
          <w:tcPr>
            <w:tcW w:w="225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ascii="宋体" w:hAnsi="宋体" w:eastAsia="宋体"/>
                <w:b/>
                <w:sz w:val="24"/>
                <w:szCs w:val="24"/>
              </w:rPr>
              <w:t>320000.00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ascii="宋体" w:hAnsi="宋体" w:eastAsia="宋体"/>
                <w:sz w:val="24"/>
                <w:szCs w:val="24"/>
              </w:rPr>
              <w:t>11</w:t>
            </w:r>
          </w:p>
        </w:tc>
        <w:tc>
          <w:tcPr>
            <w:tcW w:w="15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sz w:val="24"/>
                <w:szCs w:val="24"/>
              </w:rPr>
            </w:pPr>
            <w:r>
              <w:rPr>
                <w:rFonts w:hint="eastAsia" w:ascii="宋体" w:hAnsi="宋体" w:eastAsia="宋体"/>
                <w:sz w:val="24"/>
                <w:szCs w:val="24"/>
              </w:rPr>
              <w:t>敏感信息脱敏</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sz w:val="24"/>
                <w:szCs w:val="24"/>
              </w:rPr>
            </w:pPr>
            <w:r>
              <w:rPr>
                <w:rFonts w:ascii="宋体" w:hAnsi="宋体" w:eastAsia="宋体"/>
                <w:sz w:val="24"/>
                <w:szCs w:val="24"/>
              </w:rPr>
              <w:t>1套</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rPr>
                <w:rFonts w:ascii="宋体" w:hAnsi="宋体" w:eastAsia="宋体"/>
                <w:sz w:val="24"/>
                <w:szCs w:val="24"/>
              </w:rPr>
            </w:pPr>
            <w:r>
              <w:rPr>
                <w:rFonts w:ascii="宋体" w:hAnsi="宋体" w:eastAsia="宋体"/>
                <w:sz w:val="24"/>
                <w:szCs w:val="24"/>
              </w:rPr>
              <w:t>1、部署方式为旁路方式接入，静态脱敏不允许安装第三方软件或插件进行脱敏。</w:t>
            </w:r>
          </w:p>
          <w:p>
            <w:pPr>
              <w:spacing w:line="440" w:lineRule="exact"/>
              <w:rPr>
                <w:rFonts w:ascii="宋体" w:hAnsi="宋体" w:eastAsia="宋体"/>
                <w:kern w:val="2"/>
                <w:sz w:val="24"/>
                <w:szCs w:val="24"/>
              </w:rPr>
            </w:pPr>
            <w:r>
              <w:rPr>
                <w:rFonts w:ascii="宋体" w:hAnsi="宋体" w:eastAsia="宋体"/>
                <w:kern w:val="2"/>
                <w:sz w:val="24"/>
                <w:szCs w:val="24"/>
              </w:rPr>
              <w:t xml:space="preserve">2、性能指标：脱敏峰值处理能力：4万条SQL/秒 </w:t>
            </w:r>
            <w:r>
              <w:rPr>
                <w:rFonts w:hint="eastAsia" w:ascii="宋体" w:hAnsi="宋体" w:eastAsia="宋体"/>
                <w:kern w:val="2"/>
                <w:sz w:val="24"/>
                <w:szCs w:val="24"/>
              </w:rPr>
              <w:t>吞吐量支持，并发连接数≥</w:t>
            </w:r>
            <w:r>
              <w:rPr>
                <w:rFonts w:ascii="宋体" w:hAnsi="宋体" w:eastAsia="宋体"/>
                <w:kern w:val="2"/>
                <w:sz w:val="24"/>
                <w:szCs w:val="24"/>
              </w:rPr>
              <w:t>1000；</w:t>
            </w:r>
          </w:p>
          <w:p>
            <w:pPr>
              <w:spacing w:line="440" w:lineRule="exact"/>
              <w:rPr>
                <w:rFonts w:ascii="宋体" w:hAnsi="宋体" w:eastAsia="宋体"/>
                <w:kern w:val="2"/>
                <w:sz w:val="24"/>
                <w:szCs w:val="24"/>
              </w:rPr>
            </w:pPr>
            <w:r>
              <w:rPr>
                <w:rFonts w:ascii="宋体" w:hAnsi="宋体" w:eastAsia="宋体"/>
                <w:kern w:val="2"/>
                <w:sz w:val="24"/>
                <w:szCs w:val="24"/>
              </w:rPr>
              <w:t>3、功能模块包括：监控墙、数据源配置、脱敏权限管理、动态脱敏任务配置管理、脱敏报告管理、日志管理、系统管理。</w:t>
            </w:r>
          </w:p>
          <w:p>
            <w:pPr>
              <w:spacing w:line="440" w:lineRule="exact"/>
              <w:rPr>
                <w:rFonts w:ascii="宋体" w:hAnsi="宋体" w:eastAsia="宋体"/>
                <w:kern w:val="2"/>
                <w:sz w:val="24"/>
                <w:szCs w:val="24"/>
              </w:rPr>
            </w:pPr>
            <w:r>
              <w:rPr>
                <w:rFonts w:ascii="宋体" w:hAnsi="宋体" w:eastAsia="宋体"/>
                <w:kern w:val="2"/>
                <w:sz w:val="24"/>
                <w:szCs w:val="24"/>
              </w:rPr>
              <w:t>4、默认支持1个数据库实例，最大扩展到3个实例，从1个开始扩展；</w:t>
            </w:r>
          </w:p>
          <w:p>
            <w:pPr>
              <w:spacing w:line="440" w:lineRule="exact"/>
              <w:rPr>
                <w:rFonts w:ascii="宋体" w:hAnsi="宋体" w:eastAsia="宋体"/>
                <w:sz w:val="24"/>
                <w:szCs w:val="24"/>
              </w:rPr>
            </w:pPr>
            <w:r>
              <w:rPr>
                <w:rFonts w:ascii="宋体" w:hAnsi="宋体" w:eastAsia="宋体"/>
                <w:kern w:val="2"/>
                <w:sz w:val="24"/>
                <w:szCs w:val="24"/>
              </w:rPr>
              <w:t>5、单套脱敏系统可同时支持静态脱敏及动态脱敏两种场景。</w:t>
            </w:r>
          </w:p>
          <w:p>
            <w:pPr>
              <w:spacing w:line="440" w:lineRule="exact"/>
              <w:rPr>
                <w:rFonts w:ascii="宋体" w:hAnsi="宋体" w:eastAsia="宋体"/>
                <w:sz w:val="24"/>
                <w:szCs w:val="24"/>
              </w:rPr>
            </w:pPr>
            <w:r>
              <w:rPr>
                <w:rFonts w:ascii="宋体" w:hAnsi="宋体" w:eastAsia="宋体"/>
                <w:sz w:val="24"/>
                <w:szCs w:val="24"/>
              </w:rPr>
              <w:t>6、支持主流浏览器（IE、chrome、firefox、360浏览器）打开系统管理页面并能正常显示界面功能。</w:t>
            </w:r>
          </w:p>
          <w:p>
            <w:pPr>
              <w:spacing w:line="440" w:lineRule="exact"/>
              <w:rPr>
                <w:rFonts w:ascii="宋体" w:hAnsi="宋体" w:eastAsia="宋体"/>
                <w:sz w:val="24"/>
                <w:szCs w:val="24"/>
              </w:rPr>
            </w:pPr>
            <w:r>
              <w:rPr>
                <w:rFonts w:ascii="宋体" w:hAnsi="宋体" w:eastAsia="宋体"/>
                <w:sz w:val="24"/>
                <w:szCs w:val="24"/>
              </w:rPr>
              <w:t>7、支持管理员账号分权分级的管理，包括系统管理员（用户管理及系统日常维护）、安全管理员（安全策略配置，资源审核等）、审计管理员。</w:t>
            </w:r>
          </w:p>
          <w:p>
            <w:pPr>
              <w:spacing w:line="440" w:lineRule="exact"/>
              <w:rPr>
                <w:rFonts w:ascii="宋体" w:hAnsi="宋体" w:eastAsia="宋体"/>
                <w:sz w:val="24"/>
                <w:szCs w:val="24"/>
              </w:rPr>
            </w:pPr>
            <w:r>
              <w:rPr>
                <w:rFonts w:ascii="宋体" w:hAnsi="宋体" w:eastAsia="宋体"/>
                <w:sz w:val="24"/>
                <w:szCs w:val="24"/>
              </w:rPr>
              <w:t>8、支持管理员创建数据源供操作员使用、支持管理员对于操作员可用的数据源进行授权、在没有相关角色授权或者审批流程通过的情况下，不允许操作员直接创建数据源。</w:t>
            </w:r>
          </w:p>
          <w:p>
            <w:pPr>
              <w:spacing w:line="440" w:lineRule="exact"/>
              <w:rPr>
                <w:rFonts w:ascii="宋体" w:hAnsi="宋体" w:eastAsia="宋体"/>
                <w:sz w:val="24"/>
                <w:szCs w:val="24"/>
              </w:rPr>
            </w:pPr>
            <w:r>
              <w:rPr>
                <w:rFonts w:ascii="宋体" w:hAnsi="宋体" w:eastAsia="宋体"/>
                <w:sz w:val="24"/>
                <w:szCs w:val="24"/>
              </w:rPr>
              <w:t>9、支持系统管理员Web页面进行账号锁定相关设置，防止账号暴力破解。</w:t>
            </w:r>
          </w:p>
          <w:p>
            <w:pPr>
              <w:spacing w:line="440" w:lineRule="exact"/>
              <w:rPr>
                <w:rFonts w:ascii="宋体" w:hAnsi="宋体" w:eastAsia="宋体"/>
                <w:sz w:val="24"/>
                <w:szCs w:val="24"/>
              </w:rPr>
            </w:pPr>
            <w:r>
              <w:rPr>
                <w:rFonts w:ascii="宋体" w:hAnsi="宋体" w:eastAsia="宋体"/>
                <w:sz w:val="24"/>
                <w:szCs w:val="24"/>
              </w:rPr>
              <w:t>10、系统管理员可以手动禁用和解禁账号登录权限。</w:t>
            </w:r>
          </w:p>
          <w:p>
            <w:pPr>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11、支持敏感数据类型自定义，系统具有内置敏感数据特征库不少于25种，能对姓名、地址、电话、身份证、统一信用代码、银行卡号、日期、email等敏感信息进行识别。</w:t>
            </w:r>
          </w:p>
          <w:p>
            <w:pPr>
              <w:spacing w:line="440" w:lineRule="exact"/>
              <w:rPr>
                <w:rFonts w:ascii="宋体" w:hAnsi="宋体" w:eastAsia="宋体"/>
                <w:sz w:val="24"/>
                <w:szCs w:val="24"/>
              </w:rPr>
            </w:pPr>
            <w:r>
              <w:rPr>
                <w:rFonts w:ascii="宋体" w:hAnsi="宋体" w:eastAsia="宋体"/>
                <w:sz w:val="24"/>
                <w:szCs w:val="24"/>
              </w:rPr>
              <w:t>12、支持灵活的脱敏方案（规则组）自定义管理，脱敏方案与脱敏任务不绑定。对脱敏方案进行调整、修改时不影响与之相关的脱敏任务，不需要删除与脱敏方案相关的字段发现以及脱敏任务。</w:t>
            </w:r>
          </w:p>
          <w:p>
            <w:pPr>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13、支持敏感数据自动发现功能，在一个字段、一列数据中发现多个敏感数据类型。</w:t>
            </w:r>
          </w:p>
          <w:p>
            <w:pPr>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14、支持在全库扫描中设定样本数目和匹配率进行扫描，在部分扫描中可以通过“表名称选择、表模式选择”的设定来选择匹配表的扫描。</w:t>
            </w:r>
          </w:p>
          <w:p>
            <w:pPr>
              <w:spacing w:line="440" w:lineRule="exact"/>
              <w:rPr>
                <w:rFonts w:ascii="宋体" w:hAnsi="宋体" w:eastAsia="宋体"/>
                <w:sz w:val="24"/>
                <w:szCs w:val="24"/>
              </w:rPr>
            </w:pPr>
            <w:r>
              <w:rPr>
                <w:rFonts w:ascii="宋体" w:hAnsi="宋体" w:eastAsia="宋体"/>
                <w:sz w:val="24"/>
                <w:szCs w:val="24"/>
              </w:rPr>
              <w:t>15、支持将发现结果web展现，并且能导出成格式化文件或者存储在数据库中。</w:t>
            </w:r>
          </w:p>
          <w:p>
            <w:pPr>
              <w:spacing w:line="440" w:lineRule="exact"/>
              <w:rPr>
                <w:rFonts w:ascii="宋体" w:hAnsi="宋体" w:eastAsia="宋体"/>
                <w:sz w:val="24"/>
                <w:szCs w:val="24"/>
              </w:rPr>
            </w:pPr>
            <w:r>
              <w:rPr>
                <w:rFonts w:ascii="宋体" w:hAnsi="宋体" w:eastAsia="宋体"/>
                <w:sz w:val="24"/>
                <w:szCs w:val="24"/>
              </w:rPr>
              <w:t>16、支持UNICODE标准、中文等字符编码数据格式。</w:t>
            </w:r>
          </w:p>
          <w:p>
            <w:pPr>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17、系统须包含仿真算法（保持原有数据特征）、随机算法、字符截取、字符按位遮蔽，数据加密（如：SHA256）等常用数据脱敏算法。</w:t>
            </w:r>
          </w:p>
          <w:p>
            <w:pPr>
              <w:spacing w:line="440" w:lineRule="exact"/>
              <w:rPr>
                <w:rFonts w:ascii="宋体" w:hAnsi="宋体" w:eastAsia="宋体"/>
                <w:sz w:val="24"/>
                <w:szCs w:val="24"/>
              </w:rPr>
            </w:pPr>
            <w:r>
              <w:rPr>
                <w:rFonts w:ascii="宋体" w:hAnsi="宋体" w:eastAsia="宋体"/>
                <w:sz w:val="24"/>
                <w:szCs w:val="24"/>
              </w:rPr>
              <w:t>18、支持可逆类型的脱敏算法。</w:t>
            </w:r>
          </w:p>
          <w:p>
            <w:pPr>
              <w:spacing w:line="440" w:lineRule="exact"/>
              <w:rPr>
                <w:rFonts w:ascii="宋体" w:hAnsi="宋体" w:eastAsia="宋体"/>
                <w:sz w:val="24"/>
                <w:szCs w:val="24"/>
              </w:rPr>
            </w:pPr>
            <w:r>
              <w:rPr>
                <w:rFonts w:ascii="宋体" w:hAnsi="宋体" w:eastAsia="宋体"/>
                <w:sz w:val="24"/>
                <w:szCs w:val="24"/>
              </w:rPr>
              <w:t>19、支持对敏感数据脱敏后的结果是否保持随机的控制。</w:t>
            </w:r>
          </w:p>
          <w:p>
            <w:pPr>
              <w:spacing w:line="440" w:lineRule="exact"/>
              <w:rPr>
                <w:rFonts w:ascii="宋体" w:hAnsi="宋体" w:eastAsia="宋体"/>
                <w:sz w:val="24"/>
                <w:szCs w:val="24"/>
              </w:rPr>
            </w:pPr>
            <w:r>
              <w:rPr>
                <w:rFonts w:ascii="宋体" w:hAnsi="宋体" w:eastAsia="宋体"/>
                <w:sz w:val="24"/>
                <w:szCs w:val="24"/>
              </w:rPr>
              <w:t>20、支持数据字典、敏感类型、脱敏规则的自定义管理。</w:t>
            </w:r>
          </w:p>
          <w:p>
            <w:pPr>
              <w:spacing w:line="440" w:lineRule="exact"/>
              <w:rPr>
                <w:rFonts w:ascii="宋体" w:hAnsi="宋体" w:eastAsia="宋体"/>
                <w:sz w:val="24"/>
                <w:szCs w:val="24"/>
              </w:rPr>
            </w:pPr>
            <w:r>
              <w:rPr>
                <w:rFonts w:ascii="宋体" w:hAnsi="宋体" w:eastAsia="宋体"/>
                <w:sz w:val="24"/>
                <w:szCs w:val="24"/>
              </w:rPr>
              <w:t>21、支持对已添加的数据源自动发现库、表、字段信息。</w:t>
            </w:r>
          </w:p>
          <w:p>
            <w:pPr>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22、支持创建新数据源时进行测试连接，可提供清晰的展现数据库表之间关系。</w:t>
            </w:r>
          </w:p>
          <w:p>
            <w:pPr>
              <w:spacing w:line="440" w:lineRule="exact"/>
              <w:rPr>
                <w:rFonts w:ascii="宋体" w:hAnsi="宋体" w:eastAsia="宋体"/>
                <w:sz w:val="24"/>
                <w:szCs w:val="24"/>
              </w:rPr>
            </w:pPr>
            <w:r>
              <w:rPr>
                <w:rFonts w:ascii="宋体" w:hAnsi="宋体" w:eastAsia="宋体"/>
                <w:sz w:val="24"/>
                <w:szCs w:val="24"/>
              </w:rPr>
              <w:t>23、支持数据库到数据库、数据库到文件、文件到文件、文件到数据库等多种方式。</w:t>
            </w:r>
          </w:p>
          <w:p>
            <w:pPr>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24、支持脱敏作业进度监控，作业运行日志实时展现。</w:t>
            </w:r>
          </w:p>
          <w:p>
            <w:pPr>
              <w:spacing w:line="440" w:lineRule="exact"/>
              <w:rPr>
                <w:rFonts w:ascii="宋体" w:hAnsi="宋体" w:eastAsia="宋体"/>
                <w:sz w:val="24"/>
                <w:szCs w:val="24"/>
              </w:rPr>
            </w:pPr>
            <w:r>
              <w:rPr>
                <w:rFonts w:ascii="宋体" w:hAnsi="宋体" w:eastAsia="宋体"/>
                <w:sz w:val="24"/>
                <w:szCs w:val="24"/>
              </w:rPr>
              <w:t>25、支持脱敏后脱敏数据、混合类型数据保持原有数据特征。</w:t>
            </w:r>
          </w:p>
          <w:p>
            <w:pPr>
              <w:spacing w:line="440" w:lineRule="exact"/>
              <w:rPr>
                <w:rFonts w:ascii="宋体" w:hAnsi="宋体" w:eastAsia="宋体"/>
                <w:sz w:val="24"/>
                <w:szCs w:val="24"/>
              </w:rPr>
            </w:pPr>
            <w:r>
              <w:rPr>
                <w:rFonts w:ascii="宋体" w:hAnsi="宋体" w:eastAsia="宋体"/>
                <w:sz w:val="24"/>
                <w:szCs w:val="24"/>
              </w:rPr>
              <w:t>26、支持脱敏源数据与脱敏结果对比，脱敏表结果、数据库对象同步结果以报表方式展现。</w:t>
            </w:r>
          </w:p>
          <w:p>
            <w:pPr>
              <w:spacing w:line="440" w:lineRule="exact"/>
              <w:rPr>
                <w:rFonts w:ascii="宋体" w:hAnsi="宋体" w:eastAsia="宋体"/>
                <w:sz w:val="24"/>
                <w:szCs w:val="24"/>
              </w:rPr>
            </w:pPr>
            <w:r>
              <w:rPr>
                <w:rFonts w:ascii="宋体" w:hAnsi="宋体" w:eastAsia="宋体"/>
                <w:sz w:val="24"/>
                <w:szCs w:val="24"/>
              </w:rPr>
              <w:t>27、支持作业运行日志查看，对不同状态下的作业产品报告信息。</w:t>
            </w:r>
          </w:p>
          <w:p>
            <w:pPr>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28、支持黑、白名单过滤功能，其中黑名单过滤做到敏感列中的数据不直接同步到目标。白名单过滤做到敏感列中的数据不经过脱敏处理，直接同步到目标。</w:t>
            </w:r>
          </w:p>
          <w:p>
            <w:pPr>
              <w:spacing w:line="4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29、支持自身系统性能监控，能够针对CPU、内存、磁盘I/O等生成实时图形展示以及最近已完成的任务报表展示。</w:t>
            </w:r>
          </w:p>
          <w:p>
            <w:pPr>
              <w:spacing w:line="440" w:lineRule="exact"/>
              <w:rPr>
                <w:rFonts w:ascii="宋体" w:hAnsi="宋体" w:eastAsia="宋体"/>
                <w:sz w:val="24"/>
                <w:szCs w:val="24"/>
              </w:rPr>
            </w:pPr>
            <w:r>
              <w:rPr>
                <w:rFonts w:ascii="宋体" w:hAnsi="宋体" w:eastAsia="宋体"/>
                <w:sz w:val="24"/>
                <w:szCs w:val="24"/>
              </w:rPr>
              <w:t>30、支持对脱敏任务进行停止、启动、重启，并且支持任务并发，充分利用系统资源，提高脱敏效率。脱敏任务可兼容执行过程中遇到的异常情况，支持跳过异常数据继续执行任务。</w:t>
            </w:r>
          </w:p>
          <w:p>
            <w:pPr>
              <w:spacing w:line="440" w:lineRule="exact"/>
              <w:rPr>
                <w:rFonts w:ascii="宋体" w:hAnsi="宋体" w:eastAsia="宋体"/>
                <w:sz w:val="24"/>
                <w:szCs w:val="24"/>
              </w:rPr>
            </w:pPr>
            <w:r>
              <w:rPr>
                <w:rFonts w:ascii="宋体" w:hAnsi="宋体" w:eastAsia="宋体"/>
                <w:sz w:val="24"/>
                <w:szCs w:val="24"/>
              </w:rPr>
              <w:t>31、系统支持定时、定期自动执行脱敏任务，支持按照日期、时间等条件对任务进行定时处理。</w:t>
            </w:r>
          </w:p>
        </w:tc>
        <w:tc>
          <w:tcPr>
            <w:tcW w:w="225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ascii="宋体" w:hAnsi="宋体" w:eastAsia="宋体"/>
                <w:b/>
                <w:sz w:val="24"/>
                <w:szCs w:val="24"/>
              </w:rPr>
              <w:t>200000.00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sz w:val="24"/>
                <w:szCs w:val="24"/>
              </w:rPr>
            </w:pPr>
            <w:r>
              <w:rPr>
                <w:rFonts w:ascii="宋体" w:hAnsi="宋体" w:eastAsia="宋体"/>
                <w:sz w:val="24"/>
                <w:szCs w:val="24"/>
              </w:rPr>
              <w:t>12</w:t>
            </w:r>
          </w:p>
        </w:tc>
        <w:tc>
          <w:tcPr>
            <w:tcW w:w="15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sz w:val="24"/>
                <w:szCs w:val="24"/>
              </w:rPr>
            </w:pPr>
            <w:r>
              <w:rPr>
                <w:rFonts w:hint="eastAsia" w:ascii="宋体" w:hAnsi="宋体" w:eastAsia="宋体"/>
                <w:sz w:val="24"/>
                <w:szCs w:val="24"/>
              </w:rPr>
              <w:t>系统安装工程费</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ascii="宋体" w:hAnsi="宋体" w:eastAsia="宋体"/>
                <w:sz w:val="24"/>
                <w:szCs w:val="24"/>
              </w:rPr>
            </w:pPr>
            <w:r>
              <w:rPr>
                <w:rFonts w:ascii="宋体" w:hAnsi="宋体" w:eastAsia="宋体"/>
                <w:sz w:val="24"/>
                <w:szCs w:val="24"/>
              </w:rPr>
              <w:t>1项</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rPr>
                <w:rFonts w:ascii="宋体" w:hAnsi="宋体" w:eastAsia="宋体"/>
                <w:sz w:val="24"/>
                <w:szCs w:val="24"/>
              </w:rPr>
            </w:pPr>
            <w:r>
              <w:rPr>
                <w:rFonts w:ascii="宋体" w:hAnsi="宋体" w:eastAsia="宋体"/>
                <w:sz w:val="24"/>
                <w:szCs w:val="24"/>
              </w:rPr>
              <w:t>1、开展项目深化设计，编制详细技术方案、系统对接方案、数据管理方案、实施方案、应急预案、运行维护方案等方案，深化设计通过审核后方可实施。</w:t>
            </w:r>
          </w:p>
          <w:p>
            <w:pPr>
              <w:spacing w:line="440" w:lineRule="exact"/>
              <w:rPr>
                <w:rFonts w:ascii="宋体" w:hAnsi="宋体" w:eastAsia="宋体"/>
                <w:sz w:val="24"/>
                <w:szCs w:val="24"/>
              </w:rPr>
            </w:pPr>
            <w:r>
              <w:rPr>
                <w:rFonts w:ascii="宋体" w:hAnsi="宋体" w:eastAsia="宋体"/>
                <w:sz w:val="24"/>
                <w:szCs w:val="24"/>
              </w:rPr>
              <w:t>2、根据招标需求和实施方案配备实施团队开展项目实施，全面负责本项目施工和总体协调，对项目范围、进度、质量、资源、风险的管理、验收进行项目管理，确保项目按时按质按量完成。</w:t>
            </w:r>
          </w:p>
          <w:p>
            <w:pPr>
              <w:spacing w:line="440" w:lineRule="exact"/>
              <w:rPr>
                <w:rFonts w:ascii="宋体" w:hAnsi="宋体" w:eastAsia="宋体"/>
                <w:sz w:val="24"/>
                <w:szCs w:val="24"/>
              </w:rPr>
            </w:pPr>
            <w:r>
              <w:rPr>
                <w:rFonts w:ascii="宋体" w:hAnsi="宋体" w:eastAsia="宋体"/>
                <w:sz w:val="24"/>
                <w:szCs w:val="24"/>
              </w:rPr>
              <w:t>3、完成项目涉及所有软硬件的安装部署和联调联试，搭建高可靠、高扩展性、安全稳定的硬件平台。</w:t>
            </w:r>
          </w:p>
          <w:p>
            <w:pPr>
              <w:spacing w:line="440" w:lineRule="exact"/>
              <w:rPr>
                <w:rFonts w:ascii="宋体" w:hAnsi="宋体" w:eastAsia="宋体"/>
                <w:sz w:val="24"/>
                <w:szCs w:val="24"/>
              </w:rPr>
            </w:pPr>
            <w:r>
              <w:rPr>
                <w:rFonts w:ascii="宋体" w:hAnsi="宋体" w:eastAsia="宋体"/>
                <w:sz w:val="24"/>
                <w:szCs w:val="24"/>
              </w:rPr>
              <w:t>4、项目各系统技术路线成熟，采用可扩展、可插拔、分布式部署的SOA架构，底层应基于通用性好、安全可靠的主流技术，主要支撑软件应采用性能优良、具备良好的纵向和横向扩展性、广泛兼容性的软件和版本。</w:t>
            </w:r>
          </w:p>
          <w:p>
            <w:pPr>
              <w:spacing w:line="440" w:lineRule="exact"/>
              <w:rPr>
                <w:rFonts w:ascii="宋体" w:hAnsi="宋体" w:eastAsia="宋体"/>
                <w:sz w:val="24"/>
                <w:szCs w:val="24"/>
              </w:rPr>
            </w:pPr>
            <w:r>
              <w:rPr>
                <w:rFonts w:ascii="宋体" w:hAnsi="宋体" w:eastAsia="宋体"/>
                <w:sz w:val="24"/>
                <w:szCs w:val="24"/>
              </w:rPr>
              <w:t>5、须保证系统稳定可靠，不因系统本身的原因造成死机、停止等故障，系统故障平均间隔时间&gt;300天，一年的故障停机时间不超过2小时；在政务外网环境下供工作人员使用的相关系统，要求满足同时在线用户≥1000人需求，并发用户数≥200人；在互联网环境下供互联网用户使用的相关系统，要求满足并发用户数≥800人；考虑到未来系统应用扩展及系统集中，用户量增大的情况，系统在架构设计上支持数据库分布式扩展，支持应用程序负载均衡，实现通过简单的服务器扩展，修改相关数据分拆配置，即可实现负载的扩容，而无须对软件进行大规模修改升级；系统在网络顺畅时，非统计查询响应时间≤2秒，报表汇总时间≤10秒；简单事务处理(主要指各类信息录入、修改、主要页面平均响应时间等)≤2秒（200个并发用户）；复杂事务处理（主要指各类综合展示等业务）≤5秒（200个并发用户）；单一条件查询≤2秒；组合条件查询≤3秒；关联查询≤4秒；模糊查询≤5秒。</w:t>
            </w:r>
          </w:p>
        </w:tc>
        <w:tc>
          <w:tcPr>
            <w:tcW w:w="2252"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eastAsia="宋体"/>
                <w:b/>
                <w:sz w:val="24"/>
                <w:szCs w:val="24"/>
              </w:rPr>
            </w:pPr>
            <w:r>
              <w:rPr>
                <w:rFonts w:hint="eastAsia" w:ascii="宋体" w:hAnsi="宋体" w:eastAsia="宋体"/>
                <w:sz w:val="24"/>
                <w:szCs w:val="24"/>
              </w:rPr>
              <w:t>741000.00</w:t>
            </w:r>
          </w:p>
        </w:tc>
      </w:tr>
      <w:tr>
        <w:tblPrEx>
          <w:tblCellMar>
            <w:top w:w="0" w:type="dxa"/>
            <w:left w:w="0" w:type="dxa"/>
            <w:bottom w:w="0" w:type="dxa"/>
            <w:right w:w="0" w:type="dxa"/>
          </w:tblCellMar>
        </w:tblPrEx>
        <w:trPr>
          <w:trHeight w:val="577" w:hRule="atLeast"/>
        </w:trPr>
        <w:tc>
          <w:tcPr>
            <w:tcW w:w="2985" w:type="dxa"/>
            <w:gridSpan w:val="3"/>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sz w:val="24"/>
                <w:szCs w:val="24"/>
              </w:rPr>
            </w:pPr>
            <w:r>
              <w:rPr>
                <w:rFonts w:hint="eastAsia" w:ascii="宋体" w:hAnsi="宋体" w:eastAsia="宋体"/>
                <w:sz w:val="24"/>
                <w:szCs w:val="24"/>
              </w:rPr>
              <w:t>本项目最高限价合计（元）</w:t>
            </w:r>
          </w:p>
        </w:tc>
        <w:tc>
          <w:tcPr>
            <w:tcW w:w="7935"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440" w:lineRule="exact"/>
              <w:ind w:firstLine="240" w:firstLineChars="100"/>
              <w:jc w:val="both"/>
              <w:rPr>
                <w:rFonts w:ascii="宋体" w:hAnsi="宋体" w:eastAsia="宋体"/>
                <w:b/>
                <w:sz w:val="24"/>
                <w:szCs w:val="24"/>
              </w:rPr>
            </w:pPr>
            <w:r>
              <w:rPr>
                <w:rFonts w:hint="eastAsia" w:ascii="宋体" w:hAnsi="宋体" w:eastAsia="宋体"/>
                <w:sz w:val="24"/>
                <w:szCs w:val="24"/>
              </w:rPr>
              <w:t>¥</w:t>
            </w:r>
            <w:r>
              <w:rPr>
                <w:rFonts w:ascii="宋体" w:hAnsi="宋体" w:eastAsia="宋体"/>
                <w:sz w:val="24"/>
                <w:szCs w:val="24"/>
              </w:rPr>
              <w:t>9103000.00元</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bCs/>
                <w:sz w:val="24"/>
                <w:szCs w:val="24"/>
              </w:rPr>
            </w:pPr>
            <w:r>
              <w:rPr>
                <w:rFonts w:hint="eastAsia" w:ascii="宋体" w:hAnsi="宋体" w:eastAsia="宋体"/>
                <w:b/>
                <w:bCs/>
                <w:sz w:val="24"/>
                <w:szCs w:val="24"/>
              </w:rPr>
              <w:t>商</w:t>
            </w:r>
          </w:p>
          <w:p>
            <w:pPr>
              <w:spacing w:line="440" w:lineRule="exact"/>
              <w:jc w:val="center"/>
              <w:rPr>
                <w:rFonts w:ascii="宋体" w:hAnsi="宋体" w:eastAsia="宋体"/>
                <w:b/>
                <w:bCs/>
                <w:sz w:val="24"/>
                <w:szCs w:val="24"/>
              </w:rPr>
            </w:pPr>
            <w:r>
              <w:rPr>
                <w:rFonts w:hint="eastAsia" w:ascii="宋体" w:hAnsi="宋体" w:eastAsia="宋体"/>
                <w:b/>
                <w:bCs/>
                <w:sz w:val="24"/>
                <w:szCs w:val="24"/>
              </w:rPr>
              <w:t>务</w:t>
            </w:r>
          </w:p>
          <w:p>
            <w:pPr>
              <w:spacing w:line="440" w:lineRule="exact"/>
              <w:jc w:val="center"/>
              <w:rPr>
                <w:rFonts w:ascii="宋体" w:hAnsi="宋体" w:eastAsia="宋体"/>
                <w:b/>
                <w:bCs/>
                <w:sz w:val="24"/>
                <w:szCs w:val="24"/>
              </w:rPr>
            </w:pPr>
            <w:r>
              <w:rPr>
                <w:rFonts w:hint="eastAsia" w:ascii="宋体" w:hAnsi="宋体" w:eastAsia="宋体"/>
                <w:b/>
                <w:bCs/>
                <w:sz w:val="24"/>
                <w:szCs w:val="24"/>
              </w:rPr>
              <w:t>条</w:t>
            </w:r>
          </w:p>
          <w:p>
            <w:pPr>
              <w:spacing w:line="440" w:lineRule="exact"/>
              <w:jc w:val="center"/>
              <w:rPr>
                <w:rFonts w:ascii="宋体" w:hAnsi="宋体" w:eastAsia="宋体"/>
                <w:i/>
                <w:iCs/>
                <w:sz w:val="24"/>
                <w:szCs w:val="24"/>
              </w:rPr>
            </w:pPr>
            <w:r>
              <w:rPr>
                <w:rFonts w:hint="eastAsia" w:ascii="宋体" w:hAnsi="宋体" w:eastAsia="宋体"/>
                <w:b/>
                <w:bCs/>
                <w:sz w:val="24"/>
                <w:szCs w:val="24"/>
              </w:rPr>
              <w:t>款</w:t>
            </w:r>
          </w:p>
        </w:tc>
        <w:tc>
          <w:tcPr>
            <w:tcW w:w="10206"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440" w:lineRule="exact"/>
              <w:rPr>
                <w:rFonts w:hint="eastAsia" w:ascii="宋体" w:hAnsi="宋体" w:eastAsia="宋体"/>
              </w:rPr>
            </w:pPr>
            <w:r>
              <w:rPr>
                <w:rFonts w:hint="eastAsia" w:ascii="宋体" w:hAnsi="宋体" w:eastAsia="宋体"/>
              </w:rPr>
              <w:t>一、合同签订期：自中标通知书发出之日起10个工作日内。</w:t>
            </w:r>
          </w:p>
          <w:p>
            <w:pPr>
              <w:spacing w:line="440" w:lineRule="exact"/>
              <w:rPr>
                <w:rFonts w:hint="eastAsia" w:ascii="宋体" w:hAnsi="宋体" w:eastAsia="宋体"/>
              </w:rPr>
            </w:pPr>
            <w:r>
              <w:rPr>
                <w:rFonts w:hint="eastAsia" w:ascii="宋体" w:hAnsi="宋体" w:eastAsia="宋体"/>
              </w:rPr>
              <w:t xml:space="preserve">★二、提交服务成果时间：自合同签订之日起9个月完成系统的开发、实施、初步验收，试运行不少于3个月，1年内完成最终验收。 </w:t>
            </w:r>
          </w:p>
          <w:p>
            <w:pPr>
              <w:spacing w:line="440" w:lineRule="exact"/>
              <w:rPr>
                <w:rFonts w:hint="eastAsia" w:ascii="宋体" w:hAnsi="宋体" w:eastAsia="宋体"/>
              </w:rPr>
            </w:pPr>
            <w:r>
              <w:rPr>
                <w:rFonts w:hint="eastAsia" w:ascii="宋体" w:hAnsi="宋体" w:eastAsia="宋体"/>
              </w:rPr>
              <w:t>三、提交服务成果地点：采购人指定地点。</w:t>
            </w:r>
          </w:p>
          <w:p>
            <w:pPr>
              <w:spacing w:line="440" w:lineRule="exact"/>
              <w:rPr>
                <w:rFonts w:hint="eastAsia" w:ascii="宋体" w:hAnsi="宋体" w:eastAsia="宋体"/>
              </w:rPr>
            </w:pPr>
            <w:r>
              <w:rPr>
                <w:rFonts w:hint="eastAsia" w:ascii="宋体" w:hAnsi="宋体" w:eastAsia="宋体"/>
              </w:rPr>
              <w:t>四、项目实施要求：</w:t>
            </w:r>
          </w:p>
          <w:p>
            <w:pPr>
              <w:spacing w:line="440" w:lineRule="exact"/>
              <w:rPr>
                <w:rFonts w:hint="eastAsia" w:ascii="宋体" w:hAnsi="宋体" w:eastAsia="宋体"/>
              </w:rPr>
            </w:pPr>
            <w:r>
              <w:rPr>
                <w:rFonts w:hint="eastAsia" w:ascii="宋体" w:hAnsi="宋体" w:eastAsia="宋体"/>
              </w:rPr>
              <w:t>★（1）中标供应商在软件开发与实施前应提供系统开发与实施过程的工作内容和方法、工作日程表等进度计划方案，并在征得采购人的认可和同意后，双方就进度等详细内容双方负责人签订确认后中标供应商应立即开始严格按照进度计划方案执行。进度计划方案至少应包括到项目组人员、软件开发进度安排、软件开发具体内容、系统测试、系统联调、系统试运行、验收、应用系统测试与上线、技术培训等内容。自系统开发与实施工作一开始，采购人有权指定本单位技术人员参与中标供应商的软开发、实施、测试、诊断及解决遇到的问题等各项工作。</w:t>
            </w:r>
          </w:p>
          <w:p>
            <w:pPr>
              <w:spacing w:line="440" w:lineRule="exact"/>
              <w:rPr>
                <w:rFonts w:hint="eastAsia" w:ascii="宋体" w:hAnsi="宋体" w:eastAsia="宋体"/>
              </w:rPr>
            </w:pPr>
            <w:r>
              <w:rPr>
                <w:rFonts w:hint="eastAsia" w:ascii="宋体" w:hAnsi="宋体" w:eastAsia="宋体"/>
              </w:rPr>
              <w:t>（2）中标供应商在软件开发与实施前应提供软件开发方案，应用软件系统开发必须满足采购人对应用系统的集成要求。</w:t>
            </w:r>
          </w:p>
          <w:p>
            <w:pPr>
              <w:spacing w:line="440" w:lineRule="exact"/>
              <w:rPr>
                <w:rFonts w:hint="eastAsia" w:ascii="宋体" w:hAnsi="宋体" w:eastAsia="宋体"/>
              </w:rPr>
            </w:pPr>
            <w:r>
              <w:rPr>
                <w:rFonts w:hint="eastAsia" w:ascii="宋体" w:hAnsi="宋体" w:eastAsia="宋体"/>
              </w:rPr>
              <w:t>（3）应用软件系统开发必须达到采购人最终主要用户关于功能性要求和易用性评价标准。各功能模块的易操作性需达到采购人的要求，如达不到要求，需进行整改完善。</w:t>
            </w:r>
          </w:p>
          <w:p>
            <w:pPr>
              <w:spacing w:line="440" w:lineRule="exact"/>
              <w:rPr>
                <w:rFonts w:hint="eastAsia" w:ascii="宋体" w:hAnsi="宋体" w:eastAsia="宋体"/>
                <w:color w:val="auto"/>
              </w:rPr>
            </w:pPr>
            <w:r>
              <w:rPr>
                <w:rFonts w:hint="eastAsia" w:ascii="宋体" w:hAnsi="宋体" w:eastAsia="宋体"/>
              </w:rPr>
              <w:t>★</w:t>
            </w:r>
            <w:r>
              <w:rPr>
                <w:rFonts w:hint="eastAsia" w:ascii="宋体" w:hAnsi="宋体" w:eastAsia="宋体"/>
                <w:color w:val="auto"/>
              </w:rPr>
              <w:t>（4）项目开发至竣工验收，中标供应商应安排软件人员驻采购人处，建设期必须提供至少2名驻场人员，至少有1名具有测绘地理信息类职称的技术人员驻采购人现场开发，上线试运行后至少提供5名技术人员现场维护，项目负责人须亲自参与项目重大节点工作。（上述人员须提供人员名单、相关职称证书复印件及投标人为其缴纳近半年内连续三个月社保缴纳证明复印件或提供中标后确保上述人员驻采购人处的承诺函（采购人有权在合同期内随时抽查上述人员到位情况，若发现与投标承诺函不符，则按虚假应标处理。）</w:t>
            </w:r>
          </w:p>
          <w:p>
            <w:pPr>
              <w:spacing w:line="440" w:lineRule="exact"/>
              <w:rPr>
                <w:rFonts w:hint="eastAsia" w:ascii="宋体" w:hAnsi="宋体" w:eastAsia="宋体"/>
              </w:rPr>
            </w:pPr>
            <w:r>
              <w:rPr>
                <w:rFonts w:hint="eastAsia" w:ascii="宋体" w:hAnsi="宋体" w:eastAsia="宋体"/>
                <w:color w:val="auto"/>
              </w:rPr>
              <w:t>（5）中标供应商能够根据采购人的要求和具体需要，提供本次项目系统开发平台的</w:t>
            </w:r>
            <w:r>
              <w:rPr>
                <w:rFonts w:hint="eastAsia" w:ascii="宋体" w:hAnsi="宋体" w:eastAsia="宋体"/>
              </w:rPr>
              <w:t>二次应用开发，并且负责提供书面的合理可行的系统运行调优方案和建议。</w:t>
            </w:r>
          </w:p>
          <w:p>
            <w:pPr>
              <w:spacing w:line="440" w:lineRule="exact"/>
              <w:rPr>
                <w:rFonts w:hint="eastAsia" w:ascii="宋体" w:hAnsi="宋体" w:eastAsia="宋体"/>
              </w:rPr>
            </w:pPr>
            <w:r>
              <w:rPr>
                <w:rFonts w:hint="eastAsia" w:ascii="宋体" w:hAnsi="宋体" w:eastAsia="宋体"/>
              </w:rPr>
              <w:t>★（6）中标供应商能按采购人</w:t>
            </w:r>
            <w:r>
              <w:rPr>
                <w:rFonts w:hint="eastAsia" w:ascii="宋体" w:hAnsi="宋体" w:eastAsia="宋体"/>
                <w:lang w:eastAsia="zh-CN"/>
              </w:rPr>
              <w:t>的要求</w:t>
            </w:r>
            <w:r>
              <w:rPr>
                <w:rFonts w:hint="eastAsia" w:ascii="宋体" w:hAnsi="宋体" w:eastAsia="宋体"/>
              </w:rPr>
              <w:t>调整对相应的软件功能的改动。同时，负责开发各业务系统的数据接口，实现数据交换对接与共享功能。</w:t>
            </w:r>
          </w:p>
          <w:p>
            <w:pPr>
              <w:spacing w:line="440" w:lineRule="exact"/>
              <w:rPr>
                <w:rFonts w:hint="eastAsia" w:ascii="宋体" w:hAnsi="宋体" w:eastAsia="宋体"/>
              </w:rPr>
            </w:pPr>
            <w:r>
              <w:rPr>
                <w:rFonts w:hint="eastAsia" w:ascii="宋体" w:hAnsi="宋体" w:eastAsia="宋体"/>
              </w:rPr>
              <w:t>（7）中标供应商必须提供详细的软件调研报告、开发进度计划、应用推广、软件培训等方案。</w:t>
            </w:r>
          </w:p>
          <w:p>
            <w:pPr>
              <w:spacing w:line="440" w:lineRule="exact"/>
              <w:rPr>
                <w:rFonts w:hint="eastAsia" w:ascii="宋体" w:hAnsi="宋体" w:eastAsia="宋体"/>
              </w:rPr>
            </w:pPr>
            <w:r>
              <w:rPr>
                <w:rFonts w:hint="eastAsia" w:ascii="宋体" w:hAnsi="宋体" w:eastAsia="宋体"/>
              </w:rPr>
              <w:t>（8）应用软件可扩展性要求：应用软件的源程序要求具有良好的编程风格，系统具有良好的扩展性和二次开发能力。</w:t>
            </w:r>
          </w:p>
          <w:p>
            <w:pPr>
              <w:spacing w:line="440" w:lineRule="exact"/>
              <w:rPr>
                <w:rFonts w:hint="eastAsia" w:ascii="宋体" w:hAnsi="宋体" w:eastAsia="宋体"/>
              </w:rPr>
            </w:pPr>
            <w:r>
              <w:rPr>
                <w:rFonts w:hint="eastAsia" w:ascii="宋体" w:hAnsi="宋体" w:eastAsia="宋体"/>
              </w:rPr>
              <w:t>★（9）应用软件系统交付前需经采购人对所交付的项目进行功能和运行检测，以确认交付项目符合本项目技术参数要求；检测标准以本项目提交的系统功能需求全部满足各项技术参数，确保采购人的各项业务能正常开展为准。</w:t>
            </w:r>
          </w:p>
          <w:p>
            <w:pPr>
              <w:spacing w:line="440" w:lineRule="exact"/>
              <w:rPr>
                <w:rFonts w:hint="eastAsia" w:ascii="宋体" w:hAnsi="宋体" w:eastAsia="宋体"/>
              </w:rPr>
            </w:pPr>
            <w:r>
              <w:rPr>
                <w:rFonts w:hint="eastAsia" w:ascii="宋体" w:hAnsi="宋体" w:eastAsia="宋体"/>
              </w:rPr>
              <w:t>★（10）中标供应商应向采购人提供系统开发与实施的具体测试计划、内容和方法,并经与采购人讨论并通过后，方可进行测试。由第三方测评机构进行系统测试，系统测试中如发现软件性能指标或功能上不符合招标文件要求或最终签订的合同时，将被视为性能不合格，采购人有权拒收货物并要求中标供应商赔偿。</w:t>
            </w:r>
          </w:p>
          <w:p>
            <w:pPr>
              <w:spacing w:line="440" w:lineRule="exact"/>
              <w:rPr>
                <w:rFonts w:hint="eastAsia" w:ascii="宋体" w:hAnsi="宋体" w:eastAsia="宋体"/>
              </w:rPr>
            </w:pPr>
            <w:r>
              <w:rPr>
                <w:rFonts w:hint="eastAsia" w:ascii="宋体" w:hAnsi="宋体" w:eastAsia="宋体"/>
              </w:rPr>
              <w:t>★（11）中标供应商须按照等保二级2.0要求进行研发，并通过等保二级测评，如等保测评不合格，须完善后进行二次测评并保证测评通过，方可验收。</w:t>
            </w:r>
          </w:p>
          <w:p>
            <w:pPr>
              <w:spacing w:line="440" w:lineRule="exact"/>
              <w:rPr>
                <w:rFonts w:hint="eastAsia" w:ascii="宋体" w:hAnsi="宋体" w:eastAsia="宋体"/>
              </w:rPr>
            </w:pPr>
            <w:r>
              <w:rPr>
                <w:rFonts w:hint="eastAsia" w:ascii="宋体" w:hAnsi="宋体" w:eastAsia="宋体"/>
              </w:rPr>
              <w:t>五、项目质量保障要求：</w:t>
            </w:r>
          </w:p>
          <w:p>
            <w:pPr>
              <w:spacing w:line="440" w:lineRule="exact"/>
              <w:rPr>
                <w:rFonts w:hint="eastAsia" w:ascii="宋体" w:hAnsi="宋体" w:eastAsia="宋体"/>
              </w:rPr>
            </w:pPr>
            <w:r>
              <w:rPr>
                <w:rFonts w:hint="eastAsia" w:ascii="宋体" w:hAnsi="宋体" w:eastAsia="宋体"/>
              </w:rPr>
              <w:t>（1）投标人应确保其开发的产品以及所提供产品的完整性、实用性，保证全部系统及时投入正常运行。若因投标人提供的产品不满足要求、不合理，或者所提供的技术支持和服务不全面，而导致系统无法实现或不能完全实现的状况，投标人负全部责任。</w:t>
            </w:r>
          </w:p>
          <w:p>
            <w:pPr>
              <w:spacing w:line="440" w:lineRule="exact"/>
              <w:rPr>
                <w:rFonts w:hint="eastAsia" w:ascii="宋体" w:hAnsi="宋体" w:eastAsia="宋体"/>
              </w:rPr>
            </w:pPr>
            <w:r>
              <w:rPr>
                <w:rFonts w:hint="eastAsia" w:ascii="宋体" w:hAnsi="宋体" w:eastAsia="宋体"/>
              </w:rPr>
              <w:t>（2）中标供应商在项目开发过程中，根据采购人的业务要求提供系统开发服务，利用采购人的物质技术条件、业务信息等产生的用于本项目的发明创造、信息资产等服务成果，产权归采购人所有，有关的知识产权属于采购人与中标供应商共有。采购人可以在其业务范围内充分自由地利用这些成果开展业务活动。中标供应商应当依采购人的要求，提供一切必要的信息和采取一切必要的行动，包括申请、注册、登记等，协助采购人取得和行使有关的知识产权。</w:t>
            </w:r>
          </w:p>
          <w:p>
            <w:pPr>
              <w:spacing w:line="440" w:lineRule="exact"/>
              <w:ind w:firstLine="440" w:firstLineChars="200"/>
              <w:rPr>
                <w:rFonts w:hint="eastAsia" w:ascii="宋体" w:hAnsi="宋体" w:eastAsia="宋体"/>
              </w:rPr>
            </w:pPr>
            <w:r>
              <w:rPr>
                <w:rFonts w:hint="eastAsia" w:ascii="宋体" w:hAnsi="宋体" w:eastAsia="宋体"/>
              </w:rPr>
              <w:t>上述服务成果有关的发明权、署名权（依照法律规定应由中标供应商署名的除外）等精神权利归采购人与中标供应商共有，中标供应商应尊重采购人的精神权利并协助采购人行使这些权利。</w:t>
            </w:r>
          </w:p>
          <w:p>
            <w:pPr>
              <w:spacing w:line="440" w:lineRule="exact"/>
              <w:rPr>
                <w:rFonts w:hint="eastAsia" w:ascii="宋体" w:hAnsi="宋体" w:eastAsia="宋体"/>
              </w:rPr>
            </w:pPr>
            <w:r>
              <w:rPr>
                <w:rFonts w:hint="eastAsia" w:ascii="宋体" w:hAnsi="宋体" w:eastAsia="宋体"/>
              </w:rPr>
              <w:t>（3）中标供应商在为采购人提供开发服务期间使用中标供应商已有的获得国家认可知识产权的技术成果用于本项目的开发建设，产生费用的计入本项目的开发成本并及时向采购方申明。经采购人核实，确认属于专利成果的，采购人只享有该技术的使用权，在采购人的业务范围内可以充分使用，但不得用于其它商用目的，亦不得自行向第三方转让。</w:t>
            </w:r>
          </w:p>
          <w:p>
            <w:pPr>
              <w:spacing w:line="440" w:lineRule="exact"/>
              <w:ind w:firstLine="440" w:firstLineChars="200"/>
              <w:rPr>
                <w:rFonts w:hint="eastAsia" w:ascii="宋体" w:hAnsi="宋体" w:eastAsia="宋体"/>
              </w:rPr>
            </w:pPr>
            <w:r>
              <w:rPr>
                <w:rFonts w:hint="eastAsia" w:ascii="宋体" w:hAnsi="宋体" w:eastAsia="宋体"/>
              </w:rPr>
              <w:t>中标供应商没有申明的，推定其属于开发服务成果，采购人可以使用这些成果进行相关的业务活动。即使日后证明实际上是属于专利成果的，中标供应商亦不得要求采购人承担任何经济责任。</w:t>
            </w:r>
          </w:p>
          <w:p>
            <w:pPr>
              <w:spacing w:line="440" w:lineRule="exact"/>
              <w:rPr>
                <w:rFonts w:hint="eastAsia" w:ascii="宋体" w:hAnsi="宋体" w:eastAsia="宋体"/>
              </w:rPr>
            </w:pPr>
            <w:r>
              <w:rPr>
                <w:rFonts w:hint="eastAsia" w:ascii="宋体" w:hAnsi="宋体" w:eastAsia="宋体"/>
              </w:rPr>
              <w:t>（4）中标供应商在为采购人提供开发服务期间，出于项目的需要使用任何第三方的软件知识产权的产品，中标供应商需具有对该产品合法所有权或使用权或分许可权，在不侵犯第三方合法权益的情况下使用，使用第三方产品产生的费用纳入本项目的开发成本。</w:t>
            </w:r>
          </w:p>
          <w:p>
            <w:pPr>
              <w:spacing w:line="440" w:lineRule="exact"/>
              <w:ind w:firstLine="440" w:firstLineChars="200"/>
              <w:rPr>
                <w:rFonts w:hint="eastAsia" w:ascii="宋体" w:hAnsi="宋体" w:eastAsia="宋体"/>
              </w:rPr>
            </w:pPr>
            <w:r>
              <w:rPr>
                <w:rFonts w:hint="eastAsia" w:ascii="宋体" w:hAnsi="宋体" w:eastAsia="宋体"/>
              </w:rPr>
              <w:t>中标供应商违反本条规定而产生侵权纠纷，导致采购人不能正常运行本项目开发的系统，则中标供应商负责赔偿采购人由此造成的全部损失。</w:t>
            </w:r>
          </w:p>
          <w:p>
            <w:pPr>
              <w:spacing w:line="440" w:lineRule="exact"/>
              <w:rPr>
                <w:rFonts w:hint="eastAsia" w:ascii="宋体" w:hAnsi="宋体" w:eastAsia="宋体"/>
              </w:rPr>
            </w:pPr>
            <w:r>
              <w:rPr>
                <w:rFonts w:hint="eastAsia" w:ascii="宋体" w:hAnsi="宋体" w:eastAsia="宋体"/>
              </w:rPr>
              <w:t>★（5）本项目及本平台涉及采购人的业务数据均属采购人所有，中标供应商无权私自处置或作为其他用途。中标供应商若因本项目工作内容要求对采购人的数据进行处理，需经采购人书面正式确认。</w:t>
            </w:r>
          </w:p>
          <w:p>
            <w:pPr>
              <w:spacing w:line="440" w:lineRule="exact"/>
              <w:rPr>
                <w:rFonts w:hint="eastAsia" w:ascii="宋体" w:hAnsi="宋体" w:eastAsia="宋体"/>
              </w:rPr>
            </w:pPr>
            <w:r>
              <w:rPr>
                <w:rFonts w:hint="eastAsia" w:ascii="宋体" w:hAnsi="宋体" w:eastAsia="宋体"/>
              </w:rPr>
              <w:t>★（6）中标供应商需提供为本项目开发的所有运行程序、配套的设计文档以及业务应用源代码给采购人，用于</w:t>
            </w:r>
            <w:r>
              <w:rPr>
                <w:rFonts w:hint="eastAsia" w:ascii="宋体" w:hAnsi="宋体" w:eastAsia="宋体"/>
                <w:lang w:eastAsia="zh-CN"/>
              </w:rPr>
              <w:t>对</w:t>
            </w:r>
            <w:r>
              <w:rPr>
                <w:rFonts w:hint="eastAsia" w:ascii="宋体" w:hAnsi="宋体" w:eastAsia="宋体"/>
              </w:rPr>
              <w:t>本平台的软件进行修改、升级和维护。</w:t>
            </w:r>
            <w:r>
              <w:rPr>
                <w:rFonts w:hint="eastAsia" w:ascii="宋体" w:hAnsi="宋体" w:eastAsia="宋体"/>
                <w:lang w:eastAsia="zh-CN"/>
              </w:rPr>
              <w:t>本</w:t>
            </w:r>
            <w:r>
              <w:rPr>
                <w:rFonts w:hint="eastAsia" w:ascii="宋体" w:hAnsi="宋体" w:eastAsia="宋体"/>
              </w:rPr>
              <w:t>平台的软件的修改、升级和维护权利归采购人所有。</w:t>
            </w:r>
          </w:p>
          <w:p>
            <w:pPr>
              <w:spacing w:line="440" w:lineRule="exact"/>
              <w:rPr>
                <w:rFonts w:hint="eastAsia" w:ascii="宋体" w:hAnsi="宋体" w:eastAsia="宋体"/>
              </w:rPr>
            </w:pPr>
            <w:r>
              <w:rPr>
                <w:rFonts w:hint="eastAsia" w:ascii="宋体" w:hAnsi="宋体" w:eastAsia="宋体"/>
              </w:rPr>
              <w:t>★（7）中标供应商提供的应用软件系统中各子系统的使用许可证为永久许可证，采购人可以永久使用所有软件、技术文档和介质，以保障采购人正常业务开展的需要。</w:t>
            </w:r>
          </w:p>
          <w:p>
            <w:pPr>
              <w:spacing w:line="440" w:lineRule="exact"/>
              <w:rPr>
                <w:rFonts w:hint="eastAsia" w:ascii="宋体" w:hAnsi="宋体" w:eastAsia="宋体"/>
              </w:rPr>
            </w:pPr>
            <w:r>
              <w:rPr>
                <w:rFonts w:hint="eastAsia" w:ascii="宋体" w:hAnsi="宋体" w:eastAsia="宋体"/>
              </w:rPr>
              <w:t>（8）采购人有自行对该产品、技术文档和介质做额外的拷贝备份的使用权。</w:t>
            </w:r>
          </w:p>
          <w:p>
            <w:pPr>
              <w:spacing w:line="440" w:lineRule="exact"/>
              <w:rPr>
                <w:rFonts w:hint="eastAsia" w:ascii="宋体" w:hAnsi="宋体" w:eastAsia="宋体"/>
              </w:rPr>
            </w:pPr>
            <w:r>
              <w:rPr>
                <w:rFonts w:hint="eastAsia" w:ascii="宋体" w:hAnsi="宋体" w:eastAsia="宋体"/>
              </w:rPr>
              <w:t>六、培训要求：</w:t>
            </w:r>
          </w:p>
          <w:p>
            <w:pPr>
              <w:spacing w:line="440" w:lineRule="exact"/>
              <w:rPr>
                <w:rFonts w:hint="eastAsia" w:ascii="宋体" w:hAnsi="宋体" w:eastAsia="宋体"/>
              </w:rPr>
            </w:pPr>
            <w:r>
              <w:rPr>
                <w:rFonts w:hint="eastAsia" w:ascii="宋体" w:hAnsi="宋体" w:eastAsia="宋体"/>
              </w:rPr>
              <w:t>（1）在应用软件开发与实施完成后，根据采购人要求，中标供应商免费给系统使用用户提供各个应用系统相关的业务培训，投标时提供详细的培训方案。</w:t>
            </w:r>
          </w:p>
          <w:p>
            <w:pPr>
              <w:spacing w:line="440" w:lineRule="exact"/>
              <w:rPr>
                <w:rFonts w:hint="eastAsia" w:ascii="宋体" w:hAnsi="宋体" w:eastAsia="宋体"/>
              </w:rPr>
            </w:pPr>
            <w:r>
              <w:rPr>
                <w:rFonts w:hint="eastAsia" w:ascii="宋体" w:hAnsi="宋体" w:eastAsia="宋体"/>
              </w:rPr>
              <w:t>★（2）免费对采购人的管理人员、应用使用人员进行集中培训，确保采购</w:t>
            </w:r>
            <w:r>
              <w:rPr>
                <w:rFonts w:hint="eastAsia" w:ascii="宋体" w:hAnsi="宋体" w:eastAsia="宋体"/>
                <w:lang w:eastAsia="zh-CN"/>
              </w:rPr>
              <w:t>人</w:t>
            </w:r>
            <w:r>
              <w:rPr>
                <w:rFonts w:hint="eastAsia" w:ascii="宋体" w:hAnsi="宋体" w:eastAsia="宋体"/>
              </w:rPr>
              <w:t>系统使用相关人员，能够理解系统功能，熟练掌握系统操作流程、常用功能等应用，能熟练掌握软件的原理和技术性能、操作维护方法、常见故障解决和升级等各个方面。</w:t>
            </w:r>
          </w:p>
          <w:p>
            <w:pPr>
              <w:spacing w:line="440" w:lineRule="exact"/>
              <w:rPr>
                <w:rFonts w:hint="eastAsia" w:ascii="宋体" w:hAnsi="宋体" w:eastAsia="宋体"/>
              </w:rPr>
            </w:pPr>
            <w:r>
              <w:rPr>
                <w:rFonts w:hint="eastAsia" w:ascii="宋体" w:hAnsi="宋体" w:eastAsia="宋体"/>
              </w:rPr>
              <w:t>（3）培训范围覆盖使用系统的相关人员。培训地点、培训时间和期限由本项目采购人根据需要确定。</w:t>
            </w:r>
          </w:p>
          <w:p>
            <w:pPr>
              <w:spacing w:line="440" w:lineRule="exact"/>
              <w:rPr>
                <w:rFonts w:hint="eastAsia" w:ascii="宋体" w:hAnsi="宋体" w:eastAsia="宋体"/>
              </w:rPr>
            </w:pPr>
            <w:r>
              <w:rPr>
                <w:rFonts w:hint="eastAsia" w:ascii="宋体" w:hAnsi="宋体" w:eastAsia="宋体"/>
              </w:rPr>
              <w:t>（4）中标供应商必须为采购人提供专业的培训，配备有完善的培训师资、软件和最新版中文培训教材；对于所有培训，投标人必须派出熟悉本项目系统操作及后台管理，并有参与研发的人员进行培训。</w:t>
            </w:r>
          </w:p>
          <w:p>
            <w:pPr>
              <w:spacing w:line="440" w:lineRule="exact"/>
              <w:rPr>
                <w:rFonts w:hint="eastAsia" w:ascii="宋体" w:hAnsi="宋体" w:eastAsia="宋体"/>
              </w:rPr>
            </w:pPr>
            <w:r>
              <w:rPr>
                <w:rFonts w:hint="eastAsia" w:ascii="宋体" w:hAnsi="宋体" w:eastAsia="宋体"/>
              </w:rPr>
              <w:t>★（5）现场安装培训：工程师须在安装现场对采购人软件安装和基本操作培训。软件安装培训内容包括：软件的开发基础知识、软件安装的硬件基本配置、软件基本配置、具体的安装配置和操作过程，基本软件操作以及其他相关技术培训。</w:t>
            </w:r>
          </w:p>
          <w:p>
            <w:pPr>
              <w:spacing w:line="440" w:lineRule="exact"/>
              <w:rPr>
                <w:rFonts w:hint="eastAsia" w:ascii="宋体" w:hAnsi="宋体" w:eastAsia="宋体"/>
              </w:rPr>
            </w:pPr>
            <w:r>
              <w:rPr>
                <w:rFonts w:hint="eastAsia" w:ascii="宋体" w:hAnsi="宋体" w:eastAsia="宋体"/>
              </w:rPr>
              <w:t>★（6）技术培训：内容应包括体系结构介绍、功能介绍、城市信息模型介绍、大数据平台架构介绍、安装培训、系统操作与使用培训、系统开发、系统管理以及其他相关技术培训，现场集中培训不少于两次。</w:t>
            </w:r>
          </w:p>
          <w:p>
            <w:pPr>
              <w:spacing w:line="440" w:lineRule="exact"/>
              <w:rPr>
                <w:rFonts w:hint="eastAsia" w:ascii="宋体" w:hAnsi="宋体" w:eastAsia="宋体"/>
              </w:rPr>
            </w:pPr>
            <w:r>
              <w:rPr>
                <w:rFonts w:hint="eastAsia" w:ascii="宋体" w:hAnsi="宋体" w:eastAsia="宋体"/>
              </w:rPr>
              <w:t>（7）中标供应商负责南宁市集中培训场地、培训教材（培训教材包括系统各平台详细操作手册和使用说明）、培训教师以及培训所需的硬软件环境，为采购人被培训人员提供培训用中文培训教材（纸质稿和电子稿）和讲义等相关用品，培训费用及被培训人员所有费用由中标供应商负责。</w:t>
            </w:r>
          </w:p>
          <w:p>
            <w:pPr>
              <w:spacing w:line="440" w:lineRule="exact"/>
              <w:rPr>
                <w:rFonts w:hint="eastAsia" w:ascii="宋体" w:hAnsi="宋体" w:eastAsia="宋体"/>
              </w:rPr>
            </w:pPr>
            <w:r>
              <w:rPr>
                <w:rFonts w:hint="eastAsia" w:ascii="宋体" w:hAnsi="宋体" w:eastAsia="宋体"/>
              </w:rPr>
              <w:t>七、售后服务要求：</w:t>
            </w:r>
          </w:p>
          <w:p>
            <w:pPr>
              <w:spacing w:line="440" w:lineRule="exact"/>
              <w:rPr>
                <w:rFonts w:hint="eastAsia" w:ascii="宋体" w:hAnsi="宋体" w:eastAsia="宋体"/>
              </w:rPr>
            </w:pPr>
            <w:r>
              <w:rPr>
                <w:rFonts w:hint="eastAsia" w:ascii="宋体" w:hAnsi="宋体" w:eastAsia="宋体"/>
              </w:rPr>
              <w:t>★1、质量保证期2年（自最终验收合格之日起计）。在质保期内，当行业标准、技术规范发生改变时，中标供应商须免费修改相关内容。</w:t>
            </w:r>
          </w:p>
          <w:p>
            <w:pPr>
              <w:spacing w:line="440" w:lineRule="exact"/>
              <w:rPr>
                <w:rFonts w:hint="eastAsia" w:ascii="宋体" w:hAnsi="宋体" w:eastAsia="宋体"/>
              </w:rPr>
            </w:pPr>
            <w:r>
              <w:rPr>
                <w:rFonts w:hint="eastAsia" w:ascii="宋体" w:hAnsi="宋体" w:eastAsia="宋体"/>
              </w:rPr>
              <w:t>★2、系统维护的范围包括：系统优化、系统的正常运行和数据维护。</w:t>
            </w:r>
          </w:p>
          <w:p>
            <w:pPr>
              <w:spacing w:line="440" w:lineRule="exact"/>
              <w:rPr>
                <w:rFonts w:hint="eastAsia" w:ascii="宋体" w:hAnsi="宋体" w:eastAsia="宋体"/>
              </w:rPr>
            </w:pPr>
            <w:r>
              <w:rPr>
                <w:rFonts w:hint="eastAsia" w:ascii="宋体" w:hAnsi="宋体" w:eastAsia="宋体"/>
              </w:rPr>
              <w:t>★3、质保期内，免费进行软件修改、完善。如系统设计存在重大缺陷，导致无法运行或效率低下，须对系统进行结构性调整开发至满足使用要求。</w:t>
            </w:r>
          </w:p>
          <w:p>
            <w:pPr>
              <w:spacing w:line="440" w:lineRule="exact"/>
              <w:rPr>
                <w:rFonts w:hint="eastAsia" w:ascii="宋体" w:hAnsi="宋体" w:eastAsia="宋体"/>
              </w:rPr>
            </w:pPr>
            <w:r>
              <w:rPr>
                <w:rFonts w:hint="eastAsia" w:ascii="宋体" w:hAnsi="宋体" w:eastAsia="宋体"/>
              </w:rPr>
              <w:t>4、在质保期内提供免费的维护，期间如发生系统运作故障，或出现瑕疵与缺陷，中标供应商需及时作出响应提供维护服务。中标供应商应当配合采购人做好系统的信息安全方面工作，如出现信息安全方面的漏洞，中标供应商需及时作出响应并提供维护服务。</w:t>
            </w:r>
          </w:p>
          <w:p>
            <w:pPr>
              <w:spacing w:line="440" w:lineRule="exact"/>
              <w:rPr>
                <w:rFonts w:hint="eastAsia" w:ascii="宋体" w:hAnsi="宋体" w:eastAsia="宋体"/>
              </w:rPr>
            </w:pPr>
            <w:r>
              <w:rPr>
                <w:rFonts w:hint="eastAsia" w:ascii="宋体" w:hAnsi="宋体" w:eastAsia="宋体"/>
              </w:rPr>
              <w:t>★5、中标供应商应提供完整有效安全的成果及数据，对整个系统项目如出现漏洞（专业术语BUG），实行质保期内免费修改维护。</w:t>
            </w:r>
          </w:p>
          <w:p>
            <w:pPr>
              <w:spacing w:line="440" w:lineRule="exact"/>
              <w:rPr>
                <w:rFonts w:hint="eastAsia" w:ascii="宋体" w:hAnsi="宋体" w:eastAsia="宋体"/>
              </w:rPr>
            </w:pPr>
            <w:r>
              <w:rPr>
                <w:rFonts w:hint="eastAsia" w:ascii="宋体" w:hAnsi="宋体" w:eastAsia="宋体"/>
              </w:rPr>
              <w:t>★6、故障响应时间：软件出现故障时，接到采购人处理问题通知后，除驻场技术人员马上响应外，其它维护力量2小时内到达采购人指定现场，8小时内解决故障并恢复系统运行，终身提供免费技术支持。</w:t>
            </w:r>
          </w:p>
          <w:p>
            <w:pPr>
              <w:spacing w:line="440" w:lineRule="exact"/>
              <w:rPr>
                <w:rFonts w:hint="eastAsia" w:ascii="宋体" w:hAnsi="宋体" w:eastAsia="宋体"/>
              </w:rPr>
            </w:pPr>
            <w:r>
              <w:rPr>
                <w:rFonts w:hint="eastAsia" w:ascii="宋体" w:hAnsi="宋体" w:eastAsia="宋体"/>
              </w:rPr>
              <w:t>7、中标供应商能提供7×24通过远程、上门服务、电话、E-mail等方式为用户提供终身完善的售前和售后技术咨询服务；</w:t>
            </w:r>
          </w:p>
          <w:p>
            <w:pPr>
              <w:spacing w:line="440" w:lineRule="exact"/>
              <w:rPr>
                <w:rFonts w:hint="eastAsia" w:ascii="宋体" w:hAnsi="宋体" w:eastAsia="宋体"/>
                <w:color w:val="auto"/>
              </w:rPr>
            </w:pPr>
            <w:r>
              <w:rPr>
                <w:rFonts w:hint="eastAsia" w:ascii="宋体" w:hAnsi="宋体" w:eastAsia="宋体"/>
              </w:rPr>
              <w:t>★8、每</w:t>
            </w:r>
            <w:r>
              <w:rPr>
                <w:rFonts w:hint="eastAsia" w:ascii="宋体" w:hAnsi="宋体" w:eastAsia="宋体"/>
                <w:color w:val="auto"/>
              </w:rPr>
              <w:t>个月不少于1次定期回访及对系统进行维护，并出具数据分析报告、运维报告。</w:t>
            </w:r>
          </w:p>
          <w:p>
            <w:pPr>
              <w:spacing w:line="440" w:lineRule="exact"/>
              <w:rPr>
                <w:rFonts w:hint="eastAsia" w:ascii="宋体" w:hAnsi="宋体" w:eastAsia="宋体"/>
                <w:color w:val="auto"/>
              </w:rPr>
            </w:pPr>
            <w:r>
              <w:rPr>
                <w:rFonts w:hint="eastAsia" w:ascii="宋体" w:hAnsi="宋体" w:eastAsia="宋体"/>
                <w:color w:val="auto"/>
              </w:rPr>
              <w:t>★9、投标人须提供至少2名技术人员5×8小时本地化驻场服务，必须有1 名具有测绘地理信息类职称的运维人员,并提供售后服务联系人姓名、电话、详细地址等信息。（须提供人员名单及投标人为其缴纳近半年内连续三个月社保缴纳证明复印件。）</w:t>
            </w:r>
          </w:p>
          <w:p>
            <w:pPr>
              <w:spacing w:line="440" w:lineRule="exact"/>
              <w:rPr>
                <w:rFonts w:hint="eastAsia" w:ascii="宋体" w:hAnsi="宋体" w:eastAsia="宋体"/>
              </w:rPr>
            </w:pPr>
            <w:r>
              <w:rPr>
                <w:rFonts w:hint="eastAsia" w:ascii="宋体" w:hAnsi="宋体" w:eastAsia="宋体"/>
              </w:rPr>
              <w:t>10、质保期后，中标供应商应承诺提供系统升级、故障排除、性能调优等技术咨询和技术支持等。</w:t>
            </w:r>
          </w:p>
          <w:p>
            <w:pPr>
              <w:spacing w:line="440" w:lineRule="exact"/>
              <w:rPr>
                <w:rFonts w:hint="eastAsia" w:ascii="宋体" w:hAnsi="宋体" w:eastAsia="宋体"/>
              </w:rPr>
            </w:pPr>
            <w:r>
              <w:rPr>
                <w:rFonts w:hint="eastAsia" w:ascii="宋体" w:hAnsi="宋体" w:eastAsia="宋体"/>
              </w:rPr>
              <w:t>11、中标供应商应在质保期开始前制定软件运行维护、升级管理的详细方案，并由现场驻点人员按方案要求定期记录和实施升级服务。</w:t>
            </w:r>
          </w:p>
          <w:p>
            <w:pPr>
              <w:spacing w:line="440" w:lineRule="exact"/>
              <w:rPr>
                <w:rFonts w:hint="eastAsia" w:ascii="宋体" w:hAnsi="宋体" w:eastAsia="宋体"/>
              </w:rPr>
            </w:pPr>
            <w:r>
              <w:rPr>
                <w:rFonts w:hint="eastAsia" w:ascii="宋体" w:hAnsi="宋体" w:eastAsia="宋体"/>
              </w:rPr>
              <w:t>12、中标供应商必须严格遵守采购人各项管理规定，在任何情况下，禁止复制、传播、引用及非开发需要查询所接触到的采购人各类业务数据、工作要求和工作措施等信息，未经授权禁止向采购人主管部门以外的单位和个人演示该系统。</w:t>
            </w:r>
          </w:p>
          <w:p>
            <w:pPr>
              <w:spacing w:line="440" w:lineRule="exact"/>
              <w:rPr>
                <w:rFonts w:hint="eastAsia" w:ascii="宋体" w:hAnsi="宋体" w:eastAsia="宋体"/>
              </w:rPr>
            </w:pPr>
            <w:r>
              <w:rPr>
                <w:rFonts w:hint="eastAsia" w:ascii="宋体" w:hAnsi="宋体" w:eastAsia="宋体"/>
              </w:rPr>
              <w:t>★13、投标人应响应上述售后服务要求，并根据本项目的具体要求在投标文件中提供各自详细具体的售后服务方案、条款及保证。</w:t>
            </w:r>
          </w:p>
          <w:p>
            <w:pPr>
              <w:spacing w:line="440" w:lineRule="exact"/>
              <w:rPr>
                <w:rFonts w:hint="eastAsia" w:ascii="宋体" w:hAnsi="宋体" w:eastAsia="宋体"/>
              </w:rPr>
            </w:pPr>
            <w:r>
              <w:rPr>
                <w:rFonts w:hint="eastAsia" w:ascii="宋体" w:hAnsi="宋体" w:eastAsia="宋体"/>
              </w:rPr>
              <w:t>八、系统验收要求：</w:t>
            </w:r>
          </w:p>
          <w:p>
            <w:pPr>
              <w:spacing w:line="440" w:lineRule="exact"/>
              <w:rPr>
                <w:rFonts w:hint="eastAsia" w:ascii="宋体" w:hAnsi="宋体" w:eastAsia="宋体"/>
              </w:rPr>
            </w:pPr>
            <w:r>
              <w:rPr>
                <w:rFonts w:hint="eastAsia" w:ascii="宋体" w:hAnsi="宋体" w:eastAsia="宋体"/>
              </w:rPr>
              <w:t>（1）中标后，采购人保留对所投产品进行全面测试的权利，如有虚假应标及不满足投标文件要求的，则视中标供应商违约，收取中标金额的3%作为违约金，同时，解除双方合同。</w:t>
            </w:r>
          </w:p>
          <w:p>
            <w:pPr>
              <w:spacing w:line="440" w:lineRule="exact"/>
              <w:rPr>
                <w:rFonts w:hint="eastAsia" w:ascii="宋体" w:hAnsi="宋体" w:eastAsia="宋体"/>
              </w:rPr>
            </w:pPr>
            <w:r>
              <w:rPr>
                <w:rFonts w:hint="eastAsia" w:ascii="宋体" w:hAnsi="宋体" w:eastAsia="宋体"/>
              </w:rPr>
              <w:t>★（2）验收标准：按生产厂家的产品出厂检验标准、招标文件、设计文件以及国家和行业验收规范要求及合同中的相关条款进行数量及质量的验收。</w:t>
            </w:r>
          </w:p>
          <w:p>
            <w:pPr>
              <w:spacing w:line="440" w:lineRule="exact"/>
              <w:rPr>
                <w:rFonts w:hint="eastAsia" w:ascii="宋体" w:hAnsi="宋体" w:eastAsia="宋体"/>
              </w:rPr>
            </w:pPr>
            <w:r>
              <w:rPr>
                <w:rFonts w:hint="eastAsia" w:ascii="宋体" w:hAnsi="宋体" w:eastAsia="宋体"/>
              </w:rPr>
              <w:t>（3）验收方法：采购人邀请相关部门及有关技术专家现场验收（必要时将邀请第三方专业的检测机构协助验收）。</w:t>
            </w:r>
          </w:p>
          <w:p>
            <w:pPr>
              <w:spacing w:line="440" w:lineRule="exact"/>
              <w:rPr>
                <w:rFonts w:hint="eastAsia" w:ascii="宋体" w:hAnsi="宋体" w:eastAsia="宋体"/>
              </w:rPr>
            </w:pPr>
            <w:r>
              <w:rPr>
                <w:rFonts w:hint="eastAsia" w:ascii="宋体" w:hAnsi="宋体" w:eastAsia="宋体"/>
              </w:rPr>
              <w:t>★（4）验收步骤：</w:t>
            </w:r>
          </w:p>
          <w:p>
            <w:pPr>
              <w:spacing w:line="440" w:lineRule="exact"/>
              <w:rPr>
                <w:rFonts w:hint="eastAsia" w:ascii="宋体" w:hAnsi="宋体" w:eastAsia="宋体"/>
              </w:rPr>
            </w:pPr>
            <w:r>
              <w:rPr>
                <w:rFonts w:hint="eastAsia" w:ascii="宋体" w:hAnsi="宋体" w:eastAsia="宋体"/>
              </w:rPr>
              <w:t>1）项目初验：项目初验为系统功能的整体验收。</w:t>
            </w:r>
          </w:p>
          <w:p>
            <w:pPr>
              <w:spacing w:line="440" w:lineRule="exact"/>
              <w:ind w:firstLine="440" w:firstLineChars="200"/>
              <w:rPr>
                <w:rFonts w:hint="eastAsia" w:ascii="宋体" w:hAnsi="宋体" w:eastAsia="宋体"/>
              </w:rPr>
            </w:pPr>
            <w:r>
              <w:rPr>
                <w:rFonts w:hint="eastAsia" w:ascii="宋体" w:hAnsi="宋体" w:eastAsia="宋体"/>
              </w:rPr>
              <w:t xml:space="preserve">系统安装部署完成后由中标供应商提请项目初验申请，依据《项目合同书》、《项目招投标文件》和有关的补充协议对项目进行初验，项目初验由采购人、评估专家、监理人员和中标供应商共同参加，项目初验时间为系统上线试运行前完成。项目验收测试合格后，由采购人出具《初验报告》。 </w:t>
            </w:r>
          </w:p>
          <w:p>
            <w:pPr>
              <w:spacing w:line="440" w:lineRule="exact"/>
              <w:rPr>
                <w:rFonts w:hint="eastAsia" w:ascii="宋体" w:hAnsi="宋体" w:eastAsia="宋体"/>
              </w:rPr>
            </w:pPr>
            <w:r>
              <w:rPr>
                <w:rFonts w:hint="eastAsia" w:ascii="宋体" w:hAnsi="宋体" w:eastAsia="宋体"/>
              </w:rPr>
              <w:t>2）项目试运行：</w:t>
            </w:r>
          </w:p>
          <w:p>
            <w:pPr>
              <w:spacing w:line="440" w:lineRule="exact"/>
              <w:ind w:firstLine="440" w:firstLineChars="200"/>
              <w:rPr>
                <w:rFonts w:hint="eastAsia" w:ascii="宋体" w:hAnsi="宋体" w:eastAsia="宋体"/>
              </w:rPr>
            </w:pPr>
            <w:r>
              <w:rPr>
                <w:rFonts w:hint="eastAsia" w:ascii="宋体" w:hAnsi="宋体" w:eastAsia="宋体"/>
              </w:rPr>
              <w:t>项目初验合格后，双方确认系统开通试运行日期，试运行期为3个月。在试运行期间，系统某些指标达不到《项目合同书》、《项目招投标文件》和有关的补充协议的要求，允许中标供应商进行修复，但试运行期做相应顺延。同时，在试运行期间,若系统运行有问题，中标供应商应无条件重新检测并调试直至验收合格交付使用, 在全部达到要求时, 由采购人组织最终验收。</w:t>
            </w:r>
          </w:p>
          <w:p>
            <w:pPr>
              <w:spacing w:line="440" w:lineRule="exact"/>
              <w:rPr>
                <w:rFonts w:hint="eastAsia" w:ascii="宋体" w:hAnsi="宋体" w:eastAsia="宋体"/>
              </w:rPr>
            </w:pPr>
            <w:r>
              <w:rPr>
                <w:rFonts w:hint="eastAsia" w:ascii="宋体" w:hAnsi="宋体" w:eastAsia="宋体"/>
              </w:rPr>
              <w:t>3）项目终验：系统通过试运行证实所有性能、功能指标达到要求时，可由中标供应商提请项目终验申请，进行最终验收。终验合格后，由采购人出具《终验报告》。</w:t>
            </w:r>
          </w:p>
          <w:p>
            <w:pPr>
              <w:spacing w:line="440" w:lineRule="exact"/>
              <w:rPr>
                <w:rFonts w:hint="eastAsia" w:ascii="宋体" w:hAnsi="宋体" w:eastAsia="宋体"/>
              </w:rPr>
            </w:pPr>
            <w:r>
              <w:rPr>
                <w:rFonts w:hint="eastAsia" w:ascii="宋体" w:hAnsi="宋体" w:eastAsia="宋体"/>
              </w:rPr>
              <w:t>（5）验收要求:根据《国务院办公厅关于印发国家政务信息化项目建设管理办法的通知》（国办发〔2019〕57号）和《南宁市人民政府办公厅关于印发南宁市本级财政投资信息化项目建设管理办法的通知》（南府办〔2018〕13号）项目竣工要求实行。</w:t>
            </w:r>
          </w:p>
          <w:p>
            <w:pPr>
              <w:spacing w:line="440" w:lineRule="exact"/>
              <w:rPr>
                <w:rFonts w:hint="eastAsia" w:ascii="宋体" w:hAnsi="宋体" w:eastAsia="宋体"/>
              </w:rPr>
            </w:pPr>
            <w:r>
              <w:rPr>
                <w:rFonts w:hint="eastAsia" w:ascii="宋体" w:hAnsi="宋体" w:eastAsia="宋体"/>
              </w:rPr>
              <w:t>★九、投标报价：</w:t>
            </w:r>
          </w:p>
          <w:p>
            <w:pPr>
              <w:spacing w:line="440" w:lineRule="exact"/>
              <w:rPr>
                <w:rFonts w:hint="eastAsia" w:ascii="宋体" w:hAnsi="宋体" w:eastAsia="宋体"/>
              </w:rPr>
            </w:pPr>
            <w:r>
              <w:rPr>
                <w:rFonts w:hint="eastAsia" w:ascii="宋体" w:hAnsi="宋体" w:eastAsia="宋体"/>
              </w:rPr>
              <w:t>1、投标报价为采购人指定地点的现场交货价，包括：</w:t>
            </w:r>
          </w:p>
          <w:p>
            <w:pPr>
              <w:spacing w:line="440" w:lineRule="exact"/>
              <w:rPr>
                <w:rFonts w:hint="eastAsia" w:ascii="宋体" w:hAnsi="宋体" w:eastAsia="宋体"/>
              </w:rPr>
            </w:pPr>
            <w:r>
              <w:rPr>
                <w:rFonts w:hint="eastAsia" w:ascii="宋体" w:hAnsi="宋体" w:eastAsia="宋体"/>
              </w:rPr>
              <w:t>（1）服务的价格；</w:t>
            </w:r>
          </w:p>
          <w:p>
            <w:pPr>
              <w:spacing w:line="440" w:lineRule="exact"/>
              <w:rPr>
                <w:rFonts w:hint="eastAsia" w:ascii="宋体" w:hAnsi="宋体" w:eastAsia="宋体"/>
              </w:rPr>
            </w:pPr>
            <w:r>
              <w:rPr>
                <w:rFonts w:hint="eastAsia" w:ascii="宋体" w:hAnsi="宋体" w:eastAsia="宋体"/>
              </w:rPr>
              <w:t>（2）其他费用（包括但不限于运输、装卸、软件开发、软件部署、调试、培训、技术支持、售后服务、检测、更新升级等费用）；</w:t>
            </w:r>
          </w:p>
          <w:p>
            <w:pPr>
              <w:spacing w:line="440" w:lineRule="exact"/>
              <w:rPr>
                <w:rFonts w:hint="eastAsia" w:ascii="宋体" w:hAnsi="宋体" w:eastAsia="宋体"/>
              </w:rPr>
            </w:pPr>
            <w:r>
              <w:rPr>
                <w:rFonts w:hint="eastAsia" w:ascii="宋体" w:hAnsi="宋体" w:eastAsia="宋体"/>
              </w:rPr>
              <w:t>（3）必要的保险费用和各项税费；</w:t>
            </w:r>
          </w:p>
          <w:p>
            <w:pPr>
              <w:spacing w:line="440" w:lineRule="exact"/>
              <w:rPr>
                <w:rFonts w:hint="eastAsia" w:ascii="宋体" w:hAnsi="宋体" w:eastAsia="宋体"/>
              </w:rPr>
            </w:pPr>
            <w:r>
              <w:rPr>
                <w:rFonts w:hint="eastAsia" w:ascii="宋体" w:hAnsi="宋体" w:eastAsia="宋体"/>
              </w:rPr>
              <w:t>（4）安装费用（包括但不限于各类软件、系统等的安装、集成、试运行等费用）；</w:t>
            </w:r>
          </w:p>
          <w:p>
            <w:pPr>
              <w:spacing w:line="440" w:lineRule="exact"/>
              <w:rPr>
                <w:rFonts w:hint="eastAsia" w:ascii="宋体" w:hAnsi="宋体" w:eastAsia="宋体"/>
              </w:rPr>
            </w:pPr>
            <w:r>
              <w:rPr>
                <w:rFonts w:hint="eastAsia" w:ascii="宋体" w:hAnsi="宋体" w:eastAsia="宋体"/>
              </w:rPr>
              <w:t>（5）培训费用（包括但不限于场地费、教材等）；</w:t>
            </w:r>
          </w:p>
          <w:p>
            <w:pPr>
              <w:spacing w:line="440" w:lineRule="exact"/>
              <w:rPr>
                <w:rFonts w:hint="eastAsia" w:ascii="宋体" w:hAnsi="宋体" w:eastAsia="宋体"/>
              </w:rPr>
            </w:pPr>
            <w:r>
              <w:rPr>
                <w:rFonts w:hint="eastAsia" w:ascii="宋体" w:hAnsi="宋体" w:eastAsia="宋体"/>
              </w:rPr>
              <w:t>（6）与各类相关系统对接的费用（含第三方接口费）；</w:t>
            </w:r>
          </w:p>
          <w:p>
            <w:pPr>
              <w:spacing w:line="440" w:lineRule="exact"/>
              <w:rPr>
                <w:rFonts w:hint="eastAsia" w:ascii="宋体" w:hAnsi="宋体" w:eastAsia="宋体"/>
              </w:rPr>
            </w:pPr>
            <w:r>
              <w:rPr>
                <w:rFonts w:hint="eastAsia" w:ascii="宋体" w:hAnsi="宋体" w:eastAsia="宋体"/>
              </w:rPr>
              <w:t>（7）包括项目整体验收各项费用。</w:t>
            </w:r>
          </w:p>
          <w:p>
            <w:pPr>
              <w:spacing w:line="440" w:lineRule="exact"/>
              <w:rPr>
                <w:rFonts w:hint="eastAsia" w:ascii="宋体" w:hAnsi="宋体" w:eastAsia="宋体"/>
              </w:rPr>
            </w:pPr>
            <w:r>
              <w:rPr>
                <w:rFonts w:hint="eastAsia" w:ascii="宋体" w:hAnsi="宋体" w:eastAsia="宋体"/>
              </w:rPr>
              <w:t>★十、付款方式：本项目无预付款，按软件开发与实施进度分期付款，具体的付款方式如下：中标供应商完成应用软件系统的编制开发方案且审核合格后，采购人向中标供应商支付合同款的10%；中标供应商完成本系统项目整体开发实施工作，并通过初步验收后，采购人向中标供应商支付合同款的70%；中标供应商完成本系统的应用推广和培训，通过测评合格，完成本系统的所有服务并经采购人书面验收合格后，采购人向中标供应商支付剩余合同款。</w:t>
            </w:r>
          </w:p>
          <w:p>
            <w:pPr>
              <w:spacing w:line="440" w:lineRule="exact"/>
              <w:rPr>
                <w:rFonts w:hint="eastAsia" w:ascii="宋体" w:hAnsi="宋体" w:eastAsia="宋体"/>
              </w:rPr>
            </w:pPr>
            <w:r>
              <w:rPr>
                <w:rFonts w:hint="eastAsia" w:ascii="宋体" w:hAnsi="宋体" w:eastAsia="宋体"/>
              </w:rPr>
              <w:t>十一、其他要求：</w:t>
            </w:r>
          </w:p>
          <w:p>
            <w:pPr>
              <w:spacing w:line="440" w:lineRule="exact"/>
              <w:rPr>
                <w:rFonts w:hint="eastAsia" w:ascii="宋体" w:hAnsi="宋体" w:eastAsia="宋体"/>
              </w:rPr>
            </w:pPr>
            <w:r>
              <w:rPr>
                <w:rFonts w:hint="eastAsia" w:ascii="宋体" w:hAnsi="宋体" w:eastAsia="宋体"/>
              </w:rPr>
              <w:t xml:space="preserve">★1、提交服务成果时，所有应用软件均严格按招标文件上的技术规格要求、投标人响应和承诺的软件性能和国家等有关标准进行验收，达不到要求的不予验收，视为产品验收不合格，采购人可解除双方的供货合同。 </w:t>
            </w:r>
          </w:p>
          <w:p>
            <w:pPr>
              <w:spacing w:line="440" w:lineRule="exact"/>
              <w:rPr>
                <w:rFonts w:hint="eastAsia" w:ascii="宋体" w:hAnsi="宋体" w:eastAsia="宋体"/>
              </w:rPr>
            </w:pPr>
            <w:r>
              <w:rPr>
                <w:rFonts w:hint="eastAsia" w:ascii="宋体" w:hAnsi="宋体" w:eastAsia="宋体"/>
              </w:rPr>
              <w:t>★2、中标供应商必须负责本项目所有应用软件的开发和实施，并配合与本项目相关联的硬件供应商（第三方）完成系统的整体安装、集成和调试工作。</w:t>
            </w:r>
          </w:p>
          <w:p>
            <w:pPr>
              <w:spacing w:line="440" w:lineRule="exact"/>
              <w:rPr>
                <w:rFonts w:hint="eastAsia" w:ascii="宋体" w:hAnsi="宋体" w:eastAsia="宋体"/>
              </w:rPr>
            </w:pPr>
            <w:r>
              <w:rPr>
                <w:rFonts w:hint="eastAsia" w:ascii="宋体" w:hAnsi="宋体" w:eastAsia="宋体"/>
              </w:rPr>
              <w:t>★3、中标供应商需采购开发工具、系统功能模块、插件等本项目未列入工具，均由中标供应商自行落实处理,不再支付额外费用，且需使用正版软件。</w:t>
            </w:r>
          </w:p>
          <w:p>
            <w:pPr>
              <w:spacing w:line="440" w:lineRule="exact"/>
              <w:rPr>
                <w:rFonts w:hint="eastAsia" w:ascii="宋体" w:hAnsi="宋体" w:eastAsia="宋体"/>
              </w:rPr>
            </w:pPr>
            <w:r>
              <w:rPr>
                <w:rFonts w:hint="eastAsia" w:ascii="宋体" w:hAnsi="宋体" w:eastAsia="宋体"/>
              </w:rPr>
              <w:t>★4、保密要求：由于本项目为现场开发服务，中标供应商在进行开发过程中，需要了解或知悉采购方的相关业务信息，为确保采购人业务信息的安全，中标供应商必须对本项目所有项目信息予以保密，未经采购人书面许可，中标供应商不得以任何形式向第三方透露本项目的任何内容，并与采购人签订相关的《保密协议书》。</w:t>
            </w:r>
          </w:p>
          <w:p>
            <w:pPr>
              <w:spacing w:line="440" w:lineRule="exact"/>
              <w:rPr>
                <w:rFonts w:hint="eastAsia" w:ascii="宋体" w:hAnsi="宋体" w:eastAsia="宋体"/>
              </w:rPr>
            </w:pPr>
            <w:r>
              <w:rPr>
                <w:rFonts w:hint="eastAsia" w:ascii="宋体" w:hAnsi="宋体" w:eastAsia="宋体"/>
              </w:rPr>
              <w:t>★5、各投标人报价时应综合考虑日后属政策性调整、各种市场价格的浮动等因素造成的货物价格变动，上述价格变动不予调整。</w:t>
            </w:r>
          </w:p>
          <w:p>
            <w:pPr>
              <w:spacing w:line="440" w:lineRule="exact"/>
              <w:rPr>
                <w:rFonts w:hint="eastAsia" w:ascii="宋体" w:hAnsi="宋体" w:eastAsia="宋体"/>
              </w:rPr>
            </w:pPr>
            <w:r>
              <w:rPr>
                <w:rFonts w:hint="eastAsia" w:ascii="宋体" w:hAnsi="宋体" w:eastAsia="宋体"/>
              </w:rPr>
              <w:t>★6、技术文档的要求：</w:t>
            </w:r>
          </w:p>
          <w:p>
            <w:pPr>
              <w:spacing w:line="440" w:lineRule="exact"/>
              <w:rPr>
                <w:rFonts w:hint="eastAsia" w:ascii="宋体" w:hAnsi="宋体" w:eastAsia="宋体"/>
              </w:rPr>
            </w:pPr>
            <w:r>
              <w:rPr>
                <w:rFonts w:hint="eastAsia" w:ascii="宋体" w:hAnsi="宋体" w:eastAsia="宋体"/>
              </w:rPr>
              <w:t>（1）中标供应商需向采购人提供软件的全套介质光盘的同时，应提供每套软件的配套的全部技术文档。并在盘上明确标注有软件名称及安装序号等，以保证在该系统验收移交业主使用后出现软件运行故障或数据/文件丢失时，可自行安装恢复。</w:t>
            </w:r>
          </w:p>
          <w:p>
            <w:pPr>
              <w:spacing w:line="440" w:lineRule="exact"/>
              <w:rPr>
                <w:rFonts w:hint="eastAsia" w:ascii="宋体" w:hAnsi="宋体" w:eastAsia="宋体"/>
              </w:rPr>
            </w:pPr>
            <w:r>
              <w:rPr>
                <w:rFonts w:hint="eastAsia" w:ascii="宋体" w:hAnsi="宋体" w:eastAsia="宋体"/>
              </w:rPr>
              <w:t>（2）中标供应商提供的技术文档应与其提供的软件相一致，技术文档应该全面、完整、详细。中标供应商向采购人提供的所有技术文档资料均应采用中文。</w:t>
            </w:r>
          </w:p>
          <w:p>
            <w:pPr>
              <w:spacing w:line="440" w:lineRule="exact"/>
              <w:rPr>
                <w:rFonts w:hint="eastAsia" w:ascii="宋体" w:hAnsi="宋体" w:eastAsia="宋体"/>
              </w:rPr>
            </w:pPr>
            <w:r>
              <w:rPr>
                <w:rFonts w:hint="eastAsia" w:ascii="宋体" w:hAnsi="宋体" w:eastAsia="宋体"/>
              </w:rPr>
              <w:t>（3）项目开发与实施后，中标供应商必须提供详细的开发手册、用户手册、软件测试报告、安装使用状况、试运行记录、安装使用手册、系统测试验收文档、操作手册以及说明书、维修书等文件（包括电子文档）。若上述资料不全，采购人有权拒绝验收。</w:t>
            </w:r>
          </w:p>
          <w:p>
            <w:pPr>
              <w:spacing w:line="440" w:lineRule="exact"/>
              <w:rPr>
                <w:rFonts w:hint="eastAsia" w:ascii="宋体" w:hAnsi="宋体" w:eastAsia="宋体"/>
                <w:color w:val="auto"/>
              </w:rPr>
            </w:pPr>
            <w:r>
              <w:rPr>
                <w:rFonts w:hint="eastAsia" w:ascii="宋体" w:hAnsi="宋体" w:eastAsia="宋体"/>
              </w:rPr>
              <w:t>★7、为</w:t>
            </w:r>
            <w:r>
              <w:rPr>
                <w:rFonts w:hint="eastAsia" w:ascii="宋体" w:hAnsi="宋体" w:eastAsia="宋体"/>
                <w:color w:val="auto"/>
              </w:rPr>
              <w:t>保证本项目应用软件的正常使用，中标供应商要对该软件需要运行的环境提供保障，不得以任何理由向采购人增加相关费用（如操作系统、中间件、数据库软件等）。</w:t>
            </w:r>
          </w:p>
          <w:p>
            <w:pPr>
              <w:pStyle w:val="2"/>
              <w:rPr>
                <w:rFonts w:hint="eastAsia" w:ascii="宋体" w:hAnsi="宋体" w:eastAsia="宋体"/>
              </w:rPr>
            </w:pPr>
            <w:r>
              <w:rPr>
                <w:rFonts w:hint="eastAsia" w:ascii="宋体" w:hAnsi="宋体" w:eastAsia="宋体"/>
                <w:color w:val="auto"/>
                <w:sz w:val="24"/>
                <w:szCs w:val="24"/>
              </w:rPr>
              <w:t>8、投标人认为需要了解项目实际情况及其他影响投标情况的，可自行前往现场勘查。投标人自行承担现场勘查所发生的自身费用并承担现场勘查的责任和风险。</w:t>
            </w:r>
          </w:p>
        </w:tc>
      </w:tr>
      <w:bookmarkEnd w:id="9"/>
      <w:bookmarkEnd w:id="10"/>
      <w:bookmarkEnd w:id="11"/>
      <w:bookmarkEnd w:id="12"/>
    </w:tbl>
    <w:p>
      <w:pPr>
        <w:jc w:val="both"/>
        <w:rPr>
          <w:rFonts w:hint="eastAsia" w:ascii="宋体" w:hAnsi="宋体" w:eastAsia="宋体"/>
          <w:b/>
          <w:bCs/>
          <w:sz w:val="28"/>
          <w:szCs w:val="28"/>
        </w:rPr>
        <w:sectPr>
          <w:footerReference r:id="rId10" w:type="default"/>
          <w:pgSz w:w="11906" w:h="16838"/>
          <w:pgMar w:top="1440" w:right="707" w:bottom="1098" w:left="851" w:header="851" w:footer="907" w:gutter="0"/>
          <w:pgNumType w:start="1"/>
          <w:cols w:space="720" w:num="1"/>
          <w:docGrid w:type="lines" w:linePitch="312" w:charSpace="0"/>
        </w:sectPr>
      </w:pPr>
      <w:bookmarkStart w:id="14" w:name="_Toc213206174"/>
      <w:bookmarkStart w:id="15" w:name="_Toc213325923"/>
    </w:p>
    <w:p>
      <w:pPr>
        <w:pStyle w:val="17"/>
        <w:jc w:val="center"/>
        <w:outlineLvl w:val="0"/>
        <w:rPr>
          <w:rFonts w:hint="eastAsia" w:ascii="宋体" w:hAnsi="宋体" w:eastAsia="宋体" w:cs="宋体"/>
          <w:b/>
          <w:sz w:val="36"/>
        </w:rPr>
      </w:pPr>
      <w:bookmarkStart w:id="16" w:name="_Toc508092927"/>
      <w:bookmarkStart w:id="17" w:name="_Toc2133"/>
      <w:r>
        <w:rPr>
          <w:rFonts w:hint="eastAsia" w:ascii="宋体" w:hAnsi="宋体" w:eastAsia="宋体" w:cs="宋体"/>
          <w:b/>
          <w:sz w:val="36"/>
        </w:rPr>
        <w:t>第三章  评审方法</w:t>
      </w:r>
      <w:bookmarkEnd w:id="16"/>
      <w:bookmarkEnd w:id="17"/>
    </w:p>
    <w:p>
      <w:pPr>
        <w:spacing w:line="360" w:lineRule="auto"/>
        <w:ind w:firstLine="562" w:firstLineChars="200"/>
        <w:jc w:val="center"/>
        <w:rPr>
          <w:rFonts w:hint="eastAsia" w:ascii="宋体" w:hAnsi="宋体" w:eastAsia="宋体"/>
          <w:b/>
          <w:sz w:val="28"/>
          <w:szCs w:val="28"/>
        </w:rPr>
      </w:pPr>
      <w:bookmarkStart w:id="18" w:name="_Toc508092928"/>
      <w:r>
        <w:rPr>
          <w:rFonts w:hint="eastAsia" w:ascii="宋体" w:hAnsi="宋体" w:eastAsia="宋体"/>
          <w:b/>
          <w:sz w:val="28"/>
          <w:szCs w:val="28"/>
        </w:rPr>
        <w:t>综合评分法</w:t>
      </w:r>
    </w:p>
    <w:p>
      <w:pPr>
        <w:spacing w:line="450" w:lineRule="exact"/>
        <w:ind w:firstLine="480" w:firstLineChars="200"/>
        <w:rPr>
          <w:rFonts w:hint="eastAsia" w:ascii="宋体" w:hAnsi="宋体" w:eastAsia="宋体"/>
          <w:color w:val="auto"/>
          <w:sz w:val="24"/>
          <w:szCs w:val="24"/>
        </w:rPr>
      </w:pPr>
      <w:r>
        <w:rPr>
          <w:rFonts w:hint="eastAsia" w:ascii="宋体" w:hAnsi="宋体" w:eastAsia="宋体"/>
          <w:sz w:val="24"/>
          <w:szCs w:val="24"/>
        </w:rPr>
        <w:t>（一）评标委员会以招标文件为依据，对投标文件进行评审，对投标人的投标报价、技术文件及商务文件等三部分内容按百分制打分，其中价格分10分，</w:t>
      </w:r>
      <w:r>
        <w:rPr>
          <w:rFonts w:hint="eastAsia" w:ascii="宋体" w:hAnsi="宋体" w:eastAsia="宋体"/>
          <w:color w:val="auto"/>
          <w:sz w:val="24"/>
          <w:szCs w:val="24"/>
        </w:rPr>
        <w:t>技术分50分，商务分40     分。（评审时，对于带有主观因素的评分，应由各评委独立进行定档打分。）</w:t>
      </w:r>
    </w:p>
    <w:p>
      <w:pPr>
        <w:spacing w:line="450" w:lineRule="exact"/>
        <w:ind w:firstLine="480" w:firstLineChars="200"/>
        <w:rPr>
          <w:rFonts w:hint="eastAsia" w:ascii="宋体" w:hAnsi="宋体" w:eastAsia="宋体"/>
          <w:sz w:val="24"/>
          <w:szCs w:val="24"/>
        </w:rPr>
      </w:pPr>
      <w:r>
        <w:rPr>
          <w:rFonts w:hint="eastAsia" w:ascii="宋体" w:hAnsi="宋体" w:eastAsia="宋体"/>
          <w:sz w:val="24"/>
          <w:szCs w:val="24"/>
        </w:rPr>
        <w:t>（二）评分细则：（按四舍五入取至百分位）</w:t>
      </w:r>
    </w:p>
    <w:p>
      <w:pPr>
        <w:spacing w:line="450" w:lineRule="exact"/>
        <w:ind w:firstLine="482" w:firstLineChars="200"/>
        <w:rPr>
          <w:rFonts w:hint="eastAsia" w:ascii="宋体" w:hAnsi="宋体" w:eastAsia="宋体"/>
          <w:b/>
          <w:sz w:val="24"/>
          <w:szCs w:val="24"/>
        </w:rPr>
      </w:pPr>
      <w:r>
        <w:rPr>
          <w:rFonts w:hint="eastAsia" w:ascii="宋体" w:hAnsi="宋体" w:eastAsia="宋体"/>
          <w:b/>
          <w:sz w:val="24"/>
          <w:szCs w:val="24"/>
        </w:rPr>
        <w:t>1、价格分…………………………………………………………………………………10分</w:t>
      </w:r>
    </w:p>
    <w:p>
      <w:pPr>
        <w:pStyle w:val="17"/>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（1）对于非专门面向中小企业的项目，对小型和微型企业产品的价格给予</w:t>
      </w:r>
      <w:r>
        <w:rPr>
          <w:rFonts w:hint="eastAsia" w:ascii="宋体" w:hAnsi="宋体" w:eastAsia="宋体" w:cs="宋体"/>
          <w:sz w:val="24"/>
          <w:szCs w:val="24"/>
          <w:shd w:val="pct10" w:color="auto" w:fill="FFFFFF"/>
        </w:rPr>
        <w:t>6%</w:t>
      </w:r>
      <w:r>
        <w:rPr>
          <w:rFonts w:hint="eastAsia" w:ascii="宋体" w:hAnsi="宋体" w:eastAsia="宋体" w:cs="宋体"/>
          <w:sz w:val="24"/>
          <w:szCs w:val="24"/>
        </w:rPr>
        <w:t>的价格扣除，扣除后的价格为评标价，即评标价＝投标报价×（1-</w:t>
      </w:r>
      <w:r>
        <w:rPr>
          <w:rFonts w:hint="eastAsia" w:ascii="宋体" w:hAnsi="宋体" w:eastAsia="宋体" w:cs="宋体"/>
          <w:sz w:val="24"/>
          <w:szCs w:val="24"/>
          <w:shd w:val="pct10" w:color="auto" w:fill="FFFFFF"/>
        </w:rPr>
        <w:t>6%</w:t>
      </w:r>
      <w:r>
        <w:rPr>
          <w:rFonts w:hint="eastAsia" w:ascii="宋体" w:hAnsi="宋体" w:eastAsia="宋体" w:cs="宋体"/>
          <w:sz w:val="24"/>
          <w:szCs w:val="24"/>
        </w:rPr>
        <w:t>）；</w:t>
      </w:r>
      <w:r>
        <w:rPr>
          <w:rFonts w:hint="eastAsia" w:ascii="宋体" w:hAnsi="宋体" w:eastAsia="宋体" w:cs="宋体"/>
          <w:bCs/>
          <w:sz w:val="24"/>
          <w:szCs w:val="24"/>
        </w:rPr>
        <w:t>（以投标人按第五章“投标文件格式”要求提供的《报价表》和《</w:t>
      </w:r>
      <w:r>
        <w:rPr>
          <w:rFonts w:hint="eastAsia" w:ascii="宋体" w:hAnsi="宋体" w:eastAsia="宋体" w:cs="宋体"/>
          <w:sz w:val="24"/>
          <w:szCs w:val="24"/>
        </w:rPr>
        <w:t>中小企业声明函</w:t>
      </w:r>
      <w:r>
        <w:rPr>
          <w:rFonts w:hint="eastAsia" w:ascii="宋体" w:hAnsi="宋体" w:eastAsia="宋体" w:cs="宋体"/>
          <w:bCs/>
          <w:sz w:val="24"/>
          <w:szCs w:val="24"/>
        </w:rPr>
        <w:t>》为评分依据）</w:t>
      </w:r>
    </w:p>
    <w:p>
      <w:pPr>
        <w:pStyle w:val="17"/>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ascii="宋体" w:hAnsi="宋体" w:eastAsia="宋体" w:cs="宋体"/>
          <w:sz w:val="24"/>
          <w:szCs w:val="24"/>
          <w:shd w:val="pct10" w:color="auto" w:fill="FFFFFF"/>
        </w:rPr>
        <w:t>2%</w:t>
      </w:r>
      <w:r>
        <w:rPr>
          <w:rFonts w:hint="eastAsia" w:ascii="宋体" w:hAnsi="宋体" w:eastAsia="宋体" w:cs="宋体"/>
          <w:sz w:val="24"/>
          <w:szCs w:val="24"/>
        </w:rPr>
        <w:t>的价格扣除，扣除后的价格为评标价，即评标价＝投标报价×（1-</w:t>
      </w:r>
      <w:r>
        <w:rPr>
          <w:rFonts w:hint="eastAsia" w:ascii="宋体" w:hAnsi="宋体" w:eastAsia="宋体" w:cs="宋体"/>
          <w:sz w:val="24"/>
          <w:szCs w:val="24"/>
          <w:shd w:val="pct10" w:color="auto" w:fill="FFFFFF"/>
        </w:rPr>
        <w:t>2%</w:t>
      </w:r>
      <w:r>
        <w:rPr>
          <w:rFonts w:hint="eastAsia" w:ascii="宋体" w:hAnsi="宋体" w:eastAsia="宋体" w:cs="宋体"/>
          <w:sz w:val="24"/>
          <w:szCs w:val="24"/>
        </w:rPr>
        <w:t>）；</w:t>
      </w:r>
      <w:r>
        <w:rPr>
          <w:rFonts w:hint="eastAsia" w:ascii="宋体" w:hAnsi="宋体" w:eastAsia="宋体" w:cs="宋体"/>
          <w:bCs/>
          <w:sz w:val="24"/>
          <w:szCs w:val="24"/>
        </w:rPr>
        <w:t>（以投标人按第五章“投标文件格式”要求提供的《报价表》、《中小企业声明函》和《联合体协议书》为评分依据）</w:t>
      </w:r>
    </w:p>
    <w:p>
      <w:pPr>
        <w:pStyle w:val="17"/>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7"/>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投标人按第五章“投标文件格式”要求提供的《报价表》和《残疾人福利性单位声明函》为评分依据）。</w:t>
      </w:r>
    </w:p>
    <w:p>
      <w:pPr>
        <w:pStyle w:val="17"/>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（5）除上述情况外，评标价＝投标报价；</w:t>
      </w:r>
    </w:p>
    <w:p>
      <w:pPr>
        <w:spacing w:line="450" w:lineRule="exact"/>
        <w:ind w:firstLine="480" w:firstLineChars="200"/>
        <w:rPr>
          <w:rFonts w:hint="eastAsia" w:ascii="宋体" w:hAnsi="宋体" w:eastAsia="宋体"/>
          <w:sz w:val="24"/>
          <w:szCs w:val="24"/>
        </w:rPr>
      </w:pPr>
      <w:r>
        <w:rPr>
          <w:rFonts w:hint="eastAsia" w:ascii="宋体" w:hAnsi="宋体" w:eastAsia="宋体"/>
          <w:sz w:val="24"/>
          <w:szCs w:val="24"/>
        </w:rPr>
        <w:t>（6）价格分计算公式：</w:t>
      </w:r>
    </w:p>
    <w:p>
      <w:pPr>
        <w:pStyle w:val="16"/>
        <w:spacing w:line="45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 xml:space="preserve">           　　           投标人最低评标价金额</w:t>
      </w:r>
    </w:p>
    <w:p>
      <w:pPr>
        <w:pStyle w:val="16"/>
        <w:spacing w:line="450" w:lineRule="exact"/>
        <w:ind w:firstLine="1160" w:firstLineChars="5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105410</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7.7pt;margin-top:8.3pt;height:0pt;width:131.55pt;z-index:251660288;mso-width-relative:page;mso-height-relative:page;" filled="f" stroked="t" coordsize="21600,21600" o:gfxdata="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az/bt1gAAAAkBAAAPAAAAAAAAAAEAIAAA&#10;ACIAAABkcnMvZG93bnJldi54bWxQSwECFAAUAAAACACHTuJAzjUD2dUBAACYAwAADgAAAAAAAAAB&#10;ACAAAAAlAQAAZHJzL2Uyb0RvYy54bWxQSwUGAAAAAAYABgBZAQAAbAUAAAAA&#10;">
                <v:fill on="f" focussize="0,0"/>
                <v:stroke color="#000000" joinstyle="round"/>
                <v:imagedata o:title=""/>
                <o:lock v:ext="edit" aspectratio="f"/>
              </v:line>
            </w:pict>
          </mc:Fallback>
        </mc:AlternateContent>
      </w:r>
      <w:r>
        <w:rPr>
          <w:rFonts w:ascii="宋体" w:hAnsi="宋体" w:eastAsia="宋体" w:cs="宋体"/>
          <w:sz w:val="24"/>
          <w:szCs w:val="24"/>
        </w:rPr>
        <w:t>某投标人价格分</w:t>
      </w:r>
      <w:r>
        <w:rPr>
          <w:rFonts w:hint="eastAsia" w:ascii="宋体" w:hAnsi="宋体" w:eastAsia="宋体" w:cs="宋体"/>
          <w:sz w:val="24"/>
          <w:szCs w:val="24"/>
        </w:rPr>
        <w:t xml:space="preserve"> </w:t>
      </w:r>
      <w:r>
        <w:rPr>
          <w:rFonts w:ascii="宋体" w:hAnsi="宋体" w:eastAsia="宋体" w:cs="宋体"/>
          <w:sz w:val="24"/>
          <w:szCs w:val="24"/>
        </w:rPr>
        <w:t>＝</w:t>
      </w:r>
      <w:r>
        <w:rPr>
          <w:rFonts w:hint="eastAsia" w:ascii="宋体" w:hAnsi="宋体" w:eastAsia="宋体" w:cs="宋体"/>
          <w:sz w:val="24"/>
          <w:szCs w:val="24"/>
        </w:rPr>
        <w:t xml:space="preserve">                         </w:t>
      </w:r>
      <w:r>
        <w:rPr>
          <w:rFonts w:ascii="宋体" w:hAnsi="宋体" w:eastAsia="宋体" w:cs="宋体"/>
          <w:sz w:val="24"/>
          <w:szCs w:val="24"/>
        </w:rPr>
        <w:t>×</w:t>
      </w:r>
      <w:r>
        <w:rPr>
          <w:rFonts w:hint="eastAsia" w:ascii="宋体" w:hAnsi="宋体" w:eastAsia="宋体" w:cs="宋体"/>
          <w:sz w:val="24"/>
          <w:szCs w:val="24"/>
        </w:rPr>
        <w:t>10分</w:t>
      </w:r>
    </w:p>
    <w:p>
      <w:pPr>
        <w:pStyle w:val="16"/>
        <w:spacing w:line="450" w:lineRule="exact"/>
        <w:ind w:firstLine="464" w:firstLineChars="200"/>
        <w:rPr>
          <w:rFonts w:hint="eastAsia" w:ascii="宋体" w:hAnsi="宋体" w:eastAsia="宋体" w:cs="宋体"/>
          <w:kern w:val="0"/>
          <w:sz w:val="24"/>
          <w:szCs w:val="24"/>
        </w:rPr>
      </w:pPr>
      <w:r>
        <w:rPr>
          <w:rFonts w:hint="eastAsia" w:ascii="宋体" w:hAnsi="宋体" w:eastAsia="宋体" w:cs="宋体"/>
          <w:sz w:val="24"/>
          <w:szCs w:val="24"/>
        </w:rPr>
        <w:t xml:space="preserve">                   　      某投标人评标价金额</w:t>
      </w:r>
    </w:p>
    <w:p>
      <w:pPr>
        <w:spacing w:line="450" w:lineRule="exact"/>
        <w:ind w:firstLine="482" w:firstLineChars="200"/>
        <w:rPr>
          <w:rFonts w:hint="eastAsia" w:ascii="宋体" w:hAnsi="宋体" w:eastAsia="宋体"/>
          <w:b/>
          <w:sz w:val="24"/>
        </w:rPr>
      </w:pPr>
      <w:r>
        <w:rPr>
          <w:rFonts w:hint="eastAsia" w:ascii="宋体" w:hAnsi="宋体" w:eastAsia="宋体"/>
          <w:b/>
          <w:sz w:val="24"/>
        </w:rPr>
        <w:t>2、技术分…………………………………………………………………………………50分</w:t>
      </w:r>
    </w:p>
    <w:p>
      <w:pPr>
        <w:spacing w:line="450" w:lineRule="exact"/>
        <w:ind w:firstLine="482" w:firstLineChars="200"/>
        <w:rPr>
          <w:rFonts w:ascii="宋体" w:hAnsi="宋体" w:eastAsia="宋体"/>
          <w:b/>
          <w:sz w:val="24"/>
          <w:szCs w:val="24"/>
        </w:rPr>
      </w:pPr>
      <w:r>
        <w:rPr>
          <w:rFonts w:hint="eastAsia" w:ascii="宋体" w:hAnsi="宋体" w:eastAsia="宋体"/>
          <w:b/>
          <w:sz w:val="24"/>
          <w:szCs w:val="24"/>
        </w:rPr>
        <w:t>（</w:t>
      </w:r>
      <w:r>
        <w:rPr>
          <w:rFonts w:ascii="宋体" w:hAnsi="宋体" w:eastAsia="宋体"/>
          <w:b/>
          <w:sz w:val="24"/>
          <w:szCs w:val="24"/>
        </w:rPr>
        <w:t>1）项目技术方案（满分20分） (</w:t>
      </w:r>
      <w:r>
        <w:rPr>
          <w:rFonts w:hint="eastAsia" w:ascii="宋体" w:hAnsi="宋体" w:eastAsia="宋体" w:cs="宋体"/>
          <w:b/>
          <w:kern w:val="2"/>
          <w:sz w:val="24"/>
        </w:rPr>
        <w:t>不提供或不满足一档不得分。</w:t>
      </w:r>
      <w:r>
        <w:rPr>
          <w:rFonts w:ascii="宋体" w:hAnsi="宋体" w:eastAsia="宋体"/>
          <w:b/>
          <w:sz w:val="24"/>
          <w:szCs w:val="24"/>
        </w:rPr>
        <w:t>)</w:t>
      </w:r>
    </w:p>
    <w:p>
      <w:pPr>
        <w:spacing w:line="450" w:lineRule="exact"/>
        <w:ind w:firstLine="480" w:firstLineChars="200"/>
        <w:rPr>
          <w:rFonts w:ascii="宋体" w:hAnsi="宋体" w:eastAsia="宋体"/>
          <w:sz w:val="24"/>
          <w:szCs w:val="24"/>
        </w:rPr>
      </w:pPr>
      <w:r>
        <w:rPr>
          <w:rFonts w:hint="eastAsia" w:ascii="宋体" w:hAnsi="宋体" w:eastAsia="宋体"/>
          <w:sz w:val="24"/>
          <w:szCs w:val="24"/>
        </w:rPr>
        <w:t>一档（4</w:t>
      </w:r>
      <w:r>
        <w:rPr>
          <w:rFonts w:ascii="宋体" w:hAnsi="宋体" w:eastAsia="宋体"/>
          <w:sz w:val="24"/>
          <w:szCs w:val="24"/>
        </w:rPr>
        <w:t>分）：投标人能简单描述项目建设目标、建设内容，无明显错误，基本满足采购文件要求的，且能提供简单的售后服务；</w:t>
      </w:r>
    </w:p>
    <w:p>
      <w:pPr>
        <w:spacing w:line="450" w:lineRule="exact"/>
        <w:ind w:firstLine="480" w:firstLineChars="200"/>
        <w:rPr>
          <w:rFonts w:ascii="宋体" w:hAnsi="宋体" w:eastAsia="宋体"/>
          <w:sz w:val="24"/>
          <w:szCs w:val="24"/>
        </w:rPr>
      </w:pPr>
      <w:r>
        <w:rPr>
          <w:rFonts w:hint="eastAsia" w:ascii="宋体" w:hAnsi="宋体" w:eastAsia="宋体"/>
          <w:sz w:val="24"/>
          <w:szCs w:val="24"/>
        </w:rPr>
        <w:t>二档（8</w:t>
      </w:r>
      <w:r>
        <w:rPr>
          <w:rFonts w:ascii="宋体" w:hAnsi="宋体" w:eastAsia="宋体"/>
          <w:sz w:val="24"/>
          <w:szCs w:val="24"/>
        </w:rPr>
        <w:t>分）：投标人的技术方案中能详细提供项目的建设目标、建设内容、整体架构、系统功能、系统架构，能对扬尘治理大数据资源中心、城市信息模型管理平台、视频综合管理平台、扬尘治理业务平台、扬尘治理公共服务平台、智能化及辅助设施有较为可行的技术方案。</w:t>
      </w:r>
    </w:p>
    <w:p>
      <w:pPr>
        <w:spacing w:line="450" w:lineRule="exact"/>
        <w:ind w:firstLine="480" w:firstLineChars="200"/>
        <w:rPr>
          <w:rFonts w:ascii="宋体" w:hAnsi="宋体" w:eastAsia="宋体"/>
          <w:kern w:val="2"/>
          <w:sz w:val="24"/>
          <w:szCs w:val="24"/>
        </w:rPr>
      </w:pPr>
      <w:r>
        <w:rPr>
          <w:rFonts w:hint="eastAsia" w:ascii="宋体" w:hAnsi="宋体" w:eastAsia="宋体"/>
          <w:sz w:val="24"/>
          <w:szCs w:val="24"/>
        </w:rPr>
        <w:t>三档（</w:t>
      </w:r>
      <w:r>
        <w:rPr>
          <w:rFonts w:ascii="宋体" w:hAnsi="宋体" w:eastAsia="宋体"/>
          <w:sz w:val="24"/>
          <w:szCs w:val="24"/>
        </w:rPr>
        <w:t>1</w:t>
      </w:r>
      <w:r>
        <w:rPr>
          <w:rFonts w:hint="eastAsia" w:ascii="宋体" w:hAnsi="宋体" w:eastAsia="宋体"/>
          <w:sz w:val="24"/>
          <w:szCs w:val="24"/>
        </w:rPr>
        <w:t>6</w:t>
      </w:r>
      <w:r>
        <w:rPr>
          <w:rFonts w:ascii="宋体" w:hAnsi="宋体" w:eastAsia="宋体"/>
          <w:sz w:val="24"/>
          <w:szCs w:val="24"/>
        </w:rPr>
        <w:t>分）：</w:t>
      </w:r>
      <w:r>
        <w:rPr>
          <w:rFonts w:hint="eastAsia" w:ascii="宋体" w:hAnsi="宋体" w:eastAsia="宋体"/>
          <w:kern w:val="2"/>
          <w:sz w:val="24"/>
          <w:szCs w:val="24"/>
        </w:rPr>
        <w:t>投标人的技术方案能在满足二档的基础上，能提供详细的系统设计图，准确描述了本项目关键技术和可行性，能从系统架构上准确地描述本项目与南宁市政务数据中心等其他应用有效对接的技术可行性方案，能详细描述城市信息模型</w:t>
      </w:r>
      <w:r>
        <w:rPr>
          <w:rFonts w:ascii="宋体" w:hAnsi="宋体" w:eastAsia="宋体"/>
          <w:kern w:val="2"/>
          <w:sz w:val="24"/>
          <w:szCs w:val="24"/>
        </w:rPr>
        <w:t>(GIS及CIM数据)在本系统中的应用方案，</w:t>
      </w:r>
      <w:r>
        <w:rPr>
          <w:rFonts w:hint="eastAsia" w:ascii="宋体" w:hAnsi="宋体" w:eastAsia="宋体"/>
          <w:kern w:val="2"/>
          <w:sz w:val="24"/>
          <w:szCs w:val="24"/>
        </w:rPr>
        <w:t>在城市信息模型平台基础上与</w:t>
      </w:r>
      <w:r>
        <w:rPr>
          <w:rFonts w:ascii="宋体" w:hAnsi="宋体" w:eastAsia="宋体"/>
          <w:kern w:val="2"/>
          <w:sz w:val="24"/>
          <w:szCs w:val="24"/>
        </w:rPr>
        <w:t>各业务系统之间衔接的应用方案。</w:t>
      </w:r>
    </w:p>
    <w:p>
      <w:pPr>
        <w:spacing w:line="450" w:lineRule="exact"/>
        <w:ind w:firstLine="480" w:firstLineChars="200"/>
        <w:rPr>
          <w:rFonts w:ascii="宋体" w:hAnsi="宋体" w:eastAsia="宋体"/>
          <w:sz w:val="24"/>
          <w:szCs w:val="24"/>
        </w:rPr>
      </w:pPr>
      <w:r>
        <w:rPr>
          <w:rFonts w:hint="eastAsia" w:ascii="宋体" w:hAnsi="宋体" w:eastAsia="宋体"/>
          <w:kern w:val="2"/>
          <w:sz w:val="24"/>
          <w:szCs w:val="24"/>
        </w:rPr>
        <w:t>四档（</w:t>
      </w:r>
      <w:r>
        <w:rPr>
          <w:rFonts w:ascii="宋体" w:hAnsi="宋体" w:eastAsia="宋体"/>
          <w:kern w:val="2"/>
          <w:sz w:val="24"/>
          <w:szCs w:val="24"/>
        </w:rPr>
        <w:t>20分）：在上一档的基础上，有详细的技术路线、开发技术及设计架构的合理性、采用的技术先进性、设计的完整性很好，设计方案阐述非常详细，能够完全满足项目的需求、准确体现招标方对该项目的实际需求的。能对采购人的扬尘治理视频综合管理系统（二期）项目中的场景做出需求分析，并能结合南宁市扬尘治理视频综合管理系统（一期）运行情况和系统智能化方面存在的不足，提出系统（二期）升级的科学可行且符合项目建设实际情况的解决方案。</w:t>
      </w:r>
    </w:p>
    <w:p>
      <w:pPr>
        <w:spacing w:line="450" w:lineRule="exact"/>
        <w:ind w:firstLine="482" w:firstLineChars="200"/>
        <w:rPr>
          <w:rFonts w:ascii="宋体" w:hAnsi="宋体" w:eastAsia="宋体"/>
          <w:b/>
          <w:sz w:val="24"/>
          <w:szCs w:val="24"/>
        </w:rPr>
      </w:pPr>
      <w:r>
        <w:rPr>
          <w:rFonts w:hint="eastAsia" w:ascii="宋体" w:hAnsi="宋体" w:eastAsia="宋体"/>
          <w:b/>
          <w:sz w:val="24"/>
          <w:szCs w:val="24"/>
        </w:rPr>
        <w:t>（</w:t>
      </w:r>
      <w:r>
        <w:rPr>
          <w:rFonts w:ascii="宋体" w:hAnsi="宋体" w:eastAsia="宋体"/>
          <w:b/>
          <w:sz w:val="24"/>
          <w:szCs w:val="24"/>
        </w:rPr>
        <w:t>2）项目实施方案分（满分20分） (</w:t>
      </w:r>
      <w:r>
        <w:rPr>
          <w:rFonts w:hint="eastAsia" w:ascii="宋体" w:hAnsi="宋体" w:eastAsia="宋体" w:cs="宋体"/>
          <w:b/>
          <w:kern w:val="2"/>
          <w:sz w:val="24"/>
        </w:rPr>
        <w:t>不提供或不满足一档不得分。</w:t>
      </w:r>
      <w:r>
        <w:rPr>
          <w:rFonts w:ascii="宋体" w:hAnsi="宋体" w:eastAsia="宋体"/>
          <w:b/>
          <w:sz w:val="24"/>
          <w:szCs w:val="24"/>
        </w:rPr>
        <w:t>)</w:t>
      </w:r>
    </w:p>
    <w:p>
      <w:pPr>
        <w:spacing w:line="450" w:lineRule="exact"/>
        <w:ind w:firstLine="480" w:firstLineChars="200"/>
        <w:rPr>
          <w:rFonts w:ascii="宋体" w:hAnsi="宋体" w:eastAsia="宋体"/>
          <w:sz w:val="24"/>
          <w:szCs w:val="24"/>
        </w:rPr>
      </w:pPr>
      <w:r>
        <w:rPr>
          <w:rFonts w:hint="eastAsia" w:ascii="宋体" w:hAnsi="宋体" w:eastAsia="宋体"/>
          <w:sz w:val="24"/>
          <w:szCs w:val="24"/>
        </w:rPr>
        <w:t>一档（</w:t>
      </w:r>
      <w:r>
        <w:rPr>
          <w:rFonts w:ascii="宋体" w:hAnsi="宋体" w:eastAsia="宋体"/>
          <w:sz w:val="24"/>
          <w:szCs w:val="24"/>
        </w:rPr>
        <w:t>5分）：投标人能提供简单的实施方案的，</w:t>
      </w:r>
      <w:r>
        <w:rPr>
          <w:rFonts w:hint="eastAsia" w:ascii="宋体" w:hAnsi="宋体" w:eastAsia="宋体"/>
          <w:sz w:val="24"/>
          <w:szCs w:val="24"/>
        </w:rPr>
        <w:t>基本</w:t>
      </w:r>
      <w:r>
        <w:rPr>
          <w:rFonts w:ascii="宋体" w:hAnsi="宋体" w:eastAsia="宋体"/>
          <w:sz w:val="24"/>
          <w:szCs w:val="24"/>
        </w:rPr>
        <w:t>满足采购文件要求，基本阐述清楚实施方法及保障措施、形成项目管理文档计划，方案基本可行；</w:t>
      </w:r>
    </w:p>
    <w:p>
      <w:pPr>
        <w:spacing w:line="450" w:lineRule="exact"/>
        <w:ind w:firstLine="480" w:firstLineChars="200"/>
        <w:rPr>
          <w:rFonts w:ascii="宋体" w:hAnsi="宋体" w:eastAsia="宋体"/>
          <w:sz w:val="24"/>
          <w:szCs w:val="24"/>
        </w:rPr>
      </w:pPr>
      <w:r>
        <w:rPr>
          <w:rFonts w:hint="eastAsia" w:ascii="宋体" w:hAnsi="宋体" w:eastAsia="宋体"/>
          <w:sz w:val="24"/>
          <w:szCs w:val="24"/>
        </w:rPr>
        <w:t>二档（</w:t>
      </w:r>
      <w:r>
        <w:rPr>
          <w:rFonts w:ascii="宋体" w:hAnsi="宋体" w:eastAsia="宋体"/>
          <w:sz w:val="24"/>
          <w:szCs w:val="24"/>
        </w:rPr>
        <w:t>10分）：投标人能提供比较详细的实施方案，</w:t>
      </w:r>
      <w:r>
        <w:rPr>
          <w:rFonts w:hint="eastAsia" w:ascii="宋体" w:hAnsi="宋体" w:eastAsia="宋体"/>
          <w:sz w:val="24"/>
          <w:szCs w:val="24"/>
        </w:rPr>
        <w:t>基本</w:t>
      </w:r>
      <w:r>
        <w:rPr>
          <w:rFonts w:ascii="宋体" w:hAnsi="宋体" w:eastAsia="宋体"/>
          <w:sz w:val="24"/>
          <w:szCs w:val="24"/>
        </w:rPr>
        <w:t>满足采购文件要求</w:t>
      </w:r>
      <w:r>
        <w:rPr>
          <w:rFonts w:hint="eastAsia" w:ascii="宋体" w:hAnsi="宋体" w:eastAsia="宋体"/>
          <w:sz w:val="24"/>
          <w:szCs w:val="24"/>
        </w:rPr>
        <w:t>，</w:t>
      </w:r>
      <w:r>
        <w:rPr>
          <w:rFonts w:ascii="宋体" w:hAnsi="宋体" w:eastAsia="宋体"/>
          <w:sz w:val="24"/>
          <w:szCs w:val="24"/>
        </w:rPr>
        <w:t>有项目管理组织机构、拟投入人员安排及开发进度安排，方案可行、科学合理的；</w:t>
      </w:r>
    </w:p>
    <w:p>
      <w:pPr>
        <w:spacing w:line="450" w:lineRule="exact"/>
        <w:ind w:firstLine="480" w:firstLineChars="200"/>
        <w:rPr>
          <w:rFonts w:ascii="宋体" w:hAnsi="宋体" w:eastAsia="宋体"/>
          <w:sz w:val="24"/>
          <w:szCs w:val="24"/>
        </w:rPr>
      </w:pPr>
      <w:r>
        <w:rPr>
          <w:rFonts w:hint="eastAsia" w:ascii="宋体" w:hAnsi="宋体" w:eastAsia="宋体"/>
          <w:sz w:val="24"/>
          <w:szCs w:val="24"/>
        </w:rPr>
        <w:t>三档（</w:t>
      </w:r>
      <w:r>
        <w:rPr>
          <w:rFonts w:ascii="宋体" w:hAnsi="宋体" w:eastAsia="宋体"/>
          <w:sz w:val="24"/>
          <w:szCs w:val="24"/>
        </w:rPr>
        <w:t>15分）：投标人提供详细的项目实施方案，</w:t>
      </w:r>
      <w:r>
        <w:rPr>
          <w:rFonts w:hint="eastAsia" w:ascii="宋体" w:hAnsi="宋体" w:eastAsia="宋体"/>
          <w:sz w:val="24"/>
          <w:szCs w:val="24"/>
        </w:rPr>
        <w:t>较多</w:t>
      </w:r>
      <w:r>
        <w:rPr>
          <w:rFonts w:ascii="宋体" w:hAnsi="宋体" w:eastAsia="宋体"/>
          <w:sz w:val="24"/>
          <w:szCs w:val="24"/>
        </w:rPr>
        <w:t>满足采购文件要求</w:t>
      </w:r>
      <w:r>
        <w:rPr>
          <w:rFonts w:hint="eastAsia" w:ascii="宋体" w:hAnsi="宋体" w:eastAsia="宋体"/>
          <w:sz w:val="24"/>
          <w:szCs w:val="24"/>
        </w:rPr>
        <w:t>，</w:t>
      </w:r>
      <w:r>
        <w:rPr>
          <w:rFonts w:ascii="宋体" w:hAnsi="宋体" w:eastAsia="宋体"/>
          <w:sz w:val="24"/>
          <w:szCs w:val="24"/>
        </w:rPr>
        <w:t>详细说明各个阶段工作安排，阐述清楚实施组织办法及保障体系，说明质量、进度、安全施工计划，具有较完备的管理组织、项目实施规范和管理制度，有较完备的质量管理体系和安全保障措施，指明项目重点难点及解决办法。项目实施方案表述清晰、完整、严谨、合理，可操作性较强，提供整体测试计划包括功能测试、试运行及验收方案的合理性、可行性情况，方案思路清晰。</w:t>
      </w:r>
    </w:p>
    <w:p>
      <w:pPr>
        <w:pStyle w:val="2"/>
        <w:spacing w:line="450" w:lineRule="exact"/>
        <w:ind w:firstLine="480" w:firstLineChars="200"/>
        <w:rPr>
          <w:rFonts w:ascii="宋体" w:hAnsi="宋体" w:eastAsia="宋体"/>
          <w:color w:val="auto"/>
          <w:sz w:val="24"/>
          <w:szCs w:val="24"/>
        </w:rPr>
      </w:pPr>
      <w:r>
        <w:rPr>
          <w:rFonts w:hint="eastAsia" w:ascii="宋体" w:hAnsi="宋体" w:eastAsia="宋体"/>
          <w:color w:val="auto"/>
          <w:sz w:val="24"/>
          <w:szCs w:val="24"/>
        </w:rPr>
        <w:t>四档（</w:t>
      </w:r>
      <w:r>
        <w:rPr>
          <w:rFonts w:ascii="宋体" w:hAnsi="宋体" w:eastAsia="宋体"/>
          <w:color w:val="auto"/>
          <w:sz w:val="24"/>
          <w:szCs w:val="24"/>
        </w:rPr>
        <w:t>20</w:t>
      </w:r>
      <w:r>
        <w:rPr>
          <w:rFonts w:hint="eastAsia" w:ascii="宋体" w:hAnsi="宋体" w:eastAsia="宋体"/>
          <w:color w:val="auto"/>
          <w:sz w:val="24"/>
          <w:szCs w:val="24"/>
        </w:rPr>
        <w:t>分）：投标人提供详细完整的实施方案，除详细说明各个阶段工作安排，阐述清楚实施组织办法及保障体系，指明项目重点难点及解决办法的基础上，还能提供整体测试计划包括功能测试、试运行及验收方案的合理性、可行性情况，方案思路清晰，完全符合采购文件中对项目实施和项目质量的各项要求；还针对项目中不同的建设部分实施阶段中尤其含“地理信息数据处理”、“地理信息系统及数据库建设”、“地理信息软件开发”专业内容有详细方案且合理、可行，能充分体现投标人具有测绘方面资质具备项目开展能力。</w:t>
      </w:r>
    </w:p>
    <w:p>
      <w:pPr>
        <w:spacing w:line="450" w:lineRule="exact"/>
        <w:ind w:firstLine="482" w:firstLineChars="200"/>
        <w:rPr>
          <w:rFonts w:ascii="宋体" w:hAnsi="宋体" w:eastAsia="宋体"/>
          <w:b/>
          <w:sz w:val="24"/>
          <w:szCs w:val="24"/>
        </w:rPr>
      </w:pPr>
      <w:r>
        <w:rPr>
          <w:rFonts w:hint="eastAsia" w:ascii="宋体" w:hAnsi="宋体" w:eastAsia="宋体"/>
          <w:b/>
          <w:sz w:val="24"/>
          <w:szCs w:val="24"/>
        </w:rPr>
        <w:t>（</w:t>
      </w:r>
      <w:r>
        <w:rPr>
          <w:rFonts w:ascii="宋体" w:hAnsi="宋体" w:eastAsia="宋体"/>
          <w:b/>
          <w:sz w:val="24"/>
          <w:szCs w:val="24"/>
        </w:rPr>
        <w:t xml:space="preserve">3）系统数据现场演示分（满分10分） </w:t>
      </w:r>
      <w:permStart w:id="3" w:edGrp="everyone"/>
      <w:permEnd w:id="3"/>
      <w:bookmarkStart w:id="54" w:name="_GoBack"/>
      <w:bookmarkEnd w:id="54"/>
    </w:p>
    <w:p>
      <w:pPr>
        <w:spacing w:line="450" w:lineRule="exact"/>
        <w:ind w:firstLine="480" w:firstLineChars="200"/>
        <w:rPr>
          <w:rFonts w:hint="eastAsia" w:ascii="宋体" w:hAnsi="宋体" w:eastAsia="宋体"/>
        </w:rPr>
      </w:pPr>
      <w:r>
        <w:rPr>
          <w:rFonts w:hint="eastAsia" w:ascii="宋体" w:hAnsi="宋体" w:eastAsia="宋体"/>
          <w:sz w:val="24"/>
          <w:szCs w:val="24"/>
        </w:rPr>
        <w:t>演示内容及要求：招标人须随投标文件提交一个视频文件（用光盘存储一式两份），视频内容满足招标人各项功能要求的操作演示，视频格式应为</w:t>
      </w:r>
      <w:r>
        <w:rPr>
          <w:rFonts w:ascii="宋体" w:hAnsi="宋体" w:eastAsia="宋体"/>
          <w:sz w:val="24"/>
          <w:szCs w:val="24"/>
        </w:rPr>
        <w:t>WINDOWS下播放的通用格式，视频语言为普通话，光盘请标明投标人名称。必须为真实设备运行的实际操作演示视频，PPT、系统静态截图、宣传视频等均视为无效演示，不提供演示视频则不计产品演示分，投标人演示视频时间≤</w:t>
      </w:r>
      <w:r>
        <w:rPr>
          <w:rFonts w:hint="eastAsia" w:ascii="宋体" w:hAnsi="宋体" w:eastAsia="宋体"/>
          <w:sz w:val="24"/>
          <w:szCs w:val="24"/>
        </w:rPr>
        <w:t>20分钟。</w:t>
      </w:r>
    </w:p>
    <w:p>
      <w:pPr>
        <w:spacing w:line="45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投标人能按照要求提供</w:t>
      </w:r>
      <w:r>
        <w:rPr>
          <w:rFonts w:hint="eastAsia" w:ascii="宋体" w:hAnsi="宋体" w:eastAsia="宋体"/>
          <w:color w:val="auto"/>
          <w:sz w:val="24"/>
          <w:szCs w:val="24"/>
        </w:rPr>
        <w:t>演示光盘</w:t>
      </w:r>
      <w:r>
        <w:rPr>
          <w:rFonts w:ascii="宋体" w:hAnsi="宋体" w:eastAsia="宋体"/>
          <w:color w:val="auto"/>
          <w:sz w:val="24"/>
          <w:szCs w:val="24"/>
        </w:rPr>
        <w:t>，</w:t>
      </w:r>
      <w:r>
        <w:rPr>
          <w:rFonts w:hint="eastAsia" w:ascii="宋体" w:hAnsi="宋体" w:eastAsia="宋体"/>
          <w:color w:val="auto"/>
          <w:sz w:val="24"/>
          <w:szCs w:val="24"/>
        </w:rPr>
        <w:t>演示内容与本项目相关，为本项目建设内容的，得2分</w:t>
      </w:r>
      <w:r>
        <w:rPr>
          <w:rFonts w:ascii="宋体" w:hAnsi="宋体" w:eastAsia="宋体"/>
          <w:color w:val="auto"/>
          <w:sz w:val="24"/>
          <w:szCs w:val="24"/>
        </w:rPr>
        <w:t>；</w:t>
      </w:r>
    </w:p>
    <w:p>
      <w:pPr>
        <w:spacing w:line="45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）投标人能演示</w:t>
      </w:r>
      <w:r>
        <w:rPr>
          <w:rFonts w:hint="eastAsia" w:ascii="宋体" w:hAnsi="宋体" w:eastAsia="宋体"/>
          <w:color w:val="auto"/>
          <w:sz w:val="24"/>
          <w:szCs w:val="24"/>
        </w:rPr>
        <w:t>演示项目所在地300平方公里以上二维电子地图，得3分</w:t>
      </w:r>
      <w:r>
        <w:rPr>
          <w:rFonts w:ascii="宋体" w:hAnsi="宋体" w:eastAsia="宋体"/>
          <w:color w:val="auto"/>
          <w:sz w:val="24"/>
          <w:szCs w:val="24"/>
        </w:rPr>
        <w:t>；</w:t>
      </w:r>
    </w:p>
    <w:p>
      <w:pPr>
        <w:spacing w:line="45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）投标人能</w:t>
      </w:r>
      <w:r>
        <w:rPr>
          <w:rFonts w:hint="eastAsia" w:ascii="宋体" w:hAnsi="宋体" w:eastAsia="宋体"/>
          <w:color w:val="auto"/>
          <w:sz w:val="24"/>
          <w:szCs w:val="24"/>
        </w:rPr>
        <w:t>演示项目所在地5平方公里以上倾斜摄影实景三维模型，得3分。</w:t>
      </w:r>
    </w:p>
    <w:p>
      <w:pPr>
        <w:tabs>
          <w:tab w:val="center" w:pos="4153"/>
          <w:tab w:val="right" w:pos="8306"/>
        </w:tabs>
        <w:spacing w:line="45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w:t>
      </w:r>
      <w:r>
        <w:rPr>
          <w:rFonts w:ascii="宋体" w:hAnsi="宋体" w:eastAsia="宋体"/>
          <w:color w:val="auto"/>
          <w:sz w:val="24"/>
          <w:szCs w:val="24"/>
        </w:rPr>
        <w:t>）投标人能演示单个案例场景的全生命周期管理（例如：项目从审批到报建，至项目建设到竣工验收阶段）功能及数据</w:t>
      </w:r>
      <w:r>
        <w:rPr>
          <w:rFonts w:hint="eastAsia" w:ascii="宋体" w:hAnsi="宋体" w:eastAsia="宋体"/>
          <w:color w:val="auto"/>
          <w:sz w:val="24"/>
          <w:szCs w:val="24"/>
        </w:rPr>
        <w:t>，得2分</w:t>
      </w:r>
      <w:r>
        <w:rPr>
          <w:rFonts w:ascii="宋体" w:hAnsi="宋体" w:eastAsia="宋体"/>
          <w:color w:val="auto"/>
          <w:sz w:val="24"/>
          <w:szCs w:val="24"/>
        </w:rPr>
        <w:t>。</w:t>
      </w:r>
    </w:p>
    <w:p>
      <w:pPr>
        <w:pStyle w:val="2"/>
        <w:rPr>
          <w:rFonts w:ascii="宋体" w:hAnsi="宋体" w:eastAsia="宋体"/>
          <w:sz w:val="24"/>
          <w:szCs w:val="24"/>
        </w:rPr>
      </w:pPr>
    </w:p>
    <w:p>
      <w:pPr>
        <w:pStyle w:val="2"/>
        <w:rPr>
          <w:rFonts w:ascii="宋体" w:hAnsi="宋体" w:eastAsia="宋体"/>
          <w:sz w:val="24"/>
          <w:szCs w:val="24"/>
        </w:rPr>
      </w:pPr>
    </w:p>
    <w:p>
      <w:pPr>
        <w:spacing w:line="450" w:lineRule="exact"/>
        <w:ind w:firstLine="482" w:firstLineChars="200"/>
        <w:rPr>
          <w:rFonts w:ascii="宋体" w:hAnsi="宋体" w:eastAsia="宋体"/>
          <w:b/>
          <w:sz w:val="24"/>
          <w:szCs w:val="24"/>
        </w:rPr>
      </w:pPr>
      <w:r>
        <w:rPr>
          <w:rFonts w:ascii="宋体" w:hAnsi="宋体" w:eastAsia="宋体"/>
          <w:b/>
          <w:sz w:val="24"/>
          <w:szCs w:val="24"/>
        </w:rPr>
        <w:t>3、商务分…………………………………………………………………………………4</w:t>
      </w:r>
      <w:r>
        <w:rPr>
          <w:rFonts w:hint="eastAsia" w:ascii="宋体" w:hAnsi="宋体" w:eastAsia="宋体"/>
          <w:b/>
          <w:sz w:val="24"/>
          <w:szCs w:val="24"/>
        </w:rPr>
        <w:t>0</w:t>
      </w:r>
      <w:r>
        <w:rPr>
          <w:rFonts w:ascii="宋体" w:hAnsi="宋体" w:eastAsia="宋体"/>
          <w:b/>
          <w:sz w:val="24"/>
          <w:szCs w:val="24"/>
        </w:rPr>
        <w:t>分</w:t>
      </w:r>
    </w:p>
    <w:p>
      <w:pPr>
        <w:spacing w:line="450" w:lineRule="exact"/>
        <w:ind w:firstLine="480" w:firstLineChars="200"/>
        <w:rPr>
          <w:rFonts w:ascii="宋体" w:hAnsi="宋体" w:eastAsia="宋体"/>
          <w:bCs/>
          <w:color w:val="auto"/>
          <w:sz w:val="24"/>
          <w:szCs w:val="24"/>
        </w:rPr>
      </w:pPr>
      <w:r>
        <w:rPr>
          <w:rFonts w:hint="eastAsia" w:ascii="宋体" w:hAnsi="宋体" w:eastAsia="宋体"/>
          <w:bCs/>
          <w:color w:val="000000"/>
          <w:sz w:val="24"/>
          <w:szCs w:val="24"/>
        </w:rPr>
        <w:t>（</w:t>
      </w:r>
      <w:r>
        <w:rPr>
          <w:rFonts w:ascii="宋体" w:hAnsi="宋体" w:eastAsia="宋体"/>
          <w:bCs/>
          <w:color w:val="000000"/>
          <w:sz w:val="24"/>
          <w:szCs w:val="24"/>
        </w:rPr>
        <w:t>1）投标人同时具有ISO/IEC 27001</w:t>
      </w:r>
      <w:r>
        <w:rPr>
          <w:rFonts w:hint="eastAsia" w:ascii="宋体" w:hAnsi="宋体" w:eastAsia="宋体"/>
          <w:bCs/>
          <w:color w:val="000000"/>
          <w:sz w:val="24"/>
          <w:szCs w:val="24"/>
        </w:rPr>
        <w:t>：</w:t>
      </w:r>
      <w:r>
        <w:rPr>
          <w:rFonts w:ascii="宋体" w:hAnsi="宋体" w:eastAsia="宋体"/>
          <w:bCs/>
          <w:color w:val="000000"/>
          <w:sz w:val="24"/>
          <w:szCs w:val="24"/>
        </w:rPr>
        <w:t>2013</w:t>
      </w:r>
      <w:r>
        <w:rPr>
          <w:rFonts w:hint="eastAsia" w:ascii="宋体" w:hAnsi="宋体" w:eastAsia="宋体"/>
        </w:rPr>
        <w:fldChar w:fldCharType="begin"/>
      </w:r>
      <w:r>
        <w:rPr>
          <w:rFonts w:hint="eastAsia" w:ascii="宋体" w:hAnsi="宋体" w:eastAsia="宋体"/>
        </w:rPr>
        <w:instrText xml:space="preserve"> HYPERLINK "https://www.baidu.com/s?wd=%E4%BF%A1%E6%81%AF%E5%AE%89%E5%85%A8%E7%AE%A1%E7%90%86%E4%BD%93%E7%B3%BB&amp;tn=SE_PcZhidaonwhc_ngpagmjz&amp;rsv_dl=gh_pc_zhidao" \t "_blank" </w:instrText>
      </w:r>
      <w:r>
        <w:rPr>
          <w:rFonts w:hint="eastAsia" w:ascii="宋体" w:hAnsi="宋体" w:eastAsia="宋体"/>
        </w:rPr>
        <w:fldChar w:fldCharType="separate"/>
      </w:r>
      <w:r>
        <w:rPr>
          <w:rFonts w:hint="eastAsia" w:ascii="宋体" w:hAnsi="宋体" w:eastAsia="宋体"/>
          <w:bCs/>
          <w:color w:val="000000"/>
          <w:sz w:val="24"/>
          <w:szCs w:val="24"/>
        </w:rPr>
        <w:t>信息安全管理体系</w:t>
      </w:r>
      <w:r>
        <w:rPr>
          <w:rFonts w:hint="eastAsia" w:ascii="宋体" w:hAnsi="宋体" w:eastAsia="宋体"/>
          <w:bCs/>
          <w:color w:val="000000"/>
          <w:sz w:val="24"/>
          <w:szCs w:val="24"/>
        </w:rPr>
        <w:fldChar w:fldCharType="end"/>
      </w:r>
      <w:r>
        <w:rPr>
          <w:rFonts w:hint="eastAsia" w:ascii="宋体" w:hAnsi="宋体" w:eastAsia="宋体"/>
          <w:bCs/>
          <w:color w:val="000000"/>
          <w:sz w:val="24"/>
          <w:szCs w:val="24"/>
        </w:rPr>
        <w:t>、</w:t>
      </w:r>
      <w:r>
        <w:rPr>
          <w:rFonts w:ascii="宋体" w:hAnsi="宋体" w:eastAsia="宋体"/>
          <w:bCs/>
          <w:color w:val="000000"/>
          <w:sz w:val="24"/>
          <w:szCs w:val="24"/>
        </w:rPr>
        <w:t>ISO9001：2015质量管理体系、</w:t>
      </w:r>
      <w:r>
        <w:rPr>
          <w:rFonts w:hint="eastAsia" w:ascii="宋体" w:hAnsi="宋体" w:eastAsia="宋体"/>
        </w:rPr>
        <w:fldChar w:fldCharType="begin"/>
      </w:r>
      <w:r>
        <w:rPr>
          <w:rFonts w:hint="eastAsia" w:ascii="宋体" w:hAnsi="宋体" w:eastAsia="宋体"/>
        </w:rPr>
        <w:instrText xml:space="preserve"> HYPERLINK "https://www.baidu.com/s?wd=ISO14001&amp;tn=SE_PcZhidaonwhc_ngpagmjz&amp;rsv_dl=gh_pc_zhidao" \t "_blank" </w:instrText>
      </w:r>
      <w:r>
        <w:rPr>
          <w:rFonts w:hint="eastAsia" w:ascii="宋体" w:hAnsi="宋体" w:eastAsia="宋体"/>
        </w:rPr>
        <w:fldChar w:fldCharType="separate"/>
      </w:r>
      <w:r>
        <w:rPr>
          <w:rFonts w:ascii="宋体" w:hAnsi="宋体" w:eastAsia="宋体"/>
          <w:bCs/>
          <w:color w:val="000000"/>
          <w:sz w:val="24"/>
          <w:szCs w:val="24"/>
        </w:rPr>
        <w:t>ISO14001</w:t>
      </w:r>
      <w:r>
        <w:rPr>
          <w:rFonts w:ascii="宋体" w:hAnsi="宋体" w:eastAsia="宋体"/>
          <w:bCs/>
          <w:color w:val="000000"/>
          <w:sz w:val="24"/>
          <w:szCs w:val="24"/>
        </w:rPr>
        <w:fldChar w:fldCharType="end"/>
      </w:r>
      <w:r>
        <w:rPr>
          <w:rFonts w:hint="eastAsia" w:ascii="宋体" w:hAnsi="宋体" w:eastAsia="宋体"/>
          <w:bCs/>
          <w:color w:val="000000"/>
          <w:sz w:val="24"/>
          <w:szCs w:val="24"/>
        </w:rPr>
        <w:t>：</w:t>
      </w:r>
      <w:r>
        <w:rPr>
          <w:rFonts w:ascii="宋体" w:hAnsi="宋体" w:eastAsia="宋体"/>
          <w:bCs/>
          <w:color w:val="000000"/>
          <w:sz w:val="24"/>
          <w:szCs w:val="24"/>
        </w:rPr>
        <w:t xml:space="preserve">2015 </w:t>
      </w:r>
      <w:r>
        <w:rPr>
          <w:rFonts w:hint="eastAsia" w:ascii="宋体" w:hAnsi="宋体" w:eastAsia="宋体"/>
          <w:bCs/>
          <w:color w:val="000000"/>
          <w:sz w:val="24"/>
          <w:szCs w:val="24"/>
        </w:rPr>
        <w:t>环境管理体系得</w:t>
      </w:r>
      <w:r>
        <w:rPr>
          <w:rFonts w:ascii="宋体" w:hAnsi="宋体" w:eastAsia="宋体"/>
          <w:bCs/>
          <w:color w:val="000000"/>
          <w:sz w:val="24"/>
          <w:szCs w:val="24"/>
        </w:rPr>
        <w:t>2</w:t>
      </w:r>
      <w:r>
        <w:rPr>
          <w:rFonts w:hint="eastAsia" w:ascii="宋体" w:hAnsi="宋体" w:eastAsia="宋体"/>
          <w:bCs/>
          <w:color w:val="000000"/>
          <w:sz w:val="24"/>
          <w:szCs w:val="24"/>
        </w:rPr>
        <w:t>分。（提供证书复印件，原件备查。）（满分</w:t>
      </w:r>
      <w:r>
        <w:rPr>
          <w:rFonts w:ascii="宋体" w:hAnsi="宋体" w:eastAsia="宋体"/>
          <w:bCs/>
          <w:color w:val="000000"/>
          <w:sz w:val="24"/>
          <w:szCs w:val="24"/>
        </w:rPr>
        <w:t>2</w:t>
      </w:r>
      <w:r>
        <w:rPr>
          <w:rFonts w:hint="eastAsia" w:ascii="宋体" w:hAnsi="宋体" w:eastAsia="宋体"/>
          <w:bCs/>
          <w:color w:val="000000"/>
          <w:sz w:val="24"/>
          <w:szCs w:val="24"/>
        </w:rPr>
        <w:t>分）</w:t>
      </w:r>
    </w:p>
    <w:p>
      <w:pPr>
        <w:spacing w:line="45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）业绩分（满分</w:t>
      </w:r>
      <w:r>
        <w:rPr>
          <w:rFonts w:hint="eastAsia" w:ascii="宋体" w:hAnsi="宋体" w:eastAsia="宋体"/>
          <w:color w:val="auto"/>
          <w:sz w:val="24"/>
          <w:szCs w:val="24"/>
          <w:lang w:val="en-US" w:eastAsia="zh-CN"/>
        </w:rPr>
        <w:t>11</w:t>
      </w:r>
      <w:r>
        <w:rPr>
          <w:rFonts w:hint="eastAsia" w:ascii="宋体" w:hAnsi="宋体" w:eastAsia="宋体"/>
          <w:color w:val="auto"/>
          <w:sz w:val="24"/>
          <w:szCs w:val="24"/>
        </w:rPr>
        <w:t>分）</w:t>
      </w:r>
    </w:p>
    <w:p>
      <w:pPr>
        <w:spacing w:line="450" w:lineRule="exact"/>
        <w:ind w:firstLine="480" w:firstLineChars="200"/>
        <w:rPr>
          <w:rFonts w:ascii="宋体" w:hAnsi="宋体" w:eastAsia="宋体"/>
          <w:color w:val="auto"/>
          <w:sz w:val="24"/>
          <w:szCs w:val="24"/>
        </w:rPr>
      </w:pPr>
      <w:r>
        <w:rPr>
          <w:rFonts w:hint="eastAsia" w:ascii="宋体" w:hAnsi="宋体" w:eastAsia="宋体"/>
          <w:color w:val="auto"/>
          <w:sz w:val="24"/>
          <w:szCs w:val="24"/>
        </w:rPr>
        <w:t>①投标人获得市级科学技术进步奖每项得</w:t>
      </w:r>
      <w:r>
        <w:rPr>
          <w:rFonts w:ascii="宋体" w:hAnsi="宋体" w:eastAsia="宋体"/>
          <w:color w:val="auto"/>
          <w:sz w:val="24"/>
          <w:szCs w:val="24"/>
        </w:rPr>
        <w:t>1分；获得省（区）级科学技术进步奖每项得2分。（提供获奖证书复印件并加盖单位公章。）（满分</w:t>
      </w:r>
      <w:r>
        <w:rPr>
          <w:rFonts w:hint="eastAsia" w:ascii="宋体" w:hAnsi="宋体" w:eastAsia="宋体"/>
          <w:color w:val="auto"/>
          <w:sz w:val="24"/>
          <w:szCs w:val="24"/>
        </w:rPr>
        <w:t>4</w:t>
      </w:r>
      <w:r>
        <w:rPr>
          <w:rFonts w:ascii="宋体" w:hAnsi="宋体" w:eastAsia="宋体"/>
          <w:color w:val="auto"/>
          <w:sz w:val="24"/>
          <w:szCs w:val="24"/>
        </w:rPr>
        <w:t>分）</w:t>
      </w:r>
    </w:p>
    <w:p>
      <w:pPr>
        <w:widowControl w:val="0"/>
        <w:spacing w:after="0" w:line="450" w:lineRule="exact"/>
        <w:ind w:firstLine="480" w:firstLineChars="200"/>
        <w:jc w:val="both"/>
        <w:rPr>
          <w:rFonts w:ascii="宋体" w:hAnsi="宋体" w:eastAsia="宋体"/>
          <w:color w:val="auto"/>
          <w:kern w:val="2"/>
          <w:sz w:val="24"/>
          <w:szCs w:val="24"/>
        </w:rPr>
      </w:pPr>
      <w:r>
        <w:rPr>
          <w:rFonts w:hint="eastAsia" w:ascii="宋体" w:hAnsi="宋体" w:eastAsia="宋体"/>
          <w:color w:val="auto"/>
          <w:sz w:val="24"/>
          <w:szCs w:val="24"/>
        </w:rPr>
        <w:t>②</w:t>
      </w:r>
      <w:r>
        <w:rPr>
          <w:rFonts w:ascii="宋体" w:hAnsi="宋体" w:eastAsia="宋体"/>
          <w:color w:val="auto"/>
          <w:sz w:val="24"/>
          <w:szCs w:val="24"/>
        </w:rPr>
        <w:t>201</w:t>
      </w:r>
      <w:r>
        <w:rPr>
          <w:rFonts w:hint="eastAsia" w:ascii="宋体" w:hAnsi="宋体" w:eastAsia="宋体"/>
          <w:color w:val="auto"/>
          <w:sz w:val="24"/>
          <w:szCs w:val="24"/>
        </w:rPr>
        <w:t>7</w:t>
      </w:r>
      <w:r>
        <w:rPr>
          <w:rFonts w:ascii="宋体" w:hAnsi="宋体" w:eastAsia="宋体"/>
          <w:color w:val="auto"/>
          <w:sz w:val="24"/>
          <w:szCs w:val="24"/>
        </w:rPr>
        <w:t>年以来</w:t>
      </w:r>
      <w:r>
        <w:rPr>
          <w:rFonts w:hint="eastAsia" w:ascii="宋体" w:hAnsi="宋体" w:eastAsia="宋体"/>
          <w:color w:val="auto"/>
          <w:sz w:val="24"/>
          <w:szCs w:val="24"/>
        </w:rPr>
        <w:t>，投标人承接过同类数据库及信息系统软件开发或软件集成项目，每提供一项得</w:t>
      </w:r>
      <w:r>
        <w:rPr>
          <w:rFonts w:ascii="宋体" w:hAnsi="宋体" w:eastAsia="宋体"/>
          <w:color w:val="auto"/>
          <w:sz w:val="24"/>
          <w:szCs w:val="24"/>
        </w:rPr>
        <w:t>0.5</w:t>
      </w:r>
      <w:r>
        <w:rPr>
          <w:rFonts w:hint="eastAsia" w:ascii="宋体" w:hAnsi="宋体" w:eastAsia="宋体"/>
          <w:color w:val="auto"/>
          <w:sz w:val="24"/>
          <w:szCs w:val="24"/>
        </w:rPr>
        <w:t>分。（满分2分）（以中标（成交）通知书或合同复印件为准。）</w:t>
      </w:r>
    </w:p>
    <w:p>
      <w:pPr>
        <w:spacing w:line="450" w:lineRule="exact"/>
        <w:ind w:firstLine="480" w:firstLineChars="200"/>
        <w:rPr>
          <w:rFonts w:ascii="宋体" w:hAnsi="宋体" w:eastAsia="宋体"/>
          <w:color w:val="auto"/>
          <w:sz w:val="24"/>
          <w:szCs w:val="24"/>
        </w:rPr>
      </w:pPr>
      <w:r>
        <w:rPr>
          <w:rFonts w:hint="eastAsia" w:ascii="宋体" w:hAnsi="宋体" w:eastAsia="宋体"/>
          <w:color w:val="auto"/>
          <w:sz w:val="24"/>
          <w:szCs w:val="24"/>
        </w:rPr>
        <w:t>③</w:t>
      </w:r>
      <w:r>
        <w:rPr>
          <w:rFonts w:ascii="宋体" w:hAnsi="宋体" w:eastAsia="宋体"/>
          <w:color w:val="auto"/>
          <w:sz w:val="24"/>
          <w:szCs w:val="24"/>
        </w:rPr>
        <w:t>201</w:t>
      </w:r>
      <w:r>
        <w:rPr>
          <w:rFonts w:hint="eastAsia" w:ascii="宋体" w:hAnsi="宋体" w:eastAsia="宋体"/>
          <w:color w:val="auto"/>
          <w:sz w:val="24"/>
          <w:szCs w:val="24"/>
        </w:rPr>
        <w:t>7</w:t>
      </w:r>
      <w:r>
        <w:rPr>
          <w:rFonts w:ascii="宋体" w:hAnsi="宋体" w:eastAsia="宋体"/>
          <w:color w:val="auto"/>
          <w:sz w:val="24"/>
          <w:szCs w:val="24"/>
        </w:rPr>
        <w:t>年以来</w:t>
      </w:r>
      <w:r>
        <w:rPr>
          <w:rFonts w:hint="eastAsia" w:ascii="宋体" w:hAnsi="宋体" w:eastAsia="宋体"/>
          <w:color w:val="auto"/>
          <w:sz w:val="24"/>
          <w:szCs w:val="24"/>
        </w:rPr>
        <w:t>，投标人承接过同类测绘地理信息项目，每提供一项得1分；（满分3分）（以中标（成交）通知书或合同复印件为准。）</w:t>
      </w:r>
    </w:p>
    <w:p>
      <w:pPr>
        <w:spacing w:line="450" w:lineRule="exact"/>
        <w:ind w:firstLine="480" w:firstLineChars="200"/>
        <w:rPr>
          <w:rFonts w:ascii="宋体" w:hAnsi="宋体" w:eastAsia="宋体"/>
          <w:color w:val="auto"/>
          <w:sz w:val="24"/>
          <w:szCs w:val="24"/>
        </w:rPr>
      </w:pPr>
      <w:r>
        <w:rPr>
          <w:rFonts w:hint="eastAsia" w:ascii="宋体" w:hAnsi="宋体" w:eastAsia="宋体"/>
          <w:color w:val="auto"/>
          <w:sz w:val="24"/>
          <w:szCs w:val="24"/>
        </w:rPr>
        <w:t>④2017年以来，拟投入本项目的项目负责人</w:t>
      </w:r>
      <w:r>
        <w:rPr>
          <w:rFonts w:hint="eastAsia" w:ascii="宋体" w:hAnsi="宋体" w:eastAsia="宋体"/>
          <w:color w:val="auto"/>
        </w:rPr>
        <w:t>,</w:t>
      </w:r>
      <w:r>
        <w:rPr>
          <w:rFonts w:hint="eastAsia" w:ascii="宋体" w:hAnsi="宋体" w:eastAsia="宋体"/>
          <w:color w:val="auto"/>
          <w:sz w:val="24"/>
          <w:szCs w:val="24"/>
        </w:rPr>
        <w:t>作为项目负责人承接过同类计算机类或测绘类相关的系统开发项目，每提供一项得1分。（满分2分）（以中标通知书或合同复印件为准。）</w:t>
      </w:r>
    </w:p>
    <w:p>
      <w:pPr>
        <w:spacing w:after="0" w:line="450" w:lineRule="exact"/>
        <w:ind w:firstLine="480" w:firstLineChars="200"/>
        <w:rPr>
          <w:rFonts w:ascii="宋体" w:hAnsi="宋体" w:eastAsia="宋体"/>
          <w:color w:val="auto"/>
          <w:kern w:val="2"/>
          <w:sz w:val="24"/>
          <w:szCs w:val="24"/>
        </w:rPr>
      </w:pPr>
      <w:r>
        <w:rPr>
          <w:rFonts w:hint="eastAsia" w:ascii="宋体" w:hAnsi="宋体" w:eastAsia="宋体"/>
          <w:color w:val="auto"/>
          <w:sz w:val="24"/>
          <w:szCs w:val="24"/>
        </w:rPr>
        <w:t>（3</w:t>
      </w:r>
      <w:r>
        <w:rPr>
          <w:rFonts w:ascii="宋体" w:hAnsi="宋体" w:eastAsia="宋体"/>
          <w:color w:val="auto"/>
          <w:sz w:val="24"/>
          <w:szCs w:val="24"/>
        </w:rPr>
        <w:t>）</w:t>
      </w:r>
      <w:r>
        <w:rPr>
          <w:rFonts w:hint="eastAsia" w:ascii="宋体" w:hAnsi="宋体" w:eastAsia="宋体"/>
          <w:color w:val="auto"/>
          <w:kern w:val="2"/>
          <w:sz w:val="24"/>
          <w:szCs w:val="24"/>
        </w:rPr>
        <w:t>拟投入本项目人员能力分（满分</w:t>
      </w:r>
      <w:r>
        <w:rPr>
          <w:rFonts w:ascii="宋体" w:hAnsi="宋体" w:eastAsia="宋体"/>
          <w:color w:val="auto"/>
          <w:kern w:val="2"/>
          <w:sz w:val="24"/>
          <w:szCs w:val="24"/>
        </w:rPr>
        <w:t>1</w:t>
      </w:r>
      <w:r>
        <w:rPr>
          <w:rFonts w:hint="eastAsia" w:ascii="宋体" w:hAnsi="宋体" w:eastAsia="宋体"/>
          <w:color w:val="auto"/>
          <w:kern w:val="2"/>
          <w:sz w:val="24"/>
          <w:szCs w:val="24"/>
        </w:rPr>
        <w:t>9分）</w:t>
      </w:r>
      <w:r>
        <w:rPr>
          <w:rFonts w:ascii="宋体" w:hAnsi="宋体" w:eastAsia="宋体"/>
          <w:color w:val="auto"/>
          <w:kern w:val="2"/>
          <w:sz w:val="24"/>
          <w:szCs w:val="24"/>
        </w:rPr>
        <w:br w:type="textWrapping"/>
      </w:r>
      <w:r>
        <w:rPr>
          <w:rFonts w:ascii="宋体" w:hAnsi="宋体" w:eastAsia="宋体"/>
          <w:color w:val="auto"/>
          <w:kern w:val="2"/>
          <w:sz w:val="24"/>
          <w:szCs w:val="24"/>
        </w:rPr>
        <w:t xml:space="preserve">   </w:t>
      </w:r>
      <w:r>
        <w:rPr>
          <w:rFonts w:hint="eastAsia" w:ascii="宋体" w:hAnsi="宋体" w:eastAsia="宋体"/>
          <w:color w:val="auto"/>
          <w:kern w:val="2"/>
          <w:sz w:val="24"/>
          <w:szCs w:val="24"/>
        </w:rPr>
        <w:t xml:space="preserve">  </w:t>
      </w:r>
      <w:r>
        <w:rPr>
          <w:rFonts w:ascii="宋体" w:hAnsi="宋体" w:eastAsia="宋体"/>
          <w:color w:val="auto"/>
          <w:kern w:val="2"/>
          <w:sz w:val="24"/>
          <w:szCs w:val="24"/>
        </w:rPr>
        <w:t xml:space="preserve"> ① 项目负责人（满分4</w:t>
      </w:r>
      <w:r>
        <w:rPr>
          <w:rFonts w:hint="eastAsia" w:ascii="宋体" w:hAnsi="宋体" w:eastAsia="宋体"/>
          <w:color w:val="auto"/>
          <w:kern w:val="2"/>
          <w:sz w:val="24"/>
          <w:szCs w:val="24"/>
        </w:rPr>
        <w:t>分）：</w:t>
      </w:r>
      <w:r>
        <w:rPr>
          <w:rFonts w:ascii="宋体" w:hAnsi="宋体" w:eastAsia="宋体"/>
          <w:color w:val="auto"/>
          <w:kern w:val="2"/>
          <w:sz w:val="24"/>
          <w:szCs w:val="24"/>
        </w:rPr>
        <w:br w:type="textWrapping"/>
      </w:r>
      <w:r>
        <w:rPr>
          <w:rFonts w:ascii="宋体" w:hAnsi="宋体" w:eastAsia="宋体"/>
          <w:color w:val="auto"/>
          <w:kern w:val="2"/>
          <w:sz w:val="24"/>
          <w:szCs w:val="24"/>
        </w:rPr>
        <w:t xml:space="preserve">    具有计算机类高级职称或测绘类高级职称，得</w:t>
      </w:r>
      <w:r>
        <w:rPr>
          <w:rFonts w:hint="eastAsia" w:ascii="宋体" w:hAnsi="宋体" w:eastAsia="宋体"/>
          <w:color w:val="auto"/>
          <w:kern w:val="2"/>
          <w:sz w:val="24"/>
          <w:szCs w:val="24"/>
        </w:rPr>
        <w:t>2分；具有计算机类正高级职称或测绘类正高级职称得</w:t>
      </w:r>
      <w:r>
        <w:rPr>
          <w:rFonts w:ascii="宋体" w:hAnsi="宋体" w:eastAsia="宋体"/>
          <w:color w:val="auto"/>
          <w:kern w:val="2"/>
          <w:sz w:val="24"/>
          <w:szCs w:val="24"/>
        </w:rPr>
        <w:t>4</w:t>
      </w:r>
      <w:r>
        <w:rPr>
          <w:rFonts w:hint="eastAsia" w:ascii="宋体" w:hAnsi="宋体" w:eastAsia="宋体"/>
          <w:color w:val="auto"/>
          <w:kern w:val="2"/>
          <w:sz w:val="24"/>
          <w:szCs w:val="24"/>
        </w:rPr>
        <w:t>分。（</w:t>
      </w:r>
      <w:r>
        <w:rPr>
          <w:rFonts w:hint="eastAsia" w:ascii="宋体" w:hAnsi="宋体" w:eastAsia="宋体"/>
          <w:color w:val="auto"/>
          <w:sz w:val="24"/>
          <w:szCs w:val="24"/>
        </w:rPr>
        <w:t>须提供职称复印件及投标人为其缴纳近半年内连续三个月社保缴纳证明复印件，</w:t>
      </w:r>
      <w:r>
        <w:rPr>
          <w:rFonts w:hint="eastAsia" w:ascii="宋体" w:hAnsi="宋体" w:eastAsia="宋体"/>
          <w:color w:val="auto"/>
          <w:kern w:val="2"/>
          <w:sz w:val="24"/>
          <w:szCs w:val="24"/>
        </w:rPr>
        <w:t>原件备查。）</w:t>
      </w:r>
      <w:r>
        <w:rPr>
          <w:rFonts w:ascii="宋体" w:hAnsi="宋体" w:eastAsia="宋体"/>
          <w:color w:val="auto"/>
          <w:kern w:val="2"/>
          <w:sz w:val="24"/>
          <w:szCs w:val="24"/>
        </w:rPr>
        <w:br w:type="textWrapping"/>
      </w:r>
      <w:r>
        <w:rPr>
          <w:rFonts w:ascii="宋体" w:hAnsi="宋体" w:eastAsia="宋体"/>
          <w:color w:val="auto"/>
          <w:kern w:val="2"/>
          <w:sz w:val="24"/>
          <w:szCs w:val="24"/>
        </w:rPr>
        <w:t xml:space="preserve">    </w:t>
      </w:r>
      <w:r>
        <w:rPr>
          <w:rFonts w:hint="eastAsia" w:ascii="宋体" w:hAnsi="宋体" w:eastAsia="宋体"/>
          <w:color w:val="auto"/>
          <w:kern w:val="2"/>
          <w:sz w:val="24"/>
          <w:szCs w:val="24"/>
        </w:rPr>
        <w:t xml:space="preserve">  </w:t>
      </w:r>
      <w:r>
        <w:rPr>
          <w:rFonts w:ascii="宋体" w:hAnsi="宋体" w:eastAsia="宋体"/>
          <w:color w:val="auto"/>
          <w:kern w:val="2"/>
          <w:sz w:val="24"/>
          <w:szCs w:val="24"/>
        </w:rPr>
        <w:t>② 技术负责人（满分4</w:t>
      </w:r>
      <w:r>
        <w:rPr>
          <w:rFonts w:hint="eastAsia" w:ascii="宋体" w:hAnsi="宋体" w:eastAsia="宋体"/>
          <w:color w:val="auto"/>
          <w:kern w:val="2"/>
          <w:sz w:val="24"/>
          <w:szCs w:val="24"/>
        </w:rPr>
        <w:t>分）</w:t>
      </w:r>
      <w:r>
        <w:rPr>
          <w:rFonts w:ascii="宋体" w:hAnsi="宋体" w:eastAsia="宋体"/>
          <w:color w:val="auto"/>
          <w:kern w:val="2"/>
          <w:sz w:val="24"/>
          <w:szCs w:val="24"/>
        </w:rPr>
        <w:br w:type="textWrapping"/>
      </w:r>
      <w:r>
        <w:rPr>
          <w:rFonts w:ascii="宋体" w:hAnsi="宋体" w:eastAsia="宋体"/>
          <w:color w:val="auto"/>
          <w:kern w:val="2"/>
          <w:sz w:val="24"/>
          <w:szCs w:val="24"/>
        </w:rPr>
        <w:t xml:space="preserve">    具有计算机类或测绘类高级职称得2</w:t>
      </w:r>
      <w:r>
        <w:rPr>
          <w:rFonts w:hint="eastAsia" w:ascii="宋体" w:hAnsi="宋体" w:eastAsia="宋体"/>
          <w:color w:val="auto"/>
          <w:kern w:val="2"/>
          <w:sz w:val="24"/>
          <w:szCs w:val="24"/>
        </w:rPr>
        <w:t>分，同时具有咨询工程师（投资）证书得</w:t>
      </w:r>
      <w:r>
        <w:rPr>
          <w:rFonts w:ascii="宋体" w:hAnsi="宋体" w:eastAsia="宋体"/>
          <w:color w:val="auto"/>
          <w:kern w:val="2"/>
          <w:sz w:val="24"/>
          <w:szCs w:val="24"/>
        </w:rPr>
        <w:t>4</w:t>
      </w:r>
      <w:r>
        <w:rPr>
          <w:rFonts w:hint="eastAsia" w:ascii="宋体" w:hAnsi="宋体" w:eastAsia="宋体"/>
          <w:color w:val="auto"/>
          <w:kern w:val="2"/>
          <w:sz w:val="24"/>
          <w:szCs w:val="24"/>
        </w:rPr>
        <w:t>分。（</w:t>
      </w:r>
      <w:r>
        <w:rPr>
          <w:rFonts w:hint="eastAsia" w:ascii="宋体" w:hAnsi="宋体" w:eastAsia="宋体"/>
          <w:color w:val="auto"/>
          <w:sz w:val="24"/>
          <w:szCs w:val="24"/>
        </w:rPr>
        <w:t>须提供职称复印件、相关证书及投标人为其缴纳近半年内连续三个月社保缴纳证明复印件，</w:t>
      </w:r>
      <w:r>
        <w:rPr>
          <w:rFonts w:hint="eastAsia" w:ascii="宋体" w:hAnsi="宋体" w:eastAsia="宋体"/>
          <w:color w:val="auto"/>
          <w:kern w:val="2"/>
          <w:sz w:val="24"/>
          <w:szCs w:val="24"/>
        </w:rPr>
        <w:t>原件备查。）</w:t>
      </w:r>
    </w:p>
    <w:p>
      <w:pPr>
        <w:spacing w:line="450" w:lineRule="exact"/>
        <w:ind w:firstLine="720" w:firstLineChars="300"/>
        <w:rPr>
          <w:rFonts w:hint="eastAsia" w:ascii="宋体" w:hAnsi="宋体" w:eastAsia="宋体"/>
          <w:color w:val="auto"/>
        </w:rPr>
      </w:pPr>
      <w:r>
        <w:rPr>
          <w:rFonts w:hint="eastAsia" w:ascii="宋体" w:hAnsi="宋体" w:eastAsia="宋体"/>
          <w:color w:val="auto"/>
          <w:kern w:val="2"/>
          <w:sz w:val="24"/>
          <w:szCs w:val="24"/>
        </w:rPr>
        <w:t>③</w:t>
      </w:r>
      <w:r>
        <w:rPr>
          <w:rFonts w:ascii="宋体" w:hAnsi="宋体" w:eastAsia="宋体"/>
          <w:color w:val="auto"/>
          <w:kern w:val="2"/>
          <w:sz w:val="24"/>
          <w:szCs w:val="24"/>
        </w:rPr>
        <w:t xml:space="preserve"> </w:t>
      </w:r>
      <w:r>
        <w:rPr>
          <w:rFonts w:hint="eastAsia" w:ascii="宋体" w:hAnsi="宋体" w:eastAsia="宋体" w:cs="宋体"/>
          <w:color w:val="auto"/>
          <w:sz w:val="24"/>
          <w:szCs w:val="32"/>
        </w:rPr>
        <w:t>投标人拟投入本项目实施人员具备</w:t>
      </w:r>
      <w:r>
        <w:rPr>
          <w:rFonts w:hint="eastAsia" w:ascii="宋体" w:hAnsi="宋体" w:eastAsia="宋体"/>
          <w:color w:val="auto"/>
          <w:kern w:val="2"/>
          <w:sz w:val="24"/>
          <w:szCs w:val="24"/>
        </w:rPr>
        <w:t>软件设计师证书</w:t>
      </w:r>
      <w:r>
        <w:rPr>
          <w:rFonts w:hint="eastAsia" w:ascii="宋体" w:hAnsi="宋体" w:eastAsia="宋体" w:cs="宋体"/>
          <w:color w:val="auto"/>
          <w:sz w:val="24"/>
          <w:szCs w:val="32"/>
        </w:rPr>
        <w:t>的</w:t>
      </w:r>
      <w:r>
        <w:rPr>
          <w:rFonts w:hint="eastAsia" w:ascii="宋体" w:hAnsi="宋体" w:eastAsia="宋体"/>
          <w:color w:val="auto"/>
          <w:kern w:val="2"/>
          <w:sz w:val="24"/>
          <w:szCs w:val="24"/>
        </w:rPr>
        <w:t>，</w:t>
      </w:r>
      <w:r>
        <w:rPr>
          <w:rFonts w:hint="eastAsia" w:ascii="宋体" w:hAnsi="宋体" w:eastAsia="宋体" w:cs="宋体"/>
          <w:color w:val="auto"/>
          <w:sz w:val="24"/>
          <w:szCs w:val="32"/>
        </w:rPr>
        <w:t>得1分，满分1分；</w:t>
      </w:r>
      <w:r>
        <w:rPr>
          <w:rFonts w:hint="eastAsia" w:ascii="宋体" w:hAnsi="宋体" w:eastAsia="宋体"/>
          <w:color w:val="auto"/>
          <w:sz w:val="24"/>
          <w:szCs w:val="24"/>
        </w:rPr>
        <w:t>具有</w:t>
      </w:r>
      <w:r>
        <w:rPr>
          <w:rFonts w:hint="eastAsia" w:ascii="宋体" w:hAnsi="宋体" w:eastAsia="宋体"/>
          <w:color w:val="auto"/>
          <w:kern w:val="2"/>
          <w:sz w:val="24"/>
          <w:szCs w:val="24"/>
        </w:rPr>
        <w:t>信息系统项目管理师证书的，</w:t>
      </w:r>
      <w:r>
        <w:rPr>
          <w:rFonts w:hint="eastAsia" w:ascii="宋体" w:hAnsi="宋体" w:eastAsia="宋体" w:cs="宋体"/>
          <w:color w:val="auto"/>
          <w:sz w:val="24"/>
          <w:szCs w:val="32"/>
        </w:rPr>
        <w:t>得2分，满分2分；</w:t>
      </w:r>
      <w:r>
        <w:rPr>
          <w:rFonts w:hint="eastAsia" w:ascii="宋体" w:hAnsi="宋体" w:eastAsia="宋体"/>
          <w:color w:val="auto"/>
          <w:sz w:val="24"/>
          <w:szCs w:val="24"/>
        </w:rPr>
        <w:t>具有</w:t>
      </w:r>
      <w:r>
        <w:rPr>
          <w:rFonts w:hint="eastAsia" w:ascii="宋体" w:hAnsi="宋体" w:eastAsia="宋体"/>
          <w:color w:val="auto"/>
          <w:kern w:val="2"/>
          <w:sz w:val="24"/>
          <w:szCs w:val="24"/>
        </w:rPr>
        <w:t>注册电气工程师证书的，</w:t>
      </w:r>
      <w:r>
        <w:rPr>
          <w:rFonts w:hint="eastAsia" w:ascii="宋体" w:hAnsi="宋体" w:eastAsia="宋体"/>
          <w:color w:val="auto"/>
          <w:sz w:val="24"/>
          <w:szCs w:val="24"/>
        </w:rPr>
        <w:t>每提供一</w:t>
      </w:r>
      <w:r>
        <w:rPr>
          <w:rFonts w:hint="eastAsia" w:ascii="宋体" w:hAnsi="宋体" w:eastAsia="宋体"/>
          <w:color w:val="auto"/>
          <w:sz w:val="24"/>
          <w:szCs w:val="24"/>
          <w:lang w:eastAsia="zh-CN"/>
        </w:rPr>
        <w:t>个</w:t>
      </w:r>
      <w:r>
        <w:rPr>
          <w:rFonts w:hint="eastAsia" w:ascii="宋体" w:hAnsi="宋体" w:eastAsia="宋体" w:cs="宋体"/>
          <w:color w:val="auto"/>
          <w:sz w:val="24"/>
          <w:szCs w:val="32"/>
        </w:rPr>
        <w:t>得1.5分，满分3分；</w:t>
      </w:r>
      <w:r>
        <w:rPr>
          <w:rFonts w:hint="eastAsia" w:ascii="宋体" w:hAnsi="宋体" w:eastAsia="宋体"/>
          <w:color w:val="auto"/>
          <w:sz w:val="24"/>
          <w:szCs w:val="24"/>
        </w:rPr>
        <w:t>具有</w:t>
      </w:r>
      <w:r>
        <w:rPr>
          <w:rFonts w:hint="eastAsia" w:ascii="宋体" w:hAnsi="宋体" w:eastAsia="宋体"/>
          <w:color w:val="auto"/>
          <w:kern w:val="2"/>
          <w:sz w:val="24"/>
          <w:szCs w:val="24"/>
        </w:rPr>
        <w:t>注册测绘师证书</w:t>
      </w:r>
      <w:r>
        <w:rPr>
          <w:rFonts w:hint="eastAsia" w:ascii="宋体" w:hAnsi="宋体" w:eastAsia="宋体" w:cs="宋体"/>
          <w:color w:val="auto"/>
          <w:sz w:val="24"/>
          <w:szCs w:val="32"/>
        </w:rPr>
        <w:t>的，每提供一个得1分，满分5分。（满分11分）（须提供实施人员花名册包括姓名、身份证号，相关证书复印件、</w:t>
      </w:r>
      <w:r>
        <w:rPr>
          <w:rFonts w:hint="eastAsia" w:ascii="宋体" w:hAnsi="宋体" w:eastAsia="宋体"/>
          <w:color w:val="auto"/>
          <w:sz w:val="24"/>
          <w:szCs w:val="24"/>
        </w:rPr>
        <w:t>投标人为其缴纳近半年内连续三个月社保缴纳证明复印件。</w:t>
      </w:r>
      <w:r>
        <w:rPr>
          <w:rFonts w:hint="eastAsia" w:ascii="宋体" w:hAnsi="宋体" w:eastAsia="宋体" w:cs="宋体"/>
          <w:color w:val="auto"/>
          <w:sz w:val="24"/>
          <w:szCs w:val="32"/>
        </w:rPr>
        <w:t>）</w:t>
      </w:r>
    </w:p>
    <w:p>
      <w:pPr>
        <w:spacing w:line="45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4）售后服务分</w:t>
      </w:r>
      <w:r>
        <w:rPr>
          <w:rFonts w:hint="eastAsia" w:ascii="宋体" w:hAnsi="宋体" w:eastAsia="宋体"/>
          <w:color w:val="auto"/>
          <w:sz w:val="24"/>
          <w:szCs w:val="24"/>
        </w:rPr>
        <w:t>（满分</w:t>
      </w:r>
      <w:r>
        <w:rPr>
          <w:rFonts w:ascii="宋体" w:hAnsi="宋体" w:eastAsia="宋体"/>
          <w:color w:val="auto"/>
          <w:sz w:val="24"/>
          <w:szCs w:val="24"/>
        </w:rPr>
        <w:t>8</w:t>
      </w:r>
      <w:r>
        <w:rPr>
          <w:rFonts w:hint="eastAsia" w:ascii="宋体" w:hAnsi="宋体" w:eastAsia="宋体"/>
          <w:color w:val="auto"/>
          <w:sz w:val="24"/>
          <w:szCs w:val="24"/>
        </w:rPr>
        <w:t>分）</w:t>
      </w:r>
    </w:p>
    <w:p>
      <w:pPr>
        <w:spacing w:line="450" w:lineRule="exact"/>
        <w:ind w:firstLine="480" w:firstLineChars="200"/>
        <w:rPr>
          <w:rFonts w:ascii="宋体" w:hAnsi="宋体" w:eastAsia="宋体"/>
          <w:color w:val="auto"/>
          <w:kern w:val="2"/>
          <w:sz w:val="24"/>
          <w:szCs w:val="24"/>
        </w:rPr>
      </w:pPr>
      <w:r>
        <w:rPr>
          <w:rFonts w:hint="eastAsia" w:ascii="宋体" w:hAnsi="宋体" w:eastAsia="宋体"/>
          <w:color w:val="auto"/>
          <w:sz w:val="24"/>
          <w:szCs w:val="24"/>
        </w:rPr>
        <w:t>①</w:t>
      </w:r>
      <w:r>
        <w:rPr>
          <w:rFonts w:hint="eastAsia" w:ascii="宋体" w:hAnsi="宋体" w:eastAsia="宋体"/>
          <w:color w:val="auto"/>
          <w:kern w:val="2"/>
          <w:sz w:val="24"/>
          <w:szCs w:val="24"/>
        </w:rPr>
        <w:t>投标人针对本项目提供</w:t>
      </w:r>
      <w:r>
        <w:rPr>
          <w:rFonts w:ascii="宋体" w:hAnsi="宋体" w:eastAsia="宋体"/>
          <w:color w:val="auto"/>
          <w:kern w:val="2"/>
          <w:sz w:val="24"/>
          <w:szCs w:val="24"/>
        </w:rPr>
        <w:t>本地化技术服务支持，</w:t>
      </w:r>
      <w:r>
        <w:rPr>
          <w:rFonts w:hint="eastAsia" w:ascii="宋体" w:hAnsi="宋体" w:eastAsia="宋体" w:cs="宋体"/>
          <w:color w:val="auto"/>
          <w:kern w:val="2"/>
          <w:sz w:val="24"/>
        </w:rPr>
        <w:t>拟投入本项目驻场运维人员数量在满足本项目基本要求的基础上（投标人须提供至少2名技术人员5×8小时本地化驻场服务，必须有1 名具有测绘地理信息类职称的运维人员），</w:t>
      </w:r>
      <w:r>
        <w:rPr>
          <w:rFonts w:hint="eastAsia" w:ascii="宋体" w:hAnsi="宋体" w:eastAsia="宋体"/>
          <w:color w:val="auto"/>
          <w:kern w:val="2"/>
          <w:sz w:val="24"/>
          <w:szCs w:val="24"/>
        </w:rPr>
        <w:t>每增加1名</w:t>
      </w:r>
      <w:r>
        <w:rPr>
          <w:rFonts w:ascii="宋体" w:hAnsi="宋体" w:eastAsia="宋体"/>
          <w:color w:val="auto"/>
          <w:kern w:val="2"/>
          <w:sz w:val="24"/>
          <w:szCs w:val="24"/>
        </w:rPr>
        <w:t>具有计算机类职称的驻场</w:t>
      </w:r>
      <w:r>
        <w:rPr>
          <w:rFonts w:hint="eastAsia" w:ascii="宋体" w:hAnsi="宋体" w:eastAsia="宋体" w:cs="宋体"/>
          <w:color w:val="auto"/>
          <w:kern w:val="2"/>
          <w:sz w:val="24"/>
        </w:rPr>
        <w:t>运维</w:t>
      </w:r>
      <w:r>
        <w:rPr>
          <w:rFonts w:ascii="宋体" w:hAnsi="宋体" w:eastAsia="宋体"/>
          <w:color w:val="auto"/>
          <w:kern w:val="2"/>
          <w:sz w:val="24"/>
          <w:szCs w:val="24"/>
        </w:rPr>
        <w:t>人员得2</w:t>
      </w:r>
      <w:r>
        <w:rPr>
          <w:rFonts w:hint="eastAsia" w:ascii="宋体" w:hAnsi="宋体" w:eastAsia="宋体"/>
          <w:color w:val="auto"/>
          <w:kern w:val="2"/>
          <w:sz w:val="24"/>
          <w:szCs w:val="24"/>
        </w:rPr>
        <w:t>分</w:t>
      </w:r>
      <w:r>
        <w:rPr>
          <w:rFonts w:ascii="宋体" w:hAnsi="宋体" w:eastAsia="宋体"/>
          <w:color w:val="auto"/>
          <w:kern w:val="2"/>
          <w:sz w:val="24"/>
          <w:szCs w:val="24"/>
        </w:rPr>
        <w:t>，</w:t>
      </w:r>
      <w:r>
        <w:rPr>
          <w:rFonts w:hint="eastAsia" w:ascii="宋体" w:hAnsi="宋体" w:eastAsia="宋体"/>
          <w:color w:val="auto"/>
          <w:kern w:val="2"/>
          <w:sz w:val="24"/>
          <w:szCs w:val="24"/>
        </w:rPr>
        <w:t>满分</w:t>
      </w:r>
      <w:r>
        <w:rPr>
          <w:rFonts w:ascii="宋体" w:hAnsi="宋体" w:eastAsia="宋体"/>
          <w:color w:val="auto"/>
          <w:kern w:val="2"/>
          <w:sz w:val="24"/>
          <w:szCs w:val="24"/>
        </w:rPr>
        <w:t>4</w:t>
      </w:r>
      <w:r>
        <w:rPr>
          <w:rFonts w:hint="eastAsia" w:ascii="宋体" w:hAnsi="宋体" w:eastAsia="宋体"/>
          <w:color w:val="auto"/>
          <w:kern w:val="2"/>
          <w:sz w:val="24"/>
          <w:szCs w:val="24"/>
        </w:rPr>
        <w:t>分；每增加1名具有测绘地理信息类职称驻场</w:t>
      </w:r>
      <w:r>
        <w:rPr>
          <w:rFonts w:hint="eastAsia" w:ascii="宋体" w:hAnsi="宋体" w:eastAsia="宋体" w:cs="宋体"/>
          <w:color w:val="auto"/>
          <w:kern w:val="2"/>
          <w:sz w:val="24"/>
        </w:rPr>
        <w:t>运维</w:t>
      </w:r>
      <w:r>
        <w:rPr>
          <w:rFonts w:hint="eastAsia" w:ascii="宋体" w:hAnsi="宋体" w:eastAsia="宋体"/>
          <w:color w:val="auto"/>
          <w:kern w:val="2"/>
          <w:sz w:val="24"/>
          <w:szCs w:val="24"/>
        </w:rPr>
        <w:t>人员</w:t>
      </w:r>
      <w:r>
        <w:rPr>
          <w:rFonts w:ascii="宋体" w:hAnsi="宋体" w:eastAsia="宋体"/>
          <w:color w:val="auto"/>
          <w:kern w:val="2"/>
          <w:sz w:val="24"/>
          <w:szCs w:val="24"/>
        </w:rPr>
        <w:t>得2</w:t>
      </w:r>
      <w:r>
        <w:rPr>
          <w:rFonts w:hint="eastAsia" w:ascii="宋体" w:hAnsi="宋体" w:eastAsia="宋体"/>
          <w:color w:val="auto"/>
          <w:kern w:val="2"/>
          <w:sz w:val="24"/>
          <w:szCs w:val="24"/>
        </w:rPr>
        <w:t>分，满分</w:t>
      </w:r>
      <w:r>
        <w:rPr>
          <w:rFonts w:ascii="宋体" w:hAnsi="宋体" w:eastAsia="宋体"/>
          <w:color w:val="auto"/>
          <w:kern w:val="2"/>
          <w:sz w:val="24"/>
          <w:szCs w:val="24"/>
        </w:rPr>
        <w:t>4</w:t>
      </w:r>
      <w:r>
        <w:rPr>
          <w:rFonts w:hint="eastAsia" w:ascii="宋体" w:hAnsi="宋体" w:eastAsia="宋体"/>
          <w:color w:val="auto"/>
          <w:kern w:val="2"/>
          <w:sz w:val="24"/>
          <w:szCs w:val="24"/>
        </w:rPr>
        <w:t>分。（须提供驻场</w:t>
      </w:r>
      <w:r>
        <w:rPr>
          <w:rFonts w:hint="eastAsia" w:ascii="宋体" w:hAnsi="宋体" w:eastAsia="宋体" w:cs="宋体"/>
          <w:color w:val="auto"/>
          <w:kern w:val="2"/>
          <w:sz w:val="24"/>
        </w:rPr>
        <w:t>运维</w:t>
      </w:r>
      <w:r>
        <w:rPr>
          <w:rFonts w:hint="eastAsia" w:ascii="宋体" w:hAnsi="宋体" w:eastAsia="宋体"/>
          <w:color w:val="auto"/>
          <w:kern w:val="2"/>
          <w:sz w:val="24"/>
          <w:szCs w:val="24"/>
        </w:rPr>
        <w:t>人员人员花名册包括姓名、身份证号、职称证书复印件，以上人员必须为投标单位的在职人员须提供</w:t>
      </w:r>
      <w:r>
        <w:rPr>
          <w:rFonts w:hint="eastAsia" w:ascii="宋体" w:hAnsi="宋体" w:eastAsia="宋体"/>
          <w:color w:val="auto"/>
          <w:sz w:val="24"/>
          <w:szCs w:val="24"/>
        </w:rPr>
        <w:t>投标人为其缴纳近半年内连续三个月社保缴纳证明复印件。</w:t>
      </w:r>
      <w:r>
        <w:rPr>
          <w:rFonts w:hint="eastAsia" w:ascii="宋体" w:hAnsi="宋体" w:eastAsia="宋体" w:cs="宋体"/>
          <w:color w:val="auto"/>
          <w:sz w:val="24"/>
          <w:szCs w:val="32"/>
        </w:rPr>
        <w:t>）</w:t>
      </w:r>
      <w:r>
        <w:rPr>
          <w:rFonts w:hint="eastAsia" w:ascii="宋体" w:hAnsi="宋体" w:eastAsia="宋体"/>
          <w:color w:val="auto"/>
          <w:kern w:val="2"/>
          <w:sz w:val="24"/>
          <w:szCs w:val="24"/>
        </w:rPr>
        <w:t>（本项满分</w:t>
      </w:r>
      <w:r>
        <w:rPr>
          <w:rFonts w:ascii="宋体" w:hAnsi="宋体" w:eastAsia="宋体"/>
          <w:color w:val="auto"/>
          <w:kern w:val="2"/>
          <w:sz w:val="24"/>
          <w:szCs w:val="24"/>
        </w:rPr>
        <w:t>8</w:t>
      </w:r>
      <w:r>
        <w:rPr>
          <w:rFonts w:hint="eastAsia" w:ascii="宋体" w:hAnsi="宋体" w:eastAsia="宋体"/>
          <w:color w:val="auto"/>
          <w:kern w:val="2"/>
          <w:sz w:val="24"/>
          <w:szCs w:val="24"/>
        </w:rPr>
        <w:t>分）</w:t>
      </w:r>
    </w:p>
    <w:p>
      <w:pPr>
        <w:widowControl w:val="0"/>
        <w:adjustRightInd/>
        <w:snapToGrid/>
        <w:spacing w:after="0" w:line="450" w:lineRule="exact"/>
        <w:ind w:firstLine="440"/>
        <w:jc w:val="both"/>
        <w:rPr>
          <w:rFonts w:hint="eastAsia" w:ascii="宋体" w:hAnsi="宋体" w:eastAsia="宋体" w:cs="宋体"/>
          <w:kern w:val="2"/>
          <w:sz w:val="24"/>
        </w:rPr>
      </w:pPr>
      <w:r>
        <w:rPr>
          <w:rFonts w:hint="eastAsia" w:ascii="宋体" w:hAnsi="宋体" w:eastAsia="宋体" w:cs="宋体"/>
          <w:color w:val="auto"/>
          <w:kern w:val="2"/>
          <w:sz w:val="24"/>
        </w:rPr>
        <w:t>（5）诚信分，投标人在截标日前1年内在政府采购活动中存在违约违规情形的（以财政部门出具的书面材料为评</w:t>
      </w:r>
      <w:r>
        <w:rPr>
          <w:rFonts w:hint="eastAsia" w:ascii="宋体" w:hAnsi="宋体" w:eastAsia="宋体" w:cs="宋体"/>
          <w:kern w:val="2"/>
          <w:sz w:val="24"/>
        </w:rPr>
        <w:t>分依据），每次扣除3分，最高扣分6分扣完为止。</w:t>
      </w:r>
    </w:p>
    <w:p>
      <w:pPr>
        <w:tabs>
          <w:tab w:val="left" w:pos="6931"/>
        </w:tabs>
        <w:spacing w:line="450" w:lineRule="exact"/>
        <w:ind w:firstLine="361" w:firstLineChars="150"/>
        <w:rPr>
          <w:rFonts w:ascii="宋体" w:hAnsi="宋体" w:eastAsia="宋体"/>
          <w:b/>
          <w:sz w:val="24"/>
          <w:szCs w:val="24"/>
        </w:rPr>
      </w:pPr>
      <w:r>
        <w:rPr>
          <w:rFonts w:hint="eastAsia" w:ascii="宋体" w:hAnsi="宋体" w:eastAsia="宋体"/>
          <w:b/>
          <w:sz w:val="24"/>
          <w:szCs w:val="24"/>
        </w:rPr>
        <w:t>（三）总得分＝</w:t>
      </w:r>
      <w:r>
        <w:rPr>
          <w:rFonts w:ascii="宋体" w:hAnsi="宋体" w:eastAsia="宋体"/>
          <w:b/>
          <w:sz w:val="24"/>
          <w:szCs w:val="24"/>
        </w:rPr>
        <w:t>1＋2＋3</w:t>
      </w:r>
    </w:p>
    <w:p>
      <w:pPr>
        <w:tabs>
          <w:tab w:val="left" w:pos="6931"/>
        </w:tabs>
        <w:spacing w:line="450" w:lineRule="exact"/>
        <w:ind w:firstLine="361" w:firstLineChars="150"/>
        <w:rPr>
          <w:rFonts w:ascii="宋体" w:hAnsi="宋体" w:eastAsia="宋体"/>
          <w:b/>
          <w:sz w:val="24"/>
          <w:szCs w:val="24"/>
        </w:rPr>
      </w:pPr>
      <w:r>
        <w:rPr>
          <w:rFonts w:hint="eastAsia" w:ascii="宋体" w:hAnsi="宋体" w:eastAsia="宋体"/>
          <w:b/>
          <w:sz w:val="24"/>
          <w:szCs w:val="24"/>
        </w:rPr>
        <w:t>（四）中标标准：</w:t>
      </w:r>
    </w:p>
    <w:p>
      <w:pPr>
        <w:tabs>
          <w:tab w:val="left" w:pos="6931"/>
        </w:tabs>
        <w:spacing w:line="450" w:lineRule="exact"/>
        <w:ind w:firstLine="360" w:firstLineChars="150"/>
        <w:rPr>
          <w:rFonts w:ascii="宋体" w:hAnsi="宋体" w:eastAsia="宋体"/>
          <w:b/>
          <w:sz w:val="24"/>
          <w:szCs w:val="24"/>
        </w:rPr>
      </w:pPr>
      <w:r>
        <w:rPr>
          <w:rFonts w:hint="eastAsia" w:ascii="宋体" w:hAnsi="宋体" w:eastAsia="宋体"/>
          <w:sz w:val="24"/>
          <w:szCs w:val="24"/>
        </w:rPr>
        <w:t>（</w:t>
      </w:r>
      <w:r>
        <w:rPr>
          <w:rFonts w:ascii="宋体" w:hAnsi="宋体" w:eastAsia="宋体"/>
          <w:b/>
          <w:sz w:val="24"/>
          <w:szCs w:val="24"/>
        </w:rPr>
        <w:t>1）评标委员会将按总得分由高到低排列中标候选投标人顺序（总得分相同时，依次按投标报价低优先、技术分高优先、质量保证期长优先、提交服务成果时间短优先、处理问题到达时间短优先的顺序排列），并依照次序确定中标人。</w:t>
      </w:r>
    </w:p>
    <w:p>
      <w:pPr>
        <w:pStyle w:val="15"/>
        <w:spacing w:line="450" w:lineRule="exact"/>
        <w:ind w:firstLine="482" w:firstLineChars="200"/>
        <w:rPr>
          <w:rFonts w:ascii="宋体" w:hAnsi="宋体" w:cs="宋体"/>
          <w:sz w:val="24"/>
        </w:rPr>
      </w:pPr>
      <w:r>
        <w:rPr>
          <w:rFonts w:hint="eastAsia" w:ascii="宋体" w:hAnsi="宋体" w:cs="宋体"/>
          <w:b/>
          <w:sz w:val="24"/>
        </w:rPr>
        <w:t>（</w:t>
      </w:r>
      <w:r>
        <w:rPr>
          <w:rFonts w:ascii="宋体" w:hAnsi="宋体" w:cs="宋体"/>
          <w:b/>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pPr>
        <w:pStyle w:val="17"/>
        <w:spacing w:line="312" w:lineRule="auto"/>
        <w:jc w:val="center"/>
        <w:outlineLvl w:val="0"/>
        <w:rPr>
          <w:rFonts w:hint="eastAsia" w:ascii="宋体" w:hAnsi="宋体" w:eastAsia="宋体" w:cs="宋体"/>
          <w:b/>
          <w:sz w:val="36"/>
        </w:rPr>
      </w:pPr>
      <w:r>
        <w:rPr>
          <w:rFonts w:hint="eastAsia" w:ascii="宋体" w:hAnsi="宋体" w:eastAsia="宋体" w:cs="宋体"/>
          <w:b/>
          <w:sz w:val="36"/>
        </w:rPr>
        <w:br w:type="page"/>
      </w:r>
      <w:bookmarkStart w:id="19" w:name="_Toc27800"/>
      <w:r>
        <w:rPr>
          <w:rFonts w:hint="eastAsia" w:ascii="宋体" w:hAnsi="宋体" w:eastAsia="宋体" w:cs="宋体"/>
          <w:b/>
          <w:sz w:val="36"/>
        </w:rPr>
        <w:t>第四章  投标人须知</w:t>
      </w:r>
      <w:bookmarkEnd w:id="4"/>
      <w:bookmarkEnd w:id="5"/>
      <w:bookmarkEnd w:id="14"/>
      <w:bookmarkEnd w:id="15"/>
      <w:bookmarkEnd w:id="18"/>
      <w:bookmarkEnd w:id="19"/>
    </w:p>
    <w:p>
      <w:pPr>
        <w:pStyle w:val="17"/>
        <w:spacing w:line="720" w:lineRule="auto"/>
        <w:jc w:val="center"/>
        <w:rPr>
          <w:rFonts w:hint="eastAsia" w:ascii="宋体" w:hAnsi="宋体" w:eastAsia="宋体" w:cs="宋体"/>
          <w:b/>
          <w:sz w:val="30"/>
          <w:szCs w:val="30"/>
        </w:rPr>
      </w:pPr>
      <w:r>
        <w:rPr>
          <w:rFonts w:hint="eastAsia" w:ascii="宋体" w:hAnsi="宋体" w:eastAsia="宋体" w:cs="宋体"/>
          <w:b/>
          <w:sz w:val="30"/>
          <w:szCs w:val="30"/>
        </w:rPr>
        <w:t>投标人须知前附表</w:t>
      </w:r>
    </w:p>
    <w:p>
      <w:pPr>
        <w:pStyle w:val="17"/>
        <w:spacing w:line="460" w:lineRule="exact"/>
        <w:ind w:firstLine="420"/>
        <w:rPr>
          <w:rFonts w:hint="eastAsia" w:ascii="宋体" w:hAnsi="宋体" w:eastAsia="宋体" w:cs="宋体"/>
          <w:b/>
          <w:sz w:val="24"/>
          <w:szCs w:val="24"/>
        </w:rPr>
      </w:pPr>
      <w:r>
        <w:rPr>
          <w:rFonts w:hint="eastAsia" w:ascii="宋体" w:hAnsi="宋体" w:eastAsia="宋体" w:cs="宋体"/>
          <w:sz w:val="24"/>
          <w:szCs w:val="24"/>
        </w:rPr>
        <w:t>本表是关于本次采购项目的具体资料，是对后列条款的具体补充和修改。所有与本次采购有关的事宜，以本表规定的为准。</w:t>
      </w:r>
    </w:p>
    <w:tbl>
      <w:tblPr>
        <w:tblStyle w:val="26"/>
        <w:tblW w:w="100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51"/>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6510" w:type="dxa"/>
            <w:tcBorders>
              <w:top w:val="single" w:color="auto" w:sz="4" w:space="0"/>
              <w:left w:val="single" w:color="auto" w:sz="4" w:space="0"/>
              <w:bottom w:val="single" w:color="auto" w:sz="4" w:space="0"/>
              <w:right w:val="single" w:color="auto" w:sz="4" w:space="0"/>
            </w:tcBorders>
          </w:tcPr>
          <w:p>
            <w:pPr>
              <w:pStyle w:val="17"/>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名称： 南宁市智慧城管信息中心</w:t>
            </w:r>
          </w:p>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地址：</w:t>
            </w:r>
            <w:r>
              <w:rPr>
                <w:rFonts w:hint="eastAsia" w:hAnsi="宋体" w:eastAsia="宋体" w:cs="宋体"/>
                <w:sz w:val="24"/>
                <w:szCs w:val="24"/>
              </w:rPr>
              <w:t>南宁市青秀区汇春路2号希尔顿阳光B座</w:t>
            </w:r>
            <w:r>
              <w:rPr>
                <w:rFonts w:hint="eastAsia" w:ascii="宋体" w:hAnsi="宋体" w:eastAsia="宋体" w:cs="宋体"/>
                <w:sz w:val="24"/>
                <w:szCs w:val="24"/>
              </w:rPr>
              <w:t xml:space="preserve"> </w:t>
            </w:r>
          </w:p>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 xml:space="preserve">联系人：韦工  </w:t>
            </w:r>
          </w:p>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电话： 0771-5827629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名称：广西邕政采购代理有限公司</w:t>
            </w:r>
          </w:p>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地址：南宁市青秀区思贤路45号创投中心16A层</w:t>
            </w:r>
          </w:p>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项目联系人：蔺工、黎工</w:t>
            </w:r>
          </w:p>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扬尘治理视频综合管理系统（二期）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NNZC2020-G3-990080-GXYZ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采购预算</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left"/>
              <w:rPr>
                <w:rFonts w:hint="eastAsia" w:ascii="宋体" w:hAnsi="宋体" w:eastAsia="宋体" w:cs="宋体"/>
                <w:b/>
                <w:sz w:val="24"/>
              </w:rPr>
            </w:pPr>
            <w:r>
              <w:rPr>
                <w:rFonts w:hint="eastAsia" w:ascii="宋体" w:hAnsi="宋体" w:eastAsia="宋体" w:cs="宋体"/>
                <w:sz w:val="24"/>
                <w:szCs w:val="24"/>
              </w:rPr>
              <w:t>人民币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9103000 \* CHINESENUM2 </w:instrText>
            </w:r>
            <w:r>
              <w:rPr>
                <w:rFonts w:hint="eastAsia" w:ascii="宋体" w:hAnsi="宋体" w:eastAsia="宋体" w:cs="宋体"/>
                <w:sz w:val="24"/>
                <w:szCs w:val="24"/>
              </w:rPr>
              <w:fldChar w:fldCharType="separate"/>
            </w:r>
            <w:r>
              <w:rPr>
                <w:rFonts w:hint="eastAsia" w:ascii="宋体" w:hAnsi="宋体" w:eastAsia="宋体" w:cs="宋体"/>
                <w:sz w:val="24"/>
                <w:szCs w:val="24"/>
              </w:rPr>
              <w:t>玖佰壹拾万叁仟</w:t>
            </w:r>
            <w:r>
              <w:rPr>
                <w:rFonts w:hint="eastAsia" w:ascii="宋体" w:hAnsi="宋体" w:eastAsia="宋体" w:cs="宋体"/>
                <w:sz w:val="24"/>
                <w:szCs w:val="24"/>
              </w:rPr>
              <w:fldChar w:fldCharType="end"/>
            </w:r>
            <w:r>
              <w:rPr>
                <w:rFonts w:hint="eastAsia" w:ascii="宋体" w:hAnsi="宋体" w:eastAsia="宋体" w:cs="宋体"/>
                <w:sz w:val="24"/>
                <w:szCs w:val="24"/>
              </w:rPr>
              <w:t>元整(￥9103000.00元)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获取招标文件的方式</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1、本项目不发放纸质文件，投标人自行在南宁市公共资源交易平台(https://www.nnggzy.org.cn/gxnnzbw/)的信息公告处下载采购文件。</w:t>
            </w:r>
          </w:p>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2、采购文件每套售价0元。</w:t>
            </w:r>
            <w:permStart w:id="4" w:edGrp="everyone"/>
            <w:permEnd w:id="4"/>
          </w:p>
          <w:p>
            <w:pPr>
              <w:pStyle w:val="17"/>
              <w:spacing w:line="400" w:lineRule="exact"/>
              <w:rPr>
                <w:rFonts w:hint="eastAsia" w:ascii="宋体" w:hAnsi="宋体" w:eastAsia="宋体" w:cs="宋体"/>
                <w:sz w:val="24"/>
              </w:rPr>
            </w:pPr>
            <w:r>
              <w:rPr>
                <w:rFonts w:hint="eastAsia" w:ascii="宋体" w:hAnsi="宋体" w:eastAsia="宋体" w:cs="宋体"/>
                <w:sz w:val="24"/>
                <w:szCs w:val="24"/>
              </w:rPr>
              <w:t>3、本项目公开招标公告期限为公告发布之日起5个工作日（2020年</w:t>
            </w:r>
            <w:r>
              <w:rPr>
                <w:rFonts w:hint="eastAsia" w:hAnsi="宋体" w:cs="宋体"/>
                <w:sz w:val="24"/>
                <w:szCs w:val="24"/>
                <w:lang w:val="en-US" w:eastAsia="zh-CN"/>
              </w:rPr>
              <w:t>9</w:t>
            </w:r>
            <w:r>
              <w:rPr>
                <w:rFonts w:hint="eastAsia" w:ascii="宋体" w:hAnsi="宋体" w:eastAsia="宋体" w:cs="宋体"/>
                <w:sz w:val="24"/>
                <w:szCs w:val="24"/>
              </w:rPr>
              <w:t>月</w:t>
            </w:r>
            <w:r>
              <w:rPr>
                <w:rFonts w:hint="eastAsia" w:hAnsi="宋体" w:cs="宋体"/>
                <w:sz w:val="24"/>
                <w:szCs w:val="24"/>
                <w:lang w:val="en-US" w:eastAsia="zh-CN"/>
              </w:rPr>
              <w:t>26</w:t>
            </w:r>
            <w:r>
              <w:rPr>
                <w:rFonts w:hint="eastAsia" w:ascii="宋体" w:hAnsi="宋体" w:eastAsia="宋体" w:cs="宋体"/>
                <w:sz w:val="24"/>
                <w:szCs w:val="24"/>
              </w:rPr>
              <w:t>日至2020年</w:t>
            </w:r>
            <w:r>
              <w:rPr>
                <w:rFonts w:hint="eastAsia" w:hAnsi="宋体" w:cs="宋体"/>
                <w:sz w:val="24"/>
                <w:szCs w:val="24"/>
                <w:lang w:val="en-US" w:eastAsia="zh-CN"/>
              </w:rPr>
              <w:t>10</w:t>
            </w:r>
            <w:r>
              <w:rPr>
                <w:rFonts w:hint="eastAsia" w:ascii="宋体" w:hAnsi="宋体" w:eastAsia="宋体" w:cs="宋体"/>
                <w:sz w:val="24"/>
                <w:szCs w:val="24"/>
              </w:rPr>
              <w:t>月</w:t>
            </w:r>
            <w:r>
              <w:rPr>
                <w:rFonts w:hint="eastAsia" w:hAnsi="宋体" w:cs="宋体"/>
                <w:sz w:val="24"/>
                <w:szCs w:val="24"/>
                <w:lang w:val="en-US" w:eastAsia="zh-CN"/>
              </w:rPr>
              <w:t>9</w:t>
            </w:r>
            <w:r>
              <w:rPr>
                <w:rFonts w:hint="eastAsia" w:ascii="宋体" w:hAnsi="宋体" w:eastAsia="宋体" w:cs="宋体"/>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预留采购份额</w:t>
            </w:r>
          </w:p>
        </w:tc>
        <w:tc>
          <w:tcPr>
            <w:tcW w:w="65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sz w:val="24"/>
              </w:rPr>
            </w:pPr>
            <w:r>
              <w:rPr>
                <w:rFonts w:hint="eastAsia" w:ascii="宋体" w:hAnsi="宋体" w:eastAsia="宋体"/>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3.2</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投标人应具备的特定条件</w:t>
            </w:r>
          </w:p>
        </w:tc>
        <w:tc>
          <w:tcPr>
            <w:tcW w:w="651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75" w:beforeAutospacing="0" w:after="75" w:afterAutospacing="0" w:line="400" w:lineRule="exact"/>
              <w:jc w:val="both"/>
              <w:rPr>
                <w:rFonts w:hint="eastAsia" w:ascii="宋体" w:hAnsi="宋体" w:eastAsia="宋体"/>
              </w:rPr>
            </w:pPr>
            <w:r>
              <w:rPr>
                <w:rFonts w:hint="eastAsia" w:ascii="宋体" w:hAnsi="宋体" w:eastAsia="宋体"/>
              </w:rPr>
              <w:t>1、符合《中华人民共和国政府采购法》第二十二条规定；</w:t>
            </w:r>
          </w:p>
          <w:p>
            <w:pPr>
              <w:pStyle w:val="22"/>
              <w:widowControl w:val="0"/>
              <w:spacing w:before="75" w:beforeAutospacing="0" w:after="75" w:afterAutospacing="0" w:line="400" w:lineRule="exact"/>
              <w:jc w:val="both"/>
              <w:rPr>
                <w:rFonts w:hint="eastAsia" w:ascii="宋体" w:hAnsi="宋体" w:eastAsia="宋体"/>
              </w:rPr>
            </w:pPr>
            <w:r>
              <w:rPr>
                <w:rFonts w:hint="eastAsia" w:ascii="宋体" w:hAnsi="宋体" w:eastAsia="宋体"/>
              </w:rPr>
              <w:t>2、本项目需落实的政府采购政策：本项目适用政府采购促进中小企业、监狱企业发展、促进残疾人就业、节能环保等有关政策，具体详见招标文件；</w:t>
            </w:r>
          </w:p>
          <w:p>
            <w:pPr>
              <w:pStyle w:val="22"/>
              <w:widowControl w:val="0"/>
              <w:spacing w:before="75" w:beforeAutospacing="0" w:after="75" w:afterAutospacing="0" w:line="400" w:lineRule="exact"/>
              <w:jc w:val="both"/>
              <w:rPr>
                <w:rFonts w:hint="eastAsia" w:ascii="宋体" w:hAnsi="宋体" w:eastAsia="宋体"/>
              </w:rPr>
            </w:pPr>
            <w:r>
              <w:rPr>
                <w:rFonts w:hint="eastAsia" w:ascii="宋体" w:hAnsi="宋体" w:eastAsia="宋体"/>
              </w:rPr>
              <w:t>3、本项目的特定资格要求：无；</w:t>
            </w:r>
          </w:p>
          <w:p>
            <w:pPr>
              <w:pStyle w:val="22"/>
              <w:widowControl w:val="0"/>
              <w:spacing w:before="75" w:beforeAutospacing="0" w:after="75" w:afterAutospacing="0" w:line="400" w:lineRule="exact"/>
              <w:jc w:val="both"/>
              <w:rPr>
                <w:rFonts w:hint="eastAsia" w:ascii="宋体" w:hAnsi="宋体" w:eastAsia="宋体"/>
              </w:rPr>
            </w:pPr>
            <w:r>
              <w:rPr>
                <w:rFonts w:hint="eastAsia" w:ascii="宋体" w:hAnsi="宋体" w:eastAsia="宋体"/>
              </w:rPr>
              <w:t>4、具有国内法人资格，注册经营范围满足所采购内容的供应商；</w:t>
            </w:r>
          </w:p>
          <w:p>
            <w:pPr>
              <w:pStyle w:val="22"/>
              <w:widowControl w:val="0"/>
              <w:wordWrap w:val="0"/>
              <w:spacing w:before="75" w:beforeAutospacing="0" w:after="75" w:afterAutospacing="0" w:line="400" w:lineRule="exact"/>
              <w:jc w:val="both"/>
              <w:rPr>
                <w:rFonts w:hint="eastAsia" w:ascii="宋体" w:hAnsi="宋体" w:eastAsia="宋体"/>
              </w:rPr>
            </w:pPr>
            <w:r>
              <w:rPr>
                <w:rFonts w:hint="eastAsia" w:ascii="宋体" w:hAnsi="宋体" w:eastAsia="宋体"/>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widowControl w:val="0"/>
              <w:spacing w:before="75" w:beforeAutospacing="0" w:after="75" w:afterAutospacing="0" w:line="400" w:lineRule="exact"/>
              <w:jc w:val="both"/>
              <w:rPr>
                <w:rFonts w:hint="eastAsia" w:ascii="宋体" w:hAnsi="宋体" w:eastAsia="宋体"/>
              </w:rPr>
            </w:pPr>
            <w:r>
              <w:rPr>
                <w:rFonts w:hint="eastAsia" w:ascii="宋体" w:hAnsi="宋体" w:eastAsia="宋体"/>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3.3</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lang w:eastAsia="en-US"/>
              </w:rPr>
              <w:t>不接受联合体</w:t>
            </w:r>
            <w:r>
              <w:rPr>
                <w:rFonts w:hint="eastAsia" w:ascii="宋体" w:hAnsi="宋体" w:eastAsia="宋体" w:cs="宋体"/>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招标文件质疑提交的截止时间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质疑提交地点、电话</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left"/>
              <w:rPr>
                <w:rFonts w:hint="eastAsia" w:ascii="宋体" w:hAnsi="宋体" w:eastAsia="宋体" w:cs="宋体"/>
                <w:bCs/>
                <w:sz w:val="24"/>
              </w:rPr>
            </w:pPr>
            <w:r>
              <w:rPr>
                <w:rFonts w:hint="eastAsia" w:ascii="宋体" w:hAnsi="宋体" w:eastAsia="宋体" w:cs="宋体"/>
                <w:bCs/>
                <w:sz w:val="24"/>
              </w:rPr>
              <w:t>1、对资格审查的质疑，由采购人负责受理和答复。（地址：</w:t>
            </w:r>
            <w:r>
              <w:rPr>
                <w:rFonts w:hint="eastAsia" w:hAnsi="宋体" w:eastAsia="宋体" w:cs="宋体"/>
                <w:sz w:val="24"/>
                <w:szCs w:val="24"/>
              </w:rPr>
              <w:t>南宁市青秀区汇春路2号希尔顿阳光B座</w:t>
            </w:r>
            <w:r>
              <w:rPr>
                <w:rFonts w:hint="eastAsia" w:ascii="宋体" w:hAnsi="宋体" w:eastAsia="宋体" w:cs="宋体"/>
                <w:bCs/>
                <w:sz w:val="24"/>
              </w:rPr>
              <w:t>； 质疑咨询电话：</w:t>
            </w:r>
            <w:r>
              <w:rPr>
                <w:rFonts w:hint="eastAsia" w:ascii="宋体" w:hAnsi="宋体" w:eastAsia="宋体" w:cs="宋体"/>
                <w:sz w:val="24"/>
              </w:rPr>
              <w:t>0771-5827629</w:t>
            </w:r>
            <w:r>
              <w:rPr>
                <w:rFonts w:hint="eastAsia" w:ascii="宋体" w:hAnsi="宋体" w:eastAsia="宋体" w:cs="宋体"/>
                <w:bCs/>
                <w:sz w:val="24"/>
              </w:rPr>
              <w:t>）</w:t>
            </w:r>
          </w:p>
          <w:p>
            <w:pPr>
              <w:pStyle w:val="17"/>
              <w:spacing w:line="400" w:lineRule="exact"/>
              <w:rPr>
                <w:rFonts w:hint="eastAsia" w:ascii="宋体" w:hAnsi="宋体" w:eastAsia="宋体" w:cs="宋体"/>
                <w:bCs/>
                <w:sz w:val="24"/>
              </w:rPr>
            </w:pPr>
            <w:r>
              <w:rPr>
                <w:rFonts w:hint="eastAsia" w:ascii="宋体" w:hAnsi="宋体" w:eastAsia="宋体" w:cs="宋体"/>
                <w:bCs/>
                <w:sz w:val="24"/>
              </w:rPr>
              <w:t>2、对资格审查以外的质疑，由广西邕政采购代理有限公司负责受理和答复。（地址：</w:t>
            </w:r>
            <w:r>
              <w:rPr>
                <w:rFonts w:hint="eastAsia" w:ascii="宋体" w:hAnsi="宋体" w:eastAsia="宋体" w:cs="宋体"/>
                <w:sz w:val="24"/>
                <w:szCs w:val="24"/>
              </w:rPr>
              <w:t>南宁市青秀区思贤路45号创投中心16A层</w:t>
            </w:r>
            <w:r>
              <w:rPr>
                <w:rFonts w:hint="eastAsia" w:ascii="宋体" w:hAnsi="宋体" w:eastAsia="宋体" w:cs="宋体"/>
                <w:bCs/>
                <w:sz w:val="24"/>
              </w:rPr>
              <w:t>； 质疑咨询电话：</w:t>
            </w:r>
            <w:r>
              <w:rPr>
                <w:rFonts w:hint="eastAsia" w:ascii="宋体" w:hAnsi="宋体" w:eastAsia="宋体" w:cs="宋体"/>
                <w:sz w:val="24"/>
                <w:szCs w:val="24"/>
              </w:rPr>
              <w:t>0771-2442850</w:t>
            </w:r>
            <w:r>
              <w:rPr>
                <w:rFonts w:hint="eastAsia" w:ascii="宋体" w:hAnsi="宋体" w:eastAsia="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7.1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投标人要求澄清的截止时间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8.8</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left"/>
              <w:rPr>
                <w:rFonts w:hint="eastAsia" w:ascii="宋体" w:hAnsi="宋体" w:eastAsia="宋体" w:cs="宋体"/>
                <w:sz w:val="24"/>
                <w:szCs w:val="24"/>
              </w:rPr>
            </w:pPr>
            <w:r>
              <w:rPr>
                <w:rFonts w:hint="eastAsia" w:ascii="宋体" w:hAnsi="宋体" w:eastAsia="宋体" w:cs="宋体"/>
                <w:sz w:val="24"/>
                <w:szCs w:val="24"/>
              </w:rPr>
              <w:t>报价文件：正本1份，副本4份</w:t>
            </w:r>
          </w:p>
          <w:p>
            <w:pPr>
              <w:pStyle w:val="17"/>
              <w:spacing w:line="400" w:lineRule="exact"/>
              <w:jc w:val="left"/>
              <w:rPr>
                <w:rFonts w:hint="eastAsia" w:ascii="宋体" w:hAnsi="宋体" w:eastAsia="宋体" w:cs="宋体"/>
                <w:sz w:val="24"/>
                <w:szCs w:val="24"/>
              </w:rPr>
            </w:pPr>
            <w:r>
              <w:rPr>
                <w:rFonts w:hint="eastAsia" w:ascii="宋体" w:hAnsi="宋体" w:eastAsia="宋体" w:cs="宋体"/>
                <w:sz w:val="24"/>
                <w:szCs w:val="24"/>
              </w:rPr>
              <w:t>资格文件：正本1份，副本4份</w:t>
            </w:r>
          </w:p>
          <w:p>
            <w:pPr>
              <w:pStyle w:val="17"/>
              <w:spacing w:line="400" w:lineRule="exact"/>
              <w:jc w:val="left"/>
              <w:rPr>
                <w:rFonts w:hint="eastAsia" w:ascii="宋体" w:hAnsi="宋体" w:eastAsia="宋体" w:cs="宋体"/>
                <w:sz w:val="24"/>
                <w:szCs w:val="24"/>
              </w:rPr>
            </w:pPr>
            <w:r>
              <w:rPr>
                <w:rFonts w:hint="eastAsia" w:ascii="宋体" w:hAnsi="宋体" w:eastAsia="宋体" w:cs="宋体"/>
                <w:sz w:val="24"/>
                <w:szCs w:val="24"/>
              </w:rPr>
              <w:t>技术文件：正本1份，副本4份</w:t>
            </w:r>
          </w:p>
          <w:p>
            <w:pPr>
              <w:pStyle w:val="17"/>
              <w:spacing w:line="400" w:lineRule="exact"/>
              <w:jc w:val="left"/>
              <w:rPr>
                <w:rFonts w:hint="eastAsia" w:ascii="宋体" w:hAnsi="宋体" w:eastAsia="宋体" w:cs="宋体"/>
                <w:sz w:val="24"/>
                <w:szCs w:val="24"/>
              </w:rPr>
            </w:pPr>
            <w:r>
              <w:rPr>
                <w:rFonts w:hint="eastAsia" w:ascii="宋体" w:hAnsi="宋体" w:eastAsia="宋体" w:cs="宋体"/>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11.4</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宋体" w:hAnsi="宋体" w:eastAsia="宋体"/>
                <w:sz w:val="24"/>
              </w:rPr>
            </w:pPr>
            <w:r>
              <w:rPr>
                <w:rFonts w:hint="eastAsia" w:ascii="宋体" w:hAnsi="宋体" w:eastAsia="宋体"/>
                <w:sz w:val="24"/>
              </w:rPr>
              <w:t>采购代理服务费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40" w:lineRule="exact"/>
              <w:jc w:val="left"/>
              <w:rPr>
                <w:rFonts w:hAnsi="宋体" w:cs="宋体"/>
                <w:sz w:val="24"/>
                <w:szCs w:val="24"/>
              </w:rPr>
            </w:pPr>
            <w:r>
              <w:rPr>
                <w:rFonts w:hint="eastAsia" w:hAnsi="宋体" w:cs="宋体"/>
                <w:sz w:val="24"/>
                <w:szCs w:val="24"/>
              </w:rPr>
              <w:t>本项目代理服务费按国家发展计划委员会《招标代理服务费管理暂行办法》（计价格</w:t>
            </w:r>
            <w:r>
              <w:rPr>
                <w:rFonts w:hAnsi="宋体" w:cs="宋体"/>
                <w:sz w:val="24"/>
                <w:szCs w:val="24"/>
              </w:rPr>
              <w:t>[2002]1980</w:t>
            </w:r>
            <w:r>
              <w:rPr>
                <w:rFonts w:hint="eastAsia" w:hAnsi="宋体" w:cs="宋体"/>
                <w:sz w:val="24"/>
                <w:szCs w:val="24"/>
              </w:rPr>
              <w:t>号）收费标准计取。由成交单位在领</w:t>
            </w:r>
            <w:r>
              <w:rPr>
                <w:rFonts w:hint="eastAsia" w:hAnsi="宋体" w:cs="宋体"/>
                <w:kern w:val="0"/>
                <w:sz w:val="24"/>
              </w:rPr>
              <w:t>成交</w:t>
            </w:r>
            <w:r>
              <w:rPr>
                <w:rFonts w:hint="eastAsia" w:hAnsi="宋体" w:cs="宋体"/>
                <w:sz w:val="24"/>
                <w:szCs w:val="24"/>
              </w:rPr>
              <w:t>通知书时一次性支付采购代理服务费。</w:t>
            </w:r>
            <w:r>
              <w:rPr>
                <w:rFonts w:hAnsi="宋体" w:cs="宋体"/>
                <w:sz w:val="24"/>
                <w:szCs w:val="24"/>
              </w:rPr>
              <w:t xml:space="preserve"> </w:t>
            </w:r>
          </w:p>
          <w:tbl>
            <w:tblPr>
              <w:tblStyle w:val="26"/>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7"/>
                    <w:spacing w:line="440" w:lineRule="exact"/>
                    <w:jc w:val="center"/>
                    <w:rPr>
                      <w:rFonts w:hint="eastAsia" w:hAnsi="宋体" w:cs="宋体"/>
                      <w:sz w:val="24"/>
                      <w:szCs w:val="24"/>
                    </w:rPr>
                  </w:pPr>
                  <w:r>
                    <w:rPr>
                      <w:rFonts w:hint="eastAsia" w:hAnsi="宋体" w:cs="宋体"/>
                      <w:sz w:val="24"/>
                      <w:szCs w:val="24"/>
                    </w:rPr>
                    <w:t>某</w:t>
                  </w:r>
                  <w:r>
                    <w:rPr>
                      <w:rFonts w:hint="eastAsia" w:hAnsi="宋体" w:cs="宋体"/>
                      <w:kern w:val="0"/>
                      <w:sz w:val="24"/>
                    </w:rPr>
                    <w:t>成交</w:t>
                  </w:r>
                  <w:r>
                    <w:rPr>
                      <w:rFonts w:hint="eastAsia" w:hAnsi="宋体" w:cs="宋体"/>
                      <w:sz w:val="24"/>
                      <w:szCs w:val="24"/>
                    </w:rPr>
                    <w:t>金额（万元）</w:t>
                  </w:r>
                </w:p>
              </w:tc>
              <w:tc>
                <w:tcPr>
                  <w:tcW w:w="1560" w:type="dxa"/>
                  <w:vAlign w:val="center"/>
                </w:tcPr>
                <w:p>
                  <w:pPr>
                    <w:pStyle w:val="17"/>
                    <w:spacing w:line="440" w:lineRule="exact"/>
                    <w:jc w:val="center"/>
                    <w:rPr>
                      <w:rFonts w:hint="eastAsia" w:hAnsi="宋体" w:cs="宋体"/>
                      <w:sz w:val="24"/>
                      <w:szCs w:val="24"/>
                    </w:rPr>
                  </w:pPr>
                  <w:r>
                    <w:rPr>
                      <w:rFonts w:hint="eastAsia" w:hAnsi="宋体" w:cs="宋体"/>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7"/>
                    <w:spacing w:line="440" w:lineRule="exact"/>
                    <w:jc w:val="center"/>
                    <w:rPr>
                      <w:rFonts w:hint="eastAsia" w:hAnsi="宋体" w:cs="宋体"/>
                      <w:sz w:val="24"/>
                      <w:szCs w:val="24"/>
                    </w:rPr>
                  </w:pPr>
                  <w:r>
                    <w:rPr>
                      <w:rFonts w:hint="eastAsia" w:hAnsi="宋体" w:cs="宋体"/>
                      <w:sz w:val="24"/>
                      <w:szCs w:val="24"/>
                    </w:rPr>
                    <w:t>100以下</w:t>
                  </w:r>
                </w:p>
              </w:tc>
              <w:tc>
                <w:tcPr>
                  <w:tcW w:w="1560" w:type="dxa"/>
                </w:tcPr>
                <w:p>
                  <w:pPr>
                    <w:pStyle w:val="17"/>
                    <w:spacing w:line="440" w:lineRule="exact"/>
                    <w:jc w:val="center"/>
                    <w:rPr>
                      <w:rFonts w:hint="eastAsia" w:hAnsi="宋体" w:cs="宋体"/>
                      <w:sz w:val="24"/>
                      <w:szCs w:val="24"/>
                    </w:rPr>
                  </w:pPr>
                  <w:r>
                    <w:rPr>
                      <w:rFonts w:hint="eastAsia"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7"/>
                    <w:spacing w:line="440" w:lineRule="exact"/>
                    <w:jc w:val="center"/>
                    <w:rPr>
                      <w:rFonts w:hint="eastAsia" w:hAnsi="宋体" w:cs="宋体"/>
                      <w:sz w:val="24"/>
                      <w:szCs w:val="24"/>
                    </w:rPr>
                  </w:pPr>
                  <w:r>
                    <w:rPr>
                      <w:rFonts w:hint="eastAsia" w:hAnsi="宋体" w:cs="宋体"/>
                      <w:sz w:val="24"/>
                      <w:szCs w:val="24"/>
                    </w:rPr>
                    <w:t>100-500</w:t>
                  </w:r>
                </w:p>
              </w:tc>
              <w:tc>
                <w:tcPr>
                  <w:tcW w:w="1560" w:type="dxa"/>
                </w:tcPr>
                <w:p>
                  <w:pPr>
                    <w:pStyle w:val="17"/>
                    <w:spacing w:line="440" w:lineRule="exact"/>
                    <w:jc w:val="center"/>
                    <w:rPr>
                      <w:rFonts w:hint="eastAsia" w:hAnsi="宋体" w:cs="宋体"/>
                      <w:sz w:val="24"/>
                      <w:szCs w:val="24"/>
                    </w:rPr>
                  </w:pPr>
                  <w:r>
                    <w:rPr>
                      <w:rFonts w:hint="eastAsia" w:hAnsi="宋体" w:cs="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7"/>
                    <w:spacing w:line="440" w:lineRule="exact"/>
                    <w:jc w:val="center"/>
                    <w:rPr>
                      <w:rFonts w:hAnsi="宋体" w:cs="宋体"/>
                      <w:sz w:val="24"/>
                      <w:szCs w:val="24"/>
                    </w:rPr>
                  </w:pPr>
                  <w:r>
                    <w:rPr>
                      <w:rFonts w:hAnsi="宋体" w:cs="宋体"/>
                      <w:sz w:val="24"/>
                      <w:szCs w:val="24"/>
                    </w:rPr>
                    <w:t>500-1000</w:t>
                  </w:r>
                </w:p>
              </w:tc>
              <w:tc>
                <w:tcPr>
                  <w:tcW w:w="1560" w:type="dxa"/>
                </w:tcPr>
                <w:p>
                  <w:pPr>
                    <w:pStyle w:val="17"/>
                    <w:spacing w:line="440" w:lineRule="exact"/>
                    <w:jc w:val="center"/>
                    <w:rPr>
                      <w:rFonts w:hAnsi="宋体" w:cs="宋体"/>
                      <w:sz w:val="24"/>
                      <w:szCs w:val="24"/>
                    </w:rPr>
                  </w:pPr>
                  <w:r>
                    <w:rPr>
                      <w:rFonts w:hAnsi="宋体" w:cs="宋体"/>
                      <w:sz w:val="24"/>
                      <w:szCs w:val="24"/>
                    </w:rPr>
                    <w:t>0.45%</w:t>
                  </w:r>
                </w:p>
              </w:tc>
            </w:tr>
          </w:tbl>
          <w:p>
            <w:pPr>
              <w:pStyle w:val="17"/>
              <w:spacing w:line="440" w:lineRule="exact"/>
              <w:jc w:val="left"/>
              <w:rPr>
                <w:rFonts w:hAnsi="宋体" w:cs="宋体"/>
                <w:sz w:val="24"/>
                <w:szCs w:val="24"/>
              </w:rPr>
            </w:pPr>
            <w:r>
              <w:rPr>
                <w:rFonts w:hint="eastAsia" w:hAnsi="宋体" w:cs="宋体"/>
                <w:sz w:val="24"/>
                <w:szCs w:val="24"/>
              </w:rPr>
              <w:t>注：招标代理服务费按差额定率累进法计算。</w:t>
            </w:r>
          </w:p>
          <w:p>
            <w:pPr>
              <w:pStyle w:val="17"/>
              <w:spacing w:line="440" w:lineRule="exact"/>
              <w:jc w:val="left"/>
              <w:rPr>
                <w:rFonts w:hAnsi="宋体" w:cs="宋体"/>
                <w:sz w:val="24"/>
                <w:szCs w:val="24"/>
              </w:rPr>
            </w:pPr>
            <w:r>
              <w:rPr>
                <w:rFonts w:hint="eastAsia" w:hAnsi="宋体" w:cs="宋体"/>
                <w:sz w:val="24"/>
                <w:szCs w:val="24"/>
              </w:rPr>
              <w:t>开户名称：广西邕政采购代理有限公司</w:t>
            </w:r>
          </w:p>
          <w:p>
            <w:pPr>
              <w:pStyle w:val="17"/>
              <w:spacing w:line="440" w:lineRule="exact"/>
              <w:jc w:val="left"/>
              <w:rPr>
                <w:rFonts w:hAnsi="宋体" w:cs="宋体"/>
                <w:sz w:val="24"/>
                <w:szCs w:val="24"/>
              </w:rPr>
            </w:pPr>
            <w:r>
              <w:rPr>
                <w:rFonts w:hint="eastAsia" w:hAnsi="宋体" w:cs="宋体"/>
                <w:sz w:val="24"/>
                <w:szCs w:val="24"/>
              </w:rPr>
              <w:t>开户银行：交通银行南宁东葛西支行</w:t>
            </w:r>
          </w:p>
          <w:p>
            <w:pPr>
              <w:pStyle w:val="17"/>
              <w:snapToGrid w:val="0"/>
              <w:spacing w:line="400" w:lineRule="exact"/>
              <w:jc w:val="left"/>
              <w:rPr>
                <w:rFonts w:hint="eastAsia" w:ascii="宋体" w:hAnsi="宋体" w:eastAsia="宋体" w:cs="宋体"/>
                <w:sz w:val="24"/>
                <w:szCs w:val="24"/>
              </w:rPr>
            </w:pPr>
            <w:r>
              <w:rPr>
                <w:rFonts w:hint="eastAsia" w:hAnsi="宋体" w:cs="宋体"/>
                <w:sz w:val="24"/>
                <w:szCs w:val="24"/>
              </w:rPr>
              <w:t>账号：</w:t>
            </w:r>
            <w:r>
              <w:rPr>
                <w:rFonts w:hAnsi="宋体" w:cs="宋体"/>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12.1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13.1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rPr>
            </w:pPr>
            <w:r>
              <w:rPr>
                <w:rFonts w:hint="eastAsia" w:ascii="宋体" w:hAnsi="宋体" w:eastAsia="宋体" w:cs="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15.1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投标截止时间</w:t>
            </w:r>
          </w:p>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（开标时间）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u w:val="single"/>
              </w:rPr>
              <w:t>2020</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10</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16</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09</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15.2</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递交投标文件地点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南宁市良庆区玉洞大道33号（青少年活动中心旁）市民中心9楼南宁市公共资源交易中心（具体详见9楼电子显示屏场地安排），</w:t>
            </w:r>
            <w:r>
              <w:rPr>
                <w:rFonts w:hint="eastAsia" w:ascii="宋体" w:hAnsi="宋体" w:eastAsia="宋体" w:cs="宋体"/>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16.1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开标地点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17.3</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评标方法</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23.1</w:t>
            </w:r>
          </w:p>
        </w:tc>
        <w:tc>
          <w:tcPr>
            <w:tcW w:w="25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sz w:val="24"/>
                <w:szCs w:val="24"/>
              </w:rPr>
            </w:pPr>
            <w:r>
              <w:rPr>
                <w:rFonts w:hint="eastAsia" w:ascii="宋体" w:hAnsi="宋体" w:eastAsia="宋体" w:cs="宋体"/>
                <w:sz w:val="24"/>
                <w:szCs w:val="24"/>
              </w:rPr>
              <w:t>中标通知书的发放</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30</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宋体" w:hAnsi="宋体" w:eastAsia="宋体"/>
                <w:b/>
                <w:sz w:val="24"/>
              </w:rPr>
            </w:pPr>
            <w:r>
              <w:rPr>
                <w:rFonts w:hint="eastAsia" w:ascii="宋体" w:hAnsi="宋体" w:eastAsia="宋体"/>
                <w:b/>
                <w:sz w:val="24"/>
              </w:rPr>
              <w:t>需要补充的其他内容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hint="eastAsia" w:ascii="宋体" w:hAnsi="宋体" w:eastAsia="宋体" w:cs="宋体"/>
                <w:b/>
                <w:sz w:val="24"/>
                <w:szCs w:val="24"/>
              </w:rPr>
            </w:pPr>
            <w:r>
              <w:rPr>
                <w:rFonts w:hint="eastAsia" w:ascii="宋体" w:hAnsi="宋体" w:eastAsia="宋体" w:cs="宋体"/>
                <w:b/>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center"/>
        <w:rPr>
          <w:rFonts w:hint="eastAsia" w:ascii="宋体" w:hAnsi="宋体" w:eastAsia="宋体"/>
          <w:b/>
          <w:kern w:val="2"/>
          <w:sz w:val="30"/>
          <w:szCs w:val="30"/>
        </w:rPr>
      </w:pPr>
      <w:bookmarkStart w:id="20" w:name="_Toc213326416"/>
      <w:bookmarkStart w:id="21" w:name="_Toc508092929"/>
      <w:bookmarkStart w:id="22" w:name="_Toc448343856"/>
      <w:r>
        <w:rPr>
          <w:rFonts w:hint="eastAsia" w:ascii="宋体" w:hAnsi="宋体" w:eastAsia="宋体"/>
          <w:b/>
          <w:sz w:val="30"/>
          <w:szCs w:val="30"/>
        </w:rPr>
        <w:br w:type="page"/>
      </w:r>
      <w:bookmarkEnd w:id="20"/>
      <w:bookmarkEnd w:id="21"/>
      <w:bookmarkEnd w:id="22"/>
    </w:p>
    <w:p>
      <w:pPr>
        <w:pStyle w:val="17"/>
        <w:spacing w:line="360" w:lineRule="auto"/>
        <w:jc w:val="center"/>
        <w:outlineLvl w:val="1"/>
        <w:rPr>
          <w:rFonts w:hint="eastAsia" w:ascii="宋体" w:hAnsi="宋体" w:eastAsia="宋体" w:cs="宋体"/>
          <w:b/>
          <w:sz w:val="30"/>
          <w:szCs w:val="30"/>
        </w:rPr>
      </w:pPr>
      <w:bookmarkStart w:id="23" w:name="_Toc5564"/>
      <w:r>
        <w:rPr>
          <w:rFonts w:hint="eastAsia" w:ascii="宋体" w:hAnsi="宋体" w:eastAsia="宋体" w:cs="宋体"/>
          <w:b/>
          <w:sz w:val="30"/>
          <w:szCs w:val="30"/>
        </w:rPr>
        <w:t>一    总则</w:t>
      </w:r>
      <w:bookmarkEnd w:id="23"/>
    </w:p>
    <w:p>
      <w:pPr>
        <w:pStyle w:val="17"/>
        <w:spacing w:line="360" w:lineRule="auto"/>
        <w:ind w:left="1"/>
        <w:jc w:val="left"/>
        <w:rPr>
          <w:rFonts w:hint="eastAsia" w:ascii="宋体" w:hAnsi="宋体" w:eastAsia="宋体" w:cs="宋体"/>
          <w:bCs/>
          <w:sz w:val="24"/>
          <w:szCs w:val="24"/>
        </w:rPr>
      </w:pPr>
      <w:r>
        <w:rPr>
          <w:rFonts w:hint="eastAsia" w:ascii="宋体" w:hAnsi="宋体" w:eastAsia="宋体" w:cs="宋体"/>
          <w:bCs/>
          <w:sz w:val="24"/>
          <w:szCs w:val="24"/>
        </w:rPr>
        <w:t>1.  项目概况</w:t>
      </w:r>
    </w:p>
    <w:p>
      <w:pPr>
        <w:pStyle w:val="17"/>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1.1  采购人：</w:t>
      </w:r>
      <w:r>
        <w:rPr>
          <w:rFonts w:hint="eastAsia" w:ascii="宋体" w:hAnsi="宋体" w:eastAsia="宋体" w:cs="宋体"/>
          <w:bCs/>
          <w:sz w:val="24"/>
          <w:szCs w:val="24"/>
        </w:rPr>
        <w:t>见投标人须知前附表。</w:t>
      </w:r>
    </w:p>
    <w:p>
      <w:pPr>
        <w:pStyle w:val="17"/>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1.2  采购代理机构：</w:t>
      </w:r>
      <w:r>
        <w:rPr>
          <w:rFonts w:hint="eastAsia" w:ascii="宋体" w:hAnsi="宋体" w:eastAsia="宋体" w:cs="宋体"/>
          <w:bCs/>
          <w:sz w:val="24"/>
          <w:szCs w:val="24"/>
        </w:rPr>
        <w:t>见投标人须知前附表。</w:t>
      </w:r>
    </w:p>
    <w:p>
      <w:pPr>
        <w:pStyle w:val="17"/>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1.3  项目名称：见投标人须知前附表。</w:t>
      </w:r>
    </w:p>
    <w:p>
      <w:pPr>
        <w:pStyle w:val="17"/>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1.4  项目编号：见投标人须知前附表</w:t>
      </w:r>
    </w:p>
    <w:p>
      <w:pPr>
        <w:pStyle w:val="17"/>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  采购预算：见投标人须知前附表。</w:t>
      </w:r>
    </w:p>
    <w:p>
      <w:pPr>
        <w:pStyle w:val="17"/>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1.6  资金来源：财政性资金。</w:t>
      </w:r>
    </w:p>
    <w:p>
      <w:pPr>
        <w:pStyle w:val="17"/>
        <w:spacing w:line="360" w:lineRule="auto"/>
        <w:ind w:left="2" w:firstLine="480" w:firstLineChars="200"/>
        <w:jc w:val="left"/>
        <w:rPr>
          <w:rFonts w:hint="eastAsia" w:ascii="宋体" w:hAnsi="宋体" w:eastAsia="宋体" w:cs="宋体"/>
          <w:sz w:val="24"/>
          <w:szCs w:val="24"/>
        </w:rPr>
      </w:pPr>
      <w:r>
        <w:rPr>
          <w:rFonts w:hint="eastAsia" w:ascii="宋体" w:hAnsi="宋体" w:eastAsia="宋体" w:cs="宋体"/>
          <w:sz w:val="24"/>
          <w:szCs w:val="24"/>
        </w:rPr>
        <w:t>1.7  获取招标文件的方式：见投标人须知前附表。</w:t>
      </w:r>
    </w:p>
    <w:p>
      <w:pPr>
        <w:pStyle w:val="17"/>
        <w:spacing w:line="360" w:lineRule="auto"/>
        <w:ind w:left="2" w:firstLine="480" w:firstLineChars="200"/>
        <w:jc w:val="left"/>
        <w:rPr>
          <w:rFonts w:hint="eastAsia" w:ascii="宋体" w:hAnsi="宋体" w:eastAsia="宋体" w:cs="宋体"/>
          <w:sz w:val="24"/>
          <w:szCs w:val="24"/>
        </w:rPr>
      </w:pPr>
      <w:r>
        <w:rPr>
          <w:rFonts w:hint="eastAsia" w:ascii="宋体" w:hAnsi="宋体" w:eastAsia="宋体" w:cs="宋体"/>
          <w:sz w:val="24"/>
          <w:szCs w:val="24"/>
        </w:rPr>
        <w:t>1.8  预留采购份额：见投标人须知前附表。</w:t>
      </w:r>
    </w:p>
    <w:p>
      <w:pPr>
        <w:pStyle w:val="17"/>
        <w:spacing w:line="360" w:lineRule="auto"/>
        <w:jc w:val="left"/>
        <w:rPr>
          <w:rFonts w:hint="eastAsia" w:ascii="宋体" w:hAnsi="宋体" w:eastAsia="宋体" w:cs="宋体"/>
          <w:sz w:val="24"/>
          <w:szCs w:val="24"/>
        </w:rPr>
      </w:pPr>
      <w:r>
        <w:rPr>
          <w:rFonts w:hint="eastAsia" w:ascii="宋体" w:hAnsi="宋体" w:eastAsia="宋体" w:cs="宋体"/>
          <w:sz w:val="24"/>
          <w:szCs w:val="24"/>
        </w:rPr>
        <w:t>2.  政府采购信息发布媒体：</w:t>
      </w:r>
    </w:p>
    <w:p>
      <w:pPr>
        <w:pStyle w:val="17"/>
        <w:spacing w:line="360" w:lineRule="auto"/>
        <w:ind w:left="2" w:firstLine="480" w:firstLineChars="200"/>
        <w:jc w:val="left"/>
        <w:rPr>
          <w:rFonts w:hint="eastAsia" w:ascii="宋体" w:hAnsi="宋体" w:eastAsia="宋体" w:cs="宋体"/>
          <w:sz w:val="24"/>
          <w:szCs w:val="24"/>
        </w:rPr>
      </w:pPr>
      <w:r>
        <w:rPr>
          <w:rFonts w:hint="eastAsia" w:ascii="宋体" w:hAnsi="宋体" w:eastAsia="宋体" w:cs="宋体"/>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hint="eastAsia" w:ascii="宋体" w:hAnsi="宋体" w:eastAsia="宋体"/>
          <w:sz w:val="24"/>
        </w:rPr>
      </w:pPr>
      <w:r>
        <w:rPr>
          <w:rFonts w:hint="eastAsia" w:ascii="宋体" w:hAnsi="宋体" w:eastAsia="宋体"/>
          <w:sz w:val="24"/>
        </w:rPr>
        <w:t>2.2  本项目公开招标公告期限为公告发布之日起5个工作日。</w:t>
      </w:r>
    </w:p>
    <w:p>
      <w:pPr>
        <w:pStyle w:val="17"/>
        <w:spacing w:line="360" w:lineRule="auto"/>
        <w:ind w:left="1"/>
        <w:jc w:val="left"/>
        <w:rPr>
          <w:rFonts w:hint="eastAsia" w:ascii="宋体" w:hAnsi="宋体" w:eastAsia="宋体" w:cs="宋体"/>
          <w:bCs/>
          <w:sz w:val="24"/>
          <w:szCs w:val="24"/>
        </w:rPr>
      </w:pPr>
      <w:r>
        <w:rPr>
          <w:rFonts w:hint="eastAsia" w:ascii="宋体" w:hAnsi="宋体" w:eastAsia="宋体" w:cs="宋体"/>
          <w:bCs/>
          <w:sz w:val="24"/>
          <w:szCs w:val="24"/>
        </w:rPr>
        <w:t>3.  投标人资格要求：</w:t>
      </w:r>
    </w:p>
    <w:p>
      <w:pPr>
        <w:pStyle w:val="17"/>
        <w:spacing w:line="360" w:lineRule="auto"/>
        <w:ind w:firstLine="480" w:firstLineChars="200"/>
        <w:rPr>
          <w:rFonts w:hint="eastAsia" w:ascii="宋体" w:hAnsi="宋体" w:eastAsia="宋体" w:cs="宋体"/>
          <w:bCs/>
        </w:rPr>
      </w:pPr>
      <w:r>
        <w:rPr>
          <w:rFonts w:hint="eastAsia" w:ascii="宋体" w:hAnsi="宋体" w:eastAsia="宋体" w:cs="宋体"/>
          <w:bCs/>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7"/>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（1）具有独立承担民事责任的能力；</w:t>
      </w:r>
    </w:p>
    <w:p>
      <w:pPr>
        <w:pStyle w:val="17"/>
        <w:spacing w:line="360" w:lineRule="auto"/>
        <w:ind w:firstLine="420"/>
        <w:rPr>
          <w:rFonts w:hint="eastAsia" w:ascii="宋体" w:hAnsi="宋体" w:eastAsia="宋体" w:cs="宋体"/>
          <w:bCs/>
          <w:sz w:val="24"/>
          <w:szCs w:val="24"/>
        </w:rPr>
      </w:pPr>
      <w:r>
        <w:rPr>
          <w:rFonts w:hint="eastAsia" w:ascii="宋体" w:hAnsi="宋体" w:eastAsia="宋体" w:cs="宋体"/>
          <w:bCs/>
          <w:sz w:val="24"/>
          <w:szCs w:val="24"/>
        </w:rPr>
        <w:t>（2）具有良好的商业信誉和健全的财务会计制度；</w:t>
      </w:r>
    </w:p>
    <w:p>
      <w:pPr>
        <w:pStyle w:val="17"/>
        <w:spacing w:line="360" w:lineRule="auto"/>
        <w:ind w:firstLine="420"/>
        <w:rPr>
          <w:rFonts w:hint="eastAsia" w:ascii="宋体" w:hAnsi="宋体" w:eastAsia="宋体" w:cs="宋体"/>
          <w:bCs/>
          <w:sz w:val="24"/>
          <w:szCs w:val="24"/>
        </w:rPr>
      </w:pPr>
      <w:r>
        <w:rPr>
          <w:rFonts w:hint="eastAsia" w:ascii="宋体" w:hAnsi="宋体" w:eastAsia="宋体" w:cs="宋体"/>
          <w:bCs/>
          <w:sz w:val="24"/>
          <w:szCs w:val="24"/>
        </w:rPr>
        <w:t>（3）具有履行合同所必需的设备和专业技术能力；</w:t>
      </w:r>
    </w:p>
    <w:p>
      <w:pPr>
        <w:pStyle w:val="17"/>
        <w:spacing w:line="360" w:lineRule="auto"/>
        <w:ind w:firstLine="420"/>
        <w:rPr>
          <w:rFonts w:hint="eastAsia" w:ascii="宋体" w:hAnsi="宋体" w:eastAsia="宋体" w:cs="宋体"/>
          <w:bCs/>
          <w:sz w:val="24"/>
          <w:szCs w:val="24"/>
        </w:rPr>
      </w:pPr>
      <w:r>
        <w:rPr>
          <w:rFonts w:hint="eastAsia" w:ascii="宋体" w:hAnsi="宋体" w:eastAsia="宋体" w:cs="宋体"/>
          <w:bCs/>
          <w:sz w:val="24"/>
          <w:szCs w:val="24"/>
        </w:rPr>
        <w:t>（4）有依法缴纳税收和社会保障资金的良好记录；</w:t>
      </w:r>
    </w:p>
    <w:p>
      <w:pPr>
        <w:pStyle w:val="17"/>
        <w:spacing w:line="360" w:lineRule="auto"/>
        <w:ind w:firstLine="420"/>
        <w:rPr>
          <w:rFonts w:hint="eastAsia" w:ascii="宋体" w:hAnsi="宋体" w:eastAsia="宋体" w:cs="宋体"/>
          <w:bCs/>
          <w:sz w:val="24"/>
          <w:szCs w:val="24"/>
        </w:rPr>
      </w:pPr>
      <w:r>
        <w:rPr>
          <w:rFonts w:hint="eastAsia" w:ascii="宋体" w:hAnsi="宋体" w:eastAsia="宋体" w:cs="宋体"/>
          <w:bCs/>
          <w:sz w:val="24"/>
          <w:szCs w:val="24"/>
        </w:rPr>
        <w:t>（5）参加政府采购活动前三年内，在经营活动中没有重大违法记录；</w:t>
      </w:r>
    </w:p>
    <w:p>
      <w:pPr>
        <w:pStyle w:val="17"/>
        <w:spacing w:line="360" w:lineRule="auto"/>
        <w:ind w:firstLine="420"/>
        <w:rPr>
          <w:rFonts w:hint="eastAsia" w:ascii="宋体" w:hAnsi="宋体" w:eastAsia="宋体" w:cs="宋体"/>
          <w:bCs/>
          <w:sz w:val="24"/>
          <w:szCs w:val="24"/>
        </w:rPr>
      </w:pPr>
      <w:r>
        <w:rPr>
          <w:rFonts w:hint="eastAsia" w:ascii="宋体" w:hAnsi="宋体" w:eastAsia="宋体" w:cs="宋体"/>
          <w:bCs/>
          <w:sz w:val="24"/>
          <w:szCs w:val="24"/>
        </w:rPr>
        <w:t>（6）法律、行政法规规定的其他条件。</w:t>
      </w:r>
    </w:p>
    <w:p>
      <w:pPr>
        <w:pStyle w:val="17"/>
        <w:spacing w:line="360" w:lineRule="auto"/>
        <w:ind w:firstLine="360" w:firstLineChars="150"/>
        <w:rPr>
          <w:rFonts w:hint="eastAsia" w:ascii="宋体" w:hAnsi="宋体" w:eastAsia="宋体" w:cs="宋体"/>
          <w:bCs/>
          <w:sz w:val="24"/>
          <w:szCs w:val="24"/>
        </w:rPr>
      </w:pPr>
      <w:r>
        <w:rPr>
          <w:rFonts w:hint="eastAsia" w:ascii="宋体" w:hAnsi="宋体" w:eastAsia="宋体" w:cs="宋体"/>
          <w:bCs/>
          <w:sz w:val="24"/>
          <w:szCs w:val="24"/>
        </w:rPr>
        <w:t>3.2  针对本项目，投标人应具备的特定条件：见投标人须知前附表。</w:t>
      </w:r>
    </w:p>
    <w:p>
      <w:pPr>
        <w:pStyle w:val="17"/>
        <w:spacing w:line="360" w:lineRule="auto"/>
        <w:ind w:left="2" w:firstLine="360"/>
        <w:jc w:val="left"/>
        <w:rPr>
          <w:rFonts w:hint="eastAsia" w:ascii="宋体" w:hAnsi="宋体" w:eastAsia="宋体" w:cs="宋体"/>
          <w:sz w:val="24"/>
          <w:szCs w:val="24"/>
        </w:rPr>
      </w:pPr>
      <w:r>
        <w:rPr>
          <w:rFonts w:hint="eastAsia" w:ascii="宋体" w:hAnsi="宋体" w:eastAsia="宋体" w:cs="宋体"/>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7"/>
        <w:spacing w:line="360" w:lineRule="auto"/>
        <w:ind w:left="2" w:firstLine="360"/>
        <w:jc w:val="left"/>
        <w:rPr>
          <w:rFonts w:hint="eastAsia" w:ascii="宋体" w:hAnsi="宋体" w:eastAsia="宋体" w:cs="宋体"/>
          <w:sz w:val="24"/>
          <w:szCs w:val="24"/>
        </w:rPr>
      </w:pPr>
      <w:r>
        <w:rPr>
          <w:rFonts w:hint="eastAsia" w:ascii="宋体" w:hAnsi="宋体" w:eastAsia="宋体" w:cs="宋体"/>
          <w:sz w:val="24"/>
          <w:szCs w:val="24"/>
        </w:rPr>
        <w:t xml:space="preserve">3.4  投标人不得直接或间接地与为本次采购的项目内容进行设计、编制规范和其他文件的咨询公司、采购代理机构或其附属机构有任何关联。 </w:t>
      </w:r>
    </w:p>
    <w:p>
      <w:pPr>
        <w:pStyle w:val="17"/>
        <w:spacing w:line="360" w:lineRule="auto"/>
        <w:ind w:left="242" w:hanging="242" w:hangingChars="101"/>
        <w:jc w:val="left"/>
        <w:rPr>
          <w:rFonts w:hint="eastAsia" w:ascii="宋体" w:hAnsi="宋体" w:eastAsia="宋体" w:cs="宋体"/>
          <w:bCs/>
          <w:sz w:val="24"/>
        </w:rPr>
      </w:pPr>
      <w:r>
        <w:rPr>
          <w:rFonts w:hint="eastAsia" w:ascii="宋体" w:hAnsi="宋体" w:eastAsia="宋体" w:cs="宋体"/>
          <w:bCs/>
          <w:sz w:val="24"/>
        </w:rPr>
        <w:t>4.质疑</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4.1 投标人认为招标文件、采购过程或中标结果使自己的合法权益受到损害的，应当在知道或者应知其权益受到损害之日起七个工作日内，以书面形式向采购人、采购代理机构提出质疑。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4.2提出质疑的投标人应当是参与所质疑项目采购活动的供应商，质疑函应按</w:t>
      </w:r>
      <w:r>
        <w:rPr>
          <w:rFonts w:hint="eastAsia" w:ascii="宋体" w:hAnsi="宋体" w:eastAsia="宋体"/>
        </w:rPr>
        <w:fldChar w:fldCharType="begin"/>
      </w:r>
      <w:r>
        <w:rPr>
          <w:rFonts w:hint="eastAsia" w:ascii="宋体" w:hAnsi="宋体" w:eastAsia="宋体"/>
        </w:rPr>
        <w:instrText xml:space="preserve"> HYPERLINK "https://www.baidu.com/link?url=FnEKpEfecgHI29OKpvrr0ThhhsjQDNw-iC11hZexO2s8DSLZMvZjUN1CP-ntt8geS3G5mNVZ0i2D2OwgmglOo6vjFDXXMR3ZdYuFwaHcBwa&amp;wd=&amp;eqid=f309d5cf0000e588000000065a976ec3" \t "_blank" </w:instrText>
      </w:r>
      <w:r>
        <w:rPr>
          <w:rFonts w:hint="eastAsia" w:ascii="宋体" w:hAnsi="宋体" w:eastAsia="宋体"/>
        </w:rPr>
        <w:fldChar w:fldCharType="separate"/>
      </w:r>
      <w:r>
        <w:rPr>
          <w:rStyle w:val="34"/>
          <w:rFonts w:hint="eastAsia" w:ascii="宋体" w:hAnsi="宋体" w:eastAsia="宋体"/>
          <w:bCs/>
          <w:color w:val="auto"/>
          <w:kern w:val="2"/>
          <w:sz w:val="24"/>
          <w:szCs w:val="24"/>
        </w:rPr>
        <w:t>财政部发布《政府采购供应商质疑函范本》</w:t>
      </w:r>
      <w:r>
        <w:rPr>
          <w:rStyle w:val="34"/>
          <w:rFonts w:hint="eastAsia" w:ascii="宋体" w:hAnsi="宋体" w:eastAsia="宋体"/>
          <w:bCs/>
          <w:color w:val="auto"/>
          <w:kern w:val="2"/>
          <w:sz w:val="24"/>
          <w:szCs w:val="24"/>
        </w:rPr>
        <w:fldChar w:fldCharType="end"/>
      </w:r>
      <w:r>
        <w:rPr>
          <w:rFonts w:hint="eastAsia" w:ascii="宋体" w:hAnsi="宋体" w:eastAsia="宋体"/>
          <w:bCs/>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（2）质疑项目的名称、编号；</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（3）具体、明确的质疑事项和质疑事项相关的请求；</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（4）事实依据；</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（5）必要的法律依据；</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（6）提起质疑的日期；</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4.6  质疑供应商提起质疑应当符合下列条件：</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（2）质疑函内容符合本章第4.4项的规定；</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（3）在质疑有效期限内提起质疑；</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（8）财政部门规定的其他条件。</w:t>
      </w:r>
    </w:p>
    <w:p>
      <w:pPr>
        <w:widowControl w:val="0"/>
        <w:adjustRightInd/>
        <w:snapToGrid/>
        <w:spacing w:after="0" w:line="440" w:lineRule="exact"/>
        <w:ind w:firstLine="480" w:firstLineChars="200"/>
        <w:jc w:val="both"/>
        <w:rPr>
          <w:rFonts w:hint="eastAsia" w:ascii="宋体" w:hAnsi="宋体" w:eastAsia="宋体"/>
          <w:bCs/>
          <w:kern w:val="2"/>
          <w:sz w:val="24"/>
          <w:szCs w:val="24"/>
        </w:rPr>
      </w:pPr>
      <w:r>
        <w:rPr>
          <w:rFonts w:hint="eastAsia" w:ascii="宋体" w:hAnsi="宋体" w:eastAsia="宋体"/>
          <w:bCs/>
          <w:kern w:val="2"/>
          <w:sz w:val="24"/>
          <w:szCs w:val="24"/>
        </w:rPr>
        <w:t>4.7  采购人或采购人委托的采购代理机构自受理质疑之日起七个工作日内，对质疑事项作出答复，并以书面形式通知质疑供应商及其他有关供应商。</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5.  投诉</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 xml:space="preserve">（1）投诉人和被投诉人的名称、地址、电话等； </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（2）具体的投诉事项及事实依据；</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 xml:space="preserve">（3）质疑和质疑答复情况及相关证明材料； </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（4）提起投诉的日期。</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 xml:space="preserve">    投诉书应当署名。投诉人为自然人的，应当由本人签字；投诉人为法人或者其他组织的，应当由法定代表人或者主要负责人签字盖章并加盖公章。</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5.3  投诉人可以委托代理人办理投诉事务。代理人办理投诉事务时，除提交投诉书外，还应当提交投诉人的授权委托书，授权委托书应当载明委托代理的具体权限和事项。</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5.4  投诉人提起投诉应当符合下列条件：</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（1）投诉人是参与所投诉政府采购活动的供应商；</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（2）提起投诉前已依法进行质疑；</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（3）投诉书内容符合本章第5.2项的规定；</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（4）在投诉有效期限内提起投诉；</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（5）属于南宁市政府采购监督管理部门管辖；</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（6）同一投诉事项未经南宁市政府采购监督管理部门投诉处理；</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（7）国务院财政部门规定的其他条件。</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5.6  南宁市政府采购监督管理部门在处理投诉事项期间，可以视具体情况暂停采购活动。</w:t>
      </w:r>
    </w:p>
    <w:p>
      <w:pPr>
        <w:pStyle w:val="17"/>
        <w:spacing w:line="360" w:lineRule="auto"/>
        <w:jc w:val="center"/>
        <w:outlineLvl w:val="1"/>
        <w:rPr>
          <w:rFonts w:hint="eastAsia" w:ascii="宋体" w:hAnsi="宋体" w:eastAsia="宋体" w:cs="宋体"/>
          <w:b/>
          <w:sz w:val="30"/>
          <w:szCs w:val="30"/>
        </w:rPr>
      </w:pPr>
      <w:bookmarkStart w:id="24" w:name="_Toc213326417"/>
      <w:bookmarkStart w:id="25" w:name="_Toc508092930"/>
      <w:bookmarkStart w:id="26" w:name="_Toc448343857"/>
      <w:bookmarkStart w:id="27" w:name="_Toc19901"/>
      <w:r>
        <w:rPr>
          <w:rFonts w:hint="eastAsia" w:ascii="宋体" w:hAnsi="宋体" w:eastAsia="宋体" w:cs="宋体"/>
          <w:b/>
          <w:sz w:val="30"/>
          <w:szCs w:val="30"/>
        </w:rPr>
        <w:t>二    公开招标文件</w:t>
      </w:r>
      <w:bookmarkEnd w:id="24"/>
      <w:bookmarkEnd w:id="25"/>
      <w:bookmarkEnd w:id="26"/>
      <w:bookmarkEnd w:id="27"/>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6.  公开招标文件的组成</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本</w:t>
      </w:r>
      <w:r>
        <w:rPr>
          <w:rFonts w:hint="eastAsia" w:ascii="宋体" w:hAnsi="宋体" w:eastAsia="宋体" w:cs="宋体"/>
          <w:bCs/>
          <w:sz w:val="24"/>
          <w:szCs w:val="24"/>
        </w:rPr>
        <w:t>公开招标</w:t>
      </w:r>
      <w:r>
        <w:rPr>
          <w:rFonts w:hint="eastAsia" w:ascii="宋体" w:hAnsi="宋体" w:eastAsia="宋体" w:cs="宋体"/>
          <w:sz w:val="24"/>
          <w:szCs w:val="24"/>
        </w:rPr>
        <w:t>文件包括六个章节，各章的内容如下：</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第一章  公告</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第二章  服务需求一览表</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第三章  评标方法</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第四章  投标人须知</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第五章  投标文件格式</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第六章  合同条款及格式</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7.  招标文件的澄清和修改</w:t>
      </w:r>
    </w:p>
    <w:p>
      <w:pPr>
        <w:spacing w:after="165" w:line="360" w:lineRule="auto"/>
        <w:ind w:left="2" w:firstLine="480"/>
        <w:rPr>
          <w:rFonts w:hint="eastAsia" w:ascii="宋体" w:hAnsi="宋体" w:eastAsia="宋体"/>
          <w:sz w:val="24"/>
        </w:rPr>
      </w:pPr>
      <w:r>
        <w:rPr>
          <w:rFonts w:hint="eastAsia" w:ascii="宋体" w:hAnsi="宋体" w:eastAsia="宋体"/>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hint="eastAsia" w:ascii="宋体" w:hAnsi="宋体" w:eastAsia="宋体"/>
          <w:sz w:val="24"/>
        </w:rPr>
      </w:pPr>
      <w:r>
        <w:rPr>
          <w:rFonts w:hint="eastAsia" w:ascii="宋体" w:hAnsi="宋体" w:eastAsia="宋体"/>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7"/>
        <w:spacing w:line="360" w:lineRule="auto"/>
        <w:ind w:left="2" w:leftChars="1" w:firstLine="482" w:firstLineChars="200"/>
        <w:rPr>
          <w:rFonts w:hint="eastAsia" w:ascii="宋体" w:hAnsi="宋体" w:eastAsia="宋体" w:cs="宋体"/>
          <w:b/>
          <w:sz w:val="24"/>
          <w:szCs w:val="24"/>
        </w:rPr>
      </w:pPr>
      <w:r>
        <w:rPr>
          <w:rFonts w:hint="eastAsia" w:ascii="宋体" w:hAnsi="宋体" w:eastAsia="宋体" w:cs="宋体"/>
          <w:b/>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人随时关注网站动态，代理机构将不再另行电话通知。</w:t>
      </w:r>
    </w:p>
    <w:p>
      <w:pPr>
        <w:pStyle w:val="17"/>
        <w:spacing w:line="360" w:lineRule="auto"/>
        <w:ind w:left="2" w:leftChars="1" w:firstLine="482" w:firstLineChars="200"/>
        <w:rPr>
          <w:rFonts w:hint="eastAsia" w:ascii="宋体" w:hAnsi="宋体" w:eastAsia="宋体" w:cs="宋体"/>
          <w:b/>
          <w:bCs/>
        </w:rPr>
      </w:pPr>
      <w:r>
        <w:rPr>
          <w:rFonts w:hint="eastAsia" w:ascii="宋体" w:hAnsi="宋体" w:eastAsia="宋体" w:cs="宋体"/>
          <w:b/>
          <w:sz w:val="24"/>
          <w:szCs w:val="24"/>
        </w:rPr>
        <w:t>7.4  采购人和采购代理机构可以视采购具体情况，延长投标截止时间和开标时间，但至少应当在投标截止时间三日前，在本章第2.1项规定的政府采购信息发布媒体上发布变更公告。请各投标人随时关注网站动态，代理机构将不再另行电话通知。</w:t>
      </w:r>
    </w:p>
    <w:p>
      <w:pPr>
        <w:pStyle w:val="17"/>
        <w:spacing w:line="360" w:lineRule="auto"/>
        <w:jc w:val="center"/>
        <w:rPr>
          <w:rFonts w:hint="eastAsia" w:ascii="宋体" w:hAnsi="宋体" w:eastAsia="宋体" w:cs="宋体"/>
          <w:b/>
          <w:sz w:val="30"/>
          <w:szCs w:val="30"/>
        </w:rPr>
      </w:pPr>
      <w:bookmarkStart w:id="28" w:name="_Toc213326418"/>
      <w:bookmarkStart w:id="29" w:name="_Toc448343858"/>
    </w:p>
    <w:p>
      <w:pPr>
        <w:pStyle w:val="17"/>
        <w:spacing w:line="360" w:lineRule="auto"/>
        <w:jc w:val="center"/>
        <w:outlineLvl w:val="1"/>
        <w:rPr>
          <w:rFonts w:hint="eastAsia" w:ascii="宋体" w:hAnsi="宋体" w:eastAsia="宋体" w:cs="宋体"/>
          <w:b/>
          <w:sz w:val="30"/>
          <w:szCs w:val="30"/>
        </w:rPr>
      </w:pPr>
      <w:bookmarkStart w:id="30" w:name="_Toc11232"/>
      <w:bookmarkStart w:id="31" w:name="_Toc508092931"/>
      <w:r>
        <w:rPr>
          <w:rFonts w:hint="eastAsia" w:ascii="宋体" w:hAnsi="宋体" w:eastAsia="宋体" w:cs="宋体"/>
          <w:b/>
          <w:sz w:val="30"/>
          <w:szCs w:val="30"/>
        </w:rPr>
        <w:t>三    投标文件</w:t>
      </w:r>
      <w:bookmarkEnd w:id="28"/>
      <w:bookmarkEnd w:id="29"/>
      <w:bookmarkEnd w:id="30"/>
      <w:bookmarkEnd w:id="31"/>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8.  投标文件的编制</w:t>
      </w:r>
    </w:p>
    <w:p>
      <w:pPr>
        <w:pStyle w:val="17"/>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8.1  投标人应仔细阅读招标文件，在充分了解招标的内容、服务内容及要求和商务条款以及实质性要求和条件后，编写投标文件。</w:t>
      </w:r>
    </w:p>
    <w:p>
      <w:pPr>
        <w:pStyle w:val="17"/>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8.2  对招标文件的实质性要求和条件作出响应是指投标人必须对招标文件中标注为实质性要求和条件的服务内容及要求、商务条款及其它内容</w:t>
      </w:r>
      <w:r>
        <w:rPr>
          <w:rFonts w:hint="eastAsia" w:ascii="宋体" w:hAnsi="宋体" w:eastAsia="宋体" w:cs="宋体"/>
          <w:b/>
          <w:sz w:val="24"/>
          <w:szCs w:val="24"/>
        </w:rPr>
        <w:t>作出满足或者优于原要求和条件的承诺</w:t>
      </w:r>
      <w:r>
        <w:rPr>
          <w:rFonts w:hint="eastAsia" w:ascii="宋体" w:hAnsi="宋体" w:eastAsia="宋体" w:cs="宋体"/>
          <w:sz w:val="24"/>
          <w:szCs w:val="24"/>
        </w:rPr>
        <w:t>。</w:t>
      </w:r>
    </w:p>
    <w:p>
      <w:pPr>
        <w:pStyle w:val="17"/>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8.3  招标文件中标注★号的内容为实质性要求和条件。未标注★号的内容在评标时不得作为判定投标无效的依据。</w:t>
      </w:r>
    </w:p>
    <w:p>
      <w:pPr>
        <w:pStyle w:val="17"/>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7"/>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8.5  第五章“投标文件格式”中规定了投标文件格式的，应按相应格式要求编写。</w:t>
      </w:r>
    </w:p>
    <w:p>
      <w:pPr>
        <w:pStyle w:val="17"/>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7"/>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8.7  投标文件应编制目录，且页码清晰准确。</w:t>
      </w:r>
    </w:p>
    <w:p>
      <w:pPr>
        <w:pStyle w:val="17"/>
        <w:spacing w:line="360" w:lineRule="auto"/>
        <w:ind w:left="2" w:leftChars="1" w:firstLine="482" w:firstLineChars="200"/>
        <w:rPr>
          <w:rFonts w:hint="eastAsia" w:ascii="宋体" w:hAnsi="宋体" w:eastAsia="宋体" w:cs="宋体"/>
          <w:b/>
          <w:bCs/>
          <w:sz w:val="24"/>
          <w:szCs w:val="24"/>
        </w:rPr>
      </w:pPr>
      <w:r>
        <w:rPr>
          <w:rFonts w:hint="eastAsia" w:ascii="宋体" w:hAnsi="宋体" w:eastAsia="宋体" w:cs="宋体"/>
          <w:b/>
          <w:bCs/>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9.  投标语言文字及计量单位</w:t>
      </w:r>
    </w:p>
    <w:p>
      <w:pPr>
        <w:pStyle w:val="17"/>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9.1  投标人的投标文件以及投标人与采购人、采购代理机构就有关投标的所有往来函电统一使用中文（特别规定除外）。</w:t>
      </w:r>
    </w:p>
    <w:p>
      <w:pPr>
        <w:pStyle w:val="17"/>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9.2  对不同文字文本投标文件的解释发生异议的，以中文文本为准。</w:t>
      </w:r>
    </w:p>
    <w:p>
      <w:pPr>
        <w:pStyle w:val="17"/>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9.3  投标文件使用的计量单位除招标文件中有特殊规定外，一律使用中华人民共和国法定计量单位。</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10.  投标文件的组成</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10.1 投标人需编制的投标文件包括报价文件、资格文件、技术文件和商务文件四部分，投标人应按下列说明编写和提交。应递交的有关文件如未特别注明为原件的，可提交复印件。</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10.1.1  报价文件，包括：</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（1）投标函：按第五章“投标文件格式”提供的“投标函（格式）”的要求填写；</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（2）投标报价表：按第五章“投标文件格式”提供的“投标报价表（格式）”的要求填写;</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（3）中小企业声明函：按第五章“投标文件格式”提供的“中小企业声明函（格式）”的要求填写；</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（4）监狱企业证明：提供由省级以上监狱管理局、戒毒管理局（含新疆生产建设兵团）出具的属于监狱企业的证明文件。</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（5）残疾人福利性单位声明函：按第五章“投标文件格式”提供的“残疾人福利性单位声明函（格式）”的要求填写。</w:t>
      </w:r>
    </w:p>
    <w:p>
      <w:pPr>
        <w:pStyle w:val="17"/>
        <w:spacing w:line="360" w:lineRule="auto"/>
        <w:ind w:firstLine="420"/>
        <w:rPr>
          <w:rFonts w:hint="eastAsia" w:ascii="宋体" w:hAnsi="宋体" w:eastAsia="宋体" w:cs="宋体"/>
          <w:b/>
          <w:sz w:val="24"/>
          <w:szCs w:val="24"/>
        </w:rPr>
      </w:pPr>
      <w:r>
        <w:rPr>
          <w:rFonts w:hint="eastAsia" w:ascii="宋体" w:hAnsi="宋体" w:eastAsia="宋体" w:cs="宋体"/>
          <w:b/>
          <w:sz w:val="24"/>
          <w:szCs w:val="24"/>
        </w:rPr>
        <w:t>其中，报价文件组成要求的第（1）～（2）项必须提交；第（3）～（5）项如有请提交。</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10.1.2 资格文件组成要求，包括：</w:t>
      </w:r>
    </w:p>
    <w:p>
      <w:pPr>
        <w:spacing w:line="360" w:lineRule="auto"/>
        <w:ind w:firstLine="480" w:firstLineChars="200"/>
        <w:rPr>
          <w:rFonts w:hint="eastAsia" w:ascii="宋体" w:hAnsi="宋体" w:eastAsia="宋体"/>
          <w:b/>
          <w:sz w:val="24"/>
        </w:rPr>
      </w:pPr>
      <w:r>
        <w:rPr>
          <w:rFonts w:hint="eastAsia" w:ascii="宋体" w:hAnsi="宋体" w:eastAsia="宋体"/>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宋体" w:hAnsi="宋体" w:eastAsia="宋体"/>
          <w:b/>
          <w:sz w:val="24"/>
        </w:rPr>
        <w:t>（注：采购人或采购代理机构在对投标人资格审查时进行信用查询，查询结果与投标文件不一致时，以采购人或采购代理机构查询结果为准。）</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hint="eastAsia" w:ascii="宋体" w:hAnsi="宋体" w:eastAsia="宋体"/>
          <w:kern w:val="2"/>
          <w:sz w:val="24"/>
          <w:szCs w:val="24"/>
        </w:rPr>
      </w:pPr>
      <w:r>
        <w:rPr>
          <w:rFonts w:hint="eastAsia" w:ascii="宋体" w:hAnsi="宋体" w:eastAsia="宋体"/>
          <w:kern w:val="2"/>
          <w:sz w:val="24"/>
          <w:szCs w:val="24"/>
        </w:rPr>
        <w:t>（4）投标人直接控股、管理关系信息表，按第五章“投标文件格式”提供的“投标人直接控股、管理关系信息表（格式）”的要求填写；</w:t>
      </w:r>
    </w:p>
    <w:p>
      <w:pPr>
        <w:pStyle w:val="17"/>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其中，资格文件组成要求的第（1）～（4）项必须提交。</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10.1.3 技术文件组成要求，包括：</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（1）投标服务技术资料表：按第五章“投标文件格式”提供的“投标服务技术资料表（格式）”的要求填写；</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（2）其它：针对本项目所投标服务的主要技术指标、参数及性能的详细说明，相关的图纸、图片，产品有效检测和鉴定证明复印件，等等。</w:t>
      </w:r>
    </w:p>
    <w:p>
      <w:pPr>
        <w:pStyle w:val="17"/>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其中，技术文件组成要求的第（1）项必须提交；第（2）项如有请提交。</w:t>
      </w:r>
    </w:p>
    <w:p>
      <w:pPr>
        <w:spacing w:line="360" w:lineRule="auto"/>
        <w:ind w:firstLine="240" w:firstLineChars="100"/>
        <w:rPr>
          <w:rFonts w:hint="eastAsia" w:ascii="宋体" w:hAnsi="宋体" w:eastAsia="宋体"/>
          <w:sz w:val="24"/>
        </w:rPr>
      </w:pPr>
      <w:r>
        <w:rPr>
          <w:rFonts w:hint="eastAsia" w:ascii="宋体" w:hAnsi="宋体" w:eastAsia="宋体"/>
          <w:sz w:val="24"/>
        </w:rPr>
        <w:t>10.1.4 商务文件组成要求，包括：</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（1）售后服务承诺书：按第五章“投标文件格式”提供的“售后服务承诺书（格式）” 的要求填写；</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（2）商务条款偏离表：按第五章“投标文件格式”提供的“商务条款偏离表（格式）” 的要求填写；</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（5）法定代表人授权委托书：按第五章“投标文件格式”提供的“法定代表人授权委托书（格式）”的要求填写；</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（7）财务会计报表复印件：投标人近三年的经会计师事务所或审计机构审计的财务会计报表，包括资产负债表、现金流量表、利润表、财务情况说明书和审计报告；</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7"/>
        <w:spacing w:line="360" w:lineRule="auto"/>
        <w:ind w:firstLine="420"/>
        <w:rPr>
          <w:rFonts w:hint="eastAsia" w:ascii="宋体" w:hAnsi="宋体" w:eastAsia="宋体" w:cs="宋体"/>
          <w:sz w:val="24"/>
          <w:szCs w:val="24"/>
        </w:rPr>
      </w:pPr>
      <w:r>
        <w:rPr>
          <w:rFonts w:hint="eastAsia" w:ascii="宋体" w:hAnsi="宋体" w:eastAsia="宋体" w:cs="宋体"/>
          <w:b/>
          <w:sz w:val="24"/>
          <w:szCs w:val="24"/>
        </w:rPr>
        <w:t>商务文件中的第（1）～（4）项必须提交；第（5）、（6）项在委托代理时必须提交；第（7）、（8）项如有请提交。</w:t>
      </w:r>
    </w:p>
    <w:p>
      <w:pPr>
        <w:spacing w:line="360" w:lineRule="auto"/>
        <w:ind w:firstLine="480" w:firstLineChars="200"/>
        <w:rPr>
          <w:rFonts w:hint="eastAsia" w:ascii="宋体" w:hAnsi="宋体" w:eastAsia="宋体"/>
          <w:sz w:val="24"/>
        </w:rPr>
      </w:pPr>
      <w:r>
        <w:rPr>
          <w:rFonts w:hint="eastAsia" w:ascii="宋体" w:hAnsi="宋体" w:eastAsia="宋体"/>
          <w:sz w:val="24"/>
        </w:rPr>
        <w:t>10.2 投标人应编制目录，按上述顺序将报价文件、资格文件、商务文件、技术文件</w:t>
      </w:r>
      <w:r>
        <w:rPr>
          <w:rFonts w:hint="eastAsia" w:ascii="宋体" w:hAnsi="宋体" w:eastAsia="宋体"/>
          <w:b/>
          <w:bCs/>
          <w:sz w:val="24"/>
        </w:rPr>
        <w:t>分别装订成册。特别注意投标报价不得出现在资格文件、技术文件和商务文件中。</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11.  投标报价</w:t>
      </w:r>
    </w:p>
    <w:p>
      <w:pPr>
        <w:pStyle w:val="17"/>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11.1  投标人应以人民币并按分项报价。</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投标人可就第二章“服务需求一览表”中的</w:t>
      </w:r>
      <w:r>
        <w:rPr>
          <w:rFonts w:hint="eastAsia" w:ascii="宋体" w:hAnsi="宋体" w:eastAsia="宋体" w:cs="宋体"/>
          <w:b/>
          <w:sz w:val="24"/>
          <w:szCs w:val="24"/>
        </w:rPr>
        <w:t>某一个分标内容报出完整且唯一报价，也可就某几个或所有分标内容分别报出完整且唯一报价，附带有条件的报价将不予接受。</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投标报价为在采购人指定地点提交服务成果所需的全部费用，其组成部分详见第二章“服务需求一览表”。采购人不再向中标供应商支付其投标报价之外的任何费用。</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本项目的采购代理服务费按物价部门核准的收费标准执行，见投标人须知前附表。</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  不论投标结果如何，投标人均应自行承担与编制和递交投标文件有关的全部费用。</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12.  投标有效期</w:t>
      </w:r>
    </w:p>
    <w:p>
      <w:pPr>
        <w:pStyle w:val="17"/>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12.1  在投标人须知前附表规定的投标有效期内，投标人不得要求撤销或修改其投标文件。</w:t>
      </w:r>
    </w:p>
    <w:p>
      <w:pPr>
        <w:pStyle w:val="17"/>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13.  投标保证金</w:t>
      </w:r>
    </w:p>
    <w:p>
      <w:pPr>
        <w:pStyle w:val="17"/>
        <w:spacing w:line="360" w:lineRule="auto"/>
        <w:ind w:firstLine="480" w:firstLineChars="200"/>
        <w:rPr>
          <w:rFonts w:hint="eastAsia" w:ascii="宋体" w:hAnsi="宋体" w:eastAsia="宋体" w:cs="宋体"/>
          <w:bCs/>
          <w:sz w:val="24"/>
          <w:szCs w:val="24"/>
        </w:rPr>
      </w:pPr>
      <w:bookmarkStart w:id="32" w:name="_Toc508092932"/>
      <w:bookmarkStart w:id="33" w:name="_Toc213326419"/>
      <w:bookmarkStart w:id="34" w:name="_Toc448343859"/>
      <w:r>
        <w:rPr>
          <w:rFonts w:hint="eastAsia" w:ascii="宋体" w:hAnsi="宋体" w:eastAsia="宋体" w:cs="宋体"/>
          <w:bCs/>
          <w:sz w:val="24"/>
          <w:szCs w:val="24"/>
        </w:rPr>
        <w:t>本项目不收取投标保证金。</w:t>
      </w:r>
    </w:p>
    <w:p>
      <w:pPr>
        <w:pStyle w:val="17"/>
        <w:spacing w:line="360" w:lineRule="auto"/>
        <w:jc w:val="center"/>
        <w:outlineLvl w:val="1"/>
        <w:rPr>
          <w:rFonts w:hint="eastAsia" w:ascii="宋体" w:hAnsi="宋体" w:eastAsia="宋体" w:cs="宋体"/>
          <w:b/>
          <w:sz w:val="30"/>
          <w:szCs w:val="30"/>
        </w:rPr>
      </w:pPr>
      <w:bookmarkStart w:id="35" w:name="_Toc23984"/>
      <w:r>
        <w:rPr>
          <w:rFonts w:hint="eastAsia" w:ascii="宋体" w:hAnsi="宋体" w:eastAsia="宋体" w:cs="宋体"/>
          <w:b/>
          <w:sz w:val="30"/>
          <w:szCs w:val="30"/>
        </w:rPr>
        <w:t>四    投标</w:t>
      </w:r>
      <w:bookmarkEnd w:id="32"/>
      <w:bookmarkEnd w:id="33"/>
      <w:bookmarkEnd w:id="34"/>
      <w:bookmarkEnd w:id="35"/>
    </w:p>
    <w:p>
      <w:pPr>
        <w:pStyle w:val="17"/>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14.  投标文件的密封</w:t>
      </w:r>
    </w:p>
    <w:p>
      <w:pPr>
        <w:pStyle w:val="17"/>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14.1  投标人应将所有投标文件密封在一个外层包封中，在外层包封上标明“投标文件”。</w:t>
      </w:r>
    </w:p>
    <w:p>
      <w:pPr>
        <w:pStyle w:val="17"/>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14.2 外层包封应写明项目名称、项目编号、采购人单位名称、投标人名称，并注明开标时间以前不得开封。</w:t>
      </w:r>
    </w:p>
    <w:p>
      <w:pPr>
        <w:pStyle w:val="17"/>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14.3 如果外包封没有按照上述规定密封，招标代理单位将不承担投标文件错放或提前开封的责任。由此造成的提前开封的投标文件将予以拒绝，并退还给投标人。</w:t>
      </w:r>
    </w:p>
    <w:p>
      <w:pPr>
        <w:pStyle w:val="17"/>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14.4 外层包封封口处应加盖密封章或单位公章，若封口处没有加盖密封章或公章或破损严重，招标代理单位将其拒收。</w:t>
      </w:r>
    </w:p>
    <w:p>
      <w:pPr>
        <w:pStyle w:val="17"/>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15.  投标文件的递交</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15.1  投标人投标截止时间：见投标人须知前附表。</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15.2  投标人递交投标文件地点：见投标人须知前附表。</w:t>
      </w:r>
    </w:p>
    <w:p>
      <w:pPr>
        <w:pStyle w:val="17"/>
        <w:spacing w:line="360" w:lineRule="auto"/>
        <w:jc w:val="center"/>
        <w:rPr>
          <w:rFonts w:hint="eastAsia" w:ascii="宋体" w:hAnsi="宋体" w:eastAsia="宋体" w:cs="宋体"/>
          <w:sz w:val="24"/>
          <w:szCs w:val="24"/>
        </w:rPr>
      </w:pPr>
      <w:bookmarkStart w:id="36" w:name="_Toc508092933"/>
    </w:p>
    <w:p>
      <w:pPr>
        <w:pStyle w:val="17"/>
        <w:spacing w:line="360" w:lineRule="auto"/>
        <w:jc w:val="center"/>
        <w:outlineLvl w:val="1"/>
        <w:rPr>
          <w:rFonts w:hint="eastAsia" w:ascii="宋体" w:hAnsi="宋体" w:eastAsia="宋体" w:cs="宋体"/>
          <w:b/>
          <w:sz w:val="30"/>
          <w:szCs w:val="30"/>
        </w:rPr>
      </w:pPr>
      <w:bookmarkStart w:id="37" w:name="_Toc1928"/>
      <w:r>
        <w:rPr>
          <w:rFonts w:hint="eastAsia" w:ascii="宋体" w:hAnsi="宋体" w:eastAsia="宋体" w:cs="宋体"/>
          <w:b/>
          <w:sz w:val="30"/>
          <w:szCs w:val="30"/>
        </w:rPr>
        <w:t>五    开标、资格审查与评标</w:t>
      </w:r>
      <w:bookmarkEnd w:id="36"/>
      <w:bookmarkEnd w:id="37"/>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16.  开标</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采购代理机构将在本章第15.1项规定的投标截止时间（即开标时间）和投标人须知前附表规定的地点公开开标，</w:t>
      </w:r>
      <w:r>
        <w:rPr>
          <w:rFonts w:hint="eastAsia" w:ascii="宋体" w:hAnsi="宋体" w:eastAsia="宋体" w:cs="宋体"/>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hint="eastAsia" w:ascii="宋体" w:hAnsi="宋体" w:eastAsia="宋体" w:cs="宋体"/>
          <w:sz w:val="24"/>
          <w:szCs w:val="24"/>
        </w:rPr>
        <w:t>投标人的法定代表人或其委托代理人应准时参加并签到。如未按时签到，由此产生的后果由投标人自行负责。</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16.1.1 截标后由采购人或采购代理机构对投标人进行信用查询。</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查询渠道：“信用中国”网站（www.creditchina.gov.cn）、中国政府采购网（www.ccgp.gov.cn） </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查询截止时点：投标截止时间   </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查询记录和证据留存方式：在查询网站中直接打印查询记录，打印材料作为评审资料保存。</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开标程序：</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（1）开标会由采购代理机构主持，主持人宣布开标会议开始；</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（2）公布在投标截止时间前递交投标文件的投标人名称，并点名确认投标人是否派人到场；</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（3）宣布开标人、唱标人、记录人、监标人（由第三方监督单位担任）等有关人员姓名；</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（4）投标人代表按本章第14.1项的规定交叉检查投标文件的密封情况，并签字确认；</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（6）相关人员在开标记录上签字确认；</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（7）宣布评标期间的有关事项；</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（8）开标结束。</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16.3资格审查</w:t>
      </w:r>
    </w:p>
    <w:p>
      <w:pPr>
        <w:pStyle w:val="17"/>
        <w:spacing w:line="360" w:lineRule="auto"/>
        <w:ind w:firstLine="360"/>
        <w:rPr>
          <w:rFonts w:hint="eastAsia" w:ascii="宋体" w:hAnsi="宋体" w:eastAsia="宋体" w:cs="宋体"/>
          <w:b/>
          <w:bCs/>
          <w:sz w:val="24"/>
          <w:szCs w:val="24"/>
        </w:rPr>
      </w:pPr>
      <w:r>
        <w:rPr>
          <w:rFonts w:hint="eastAsia" w:ascii="宋体" w:hAnsi="宋体" w:eastAsia="宋体" w:cs="宋体"/>
          <w:b/>
          <w:bCs/>
          <w:sz w:val="24"/>
          <w:szCs w:val="24"/>
        </w:rPr>
        <w:t>采购人依据法律法规和招标文件的规定，对投标文件中的资格文件进行审查，以确定投标供应商是否具备投标资格。合格投标人不足3家的，不得评标。</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17.  评标</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评标原则：评标活动遵循公平、公正、科学和择优的原则。</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17.4  </w:t>
      </w:r>
      <w:r>
        <w:rPr>
          <w:rFonts w:hint="eastAsia" w:ascii="宋体" w:hAnsi="宋体" w:eastAsia="宋体" w:cs="宋体"/>
          <w:bCs/>
          <w:sz w:val="24"/>
          <w:szCs w:val="24"/>
        </w:rPr>
        <w:t>评标程序：</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17.4.1  采购代理机构项目负责人宣读评标现场纪律要求，集中管理通讯工具，询问在场人员是否申请回避；</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hint="eastAsia" w:ascii="宋体" w:hAnsi="宋体" w:eastAsia="宋体"/>
          <w:sz w:val="24"/>
        </w:rPr>
      </w:pPr>
      <w:r>
        <w:rPr>
          <w:rFonts w:hint="eastAsia" w:ascii="宋体" w:hAnsi="宋体" w:eastAsia="宋体"/>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hint="eastAsia" w:ascii="宋体" w:hAnsi="宋体" w:eastAsia="宋体"/>
          <w:sz w:val="24"/>
        </w:rPr>
      </w:pPr>
      <w:r>
        <w:rPr>
          <w:rFonts w:hint="eastAsia" w:ascii="宋体" w:hAnsi="宋体" w:eastAsia="宋体"/>
          <w:sz w:val="24"/>
        </w:rPr>
        <w:t>(1)有下列情形之一的视为投标人相互串通投标，投标文件将被视为无效。</w:t>
      </w:r>
    </w:p>
    <w:p>
      <w:pPr>
        <w:spacing w:line="360" w:lineRule="auto"/>
        <w:ind w:firstLine="306"/>
        <w:rPr>
          <w:rFonts w:hint="eastAsia" w:ascii="宋体" w:hAnsi="宋体" w:eastAsia="宋体"/>
          <w:sz w:val="24"/>
        </w:rPr>
      </w:pPr>
      <w:r>
        <w:rPr>
          <w:rFonts w:hint="eastAsia" w:ascii="宋体" w:hAnsi="宋体" w:eastAsia="宋体"/>
          <w:sz w:val="24"/>
        </w:rPr>
        <w:t>①不同投标人的投标文件由同一单位或者个人编制；</w:t>
      </w:r>
    </w:p>
    <w:p>
      <w:pPr>
        <w:spacing w:line="360" w:lineRule="auto"/>
        <w:ind w:firstLine="306"/>
        <w:rPr>
          <w:rFonts w:hint="eastAsia" w:ascii="宋体" w:hAnsi="宋体" w:eastAsia="宋体"/>
          <w:sz w:val="24"/>
        </w:rPr>
      </w:pPr>
      <w:r>
        <w:rPr>
          <w:rFonts w:hint="eastAsia" w:ascii="宋体" w:hAnsi="宋体" w:eastAsia="宋体"/>
          <w:sz w:val="24"/>
        </w:rPr>
        <w:t>②不同投标人委托同一单位或者个人办理投标事宜;</w:t>
      </w:r>
    </w:p>
    <w:p>
      <w:pPr>
        <w:spacing w:line="360" w:lineRule="auto"/>
        <w:ind w:firstLine="306"/>
        <w:rPr>
          <w:rFonts w:hint="eastAsia" w:ascii="宋体" w:hAnsi="宋体" w:eastAsia="宋体"/>
          <w:sz w:val="24"/>
        </w:rPr>
      </w:pPr>
      <w:r>
        <w:rPr>
          <w:rFonts w:hint="eastAsia" w:ascii="宋体" w:hAnsi="宋体" w:eastAsia="宋体"/>
          <w:sz w:val="24"/>
        </w:rPr>
        <w:t>③不同的投标人的投标文件载明的项目管理员为同一个人;</w:t>
      </w:r>
    </w:p>
    <w:p>
      <w:pPr>
        <w:spacing w:line="360" w:lineRule="auto"/>
        <w:ind w:firstLine="306"/>
        <w:rPr>
          <w:rFonts w:hint="eastAsia" w:ascii="宋体" w:hAnsi="宋体" w:eastAsia="宋体"/>
          <w:sz w:val="24"/>
        </w:rPr>
      </w:pPr>
      <w:r>
        <w:rPr>
          <w:rFonts w:hint="eastAsia" w:ascii="宋体" w:hAnsi="宋体" w:eastAsia="宋体"/>
          <w:sz w:val="24"/>
        </w:rPr>
        <w:t>④不同投标人的投标文件异常一致或投标报价呈规律性差异;</w:t>
      </w:r>
    </w:p>
    <w:p>
      <w:pPr>
        <w:spacing w:line="360" w:lineRule="auto"/>
        <w:ind w:firstLine="306"/>
        <w:rPr>
          <w:rFonts w:hint="eastAsia" w:ascii="宋体" w:hAnsi="宋体" w:eastAsia="宋体"/>
          <w:sz w:val="24"/>
        </w:rPr>
      </w:pPr>
      <w:r>
        <w:rPr>
          <w:rFonts w:hint="eastAsia" w:ascii="宋体" w:hAnsi="宋体" w:eastAsia="宋体"/>
          <w:sz w:val="24"/>
        </w:rPr>
        <w:t>⑤不同投标人的投标文件相互混装;</w:t>
      </w:r>
    </w:p>
    <w:p>
      <w:pPr>
        <w:spacing w:line="360" w:lineRule="auto"/>
        <w:ind w:firstLine="306"/>
        <w:rPr>
          <w:rFonts w:hint="eastAsia" w:ascii="宋体" w:hAnsi="宋体" w:eastAsia="宋体"/>
          <w:sz w:val="24"/>
        </w:rPr>
      </w:pPr>
      <w:r>
        <w:rPr>
          <w:rFonts w:hint="eastAsia" w:ascii="宋体" w:hAnsi="宋体" w:eastAsia="宋体"/>
          <w:sz w:val="24"/>
        </w:rPr>
        <w:t>（2）关联供应商不得参加同一合同项下政府采购活动，否则投标文件将被视为无效</w:t>
      </w:r>
    </w:p>
    <w:p>
      <w:pPr>
        <w:spacing w:line="360" w:lineRule="auto"/>
        <w:ind w:firstLine="306"/>
        <w:rPr>
          <w:rFonts w:hint="eastAsia" w:ascii="宋体" w:hAnsi="宋体" w:eastAsia="宋体"/>
          <w:sz w:val="24"/>
        </w:rPr>
      </w:pPr>
      <w:r>
        <w:rPr>
          <w:rFonts w:hint="eastAsia" w:ascii="宋体" w:hAnsi="宋体" w:eastAsia="宋体"/>
          <w:sz w:val="24"/>
        </w:rPr>
        <w:t>①单位负责人为同一人或者存在直接控股、管理关系的不同的供应商，不得参加同一合同项下的政府采购活动;</w:t>
      </w:r>
    </w:p>
    <w:p>
      <w:pPr>
        <w:spacing w:line="360" w:lineRule="auto"/>
        <w:ind w:firstLine="306"/>
        <w:rPr>
          <w:rFonts w:hint="eastAsia" w:ascii="宋体" w:hAnsi="宋体" w:eastAsia="宋体"/>
          <w:sz w:val="24"/>
        </w:rPr>
      </w:pPr>
      <w:r>
        <w:rPr>
          <w:rFonts w:hint="eastAsia" w:ascii="宋体" w:hAnsi="宋体" w:eastAsia="宋体"/>
          <w:sz w:val="24"/>
        </w:rPr>
        <w:t>②生产厂商授权给供应商后自己不得参加同一合同项下的政府采购活动；生产厂商对同一品牌的货物，仅能委托一个代理商参加投标。</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7"/>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7"/>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17.4.3.5编写评标报告，并确定中标供应商名单。</w:t>
      </w:r>
    </w:p>
    <w:p>
      <w:pPr>
        <w:pStyle w:val="17"/>
        <w:spacing w:line="360" w:lineRule="auto"/>
        <w:ind w:firstLine="720" w:firstLineChars="300"/>
        <w:rPr>
          <w:rFonts w:hint="eastAsia" w:ascii="宋体" w:hAnsi="宋体" w:eastAsia="宋体" w:cs="宋体"/>
          <w:bCs/>
          <w:sz w:val="24"/>
          <w:szCs w:val="24"/>
        </w:rPr>
      </w:pPr>
      <w:r>
        <w:rPr>
          <w:rFonts w:hint="eastAsia" w:ascii="宋体" w:hAnsi="宋体" w:eastAsia="宋体" w:cs="宋体"/>
          <w:sz w:val="24"/>
          <w:szCs w:val="24"/>
        </w:rPr>
        <w:t>17.4.4  采购代理机构对评标过程和评分、评标结论进行核对和复核，如有错漏，请当事评委进行校正，按校正后的结果确定中标供应商。</w:t>
      </w:r>
    </w:p>
    <w:p>
      <w:pPr>
        <w:pStyle w:val="17"/>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17.5  在确定中标供应商前，采购人或采购代理机构不得与投标供应商就投标价格、投标方案等实质性内容进行谈判。</w:t>
      </w:r>
    </w:p>
    <w:p>
      <w:pPr>
        <w:pStyle w:val="17"/>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18.  投标文件的修正</w:t>
      </w:r>
    </w:p>
    <w:p>
      <w:pPr>
        <w:pStyle w:val="17"/>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18.1  如果出现计算或表达上的错误，修正的原则如下：</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（1）投标文件中开标一览表（报价表）内容与投标文件中相应内容不一致的，以开标一览表（报价表）为准；</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18.2同时出现两种以上不一致的，按照本条款规定的顺序修正。修正后的报价按照本章17.4.3.2的规定经投标人确认后产生约束力，投标人不确认的，其投标无效。</w:t>
      </w:r>
    </w:p>
    <w:p>
      <w:pPr>
        <w:pStyle w:val="17"/>
        <w:spacing w:line="360" w:lineRule="auto"/>
        <w:rPr>
          <w:rFonts w:hint="eastAsia" w:ascii="宋体" w:hAnsi="宋体" w:eastAsia="宋体" w:cs="宋体"/>
          <w:b/>
          <w:bCs/>
          <w:sz w:val="24"/>
          <w:szCs w:val="24"/>
        </w:rPr>
      </w:pPr>
      <w:r>
        <w:rPr>
          <w:rFonts w:hint="eastAsia" w:ascii="宋体" w:hAnsi="宋体" w:eastAsia="宋体" w:cs="宋体"/>
          <w:b/>
          <w:bCs/>
          <w:sz w:val="24"/>
          <w:szCs w:val="24"/>
        </w:rPr>
        <w:t>19.  拒绝接收</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 投标人未在本章第15.1项规定的时间之前将投标文件送达至本章第15.2项指定地点的，采购代理机构应当拒绝接收该投标人的投标文件。</w:t>
      </w:r>
    </w:p>
    <w:p>
      <w:pPr>
        <w:pStyle w:val="17"/>
        <w:spacing w:line="360" w:lineRule="auto"/>
        <w:rPr>
          <w:rFonts w:hint="eastAsia" w:ascii="宋体" w:hAnsi="宋体" w:eastAsia="宋体" w:cs="宋体"/>
          <w:b/>
          <w:bCs/>
          <w:sz w:val="24"/>
          <w:szCs w:val="24"/>
        </w:rPr>
      </w:pPr>
      <w:r>
        <w:rPr>
          <w:rFonts w:hint="eastAsia" w:ascii="宋体" w:hAnsi="宋体" w:eastAsia="宋体" w:cs="宋体"/>
          <w:b/>
          <w:bCs/>
          <w:sz w:val="24"/>
          <w:szCs w:val="24"/>
        </w:rPr>
        <w:t>20.  无效投标</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★20.1  属下列情形之一的，投标人的投标无效：</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（1）投标人或投标文件不符合本章第3项规定的；</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 xml:space="preserve">（2）投标文件未按本章第8.8项的规定标识或未按规定的正、副本数量递交的； </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（3）投标文件未按本章第10.1项的规定编写和提交的（包括缺少应提交的文件或格式不符合第五章“投标文件格式”的要求）；</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（4）投标文件不符合本章第10.2项规定的；</w:t>
      </w:r>
    </w:p>
    <w:p>
      <w:pPr>
        <w:pStyle w:val="17"/>
        <w:spacing w:line="360" w:lineRule="auto"/>
        <w:ind w:firstLine="720"/>
        <w:rPr>
          <w:rFonts w:hAnsi="宋体" w:cs="宋体"/>
          <w:sz w:val="24"/>
          <w:szCs w:val="24"/>
        </w:rPr>
      </w:pPr>
      <w:r>
        <w:rPr>
          <w:rFonts w:hint="eastAsia" w:ascii="宋体" w:hAnsi="宋体" w:eastAsia="宋体" w:cs="宋体"/>
          <w:sz w:val="24"/>
          <w:szCs w:val="24"/>
        </w:rPr>
        <w:t>（5）投标人报价不符合本章第11项规定或超过采购预算的或超过</w:t>
      </w:r>
      <w:r>
        <w:rPr>
          <w:rFonts w:hAnsi="宋体" w:cs="宋体"/>
          <w:sz w:val="24"/>
          <w:szCs w:val="24"/>
        </w:rPr>
        <w:t>各</w:t>
      </w:r>
      <w:r>
        <w:rPr>
          <w:rFonts w:hint="eastAsia" w:ascii="宋体" w:hAnsi="宋体" w:eastAsia="宋体" w:cs="宋体"/>
          <w:sz w:val="24"/>
          <w:szCs w:val="24"/>
        </w:rPr>
        <w:t>分项最高限价的或评标委员会认定低于成本报价的；</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（6）投标文件不符合本章第14.1项规定的；</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（7）投标人出现本章第17.4.3.1项所述的投标文件将被视为无效的情形的；</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（8）投标人出现本章第18.2项所述情形的；</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（9）投标文件未对招标文件提出的要求和条件作出实质性响应的；</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（10）投标文件附有采购需求以外的条件使评标委员会认为不能接受的；</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（11）投标人在投标过程中提供虚假材料的；</w:t>
      </w:r>
    </w:p>
    <w:p>
      <w:pPr>
        <w:pStyle w:val="17"/>
        <w:spacing w:line="360" w:lineRule="auto"/>
        <w:ind w:firstLine="720"/>
        <w:rPr>
          <w:rFonts w:hint="eastAsia" w:ascii="宋体" w:hAnsi="宋体" w:eastAsia="宋体" w:cs="宋体"/>
          <w:sz w:val="24"/>
          <w:szCs w:val="24"/>
        </w:rPr>
      </w:pPr>
      <w:r>
        <w:rPr>
          <w:rFonts w:hint="eastAsia" w:ascii="宋体" w:hAnsi="宋体" w:eastAsia="宋体" w:cs="宋体"/>
          <w:sz w:val="24"/>
          <w:szCs w:val="24"/>
        </w:rPr>
        <w:t>（12）投标文件含有违反国家法律、法规的内容。</w:t>
      </w:r>
    </w:p>
    <w:p>
      <w:pPr>
        <w:pStyle w:val="17"/>
        <w:spacing w:line="360" w:lineRule="auto"/>
        <w:rPr>
          <w:rFonts w:hint="eastAsia" w:ascii="宋体" w:hAnsi="宋体" w:eastAsia="宋体" w:cs="宋体"/>
          <w:b/>
          <w:bCs/>
          <w:sz w:val="24"/>
          <w:szCs w:val="24"/>
        </w:rPr>
      </w:pPr>
      <w:r>
        <w:rPr>
          <w:rFonts w:hint="eastAsia" w:ascii="宋体" w:hAnsi="宋体" w:eastAsia="宋体" w:cs="宋体"/>
          <w:b/>
          <w:bCs/>
          <w:sz w:val="24"/>
          <w:szCs w:val="24"/>
        </w:rPr>
        <w:t>21.  废标</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  在招标过程中，出现下列情形之一的，予以废标：</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（1）符合专业条件的供应商或者对招标文件作实质响应的供应商不足三家的；</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（2）投标人的报价均超过了采购预算，采购人不能支付的；</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（3）因重大变故，采购任务取消的。</w:t>
      </w:r>
    </w:p>
    <w:p>
      <w:pPr>
        <w:pStyle w:val="17"/>
        <w:spacing w:line="360" w:lineRule="auto"/>
        <w:ind w:firstLine="480" w:firstLineChars="200"/>
        <w:jc w:val="left"/>
        <w:rPr>
          <w:rFonts w:hint="eastAsia" w:ascii="宋体" w:hAnsi="宋体" w:eastAsia="宋体" w:cs="宋体"/>
          <w:b/>
          <w:bCs/>
        </w:rPr>
      </w:pPr>
      <w:r>
        <w:rPr>
          <w:rFonts w:hint="eastAsia" w:ascii="宋体" w:hAnsi="宋体" w:eastAsia="宋体" w:cs="宋体"/>
          <w:sz w:val="24"/>
          <w:szCs w:val="24"/>
        </w:rPr>
        <w:t>21.2  废标后，采购代理机构将在本章第2.1项规定的政府采购信息发布媒体上公告废标理由，不再另行通知。</w:t>
      </w:r>
    </w:p>
    <w:p>
      <w:pPr>
        <w:pStyle w:val="17"/>
        <w:spacing w:line="360" w:lineRule="auto"/>
        <w:jc w:val="center"/>
        <w:outlineLvl w:val="1"/>
        <w:rPr>
          <w:rFonts w:hint="eastAsia" w:ascii="宋体" w:hAnsi="宋体" w:eastAsia="宋体" w:cs="宋体"/>
          <w:b/>
          <w:sz w:val="30"/>
          <w:szCs w:val="30"/>
        </w:rPr>
      </w:pPr>
      <w:bookmarkStart w:id="38" w:name="_Toc508092934"/>
      <w:bookmarkStart w:id="39" w:name="_Toc8281"/>
      <w:bookmarkStart w:id="40" w:name="_Toc448343861"/>
      <w:bookmarkStart w:id="41" w:name="_Toc213326421"/>
      <w:r>
        <w:rPr>
          <w:rFonts w:hint="eastAsia" w:ascii="宋体" w:hAnsi="宋体" w:eastAsia="宋体" w:cs="宋体"/>
          <w:b/>
          <w:sz w:val="30"/>
          <w:szCs w:val="30"/>
        </w:rPr>
        <w:t>六    合同授予</w:t>
      </w:r>
      <w:bookmarkEnd w:id="38"/>
      <w:bookmarkEnd w:id="39"/>
      <w:bookmarkEnd w:id="40"/>
      <w:bookmarkEnd w:id="41"/>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22.  中标供应商的确定</w:t>
      </w:r>
    </w:p>
    <w:p>
      <w:pPr>
        <w:spacing w:line="360" w:lineRule="auto"/>
        <w:ind w:firstLine="480" w:firstLineChars="200"/>
        <w:rPr>
          <w:rFonts w:hint="eastAsia" w:ascii="宋体" w:hAnsi="宋体" w:eastAsia="宋体"/>
        </w:rPr>
      </w:pPr>
      <w:r>
        <w:rPr>
          <w:rFonts w:hint="eastAsia" w:ascii="宋体" w:hAnsi="宋体" w:eastAsia="宋体"/>
          <w:sz w:val="24"/>
        </w:rPr>
        <w:t>22.1  评标委员会按第三章“评标方法”的规定排列中标候选供应商顺序，并依照次序确定中标供应商。</w:t>
      </w:r>
    </w:p>
    <w:p>
      <w:pPr>
        <w:spacing w:line="360" w:lineRule="auto"/>
        <w:rPr>
          <w:rFonts w:hint="eastAsia" w:ascii="宋体" w:hAnsi="宋体" w:eastAsia="宋体"/>
          <w:sz w:val="24"/>
        </w:rPr>
      </w:pPr>
      <w:r>
        <w:rPr>
          <w:rFonts w:hint="eastAsia" w:ascii="宋体" w:hAnsi="宋体" w:eastAsia="宋体"/>
          <w:sz w:val="24"/>
        </w:rPr>
        <w:t>23.  中标公告及中标通知书</w:t>
      </w:r>
    </w:p>
    <w:p>
      <w:pPr>
        <w:pStyle w:val="17"/>
        <w:spacing w:line="360" w:lineRule="auto"/>
        <w:ind w:firstLine="480" w:firstLineChars="200"/>
        <w:rPr>
          <w:rFonts w:hint="eastAsia" w:ascii="宋体" w:hAnsi="宋体" w:eastAsia="宋体" w:cs="宋体"/>
          <w:sz w:val="24"/>
        </w:rPr>
      </w:pPr>
      <w:r>
        <w:rPr>
          <w:rFonts w:hint="eastAsia" w:ascii="宋体" w:hAnsi="宋体" w:eastAsia="宋体" w:cs="宋体"/>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23.2  中标通知书对采购人和中标供应商具有同等法律效力。中标通知书发出后，采购人改变中标结果，或者中标供应商放弃中标，应当承担相应的法律责任。</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24.  投标文件的退回</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  采购人及采购代理机构无义务向未中标供应商解释其未中标原因和退回投标文件。</w:t>
      </w:r>
    </w:p>
    <w:p>
      <w:pPr>
        <w:pStyle w:val="17"/>
        <w:tabs>
          <w:tab w:val="left" w:pos="630"/>
        </w:tabs>
        <w:spacing w:line="360" w:lineRule="auto"/>
        <w:rPr>
          <w:rFonts w:hint="eastAsia" w:ascii="宋体" w:hAnsi="宋体" w:eastAsia="宋体" w:cs="宋体"/>
          <w:bCs/>
          <w:sz w:val="24"/>
          <w:szCs w:val="24"/>
        </w:rPr>
      </w:pPr>
      <w:r>
        <w:rPr>
          <w:rFonts w:hint="eastAsia" w:ascii="宋体" w:hAnsi="宋体" w:eastAsia="宋体" w:cs="宋体"/>
          <w:bCs/>
          <w:sz w:val="24"/>
          <w:szCs w:val="24"/>
        </w:rPr>
        <w:t>25.  签订合同</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25.3 如采购人无正当理由拒签合同的，采购人给中标供应商造成损失的，中标供应商可追究采购人承担相应的法律责任。</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25.4  采购人在签订合同之前有权要求中标供应商提供本项目必需的相关资料原件进行核查，中标供应商不得拒绝。如中标供应商拒绝提供，则自行承担由此产生的后果。</w:t>
      </w:r>
    </w:p>
    <w:p>
      <w:pPr>
        <w:pStyle w:val="17"/>
        <w:spacing w:line="360" w:lineRule="auto"/>
        <w:ind w:firstLine="360"/>
        <w:rPr>
          <w:rFonts w:hint="eastAsia" w:ascii="宋体" w:hAnsi="宋体" w:eastAsia="宋体" w:cs="宋体"/>
          <w:sz w:val="24"/>
          <w:szCs w:val="24"/>
        </w:rPr>
      </w:pPr>
      <w:r>
        <w:rPr>
          <w:rFonts w:hint="eastAsia" w:ascii="宋体" w:hAnsi="宋体" w:eastAsia="宋体" w:cs="宋体"/>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25.9　采购人或中标供应商在合同履行过程中存在违反政府采购合同行为的，权益受损当事人应当将有关违约的情况以及拟采取的措施，及时书面报告采购代理机构。</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26.  履约保证金及质量保证金</w:t>
      </w:r>
    </w:p>
    <w:p>
      <w:pPr>
        <w:pStyle w:val="17"/>
        <w:spacing w:line="360" w:lineRule="auto"/>
        <w:ind w:firstLine="420"/>
        <w:rPr>
          <w:rFonts w:hint="eastAsia" w:ascii="宋体" w:hAnsi="宋体" w:eastAsia="宋体" w:cs="宋体"/>
        </w:rPr>
      </w:pPr>
      <w:r>
        <w:rPr>
          <w:rFonts w:hint="eastAsia" w:ascii="宋体" w:hAnsi="宋体" w:eastAsia="宋体" w:cs="宋体"/>
          <w:sz w:val="24"/>
          <w:szCs w:val="24"/>
        </w:rPr>
        <w:t>本项目不收取履约保证金及质量保证金。</w:t>
      </w:r>
    </w:p>
    <w:p>
      <w:pPr>
        <w:pStyle w:val="17"/>
        <w:spacing w:line="360" w:lineRule="auto"/>
        <w:jc w:val="center"/>
        <w:outlineLvl w:val="1"/>
        <w:rPr>
          <w:rFonts w:hint="eastAsia" w:ascii="宋体" w:hAnsi="宋体" w:eastAsia="宋体" w:cs="宋体"/>
          <w:b/>
          <w:sz w:val="30"/>
          <w:szCs w:val="30"/>
        </w:rPr>
      </w:pPr>
      <w:bookmarkStart w:id="42" w:name="_Toc213326422"/>
      <w:bookmarkStart w:id="43" w:name="_Toc448343862"/>
      <w:bookmarkStart w:id="44" w:name="_Toc508092935"/>
      <w:bookmarkStart w:id="45" w:name="_Toc22087"/>
      <w:r>
        <w:rPr>
          <w:rFonts w:hint="eastAsia" w:ascii="宋体" w:hAnsi="宋体" w:eastAsia="宋体" w:cs="宋体"/>
          <w:b/>
          <w:sz w:val="30"/>
          <w:szCs w:val="30"/>
        </w:rPr>
        <w:t>七    其他事项</w:t>
      </w:r>
      <w:bookmarkEnd w:id="42"/>
      <w:bookmarkEnd w:id="43"/>
      <w:bookmarkEnd w:id="44"/>
      <w:bookmarkEnd w:id="45"/>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27.  解释权</w:t>
      </w:r>
    </w:p>
    <w:p>
      <w:pPr>
        <w:spacing w:line="360" w:lineRule="auto"/>
        <w:ind w:firstLine="360"/>
        <w:rPr>
          <w:rFonts w:hint="eastAsia" w:ascii="宋体" w:hAnsi="宋体" w:eastAsia="宋体"/>
          <w:sz w:val="24"/>
        </w:rPr>
      </w:pPr>
      <w:r>
        <w:rPr>
          <w:rFonts w:hint="eastAsia" w:ascii="宋体" w:hAnsi="宋体" w:eastAsia="宋体"/>
          <w:sz w:val="24"/>
        </w:rPr>
        <w:t>27.1  本招标文件根据《中华人民共和国政府采购法》、《政府采购货物和服务招标投标管理办法》及相关法律法规编制，解释权属采购代理机构。</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28.   其他</w:t>
      </w:r>
    </w:p>
    <w:p>
      <w:pPr>
        <w:pStyle w:val="17"/>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rPr>
        <w:t>只要投标人参与投标并递交投标文件即视为已经理解并毫无保留地同意了本招标文件的所有条文。</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29.   投标文件的退回</w:t>
      </w:r>
    </w:p>
    <w:p>
      <w:pPr>
        <w:pStyle w:val="17"/>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 xml:space="preserve"> 所有投标文件均不予退回</w:t>
      </w:r>
    </w:p>
    <w:p>
      <w:pPr>
        <w:widowControl w:val="0"/>
        <w:numPr>
          <w:ilvl w:val="0"/>
          <w:numId w:val="8"/>
        </w:numPr>
        <w:adjustRightInd/>
        <w:snapToGrid/>
        <w:spacing w:after="0" w:line="360" w:lineRule="auto"/>
        <w:rPr>
          <w:rFonts w:hint="eastAsia" w:ascii="宋体" w:hAnsi="宋体" w:eastAsia="宋体"/>
          <w:sz w:val="24"/>
        </w:rPr>
      </w:pPr>
      <w:r>
        <w:rPr>
          <w:rFonts w:hint="eastAsia" w:ascii="宋体" w:hAnsi="宋体" w:eastAsia="宋体"/>
          <w:sz w:val="24"/>
        </w:rPr>
        <w:t xml:space="preserve"> 需要补充的其他内容</w:t>
      </w:r>
    </w:p>
    <w:p>
      <w:pPr>
        <w:pStyle w:val="17"/>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30.1  需要补充的其他内容：见投标人须知前附表。</w:t>
      </w:r>
    </w:p>
    <w:p>
      <w:pPr>
        <w:spacing w:line="360" w:lineRule="auto"/>
        <w:rPr>
          <w:rFonts w:hint="eastAsia" w:ascii="宋体" w:hAnsi="宋体" w:eastAsia="宋体"/>
          <w:b/>
          <w:sz w:val="36"/>
          <w:szCs w:val="20"/>
        </w:rPr>
      </w:pPr>
      <w:bookmarkStart w:id="46" w:name="_Toc508092936"/>
      <w:bookmarkStart w:id="47" w:name="_Toc213326423"/>
      <w:r>
        <w:rPr>
          <w:rFonts w:hint="eastAsia" w:ascii="宋体" w:hAnsi="宋体" w:eastAsia="宋体"/>
          <w:b/>
          <w:sz w:val="36"/>
        </w:rPr>
        <w:br w:type="page"/>
      </w:r>
    </w:p>
    <w:p>
      <w:pPr>
        <w:pStyle w:val="17"/>
        <w:jc w:val="center"/>
        <w:outlineLvl w:val="0"/>
        <w:rPr>
          <w:rFonts w:hint="eastAsia" w:ascii="宋体" w:hAnsi="宋体" w:eastAsia="宋体" w:cs="宋体"/>
        </w:rPr>
      </w:pPr>
      <w:bookmarkStart w:id="48" w:name="_Toc10506"/>
      <w:r>
        <w:rPr>
          <w:rFonts w:hint="eastAsia" w:ascii="宋体" w:hAnsi="宋体" w:eastAsia="宋体" w:cs="宋体"/>
          <w:b/>
          <w:sz w:val="36"/>
        </w:rPr>
        <w:t>第五章  投标文件格式</w:t>
      </w:r>
      <w:bookmarkEnd w:id="46"/>
      <w:bookmarkEnd w:id="47"/>
      <w:bookmarkEnd w:id="48"/>
    </w:p>
    <w:p>
      <w:pPr>
        <w:pStyle w:val="17"/>
        <w:jc w:val="left"/>
        <w:rPr>
          <w:rFonts w:hint="eastAsia" w:ascii="宋体" w:hAnsi="宋体" w:eastAsia="宋体" w:cs="宋体"/>
          <w:b/>
        </w:rPr>
      </w:pPr>
      <w:bookmarkStart w:id="49" w:name="_Toc31888"/>
      <w:bookmarkStart w:id="50" w:name="_Toc2682"/>
      <w:bookmarkStart w:id="51" w:name="_Toc508092937"/>
      <w:r>
        <w:rPr>
          <w:rFonts w:hint="eastAsia" w:ascii="宋体" w:hAnsi="宋体" w:eastAsia="宋体" w:cs="宋体"/>
          <w:b/>
        </w:rPr>
        <w:t>格式1：</w:t>
      </w:r>
      <w:bookmarkEnd w:id="49"/>
      <w:bookmarkEnd w:id="50"/>
      <w:bookmarkEnd w:id="51"/>
      <w:r>
        <w:rPr>
          <w:rFonts w:hint="eastAsia" w:ascii="宋体" w:hAnsi="宋体" w:eastAsia="宋体" w:cs="宋体"/>
          <w:b/>
        </w:rPr>
        <w:t xml:space="preserve">                           </w:t>
      </w:r>
    </w:p>
    <w:p>
      <w:pPr>
        <w:pStyle w:val="17"/>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投标函（格式）</w:t>
      </w:r>
    </w:p>
    <w:p>
      <w:pPr>
        <w:pStyle w:val="17"/>
        <w:spacing w:line="440" w:lineRule="exact"/>
        <w:ind w:firstLine="435"/>
        <w:rPr>
          <w:rFonts w:hint="eastAsia" w:ascii="宋体" w:hAnsi="宋体" w:eastAsia="宋体" w:cs="宋体"/>
          <w:sz w:val="24"/>
          <w:szCs w:val="24"/>
        </w:rPr>
      </w:pPr>
      <w:r>
        <w:rPr>
          <w:rFonts w:hint="eastAsia" w:ascii="宋体" w:hAnsi="宋体" w:eastAsia="宋体" w:cs="宋体"/>
          <w:sz w:val="24"/>
          <w:szCs w:val="24"/>
        </w:rPr>
        <w:t>致：（采购代理机构名称）</w:t>
      </w:r>
    </w:p>
    <w:p>
      <w:pPr>
        <w:pStyle w:val="17"/>
        <w:spacing w:line="440" w:lineRule="exact"/>
        <w:ind w:firstLine="435"/>
        <w:rPr>
          <w:rFonts w:hint="eastAsia" w:ascii="宋体" w:hAnsi="宋体" w:eastAsia="宋体" w:cs="宋体"/>
          <w:sz w:val="24"/>
          <w:szCs w:val="24"/>
        </w:rPr>
      </w:pP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我方已仔细阅读了贵方组织的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）的招标文件的全部内容，现正式递交下述文件参加贵方组织的本次政府采购活动： </w:t>
      </w:r>
    </w:p>
    <w:p>
      <w:pPr>
        <w:pStyle w:val="17"/>
        <w:numPr>
          <w:ilvl w:val="0"/>
          <w:numId w:val="9"/>
        </w:numPr>
        <w:spacing w:line="440" w:lineRule="exact"/>
        <w:ind w:firstLine="482"/>
        <w:rPr>
          <w:rFonts w:hint="eastAsia" w:ascii="宋体" w:hAnsi="宋体" w:eastAsia="宋体" w:cs="宋体"/>
          <w:sz w:val="24"/>
          <w:szCs w:val="24"/>
        </w:rPr>
      </w:pPr>
      <w:r>
        <w:rPr>
          <w:rFonts w:hint="eastAsia" w:ascii="宋体" w:hAnsi="宋体" w:eastAsia="宋体" w:cs="宋体"/>
          <w:sz w:val="24"/>
          <w:szCs w:val="24"/>
        </w:rPr>
        <w:t>报价文件正本一份，副本</w:t>
      </w:r>
      <w:r>
        <w:rPr>
          <w:rFonts w:hint="eastAsia" w:ascii="宋体" w:hAnsi="宋体" w:eastAsia="宋体" w:cs="宋体"/>
          <w:sz w:val="24"/>
          <w:szCs w:val="24"/>
          <w:u w:val="single"/>
        </w:rPr>
        <w:t xml:space="preserve"> 四 </w:t>
      </w:r>
      <w:r>
        <w:rPr>
          <w:rFonts w:hint="eastAsia" w:ascii="宋体" w:hAnsi="宋体" w:eastAsia="宋体" w:cs="宋体"/>
          <w:sz w:val="24"/>
          <w:szCs w:val="24"/>
        </w:rPr>
        <w:t>份（包含按投标人须知第10.1.1项要求提交的全部文件）；</w:t>
      </w:r>
    </w:p>
    <w:p>
      <w:pPr>
        <w:pStyle w:val="17"/>
        <w:numPr>
          <w:ilvl w:val="0"/>
          <w:numId w:val="9"/>
        </w:numPr>
        <w:spacing w:line="440" w:lineRule="exact"/>
        <w:ind w:firstLine="482"/>
        <w:rPr>
          <w:rFonts w:hint="eastAsia" w:ascii="宋体" w:hAnsi="宋体" w:eastAsia="宋体" w:cs="宋体"/>
          <w:sz w:val="24"/>
          <w:szCs w:val="24"/>
        </w:rPr>
      </w:pPr>
      <w:r>
        <w:rPr>
          <w:rFonts w:hint="eastAsia" w:ascii="宋体" w:hAnsi="宋体" w:eastAsia="宋体" w:cs="宋体"/>
          <w:sz w:val="24"/>
          <w:szCs w:val="24"/>
        </w:rPr>
        <w:t>资格文件正本一份，副本</w:t>
      </w:r>
      <w:r>
        <w:rPr>
          <w:rFonts w:hint="eastAsia" w:ascii="宋体" w:hAnsi="宋体" w:eastAsia="宋体" w:cs="宋体"/>
          <w:sz w:val="24"/>
          <w:szCs w:val="24"/>
          <w:u w:val="single"/>
        </w:rPr>
        <w:t xml:space="preserve"> 四 </w:t>
      </w:r>
      <w:r>
        <w:rPr>
          <w:rFonts w:hint="eastAsia" w:ascii="宋体" w:hAnsi="宋体" w:eastAsia="宋体" w:cs="宋体"/>
          <w:sz w:val="24"/>
          <w:szCs w:val="24"/>
        </w:rPr>
        <w:t>份（包含按投标人须知第10.1.2项要求提交的全部文件）；</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二、技术文件正本一份，副本</w:t>
      </w:r>
      <w:r>
        <w:rPr>
          <w:rFonts w:hint="eastAsia" w:ascii="宋体" w:hAnsi="宋体" w:eastAsia="宋体" w:cs="宋体"/>
          <w:sz w:val="24"/>
          <w:szCs w:val="24"/>
          <w:u w:val="single"/>
        </w:rPr>
        <w:t xml:space="preserve"> 四 </w:t>
      </w:r>
      <w:r>
        <w:rPr>
          <w:rFonts w:hint="eastAsia" w:ascii="宋体" w:hAnsi="宋体" w:eastAsia="宋体" w:cs="宋体"/>
          <w:sz w:val="24"/>
          <w:szCs w:val="24"/>
        </w:rPr>
        <w:t>份（包含按投标人须知第10.1.3项要求提交的全部文件）；</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三、商务文件正本一份，副本</w:t>
      </w:r>
      <w:r>
        <w:rPr>
          <w:rFonts w:hint="eastAsia" w:ascii="宋体" w:hAnsi="宋体" w:eastAsia="宋体" w:cs="宋体"/>
          <w:sz w:val="24"/>
          <w:szCs w:val="24"/>
          <w:u w:val="single"/>
        </w:rPr>
        <w:t xml:space="preserve"> 四 </w:t>
      </w:r>
      <w:r>
        <w:rPr>
          <w:rFonts w:hint="eastAsia" w:ascii="宋体" w:hAnsi="宋体" w:eastAsia="宋体" w:cs="宋体"/>
          <w:sz w:val="24"/>
          <w:szCs w:val="24"/>
        </w:rPr>
        <w:t>份（包含按投标人须知第10.1.4项要求提交的全部文件）。</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据此函，签字人兹宣布：</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1、我方愿意以（大写）人民币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元)的投标总报价，</w:t>
      </w:r>
      <w:r>
        <w:rPr>
          <w:rFonts w:hint="eastAsia" w:ascii="宋体" w:hAnsi="宋体" w:eastAsia="宋体" w:cs="宋体"/>
          <w:sz w:val="24"/>
        </w:rPr>
        <w:t>提交服务时间</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，提供本项目招标文件第二章“服务需求一览表”中的采购内容。</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2、我方同意自本项目招标文件“投标人须知”第15.1项规定的投标截止时间（开标时间）起遵循本投标函，并承诺在“投标人须知”第12.1项规定的投标有效期内不修改、撤销投标文件。</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3、我方在此声明，所递交的投标文件及有关资料内容完整、真实和准确。</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7"/>
        <w:numPr>
          <w:ilvl w:val="0"/>
          <w:numId w:val="10"/>
        </w:numPr>
        <w:spacing w:line="440" w:lineRule="exact"/>
        <w:rPr>
          <w:rFonts w:hint="eastAsia" w:ascii="宋体" w:hAnsi="宋体" w:eastAsia="宋体" w:cs="宋体"/>
          <w:sz w:val="24"/>
          <w:szCs w:val="24"/>
        </w:rPr>
      </w:pPr>
      <w:r>
        <w:rPr>
          <w:rFonts w:hint="eastAsia" w:ascii="宋体" w:hAnsi="宋体" w:eastAsia="宋体" w:cs="宋体"/>
          <w:sz w:val="24"/>
          <w:szCs w:val="24"/>
        </w:rPr>
        <w:t>具有独立承担民事责任的能力；</w:t>
      </w:r>
    </w:p>
    <w:p>
      <w:pPr>
        <w:pStyle w:val="17"/>
        <w:numPr>
          <w:ilvl w:val="0"/>
          <w:numId w:val="10"/>
        </w:numPr>
        <w:spacing w:line="440" w:lineRule="exact"/>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p>
    <w:p>
      <w:pPr>
        <w:pStyle w:val="17"/>
        <w:numPr>
          <w:ilvl w:val="0"/>
          <w:numId w:val="10"/>
        </w:numPr>
        <w:spacing w:line="440" w:lineRule="exact"/>
        <w:rPr>
          <w:rFonts w:hint="eastAsia" w:ascii="宋体" w:hAnsi="宋体" w:eastAsia="宋体" w:cs="宋体"/>
          <w:sz w:val="24"/>
          <w:szCs w:val="24"/>
        </w:rPr>
      </w:pPr>
      <w:r>
        <w:rPr>
          <w:rFonts w:hint="eastAsia" w:ascii="宋体" w:hAnsi="宋体" w:eastAsia="宋体" w:cs="宋体"/>
          <w:sz w:val="24"/>
          <w:szCs w:val="24"/>
        </w:rPr>
        <w:t>具有履行合同所必需的设备和专业技术能力；</w:t>
      </w:r>
    </w:p>
    <w:p>
      <w:pPr>
        <w:pStyle w:val="17"/>
        <w:numPr>
          <w:ilvl w:val="0"/>
          <w:numId w:val="10"/>
        </w:numPr>
        <w:spacing w:line="440" w:lineRule="exact"/>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w:t>
      </w:r>
    </w:p>
    <w:p>
      <w:pPr>
        <w:pStyle w:val="17"/>
        <w:numPr>
          <w:ilvl w:val="0"/>
          <w:numId w:val="10"/>
        </w:numPr>
        <w:spacing w:line="440" w:lineRule="exact"/>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w:t>
      </w:r>
    </w:p>
    <w:p>
      <w:pPr>
        <w:pStyle w:val="17"/>
        <w:numPr>
          <w:ilvl w:val="0"/>
          <w:numId w:val="10"/>
        </w:numPr>
        <w:spacing w:line="440" w:lineRule="exact"/>
        <w:rPr>
          <w:rFonts w:hint="eastAsia" w:ascii="宋体" w:hAnsi="宋体" w:eastAsia="宋体" w:cs="宋体"/>
          <w:sz w:val="24"/>
          <w:szCs w:val="24"/>
        </w:rPr>
      </w:pPr>
      <w:r>
        <w:rPr>
          <w:rFonts w:hint="eastAsia" w:ascii="宋体" w:hAnsi="宋体" w:eastAsia="宋体" w:cs="宋体"/>
          <w:sz w:val="24"/>
          <w:szCs w:val="24"/>
        </w:rPr>
        <w:t>法律、行政法规规定的其他条件。</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5、如本项目采购内容涉及须符合国家强制规定的，我方承诺我方本次投标（包括资格条件和所投产品）均符合国家有关强制规定。</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7、我方已详细审核招标文件，我方知道必须放弃提出含糊不清或误解问题的权利。</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8、我方同意应贵方要求提供与本投标有关的任何数据或资料。若贵方需要，我方愿意提供我方作出的一切承诺的证明材料。</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9、我方完全理解贵方不一定接受投标报价最低的投标人为中标供应商的行为。</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numPr>
          <w:ilvl w:val="0"/>
          <w:numId w:val="11"/>
        </w:numPr>
        <w:spacing w:line="440" w:lineRule="exact"/>
        <w:rPr>
          <w:rFonts w:hint="eastAsia" w:ascii="宋体" w:hAnsi="宋体" w:eastAsia="宋体" w:cs="宋体"/>
          <w:sz w:val="24"/>
          <w:szCs w:val="24"/>
        </w:rPr>
      </w:pPr>
      <w:r>
        <w:rPr>
          <w:rFonts w:hint="eastAsia" w:ascii="宋体" w:hAnsi="宋体" w:eastAsia="宋体" w:cs="宋体"/>
          <w:sz w:val="24"/>
          <w:szCs w:val="24"/>
        </w:rPr>
        <w:t>提供虚假材料谋取中标、中标的；</w:t>
      </w:r>
    </w:p>
    <w:p>
      <w:pPr>
        <w:pStyle w:val="17"/>
        <w:numPr>
          <w:ilvl w:val="0"/>
          <w:numId w:val="11"/>
        </w:numPr>
        <w:spacing w:line="440" w:lineRule="exact"/>
        <w:rPr>
          <w:rFonts w:hint="eastAsia" w:ascii="宋体" w:hAnsi="宋体" w:eastAsia="宋体" w:cs="宋体"/>
          <w:sz w:val="24"/>
          <w:szCs w:val="24"/>
        </w:rPr>
      </w:pPr>
      <w:r>
        <w:rPr>
          <w:rFonts w:hint="eastAsia" w:ascii="宋体" w:hAnsi="宋体" w:eastAsia="宋体" w:cs="宋体"/>
          <w:sz w:val="24"/>
          <w:szCs w:val="24"/>
        </w:rPr>
        <w:t>采取不正当手段诋毁、排挤其他供应商的；</w:t>
      </w:r>
    </w:p>
    <w:p>
      <w:pPr>
        <w:pStyle w:val="17"/>
        <w:numPr>
          <w:ilvl w:val="0"/>
          <w:numId w:val="11"/>
        </w:numPr>
        <w:spacing w:line="440" w:lineRule="exact"/>
        <w:rPr>
          <w:rFonts w:hint="eastAsia" w:ascii="宋体" w:hAnsi="宋体" w:eastAsia="宋体" w:cs="宋体"/>
          <w:sz w:val="24"/>
          <w:szCs w:val="24"/>
        </w:rPr>
      </w:pPr>
      <w:r>
        <w:rPr>
          <w:rFonts w:hint="eastAsia" w:ascii="宋体" w:hAnsi="宋体" w:eastAsia="宋体" w:cs="宋体"/>
          <w:sz w:val="24"/>
          <w:szCs w:val="24"/>
        </w:rPr>
        <w:t>与采购人、其他供应商或者采购代理机构恶意串通的；</w:t>
      </w:r>
    </w:p>
    <w:p>
      <w:pPr>
        <w:pStyle w:val="17"/>
        <w:numPr>
          <w:ilvl w:val="0"/>
          <w:numId w:val="11"/>
        </w:numPr>
        <w:spacing w:line="440" w:lineRule="exact"/>
        <w:rPr>
          <w:rFonts w:hint="eastAsia" w:ascii="宋体" w:hAnsi="宋体" w:eastAsia="宋体" w:cs="宋体"/>
          <w:sz w:val="24"/>
          <w:szCs w:val="24"/>
        </w:rPr>
      </w:pPr>
      <w:r>
        <w:rPr>
          <w:rFonts w:hint="eastAsia" w:ascii="宋体" w:hAnsi="宋体" w:eastAsia="宋体" w:cs="宋体"/>
          <w:sz w:val="24"/>
          <w:szCs w:val="24"/>
        </w:rPr>
        <w:t>向采购人、采购代理机构行贿或者提供其他不正当利益的；</w:t>
      </w:r>
    </w:p>
    <w:p>
      <w:pPr>
        <w:pStyle w:val="17"/>
        <w:numPr>
          <w:ilvl w:val="0"/>
          <w:numId w:val="11"/>
        </w:numPr>
        <w:spacing w:line="440" w:lineRule="exact"/>
        <w:rPr>
          <w:rFonts w:hint="eastAsia" w:ascii="宋体" w:hAnsi="宋体" w:eastAsia="宋体" w:cs="宋体"/>
          <w:sz w:val="24"/>
          <w:szCs w:val="24"/>
        </w:rPr>
      </w:pPr>
      <w:r>
        <w:rPr>
          <w:rFonts w:hint="eastAsia" w:ascii="宋体" w:hAnsi="宋体" w:eastAsia="宋体" w:cs="宋体"/>
          <w:sz w:val="24"/>
          <w:szCs w:val="24"/>
        </w:rPr>
        <w:t>在招标采购过程中与采购人进行协商谈判的；</w:t>
      </w:r>
    </w:p>
    <w:p>
      <w:pPr>
        <w:pStyle w:val="17"/>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  拒绝有关部门监督检查或提供虚假情况的。</w:t>
      </w:r>
    </w:p>
    <w:p>
      <w:pPr>
        <w:pStyle w:val="17"/>
        <w:spacing w:line="440" w:lineRule="exact"/>
        <w:ind w:firstLine="482"/>
        <w:rPr>
          <w:rFonts w:hint="eastAsia" w:ascii="宋体" w:hAnsi="宋体" w:eastAsia="宋体" w:cs="宋体"/>
          <w:sz w:val="24"/>
          <w:szCs w:val="24"/>
        </w:rPr>
      </w:pPr>
      <w:r>
        <w:rPr>
          <w:rFonts w:hint="eastAsia" w:ascii="宋体" w:hAnsi="宋体" w:eastAsia="宋体" w:cs="宋体"/>
          <w:sz w:val="24"/>
          <w:szCs w:val="24"/>
        </w:rPr>
        <w:t>11、我方及由本人担任法定代表人的其他机构最近三年内被处罚的违法行为有：</w:t>
      </w:r>
      <w:r>
        <w:rPr>
          <w:rFonts w:hint="eastAsia" w:ascii="宋体" w:hAnsi="宋体" w:eastAsia="宋体" w:cs="宋体"/>
          <w:sz w:val="24"/>
          <w:szCs w:val="24"/>
          <w:u w:val="single"/>
        </w:rPr>
        <w:t>_________________________________________________________________________</w:t>
      </w:r>
      <w:r>
        <w:rPr>
          <w:rFonts w:hint="eastAsia" w:ascii="宋体" w:hAnsi="宋体" w:eastAsia="宋体" w:cs="宋体"/>
          <w:sz w:val="24"/>
          <w:szCs w:val="24"/>
        </w:rPr>
        <w:t>。</w:t>
      </w:r>
    </w:p>
    <w:p>
      <w:pPr>
        <w:pStyle w:val="17"/>
        <w:spacing w:line="440" w:lineRule="exact"/>
        <w:ind w:left="420"/>
        <w:rPr>
          <w:rFonts w:hint="eastAsia" w:ascii="宋体" w:hAnsi="宋体" w:eastAsia="宋体" w:cs="宋体"/>
          <w:sz w:val="24"/>
          <w:szCs w:val="24"/>
        </w:rPr>
      </w:pPr>
      <w:r>
        <w:rPr>
          <w:rFonts w:hint="eastAsia" w:ascii="宋体" w:hAnsi="宋体" w:eastAsia="宋体" w:cs="宋体"/>
          <w:sz w:val="24"/>
          <w:szCs w:val="24"/>
        </w:rPr>
        <w:t>12、以上事项如有虚假或隐瞒，我方愿意承担一切后果，并不再寻求任何旨在减轻或免除法律责任的辩解。</w:t>
      </w:r>
    </w:p>
    <w:p>
      <w:pPr>
        <w:pStyle w:val="17"/>
        <w:spacing w:line="440" w:lineRule="exact"/>
        <w:ind w:left="420"/>
        <w:rPr>
          <w:rFonts w:hint="eastAsia" w:ascii="宋体" w:hAnsi="宋体" w:eastAsia="宋体" w:cs="宋体"/>
          <w:sz w:val="24"/>
          <w:szCs w:val="24"/>
        </w:rPr>
      </w:pPr>
    </w:p>
    <w:p>
      <w:pPr>
        <w:pStyle w:val="17"/>
        <w:spacing w:line="360" w:lineRule="auto"/>
        <w:ind w:firstLine="360" w:firstLineChars="150"/>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地址：__________________________________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________</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7"/>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电话：__________________________________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________</w:t>
      </w: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传真：__________________________________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________</w:t>
      </w:r>
    </w:p>
    <w:p>
      <w:pPr>
        <w:pStyle w:val="17"/>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邮政编码：__________________________________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____</w:t>
      </w:r>
      <w:r>
        <w:rPr>
          <w:rFonts w:hint="eastAsia" w:ascii="宋体" w:hAnsi="宋体" w:eastAsia="宋体" w:cs="宋体"/>
          <w:sz w:val="24"/>
          <w:szCs w:val="24"/>
          <w:u w:val="single"/>
        </w:rPr>
        <w:t xml:space="preserve">                                                    </w:t>
      </w:r>
    </w:p>
    <w:p>
      <w:pPr>
        <w:pStyle w:val="17"/>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开户名称：__________________________________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____</w:t>
      </w:r>
      <w:r>
        <w:rPr>
          <w:rFonts w:hint="eastAsia" w:ascii="宋体" w:hAnsi="宋体" w:eastAsia="宋体" w:cs="宋体"/>
          <w:sz w:val="24"/>
          <w:szCs w:val="24"/>
          <w:u w:val="single"/>
        </w:rPr>
        <w:t xml:space="preserve">                                                     </w:t>
      </w:r>
    </w:p>
    <w:p>
      <w:pPr>
        <w:pStyle w:val="17"/>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开户银行：__________________________________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____</w:t>
      </w:r>
      <w:r>
        <w:rPr>
          <w:rFonts w:hint="eastAsia" w:ascii="宋体" w:hAnsi="宋体" w:eastAsia="宋体" w:cs="宋体"/>
          <w:sz w:val="24"/>
          <w:szCs w:val="24"/>
          <w:u w:val="single"/>
        </w:rPr>
        <w:t xml:space="preserve">                                                      </w:t>
      </w:r>
    </w:p>
    <w:p>
      <w:pPr>
        <w:pStyle w:val="17"/>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银行账号：__________________________________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____</w:t>
      </w:r>
      <w:r>
        <w:rPr>
          <w:rFonts w:hint="eastAsia" w:ascii="宋体" w:hAnsi="宋体" w:eastAsia="宋体" w:cs="宋体"/>
          <w:sz w:val="24"/>
          <w:szCs w:val="24"/>
          <w:u w:val="single"/>
        </w:rPr>
        <w:t xml:space="preserve">                                                      </w:t>
      </w:r>
    </w:p>
    <w:p>
      <w:pPr>
        <w:pStyle w:val="17"/>
        <w:spacing w:line="360" w:lineRule="auto"/>
        <w:ind w:firstLine="465"/>
        <w:rPr>
          <w:rFonts w:hint="eastAsia" w:ascii="宋体" w:hAnsi="宋体" w:eastAsia="宋体" w:cs="宋体"/>
          <w:bCs/>
          <w:sz w:val="24"/>
        </w:rPr>
      </w:pP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ind w:firstLine="465"/>
        <w:rPr>
          <w:rFonts w:hint="eastAsia" w:ascii="宋体" w:hAnsi="宋体" w:eastAsia="宋体" w:cs="宋体"/>
          <w:bCs/>
          <w:sz w:val="24"/>
        </w:rPr>
      </w:pPr>
    </w:p>
    <w:p>
      <w:pPr>
        <w:pStyle w:val="17"/>
        <w:spacing w:line="360" w:lineRule="auto"/>
        <w:rPr>
          <w:rFonts w:hint="eastAsia" w:ascii="宋体" w:hAnsi="宋体" w:eastAsia="宋体" w:cs="宋体"/>
          <w:b/>
        </w:rPr>
        <w:sectPr>
          <w:pgSz w:w="11906" w:h="16838"/>
          <w:pgMar w:top="1440" w:right="1080" w:bottom="1440" w:left="1080" w:header="851" w:footer="907" w:gutter="0"/>
          <w:cols w:space="720" w:num="1"/>
          <w:docGrid w:type="lines" w:linePitch="312" w:charSpace="0"/>
        </w:sectPr>
      </w:pPr>
    </w:p>
    <w:p>
      <w:pPr>
        <w:pStyle w:val="17"/>
        <w:spacing w:line="360" w:lineRule="auto"/>
        <w:rPr>
          <w:rFonts w:hint="eastAsia" w:ascii="宋体" w:hAnsi="宋体" w:eastAsia="宋体" w:cs="宋体"/>
          <w:u w:val="single"/>
        </w:rPr>
      </w:pPr>
      <w:r>
        <w:rPr>
          <w:rFonts w:hint="eastAsia" w:ascii="宋体" w:hAnsi="宋体" w:eastAsia="宋体" w:cs="宋体"/>
          <w:b/>
        </w:rPr>
        <w:t>格式2：</w:t>
      </w:r>
    </w:p>
    <w:p>
      <w:pPr>
        <w:pStyle w:val="17"/>
        <w:jc w:val="center"/>
        <w:rPr>
          <w:rFonts w:hint="eastAsia" w:ascii="宋体" w:hAnsi="宋体" w:eastAsia="宋体" w:cs="宋体"/>
          <w:b/>
          <w:sz w:val="32"/>
        </w:rPr>
      </w:pPr>
      <w:r>
        <w:rPr>
          <w:rFonts w:hint="eastAsia" w:ascii="宋体" w:hAnsi="宋体" w:eastAsia="宋体" w:cs="宋体"/>
          <w:b/>
          <w:sz w:val="32"/>
        </w:rPr>
        <w:t>投标报价表（格式）</w:t>
      </w:r>
    </w:p>
    <w:p>
      <w:pPr>
        <w:pStyle w:val="17"/>
        <w:jc w:val="center"/>
        <w:rPr>
          <w:rFonts w:hint="eastAsia" w:ascii="宋体" w:hAnsi="宋体" w:eastAsia="宋体" w:cs="宋体"/>
          <w:b/>
          <w:sz w:val="32"/>
        </w:rPr>
      </w:pPr>
    </w:p>
    <w:tbl>
      <w:tblPr>
        <w:tblStyle w:val="26"/>
        <w:tblpPr w:leftFromText="180" w:rightFromText="180" w:vertAnchor="text" w:horzAnchor="page" w:tblpX="1431" w:tblpY="302"/>
        <w:tblOverlap w:val="never"/>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08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hint="eastAsia" w:ascii="宋体" w:hAnsi="宋体" w:eastAsia="宋体"/>
                <w:sz w:val="24"/>
              </w:rPr>
            </w:pPr>
            <w:r>
              <w:rPr>
                <w:rFonts w:hint="eastAsia" w:ascii="宋体" w:hAnsi="宋体" w:eastAsia="宋体"/>
                <w:sz w:val="24"/>
              </w:rPr>
              <w:t>序号</w:t>
            </w:r>
          </w:p>
        </w:tc>
        <w:tc>
          <w:tcPr>
            <w:tcW w:w="1260" w:type="dxa"/>
            <w:vAlign w:val="center"/>
          </w:tcPr>
          <w:p>
            <w:pPr>
              <w:rPr>
                <w:rFonts w:hint="eastAsia" w:ascii="宋体" w:hAnsi="宋体" w:eastAsia="宋体"/>
                <w:sz w:val="24"/>
              </w:rPr>
            </w:pPr>
            <w:r>
              <w:rPr>
                <w:rFonts w:hint="eastAsia" w:ascii="宋体" w:hAnsi="宋体" w:eastAsia="宋体"/>
                <w:sz w:val="24"/>
              </w:rPr>
              <w:t>服务名称</w:t>
            </w:r>
          </w:p>
        </w:tc>
        <w:tc>
          <w:tcPr>
            <w:tcW w:w="2064" w:type="dxa"/>
            <w:vAlign w:val="center"/>
          </w:tcPr>
          <w:p>
            <w:pPr>
              <w:jc w:val="center"/>
              <w:rPr>
                <w:rFonts w:hint="eastAsia" w:ascii="宋体" w:hAnsi="宋体" w:eastAsia="宋体"/>
                <w:sz w:val="24"/>
              </w:rPr>
            </w:pPr>
            <w:r>
              <w:rPr>
                <w:rFonts w:hint="eastAsia" w:ascii="宋体" w:hAnsi="宋体" w:eastAsia="宋体"/>
                <w:sz w:val="24"/>
              </w:rPr>
              <w:t>服务内容</w:t>
            </w:r>
          </w:p>
        </w:tc>
        <w:tc>
          <w:tcPr>
            <w:tcW w:w="1080" w:type="dxa"/>
            <w:vAlign w:val="center"/>
          </w:tcPr>
          <w:p>
            <w:pPr>
              <w:jc w:val="center"/>
              <w:rPr>
                <w:rFonts w:hint="eastAsia" w:ascii="宋体" w:hAnsi="宋体" w:eastAsia="宋体"/>
                <w:sz w:val="24"/>
              </w:rPr>
            </w:pPr>
            <w:r>
              <w:rPr>
                <w:rFonts w:hint="eastAsia" w:ascii="宋体" w:hAnsi="宋体" w:eastAsia="宋体"/>
                <w:sz w:val="24"/>
              </w:rPr>
              <w:t>数量  ①</w:t>
            </w:r>
          </w:p>
        </w:tc>
        <w:tc>
          <w:tcPr>
            <w:tcW w:w="1260" w:type="dxa"/>
            <w:vAlign w:val="center"/>
          </w:tcPr>
          <w:p>
            <w:pPr>
              <w:rPr>
                <w:rFonts w:hint="eastAsia" w:ascii="宋体" w:hAnsi="宋体" w:eastAsia="宋体"/>
                <w:sz w:val="24"/>
              </w:rPr>
            </w:pPr>
            <w:r>
              <w:rPr>
                <w:rFonts w:hint="eastAsia" w:ascii="宋体" w:hAnsi="宋体" w:eastAsia="宋体"/>
                <w:sz w:val="24"/>
              </w:rPr>
              <w:t>单价(元)</w:t>
            </w:r>
          </w:p>
          <w:p>
            <w:pPr>
              <w:ind w:firstLine="360" w:firstLineChars="150"/>
              <w:rPr>
                <w:rFonts w:hint="eastAsia" w:ascii="宋体" w:hAnsi="宋体" w:eastAsia="宋体"/>
                <w:sz w:val="24"/>
              </w:rPr>
            </w:pPr>
            <w:r>
              <w:rPr>
                <w:rFonts w:hint="eastAsia" w:ascii="宋体" w:hAnsi="宋体" w:eastAsia="宋体"/>
                <w:sz w:val="24"/>
              </w:rPr>
              <w:t>②</w:t>
            </w:r>
          </w:p>
        </w:tc>
        <w:tc>
          <w:tcPr>
            <w:tcW w:w="2089" w:type="dxa"/>
            <w:vAlign w:val="center"/>
          </w:tcPr>
          <w:p>
            <w:pPr>
              <w:ind w:firstLine="120" w:firstLineChars="50"/>
              <w:rPr>
                <w:rFonts w:hint="eastAsia" w:ascii="宋体" w:hAnsi="宋体" w:eastAsia="宋体"/>
                <w:sz w:val="24"/>
              </w:rPr>
            </w:pPr>
            <w:r>
              <w:rPr>
                <w:rFonts w:hint="eastAsia" w:ascii="宋体" w:hAnsi="宋体" w:eastAsia="宋体"/>
                <w:sz w:val="24"/>
              </w:rPr>
              <w:t>单项合价（元）</w:t>
            </w:r>
          </w:p>
          <w:p>
            <w:pPr>
              <w:jc w:val="center"/>
              <w:rPr>
                <w:rFonts w:hint="eastAsia" w:ascii="宋体" w:hAnsi="宋体" w:eastAsia="宋体"/>
                <w:sz w:val="24"/>
              </w:rPr>
            </w:pPr>
            <w:r>
              <w:rPr>
                <w:rFonts w:hint="eastAsia" w:ascii="宋体" w:hAnsi="宋体" w:eastAsia="宋体"/>
                <w:sz w:val="24"/>
              </w:rPr>
              <w:t>③＝①×②</w:t>
            </w:r>
          </w:p>
        </w:tc>
        <w:tc>
          <w:tcPr>
            <w:tcW w:w="957" w:type="dxa"/>
            <w:vAlign w:val="center"/>
          </w:tcPr>
          <w:p>
            <w:pPr>
              <w:jc w:val="center"/>
              <w:rPr>
                <w:rFonts w:hint="eastAsia" w:ascii="宋体" w:hAnsi="宋体" w:eastAsia="宋体"/>
                <w:sz w:val="24"/>
              </w:rPr>
            </w:pPr>
            <w:r>
              <w:rPr>
                <w:rFonts w:hint="eastAsia" w:ascii="宋体" w:hAnsi="宋体"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hint="eastAsia" w:ascii="宋体" w:hAnsi="宋体" w:eastAsia="宋体"/>
                <w:sz w:val="24"/>
              </w:rPr>
            </w:pPr>
            <w:r>
              <w:rPr>
                <w:rFonts w:hint="eastAsia" w:ascii="宋体" w:hAnsi="宋体" w:eastAsia="宋体"/>
                <w:sz w:val="24"/>
              </w:rPr>
              <w:t>1</w:t>
            </w:r>
          </w:p>
        </w:tc>
        <w:tc>
          <w:tcPr>
            <w:tcW w:w="1260" w:type="dxa"/>
            <w:vAlign w:val="center"/>
          </w:tcPr>
          <w:p>
            <w:pPr>
              <w:rPr>
                <w:rFonts w:hint="eastAsia" w:ascii="宋体" w:hAnsi="宋体" w:eastAsia="宋体"/>
                <w:sz w:val="24"/>
              </w:rPr>
            </w:pPr>
          </w:p>
        </w:tc>
        <w:tc>
          <w:tcPr>
            <w:tcW w:w="2064" w:type="dxa"/>
            <w:vAlign w:val="center"/>
          </w:tcPr>
          <w:p>
            <w:pPr>
              <w:rPr>
                <w:rFonts w:hint="eastAsia" w:ascii="宋体" w:hAnsi="宋体" w:eastAsia="宋体"/>
                <w:sz w:val="24"/>
              </w:rPr>
            </w:pPr>
          </w:p>
        </w:tc>
        <w:tc>
          <w:tcPr>
            <w:tcW w:w="1080" w:type="dxa"/>
            <w:vAlign w:val="center"/>
          </w:tcPr>
          <w:p>
            <w:pPr>
              <w:rPr>
                <w:rFonts w:hint="eastAsia" w:ascii="宋体" w:hAnsi="宋体" w:eastAsia="宋体"/>
                <w:sz w:val="24"/>
              </w:rPr>
            </w:pPr>
          </w:p>
        </w:tc>
        <w:tc>
          <w:tcPr>
            <w:tcW w:w="1260" w:type="dxa"/>
            <w:vAlign w:val="center"/>
          </w:tcPr>
          <w:p>
            <w:pPr>
              <w:rPr>
                <w:rFonts w:hint="eastAsia" w:ascii="宋体" w:hAnsi="宋体" w:eastAsia="宋体"/>
                <w:sz w:val="24"/>
              </w:rPr>
            </w:pPr>
          </w:p>
        </w:tc>
        <w:tc>
          <w:tcPr>
            <w:tcW w:w="2089" w:type="dxa"/>
            <w:vAlign w:val="center"/>
          </w:tcPr>
          <w:p>
            <w:pPr>
              <w:rPr>
                <w:rFonts w:hint="eastAsia" w:ascii="宋体" w:hAnsi="宋体" w:eastAsia="宋体"/>
                <w:sz w:val="24"/>
              </w:rPr>
            </w:pPr>
          </w:p>
        </w:tc>
        <w:tc>
          <w:tcPr>
            <w:tcW w:w="957" w:type="dxa"/>
            <w:vAlign w:val="center"/>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hint="eastAsia" w:ascii="宋体" w:hAnsi="宋体" w:eastAsia="宋体"/>
                <w:sz w:val="24"/>
              </w:rPr>
            </w:pPr>
            <w:r>
              <w:rPr>
                <w:rFonts w:hint="eastAsia" w:ascii="宋体" w:hAnsi="宋体" w:eastAsia="宋体"/>
                <w:sz w:val="24"/>
              </w:rPr>
              <w:t>2</w:t>
            </w:r>
          </w:p>
        </w:tc>
        <w:tc>
          <w:tcPr>
            <w:tcW w:w="1260" w:type="dxa"/>
            <w:vAlign w:val="center"/>
          </w:tcPr>
          <w:p>
            <w:pPr>
              <w:rPr>
                <w:rFonts w:hint="eastAsia" w:ascii="宋体" w:hAnsi="宋体" w:eastAsia="宋体"/>
                <w:sz w:val="24"/>
              </w:rPr>
            </w:pPr>
          </w:p>
        </w:tc>
        <w:tc>
          <w:tcPr>
            <w:tcW w:w="2064" w:type="dxa"/>
            <w:vAlign w:val="center"/>
          </w:tcPr>
          <w:p>
            <w:pPr>
              <w:rPr>
                <w:rFonts w:hint="eastAsia" w:ascii="宋体" w:hAnsi="宋体" w:eastAsia="宋体"/>
                <w:sz w:val="24"/>
              </w:rPr>
            </w:pPr>
          </w:p>
        </w:tc>
        <w:tc>
          <w:tcPr>
            <w:tcW w:w="1080" w:type="dxa"/>
            <w:vAlign w:val="center"/>
          </w:tcPr>
          <w:p>
            <w:pPr>
              <w:rPr>
                <w:rFonts w:hint="eastAsia" w:ascii="宋体" w:hAnsi="宋体" w:eastAsia="宋体"/>
                <w:sz w:val="24"/>
              </w:rPr>
            </w:pPr>
          </w:p>
        </w:tc>
        <w:tc>
          <w:tcPr>
            <w:tcW w:w="1260" w:type="dxa"/>
            <w:vAlign w:val="center"/>
          </w:tcPr>
          <w:p>
            <w:pPr>
              <w:rPr>
                <w:rFonts w:hint="eastAsia" w:ascii="宋体" w:hAnsi="宋体" w:eastAsia="宋体"/>
                <w:sz w:val="24"/>
              </w:rPr>
            </w:pPr>
          </w:p>
        </w:tc>
        <w:tc>
          <w:tcPr>
            <w:tcW w:w="2089" w:type="dxa"/>
            <w:vAlign w:val="center"/>
          </w:tcPr>
          <w:p>
            <w:pPr>
              <w:rPr>
                <w:rFonts w:hint="eastAsia" w:ascii="宋体" w:hAnsi="宋体" w:eastAsia="宋体"/>
                <w:sz w:val="24"/>
              </w:rPr>
            </w:pPr>
          </w:p>
        </w:tc>
        <w:tc>
          <w:tcPr>
            <w:tcW w:w="957" w:type="dxa"/>
            <w:vAlign w:val="center"/>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hint="eastAsia" w:ascii="宋体" w:hAnsi="宋体" w:eastAsia="宋体"/>
                <w:sz w:val="24"/>
              </w:rPr>
            </w:pPr>
            <w:r>
              <w:rPr>
                <w:rFonts w:hint="eastAsia" w:ascii="宋体" w:hAnsi="宋体" w:eastAsia="宋体"/>
                <w:sz w:val="24"/>
              </w:rPr>
              <w:t>...</w:t>
            </w:r>
          </w:p>
        </w:tc>
        <w:tc>
          <w:tcPr>
            <w:tcW w:w="1260" w:type="dxa"/>
            <w:vAlign w:val="center"/>
          </w:tcPr>
          <w:p>
            <w:pPr>
              <w:rPr>
                <w:rFonts w:hint="eastAsia" w:ascii="宋体" w:hAnsi="宋体" w:eastAsia="宋体"/>
                <w:sz w:val="24"/>
              </w:rPr>
            </w:pPr>
          </w:p>
        </w:tc>
        <w:tc>
          <w:tcPr>
            <w:tcW w:w="2064" w:type="dxa"/>
            <w:vAlign w:val="center"/>
          </w:tcPr>
          <w:p>
            <w:pPr>
              <w:rPr>
                <w:rFonts w:hint="eastAsia" w:ascii="宋体" w:hAnsi="宋体" w:eastAsia="宋体"/>
                <w:sz w:val="24"/>
              </w:rPr>
            </w:pPr>
          </w:p>
        </w:tc>
        <w:tc>
          <w:tcPr>
            <w:tcW w:w="1080" w:type="dxa"/>
            <w:vAlign w:val="center"/>
          </w:tcPr>
          <w:p>
            <w:pPr>
              <w:rPr>
                <w:rFonts w:hint="eastAsia" w:ascii="宋体" w:hAnsi="宋体" w:eastAsia="宋体"/>
                <w:sz w:val="24"/>
              </w:rPr>
            </w:pPr>
          </w:p>
        </w:tc>
        <w:tc>
          <w:tcPr>
            <w:tcW w:w="1260" w:type="dxa"/>
            <w:vAlign w:val="center"/>
          </w:tcPr>
          <w:p>
            <w:pPr>
              <w:rPr>
                <w:rFonts w:hint="eastAsia" w:ascii="宋体" w:hAnsi="宋体" w:eastAsia="宋体"/>
                <w:sz w:val="24"/>
              </w:rPr>
            </w:pPr>
          </w:p>
        </w:tc>
        <w:tc>
          <w:tcPr>
            <w:tcW w:w="2089" w:type="dxa"/>
            <w:vAlign w:val="center"/>
          </w:tcPr>
          <w:p>
            <w:pPr>
              <w:rPr>
                <w:rFonts w:hint="eastAsia" w:ascii="宋体" w:hAnsi="宋体" w:eastAsia="宋体"/>
                <w:sz w:val="24"/>
              </w:rPr>
            </w:pPr>
          </w:p>
        </w:tc>
        <w:tc>
          <w:tcPr>
            <w:tcW w:w="957" w:type="dxa"/>
            <w:vAlign w:val="center"/>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rPr>
                <w:rFonts w:hint="eastAsia" w:ascii="宋体" w:hAnsi="宋体" w:eastAsia="宋体"/>
                <w:sz w:val="24"/>
              </w:rPr>
            </w:pPr>
            <w:r>
              <w:rPr>
                <w:rFonts w:hint="eastAsia" w:ascii="宋体" w:hAnsi="宋体" w:eastAsia="宋体"/>
                <w:sz w:val="24"/>
              </w:rPr>
              <w:t>报价合计（包含税费等所有费用）：（大写）人民币</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rPr>
                <w:rFonts w:hint="eastAsia" w:ascii="宋体" w:hAnsi="宋体" w:eastAsia="宋体"/>
                <w:sz w:val="24"/>
              </w:rPr>
            </w:pPr>
            <w:r>
              <w:rPr>
                <w:rFonts w:hint="eastAsia" w:ascii="宋体" w:hAnsi="宋体" w:eastAsia="宋体"/>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rPr>
                <w:rFonts w:hint="eastAsia" w:ascii="宋体" w:hAnsi="宋体" w:eastAsia="宋体"/>
                <w:sz w:val="24"/>
              </w:rPr>
            </w:pPr>
            <w:r>
              <w:rPr>
                <w:rFonts w:hint="eastAsia" w:ascii="宋体" w:hAnsi="宋体" w:eastAsia="宋体"/>
                <w:sz w:val="24"/>
              </w:rPr>
              <w:t>法定代表人或其委托代理人（签字或盖章）：</w:t>
            </w:r>
          </w:p>
        </w:tc>
      </w:tr>
    </w:tbl>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ind w:firstLine="480" w:firstLineChars="200"/>
        <w:rPr>
          <w:rFonts w:hint="eastAsia" w:ascii="宋体" w:hAnsi="宋体" w:eastAsia="宋体"/>
          <w:sz w:val="24"/>
        </w:rPr>
      </w:pPr>
      <w:r>
        <w:rPr>
          <w:rFonts w:hint="eastAsia" w:ascii="宋体" w:hAnsi="宋体" w:eastAsia="宋体"/>
          <w:sz w:val="24"/>
        </w:rPr>
        <w:t>注：表格内容均需按要求填写并盖章，不得留空，</w:t>
      </w:r>
      <w:r>
        <w:rPr>
          <w:rFonts w:hint="eastAsia" w:ascii="宋体" w:hAnsi="宋体" w:eastAsia="宋体"/>
          <w:bCs/>
          <w:sz w:val="24"/>
        </w:rPr>
        <w:t>否则按投标无效处理</w:t>
      </w:r>
      <w:r>
        <w:rPr>
          <w:rFonts w:hint="eastAsia" w:ascii="宋体" w:hAnsi="宋体" w:eastAsia="宋体"/>
          <w:sz w:val="24"/>
        </w:rPr>
        <w:t>。</w:t>
      </w: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spacing w:line="400" w:lineRule="exact"/>
        <w:rPr>
          <w:rFonts w:hint="eastAsia" w:ascii="宋体" w:hAnsi="宋体" w:eastAsia="宋体"/>
          <w:b/>
          <w:bCs/>
          <w:sz w:val="24"/>
        </w:rPr>
      </w:pPr>
      <w:r>
        <w:rPr>
          <w:rFonts w:hint="eastAsia" w:ascii="宋体" w:hAnsi="宋体" w:eastAsia="宋体"/>
        </w:rPr>
        <w:br w:type="page"/>
      </w:r>
      <w:r>
        <w:rPr>
          <w:rFonts w:hint="eastAsia" w:ascii="宋体" w:hAnsi="宋体" w:eastAsia="宋体"/>
          <w:b/>
        </w:rPr>
        <w:t>格式3：</w:t>
      </w:r>
    </w:p>
    <w:p>
      <w:pPr>
        <w:pStyle w:val="17"/>
        <w:jc w:val="center"/>
        <w:rPr>
          <w:rFonts w:hint="eastAsia" w:ascii="宋体" w:hAnsi="宋体" w:eastAsia="宋体" w:cs="宋体"/>
          <w:b/>
          <w:sz w:val="30"/>
          <w:szCs w:val="30"/>
        </w:rPr>
      </w:pPr>
      <w:r>
        <w:rPr>
          <w:rFonts w:hint="eastAsia" w:ascii="宋体" w:hAnsi="宋体" w:eastAsia="宋体" w:cs="宋体"/>
          <w:b/>
          <w:sz w:val="30"/>
          <w:szCs w:val="30"/>
        </w:rPr>
        <w:t>中小企业声明函（格式）</w:t>
      </w:r>
    </w:p>
    <w:p>
      <w:pPr>
        <w:pStyle w:val="16"/>
        <w:spacing w:line="240" w:lineRule="auto"/>
        <w:ind w:firstLine="0"/>
        <w:rPr>
          <w:rFonts w:hint="eastAsia" w:ascii="宋体" w:hAnsi="宋体" w:eastAsia="宋体" w:cs="宋体"/>
          <w:sz w:val="24"/>
          <w:szCs w:val="24"/>
        </w:rPr>
      </w:pPr>
      <w:r>
        <w:rPr>
          <w:rFonts w:ascii="宋体" w:hAnsi="宋体" w:eastAsia="宋体" w:cs="宋体"/>
          <w:sz w:val="24"/>
          <w:szCs w:val="24"/>
        </w:rPr>
        <w:t>说明：</w:t>
      </w:r>
    </w:p>
    <w:p>
      <w:pPr>
        <w:pStyle w:val="16"/>
        <w:spacing w:line="240" w:lineRule="auto"/>
        <w:ind w:firstLine="464" w:firstLineChars="200"/>
        <w:rPr>
          <w:rFonts w:hint="eastAsia" w:ascii="宋体" w:hAnsi="宋体" w:eastAsia="宋体" w:cs="宋体"/>
          <w:sz w:val="24"/>
          <w:szCs w:val="24"/>
        </w:rPr>
      </w:pPr>
      <w:r>
        <w:rPr>
          <w:rFonts w:hint="eastAsia" w:ascii="宋体" w:hAnsi="宋体" w:eastAsia="宋体" w:cs="宋体"/>
          <w:sz w:val="24"/>
          <w:szCs w:val="24"/>
        </w:rPr>
        <w:t>1、本声明函主要供参加政府采购活动的中小企业填写，非中小企业无需填写。</w:t>
      </w:r>
    </w:p>
    <w:p>
      <w:pPr>
        <w:pStyle w:val="16"/>
        <w:spacing w:line="240" w:lineRule="auto"/>
        <w:ind w:firstLine="464" w:firstLineChars="200"/>
        <w:rPr>
          <w:rFonts w:hint="eastAsia" w:ascii="宋体" w:hAnsi="宋体" w:eastAsia="宋体" w:cs="宋体"/>
          <w:sz w:val="24"/>
          <w:szCs w:val="24"/>
        </w:rPr>
      </w:pPr>
      <w:r>
        <w:rPr>
          <w:rFonts w:hint="eastAsia" w:ascii="宋体" w:hAnsi="宋体" w:eastAsia="宋体" w:cs="宋体"/>
          <w:sz w:val="24"/>
          <w:szCs w:val="24"/>
        </w:rPr>
        <w:t>2、小型、微型企业提供中型企业制造的货物的，视同为中型企业。</w:t>
      </w:r>
    </w:p>
    <w:p>
      <w:pPr>
        <w:pStyle w:val="16"/>
        <w:spacing w:line="240" w:lineRule="auto"/>
        <w:ind w:firstLine="464" w:firstLineChars="200"/>
        <w:rPr>
          <w:rFonts w:hint="eastAsia" w:ascii="宋体" w:hAnsi="宋体" w:eastAsia="宋体" w:cs="宋体"/>
          <w:sz w:val="24"/>
          <w:szCs w:val="24"/>
        </w:rPr>
      </w:pPr>
      <w:r>
        <w:rPr>
          <w:rFonts w:hint="eastAsia" w:ascii="宋体" w:hAnsi="宋体" w:eastAsia="宋体" w:cs="宋体"/>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6"/>
        <w:spacing w:line="360" w:lineRule="auto"/>
        <w:ind w:firstLine="464" w:firstLineChars="200"/>
        <w:rPr>
          <w:rFonts w:hint="eastAsia" w:ascii="宋体" w:hAnsi="宋体" w:eastAsia="宋体" w:cs="宋体"/>
          <w:sz w:val="24"/>
          <w:szCs w:val="24"/>
        </w:rPr>
      </w:pP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本公司郑重声明，根据《政府采购促进中小企业发展暂行办法》（财库〔2011〕181号）的规定，本公司为______（请填写：中型、小型、微型）企业。即，本公司同时满足以下条件：</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pPr>
        <w:pStyle w:val="17"/>
        <w:spacing w:line="360" w:lineRule="auto"/>
        <w:ind w:firstLine="480" w:firstLineChars="200"/>
        <w:rPr>
          <w:rFonts w:hint="eastAsia" w:ascii="宋体" w:hAnsi="宋体" w:eastAsia="宋体" w:cs="宋体"/>
          <w:sz w:val="24"/>
          <w:szCs w:val="24"/>
        </w:rPr>
      </w:pPr>
    </w:p>
    <w:p>
      <w:pPr>
        <w:pStyle w:val="17"/>
        <w:spacing w:line="360" w:lineRule="auto"/>
        <w:ind w:firstLine="480" w:firstLineChars="200"/>
        <w:rPr>
          <w:rFonts w:hint="eastAsia" w:ascii="宋体" w:hAnsi="宋体" w:eastAsia="宋体" w:cs="宋体"/>
          <w:sz w:val="24"/>
          <w:szCs w:val="24"/>
        </w:rPr>
      </w:pPr>
    </w:p>
    <w:p>
      <w:pPr>
        <w:pStyle w:val="17"/>
        <w:spacing w:line="360" w:lineRule="auto"/>
        <w:ind w:firstLine="480" w:firstLineChars="200"/>
        <w:rPr>
          <w:rFonts w:hint="eastAsia" w:ascii="宋体" w:hAnsi="宋体" w:eastAsia="宋体" w:cs="宋体"/>
          <w:sz w:val="24"/>
          <w:szCs w:val="24"/>
        </w:rPr>
      </w:pPr>
    </w:p>
    <w:p>
      <w:pPr>
        <w:pStyle w:val="17"/>
        <w:spacing w:line="600" w:lineRule="exact"/>
        <w:rPr>
          <w:rFonts w:hint="eastAsia" w:ascii="宋体" w:hAnsi="宋体" w:eastAsia="宋体" w:cs="宋体"/>
          <w:sz w:val="24"/>
          <w:szCs w:val="24"/>
          <w:u w:val="single"/>
        </w:rPr>
      </w:pPr>
      <w:r>
        <w:rPr>
          <w:rFonts w:hint="eastAsia" w:ascii="宋体" w:hAnsi="宋体" w:eastAsia="宋体" w:cs="宋体"/>
          <w:sz w:val="24"/>
          <w:szCs w:val="24"/>
        </w:rPr>
        <w:t>投标人（盖单位公章）：</w:t>
      </w:r>
      <w:r>
        <w:rPr>
          <w:rFonts w:hint="eastAsia" w:ascii="宋体" w:hAnsi="宋体" w:eastAsia="宋体" w:cs="宋体"/>
          <w:sz w:val="24"/>
          <w:szCs w:val="24"/>
          <w:u w:val="single"/>
        </w:rPr>
        <w:t xml:space="preserve">                                    </w:t>
      </w:r>
    </w:p>
    <w:p>
      <w:pPr>
        <w:pStyle w:val="17"/>
        <w:spacing w:line="600" w:lineRule="exact"/>
        <w:rPr>
          <w:rFonts w:hint="eastAsia" w:ascii="宋体" w:hAnsi="宋体" w:eastAsia="宋体" w:cs="宋体"/>
          <w:sz w:val="24"/>
          <w:szCs w:val="24"/>
          <w:u w:val="single"/>
        </w:rPr>
      </w:pPr>
    </w:p>
    <w:p>
      <w:pPr>
        <w:pStyle w:val="17"/>
        <w:spacing w:line="500" w:lineRule="exact"/>
        <w:rPr>
          <w:rFonts w:hint="eastAsia" w:ascii="宋体" w:hAnsi="宋体" w:eastAsia="宋体" w:cs="宋体"/>
          <w:sz w:val="24"/>
          <w:szCs w:val="24"/>
          <w:u w:val="single"/>
        </w:rPr>
      </w:pPr>
      <w:r>
        <w:rPr>
          <w:rFonts w:hint="eastAsia" w:ascii="宋体" w:hAnsi="宋体" w:eastAsia="宋体" w:cs="宋体"/>
          <w:sz w:val="24"/>
          <w:szCs w:val="24"/>
        </w:rPr>
        <w:t>法定代表人或其委托代理人（签字或盖章）：</w:t>
      </w:r>
      <w:r>
        <w:rPr>
          <w:rFonts w:hint="eastAsia" w:ascii="宋体" w:hAnsi="宋体" w:eastAsia="宋体" w:cs="宋体"/>
          <w:sz w:val="24"/>
          <w:szCs w:val="24"/>
          <w:u w:val="single"/>
        </w:rPr>
        <w:t xml:space="preserve">                  </w:t>
      </w:r>
    </w:p>
    <w:p>
      <w:pPr>
        <w:pStyle w:val="17"/>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588" w:lineRule="exact"/>
        <w:rPr>
          <w:rFonts w:hint="eastAsia" w:ascii="宋体" w:hAnsi="宋体" w:eastAsia="宋体"/>
          <w:sz w:val="24"/>
        </w:rPr>
      </w:pPr>
      <w:r>
        <w:rPr>
          <w:rFonts w:hint="eastAsia" w:ascii="宋体" w:hAnsi="宋体" w:eastAsia="宋体"/>
          <w:b/>
          <w:bCs/>
          <w:sz w:val="24"/>
        </w:rPr>
        <w:br w:type="page"/>
      </w:r>
      <w:r>
        <w:rPr>
          <w:rFonts w:hint="eastAsia" w:ascii="宋体" w:hAnsi="宋体" w:eastAsia="宋体"/>
          <w:b/>
          <w:szCs w:val="20"/>
        </w:rPr>
        <w:t>格式4：</w:t>
      </w:r>
    </w:p>
    <w:p>
      <w:pPr>
        <w:spacing w:line="588" w:lineRule="exact"/>
        <w:jc w:val="center"/>
        <w:rPr>
          <w:rFonts w:hint="eastAsia" w:ascii="宋体" w:hAnsi="宋体" w:eastAsia="宋体"/>
          <w:b/>
          <w:spacing w:val="6"/>
          <w:sz w:val="32"/>
          <w:szCs w:val="32"/>
        </w:rPr>
      </w:pPr>
      <w:r>
        <w:rPr>
          <w:rFonts w:hint="eastAsia" w:ascii="宋体" w:hAnsi="宋体" w:eastAsia="宋体"/>
          <w:b/>
          <w:spacing w:val="6"/>
          <w:sz w:val="32"/>
          <w:szCs w:val="32"/>
        </w:rPr>
        <w:t>残疾人福利性单位声明函</w:t>
      </w:r>
    </w:p>
    <w:p>
      <w:pPr>
        <w:spacing w:line="588" w:lineRule="exact"/>
        <w:rPr>
          <w:rFonts w:hint="eastAsia" w:ascii="宋体" w:hAnsi="宋体" w:eastAsia="宋体"/>
          <w:b/>
          <w:spacing w:val="6"/>
          <w:sz w:val="30"/>
          <w:szCs w:val="30"/>
        </w:rPr>
      </w:pP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pStyle w:val="17"/>
        <w:spacing w:line="360" w:lineRule="auto"/>
        <w:ind w:firstLine="480" w:firstLineChars="200"/>
        <w:rPr>
          <w:rFonts w:hint="eastAsia" w:ascii="宋体" w:hAnsi="宋体" w:eastAsia="宋体" w:cs="宋体"/>
          <w:sz w:val="24"/>
          <w:szCs w:val="24"/>
        </w:rPr>
      </w:pPr>
    </w:p>
    <w:p>
      <w:pPr>
        <w:pStyle w:val="17"/>
        <w:spacing w:line="360" w:lineRule="auto"/>
        <w:ind w:firstLine="480" w:firstLineChars="200"/>
        <w:rPr>
          <w:rFonts w:hint="eastAsia" w:ascii="宋体" w:hAnsi="宋体" w:eastAsia="宋体" w:cs="宋体"/>
          <w:sz w:val="24"/>
          <w:szCs w:val="24"/>
        </w:rPr>
      </w:pP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单位名称（盖章）：</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日  期：</w:t>
      </w:r>
    </w:p>
    <w:p>
      <w:pPr>
        <w:pStyle w:val="17"/>
        <w:ind w:firstLine="480" w:firstLineChars="200"/>
        <w:rPr>
          <w:rFonts w:hint="eastAsia" w:ascii="宋体" w:hAnsi="宋体" w:eastAsia="宋体" w:cs="宋体"/>
          <w:sz w:val="24"/>
          <w:szCs w:val="24"/>
        </w:rPr>
      </w:pPr>
    </w:p>
    <w:p>
      <w:pPr>
        <w:spacing w:line="400" w:lineRule="exact"/>
        <w:rPr>
          <w:rFonts w:hint="eastAsia" w:ascii="宋体" w:hAnsi="宋体" w:eastAsia="宋体"/>
          <w:b/>
          <w:bCs/>
          <w:sz w:val="24"/>
        </w:rPr>
      </w:pPr>
    </w:p>
    <w:p>
      <w:pPr>
        <w:spacing w:line="400" w:lineRule="exact"/>
        <w:rPr>
          <w:rFonts w:hint="eastAsia" w:ascii="宋体" w:hAnsi="宋体" w:eastAsia="宋体"/>
          <w:b/>
          <w:bCs/>
          <w:sz w:val="24"/>
        </w:rPr>
      </w:pPr>
    </w:p>
    <w:p>
      <w:pPr>
        <w:spacing w:line="400" w:lineRule="exact"/>
        <w:rPr>
          <w:rFonts w:hint="eastAsia" w:ascii="宋体" w:hAnsi="宋体" w:eastAsia="宋体"/>
          <w:b/>
          <w:bCs/>
          <w:sz w:val="24"/>
        </w:rPr>
      </w:pPr>
    </w:p>
    <w:p>
      <w:pPr>
        <w:spacing w:line="400" w:lineRule="exact"/>
        <w:rPr>
          <w:rFonts w:hint="eastAsia" w:ascii="宋体" w:hAnsi="宋体" w:eastAsia="宋体"/>
          <w:b/>
          <w:bCs/>
          <w:sz w:val="24"/>
        </w:rPr>
      </w:pPr>
    </w:p>
    <w:p>
      <w:pPr>
        <w:spacing w:line="400" w:lineRule="exact"/>
        <w:rPr>
          <w:rFonts w:hint="eastAsia" w:ascii="宋体" w:hAnsi="宋体" w:eastAsia="宋体"/>
          <w:b/>
          <w:bCs/>
          <w:sz w:val="24"/>
        </w:rPr>
      </w:pPr>
    </w:p>
    <w:p>
      <w:pPr>
        <w:spacing w:line="400" w:lineRule="exact"/>
        <w:rPr>
          <w:rFonts w:hint="eastAsia" w:ascii="宋体" w:hAnsi="宋体" w:eastAsia="宋体"/>
          <w:b/>
          <w:bCs/>
          <w:sz w:val="24"/>
        </w:rPr>
      </w:pPr>
    </w:p>
    <w:p>
      <w:pPr>
        <w:spacing w:line="400" w:lineRule="exact"/>
        <w:rPr>
          <w:rFonts w:hint="eastAsia" w:ascii="宋体" w:hAnsi="宋体" w:eastAsia="宋体"/>
          <w:b/>
          <w:bCs/>
          <w:sz w:val="24"/>
        </w:rPr>
      </w:pPr>
    </w:p>
    <w:p>
      <w:pPr>
        <w:spacing w:line="400" w:lineRule="exact"/>
        <w:rPr>
          <w:rFonts w:hint="eastAsia" w:ascii="宋体" w:hAnsi="宋体" w:eastAsia="宋体"/>
          <w:b/>
          <w:bCs/>
          <w:sz w:val="24"/>
        </w:rPr>
      </w:pPr>
    </w:p>
    <w:p>
      <w:pPr>
        <w:spacing w:line="400" w:lineRule="exact"/>
        <w:rPr>
          <w:rFonts w:hint="eastAsia" w:ascii="宋体" w:hAnsi="宋体" w:eastAsia="宋体"/>
          <w:b/>
          <w:bCs/>
          <w:sz w:val="24"/>
        </w:rPr>
      </w:pPr>
    </w:p>
    <w:p>
      <w:pPr>
        <w:spacing w:line="400" w:lineRule="exact"/>
        <w:rPr>
          <w:rFonts w:hint="eastAsia" w:ascii="宋体" w:hAnsi="宋体" w:eastAsia="宋体"/>
          <w:b/>
          <w:bCs/>
          <w:sz w:val="24"/>
        </w:rPr>
      </w:pPr>
    </w:p>
    <w:p>
      <w:pPr>
        <w:spacing w:line="400" w:lineRule="exact"/>
        <w:rPr>
          <w:rFonts w:hint="eastAsia" w:ascii="宋体" w:hAnsi="宋体" w:eastAsia="宋体"/>
          <w:b/>
          <w:bCs/>
          <w:sz w:val="24"/>
        </w:rPr>
      </w:pPr>
      <w:r>
        <w:rPr>
          <w:rFonts w:hint="eastAsia" w:ascii="宋体" w:hAnsi="宋体" w:eastAsia="宋体"/>
          <w:b/>
          <w:bCs/>
          <w:sz w:val="24"/>
        </w:rPr>
        <w:br w:type="page"/>
      </w:r>
      <w:r>
        <w:rPr>
          <w:rFonts w:hint="eastAsia" w:ascii="宋体" w:hAnsi="宋体" w:eastAsia="宋体"/>
          <w:b/>
          <w:szCs w:val="20"/>
        </w:rPr>
        <w:t>格式5：</w:t>
      </w:r>
    </w:p>
    <w:p>
      <w:pPr>
        <w:pStyle w:val="17"/>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资格声明函（格式）</w:t>
      </w:r>
    </w:p>
    <w:p>
      <w:pPr>
        <w:spacing w:line="380" w:lineRule="exact"/>
        <w:rPr>
          <w:rFonts w:hint="eastAsia" w:ascii="宋体" w:hAnsi="宋体" w:eastAsia="宋体"/>
          <w:sz w:val="24"/>
        </w:rPr>
      </w:pPr>
    </w:p>
    <w:p>
      <w:pPr>
        <w:spacing w:line="380" w:lineRule="exact"/>
        <w:rPr>
          <w:rFonts w:hint="eastAsia" w:ascii="宋体" w:hAnsi="宋体" w:eastAsia="宋体"/>
          <w:sz w:val="24"/>
        </w:rPr>
      </w:pPr>
    </w:p>
    <w:p>
      <w:pPr>
        <w:spacing w:line="380" w:lineRule="exact"/>
        <w:rPr>
          <w:rFonts w:hint="eastAsia" w:ascii="宋体" w:hAnsi="宋体" w:eastAsia="宋体"/>
          <w:sz w:val="24"/>
        </w:rPr>
      </w:pPr>
      <w:r>
        <w:rPr>
          <w:rFonts w:hint="eastAsia" w:ascii="宋体" w:hAnsi="宋体" w:eastAsia="宋体"/>
          <w:sz w:val="24"/>
        </w:rPr>
        <w:t>致：</w:t>
      </w:r>
      <w:r>
        <w:rPr>
          <w:rFonts w:hint="eastAsia" w:ascii="宋体" w:hAnsi="宋体" w:eastAsia="宋体"/>
          <w:sz w:val="24"/>
          <w:u w:val="single"/>
        </w:rPr>
        <w:t xml:space="preserve">                </w:t>
      </w:r>
      <w:r>
        <w:rPr>
          <w:rFonts w:hint="eastAsia" w:ascii="宋体" w:hAnsi="宋体" w:eastAsia="宋体"/>
          <w:sz w:val="24"/>
        </w:rPr>
        <w:t>（采购代理机构名称）</w:t>
      </w:r>
    </w:p>
    <w:p>
      <w:pPr>
        <w:spacing w:line="380" w:lineRule="exact"/>
        <w:ind w:firstLine="480" w:firstLineChars="200"/>
        <w:rPr>
          <w:rFonts w:hint="eastAsia" w:ascii="宋体" w:hAnsi="宋体" w:eastAsia="宋体"/>
          <w:sz w:val="24"/>
        </w:rPr>
      </w:pPr>
      <w:r>
        <w:rPr>
          <w:rFonts w:hint="eastAsia" w:ascii="宋体" w:hAnsi="宋体" w:eastAsia="宋体"/>
          <w:sz w:val="24"/>
        </w:rPr>
        <w:t>我方愿意参加贵方组织的</w:t>
      </w:r>
      <w:r>
        <w:rPr>
          <w:rFonts w:hint="eastAsia" w:ascii="宋体" w:hAnsi="宋体" w:eastAsia="宋体"/>
          <w:sz w:val="24"/>
          <w:u w:val="single"/>
        </w:rPr>
        <w:t xml:space="preserve"> (项目名称)                      </w:t>
      </w:r>
      <w:r>
        <w:rPr>
          <w:rFonts w:hint="eastAsia" w:ascii="宋体" w:hAnsi="宋体" w:eastAsia="宋体"/>
          <w:sz w:val="24"/>
        </w:rPr>
        <w:t>（项目编号：</w:t>
      </w:r>
      <w:r>
        <w:rPr>
          <w:rFonts w:hint="eastAsia" w:ascii="宋体" w:hAnsi="宋体" w:eastAsia="宋体"/>
          <w:sz w:val="24"/>
          <w:u w:val="single"/>
        </w:rPr>
        <w:t xml:space="preserve">                         </w:t>
      </w:r>
      <w:r>
        <w:rPr>
          <w:rFonts w:hint="eastAsia" w:ascii="宋体" w:hAnsi="宋体" w:eastAsia="宋体"/>
          <w:sz w:val="24"/>
        </w:rPr>
        <w:t xml:space="preserve"> ）项目的投标，为便于贵方公正、择优地确定中标供应商及其投标服务成果和服务，我方就本次投标有关事项郑重声明如下：</w:t>
      </w:r>
    </w:p>
    <w:p>
      <w:pPr>
        <w:spacing w:line="380" w:lineRule="exact"/>
        <w:ind w:firstLine="482"/>
        <w:rPr>
          <w:rFonts w:hint="eastAsia" w:ascii="宋体" w:hAnsi="宋体" w:eastAsia="宋体"/>
          <w:sz w:val="24"/>
        </w:rPr>
      </w:pPr>
      <w:r>
        <w:rPr>
          <w:rFonts w:hint="eastAsia" w:ascii="宋体" w:hAnsi="宋体" w:eastAsia="宋体"/>
          <w:sz w:val="24"/>
        </w:rPr>
        <w:t>1、我方承诺已经具备《中华人民共和国政府采购法》中规定的参加政府采购活动的供应商应当具备的条件：</w:t>
      </w:r>
    </w:p>
    <w:p>
      <w:pPr>
        <w:spacing w:line="380" w:lineRule="exact"/>
        <w:ind w:left="420"/>
        <w:rPr>
          <w:rFonts w:hint="eastAsia" w:ascii="宋体" w:hAnsi="宋体" w:eastAsia="宋体"/>
          <w:sz w:val="24"/>
        </w:rPr>
      </w:pPr>
      <w:r>
        <w:rPr>
          <w:rFonts w:hint="eastAsia" w:ascii="宋体" w:hAnsi="宋体" w:eastAsia="宋体"/>
          <w:sz w:val="24"/>
        </w:rPr>
        <w:t>（1）具有独立承担民事责任的能力；</w:t>
      </w:r>
    </w:p>
    <w:p>
      <w:pPr>
        <w:spacing w:line="380" w:lineRule="exact"/>
        <w:ind w:left="420"/>
        <w:rPr>
          <w:rFonts w:hint="eastAsia" w:ascii="宋体" w:hAnsi="宋体" w:eastAsia="宋体"/>
          <w:sz w:val="24"/>
        </w:rPr>
      </w:pPr>
      <w:r>
        <w:rPr>
          <w:rFonts w:hint="eastAsia" w:ascii="宋体" w:hAnsi="宋体" w:eastAsia="宋体"/>
          <w:sz w:val="24"/>
        </w:rPr>
        <w:t>（2）具有良好的商业信誉和健全的财务会计制度；</w:t>
      </w:r>
    </w:p>
    <w:p>
      <w:pPr>
        <w:spacing w:line="380" w:lineRule="exact"/>
        <w:ind w:left="420"/>
        <w:rPr>
          <w:rFonts w:hint="eastAsia" w:ascii="宋体" w:hAnsi="宋体" w:eastAsia="宋体"/>
          <w:sz w:val="24"/>
        </w:rPr>
      </w:pPr>
      <w:r>
        <w:rPr>
          <w:rFonts w:hint="eastAsia" w:ascii="宋体" w:hAnsi="宋体" w:eastAsia="宋体"/>
          <w:sz w:val="24"/>
        </w:rPr>
        <w:t>（3）具有履行合同所必需的设备和专业技术能力；</w:t>
      </w:r>
    </w:p>
    <w:p>
      <w:pPr>
        <w:spacing w:line="380" w:lineRule="exact"/>
        <w:ind w:left="420"/>
        <w:rPr>
          <w:rFonts w:hint="eastAsia" w:ascii="宋体" w:hAnsi="宋体" w:eastAsia="宋体"/>
          <w:sz w:val="24"/>
        </w:rPr>
      </w:pPr>
      <w:r>
        <w:rPr>
          <w:rFonts w:hint="eastAsia" w:ascii="宋体" w:hAnsi="宋体" w:eastAsia="宋体"/>
          <w:sz w:val="24"/>
        </w:rPr>
        <w:t>（4）有依法缴纳税收和社会保障资金的良好记录；</w:t>
      </w:r>
    </w:p>
    <w:p>
      <w:pPr>
        <w:spacing w:line="380" w:lineRule="exact"/>
        <w:ind w:left="420"/>
        <w:rPr>
          <w:rFonts w:hint="eastAsia" w:ascii="宋体" w:hAnsi="宋体" w:eastAsia="宋体"/>
          <w:sz w:val="24"/>
        </w:rPr>
      </w:pPr>
      <w:r>
        <w:rPr>
          <w:rFonts w:hint="eastAsia" w:ascii="宋体" w:hAnsi="宋体" w:eastAsia="宋体"/>
          <w:sz w:val="24"/>
        </w:rPr>
        <w:t>（5）参加政府采购活动前三年内，在经营活动中没有重大违法记录；</w:t>
      </w:r>
    </w:p>
    <w:p>
      <w:pPr>
        <w:spacing w:line="380" w:lineRule="exact"/>
        <w:ind w:left="420"/>
        <w:rPr>
          <w:rFonts w:hint="eastAsia" w:ascii="宋体" w:hAnsi="宋体" w:eastAsia="宋体"/>
          <w:sz w:val="24"/>
        </w:rPr>
      </w:pPr>
      <w:r>
        <w:rPr>
          <w:rFonts w:hint="eastAsia" w:ascii="宋体" w:hAnsi="宋体" w:eastAsia="宋体"/>
          <w:sz w:val="24"/>
        </w:rPr>
        <w:t>（6）法律、行政法规规定的其他条件。</w:t>
      </w:r>
    </w:p>
    <w:p>
      <w:pPr>
        <w:spacing w:line="380" w:lineRule="exact"/>
        <w:ind w:firstLine="482"/>
        <w:rPr>
          <w:rFonts w:hint="eastAsia" w:ascii="宋体" w:hAnsi="宋体" w:eastAsia="宋体"/>
          <w:sz w:val="24"/>
        </w:rPr>
      </w:pPr>
      <w:r>
        <w:rPr>
          <w:rFonts w:hint="eastAsia" w:ascii="宋体" w:hAnsi="宋体" w:eastAsia="宋体"/>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hint="eastAsia" w:ascii="宋体" w:hAnsi="宋体" w:eastAsia="宋体"/>
          <w:sz w:val="24"/>
        </w:rPr>
      </w:pPr>
      <w:r>
        <w:rPr>
          <w:rFonts w:hint="eastAsia" w:ascii="宋体" w:hAnsi="宋体" w:eastAsia="宋体"/>
          <w:sz w:val="24"/>
        </w:rPr>
        <w:t>以上事项如有虚假或隐瞒，我方愿意承担一切后果，并不再寻求任何旨在减轻或免除法律责任的辩解。</w:t>
      </w:r>
    </w:p>
    <w:p>
      <w:pPr>
        <w:spacing w:line="380" w:lineRule="exact"/>
        <w:ind w:firstLine="5880" w:firstLineChars="2450"/>
        <w:rPr>
          <w:rFonts w:hint="eastAsia" w:ascii="宋体" w:hAnsi="宋体" w:eastAsia="宋体"/>
          <w:bCs/>
          <w:sz w:val="24"/>
        </w:rPr>
      </w:pPr>
    </w:p>
    <w:p>
      <w:pPr>
        <w:spacing w:line="380" w:lineRule="exact"/>
        <w:ind w:firstLine="5880" w:firstLineChars="2450"/>
        <w:rPr>
          <w:rFonts w:hint="eastAsia" w:ascii="宋体" w:hAnsi="宋体" w:eastAsia="宋体"/>
          <w:sz w:val="24"/>
        </w:rPr>
      </w:pPr>
      <w:r>
        <w:rPr>
          <w:rFonts w:hint="eastAsia" w:ascii="宋体" w:hAnsi="宋体" w:eastAsia="宋体"/>
          <w:bCs/>
          <w:sz w:val="24"/>
        </w:rPr>
        <w:t>法定代表人或委托代理人签字：</w:t>
      </w:r>
    </w:p>
    <w:p>
      <w:pPr>
        <w:spacing w:line="380" w:lineRule="exact"/>
        <w:ind w:firstLine="5880" w:firstLineChars="2450"/>
        <w:rPr>
          <w:rFonts w:hint="eastAsia" w:ascii="宋体" w:hAnsi="宋体" w:eastAsia="宋体"/>
          <w:sz w:val="24"/>
        </w:rPr>
      </w:pPr>
      <w:r>
        <w:rPr>
          <w:rFonts w:hint="eastAsia" w:ascii="宋体" w:hAnsi="宋体" w:eastAsia="宋体"/>
          <w:bCs/>
          <w:sz w:val="24"/>
        </w:rPr>
        <w:t>投标人（盖章）：</w:t>
      </w:r>
    </w:p>
    <w:p>
      <w:pPr>
        <w:spacing w:line="380" w:lineRule="exact"/>
        <w:ind w:firstLine="5880" w:firstLineChars="2450"/>
        <w:rPr>
          <w:rFonts w:hint="eastAsia" w:ascii="宋体" w:hAnsi="宋体" w:eastAsia="宋体"/>
          <w:sz w:val="24"/>
        </w:rPr>
      </w:pPr>
      <w:r>
        <w:rPr>
          <w:rFonts w:hint="eastAsia" w:ascii="宋体" w:hAnsi="宋体" w:eastAsia="宋体"/>
          <w:bCs/>
          <w:sz w:val="24"/>
        </w:rPr>
        <w:t>年 月 日</w:t>
      </w:r>
    </w:p>
    <w:p>
      <w:pPr>
        <w:rPr>
          <w:rFonts w:hint="eastAsia" w:ascii="宋体" w:hAnsi="宋体" w:eastAsia="宋体"/>
          <w:b/>
          <w:szCs w:val="20"/>
        </w:rPr>
      </w:pPr>
      <w:r>
        <w:rPr>
          <w:rFonts w:hint="eastAsia" w:ascii="宋体" w:hAnsi="宋体" w:eastAsia="宋体"/>
          <w:b/>
        </w:rPr>
        <w:br w:type="page"/>
      </w:r>
    </w:p>
    <w:p>
      <w:pPr>
        <w:pStyle w:val="17"/>
        <w:rPr>
          <w:rFonts w:hint="eastAsia" w:ascii="宋体" w:hAnsi="宋体" w:eastAsia="宋体" w:cs="宋体"/>
          <w:sz w:val="24"/>
          <w:szCs w:val="24"/>
        </w:rPr>
      </w:pPr>
      <w:r>
        <w:rPr>
          <w:rFonts w:hint="eastAsia" w:ascii="宋体" w:hAnsi="宋体" w:eastAsia="宋体" w:cs="宋体"/>
          <w:b/>
        </w:rPr>
        <w:t>格式6：</w:t>
      </w:r>
    </w:p>
    <w:p>
      <w:pPr>
        <w:pStyle w:val="17"/>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投标服务技术资料表（格式）</w:t>
      </w:r>
    </w:p>
    <w:p>
      <w:pPr>
        <w:pStyle w:val="17"/>
        <w:spacing w:line="440" w:lineRule="exact"/>
        <w:ind w:firstLine="480" w:firstLineChars="200"/>
        <w:rPr>
          <w:rFonts w:hint="eastAsia" w:ascii="宋体" w:hAnsi="宋体" w:eastAsia="宋体" w:cs="宋体"/>
          <w:sz w:val="24"/>
          <w:szCs w:val="24"/>
        </w:rPr>
      </w:pPr>
    </w:p>
    <w:p>
      <w:pPr>
        <w:pStyle w:val="17"/>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7"/>
        <w:rPr>
          <w:rFonts w:hint="eastAsia" w:ascii="宋体" w:hAnsi="宋体" w:eastAsia="宋体" w:cs="宋体"/>
          <w:sz w:val="24"/>
          <w:szCs w:val="24"/>
          <w:u w:val="thick"/>
        </w:rPr>
      </w:pPr>
    </w:p>
    <w:tbl>
      <w:tblPr>
        <w:tblStyle w:val="26"/>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hint="eastAsia" w:ascii="宋体" w:hAnsi="宋体" w:eastAsia="宋体"/>
                <w:sz w:val="24"/>
              </w:rPr>
            </w:pPr>
            <w:r>
              <w:rPr>
                <w:rFonts w:hint="eastAsia" w:ascii="宋体" w:hAnsi="宋体" w:eastAsia="宋体"/>
                <w:sz w:val="24"/>
              </w:rPr>
              <w:t>项号</w:t>
            </w:r>
          </w:p>
        </w:tc>
        <w:tc>
          <w:tcPr>
            <w:tcW w:w="3570" w:type="dxa"/>
            <w:gridSpan w:val="2"/>
            <w:vAlign w:val="center"/>
          </w:tcPr>
          <w:p>
            <w:pPr>
              <w:jc w:val="center"/>
              <w:rPr>
                <w:rFonts w:hint="eastAsia" w:ascii="宋体" w:hAnsi="宋体" w:eastAsia="宋体"/>
                <w:sz w:val="24"/>
              </w:rPr>
            </w:pPr>
            <w:r>
              <w:rPr>
                <w:rFonts w:hint="eastAsia" w:ascii="宋体" w:hAnsi="宋体" w:eastAsia="宋体"/>
                <w:sz w:val="24"/>
              </w:rPr>
              <w:t>招标文件需求</w:t>
            </w:r>
          </w:p>
        </w:tc>
        <w:tc>
          <w:tcPr>
            <w:tcW w:w="4813" w:type="dxa"/>
            <w:gridSpan w:val="2"/>
            <w:vAlign w:val="center"/>
          </w:tcPr>
          <w:p>
            <w:pPr>
              <w:jc w:val="center"/>
              <w:rPr>
                <w:rFonts w:hint="eastAsia" w:ascii="宋体" w:hAnsi="宋体" w:eastAsia="宋体"/>
                <w:sz w:val="24"/>
              </w:rPr>
            </w:pPr>
            <w:r>
              <w:rPr>
                <w:rFonts w:hint="eastAsia" w:ascii="宋体" w:hAnsi="宋体" w:eastAsia="宋体"/>
                <w:sz w:val="24"/>
              </w:rPr>
              <w:t>投标文件承诺</w:t>
            </w:r>
          </w:p>
        </w:tc>
        <w:tc>
          <w:tcPr>
            <w:tcW w:w="1539" w:type="dxa"/>
            <w:vMerge w:val="restart"/>
            <w:vAlign w:val="center"/>
          </w:tcPr>
          <w:p>
            <w:pPr>
              <w:jc w:val="center"/>
              <w:rPr>
                <w:rFonts w:hint="eastAsia" w:ascii="宋体" w:hAnsi="宋体" w:eastAsia="宋体"/>
                <w:sz w:val="24"/>
              </w:rPr>
            </w:pPr>
            <w:r>
              <w:rPr>
                <w:rFonts w:hint="eastAsia" w:ascii="宋体" w:hAnsi="宋体" w:eastAsia="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hint="eastAsia" w:ascii="宋体" w:hAnsi="宋体" w:eastAsia="宋体"/>
                <w:sz w:val="24"/>
              </w:rPr>
            </w:pPr>
          </w:p>
        </w:tc>
        <w:tc>
          <w:tcPr>
            <w:tcW w:w="1260" w:type="dxa"/>
            <w:vAlign w:val="center"/>
          </w:tcPr>
          <w:p>
            <w:pPr>
              <w:jc w:val="center"/>
              <w:rPr>
                <w:rFonts w:hint="eastAsia" w:ascii="宋体" w:hAnsi="宋体" w:eastAsia="宋体"/>
                <w:sz w:val="24"/>
              </w:rPr>
            </w:pPr>
            <w:r>
              <w:rPr>
                <w:rFonts w:hint="eastAsia" w:ascii="宋体" w:hAnsi="宋体" w:eastAsia="宋体"/>
                <w:sz w:val="24"/>
              </w:rPr>
              <w:t>服务名称</w:t>
            </w:r>
          </w:p>
        </w:tc>
        <w:tc>
          <w:tcPr>
            <w:tcW w:w="2310" w:type="dxa"/>
            <w:vAlign w:val="center"/>
          </w:tcPr>
          <w:p>
            <w:pPr>
              <w:jc w:val="center"/>
              <w:rPr>
                <w:rFonts w:hint="eastAsia" w:ascii="宋体" w:hAnsi="宋体" w:eastAsia="宋体"/>
                <w:sz w:val="24"/>
              </w:rPr>
            </w:pPr>
            <w:r>
              <w:rPr>
                <w:rFonts w:hint="eastAsia" w:ascii="宋体" w:hAnsi="宋体" w:eastAsia="宋体"/>
                <w:sz w:val="24"/>
              </w:rPr>
              <w:t>服务内容及要求</w:t>
            </w:r>
          </w:p>
        </w:tc>
        <w:tc>
          <w:tcPr>
            <w:tcW w:w="1516" w:type="dxa"/>
            <w:vAlign w:val="center"/>
          </w:tcPr>
          <w:p>
            <w:pPr>
              <w:jc w:val="center"/>
              <w:rPr>
                <w:rFonts w:hint="eastAsia" w:ascii="宋体" w:hAnsi="宋体" w:eastAsia="宋体"/>
                <w:sz w:val="24"/>
              </w:rPr>
            </w:pPr>
            <w:r>
              <w:rPr>
                <w:rFonts w:hint="eastAsia" w:ascii="宋体" w:hAnsi="宋体" w:eastAsia="宋体"/>
                <w:sz w:val="24"/>
              </w:rPr>
              <w:t>服务名称</w:t>
            </w:r>
          </w:p>
        </w:tc>
        <w:tc>
          <w:tcPr>
            <w:tcW w:w="3297" w:type="dxa"/>
            <w:vAlign w:val="center"/>
          </w:tcPr>
          <w:p>
            <w:pPr>
              <w:jc w:val="center"/>
              <w:rPr>
                <w:rFonts w:hint="eastAsia" w:ascii="宋体" w:hAnsi="宋体" w:eastAsia="宋体"/>
                <w:sz w:val="24"/>
              </w:rPr>
            </w:pPr>
            <w:r>
              <w:rPr>
                <w:rFonts w:hint="eastAsia" w:ascii="宋体" w:hAnsi="宋体" w:eastAsia="宋体"/>
                <w:sz w:val="24"/>
              </w:rPr>
              <w:t>所提供服务的内容</w:t>
            </w:r>
          </w:p>
        </w:tc>
        <w:tc>
          <w:tcPr>
            <w:tcW w:w="1539" w:type="dxa"/>
            <w:vMerge w:val="continue"/>
            <w:vAlign w:val="center"/>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hint="eastAsia" w:ascii="宋体" w:hAnsi="宋体" w:eastAsia="宋体"/>
                <w:sz w:val="24"/>
              </w:rPr>
            </w:pPr>
            <w:r>
              <w:rPr>
                <w:rFonts w:hint="eastAsia" w:ascii="宋体" w:hAnsi="宋体" w:eastAsia="宋体"/>
                <w:sz w:val="24"/>
              </w:rPr>
              <w:t>1</w:t>
            </w:r>
          </w:p>
        </w:tc>
        <w:tc>
          <w:tcPr>
            <w:tcW w:w="1260" w:type="dxa"/>
            <w:vAlign w:val="center"/>
          </w:tcPr>
          <w:p>
            <w:pPr>
              <w:jc w:val="center"/>
              <w:rPr>
                <w:rFonts w:hint="eastAsia" w:ascii="宋体" w:hAnsi="宋体" w:eastAsia="宋体"/>
                <w:sz w:val="24"/>
              </w:rPr>
            </w:pPr>
            <w:r>
              <w:rPr>
                <w:rFonts w:hint="eastAsia" w:ascii="宋体" w:hAnsi="宋体" w:eastAsia="宋体"/>
                <w:sz w:val="24"/>
              </w:rPr>
              <w:t>……</w:t>
            </w:r>
          </w:p>
        </w:tc>
        <w:tc>
          <w:tcPr>
            <w:tcW w:w="2310" w:type="dxa"/>
            <w:vAlign w:val="center"/>
          </w:tcPr>
          <w:p>
            <w:pPr>
              <w:jc w:val="center"/>
              <w:rPr>
                <w:rFonts w:hint="eastAsia" w:ascii="宋体" w:hAnsi="宋体" w:eastAsia="宋体"/>
                <w:sz w:val="24"/>
              </w:rPr>
            </w:pPr>
            <w:r>
              <w:rPr>
                <w:rFonts w:hint="eastAsia" w:ascii="宋体" w:hAnsi="宋体" w:eastAsia="宋体"/>
                <w:sz w:val="24"/>
              </w:rPr>
              <w:t>1  ……</w:t>
            </w:r>
          </w:p>
          <w:p>
            <w:pPr>
              <w:jc w:val="center"/>
              <w:rPr>
                <w:rFonts w:hint="eastAsia" w:ascii="宋体" w:hAnsi="宋体" w:eastAsia="宋体"/>
                <w:sz w:val="24"/>
              </w:rPr>
            </w:pPr>
            <w:r>
              <w:rPr>
                <w:rFonts w:hint="eastAsia" w:ascii="宋体" w:hAnsi="宋体" w:eastAsia="宋体"/>
                <w:sz w:val="24"/>
              </w:rPr>
              <w:t>2  ……</w:t>
            </w:r>
          </w:p>
          <w:p>
            <w:pPr>
              <w:jc w:val="center"/>
              <w:rPr>
                <w:rFonts w:hint="eastAsia" w:ascii="宋体" w:hAnsi="宋体" w:eastAsia="宋体"/>
                <w:sz w:val="24"/>
              </w:rPr>
            </w:pPr>
            <w:r>
              <w:rPr>
                <w:rFonts w:hint="eastAsia" w:ascii="宋体" w:hAnsi="宋体" w:eastAsia="宋体"/>
                <w:sz w:val="24"/>
              </w:rPr>
              <w:t>3  ……</w:t>
            </w:r>
          </w:p>
          <w:p>
            <w:pPr>
              <w:jc w:val="center"/>
              <w:rPr>
                <w:rFonts w:hint="eastAsia" w:ascii="宋体" w:hAnsi="宋体" w:eastAsia="宋体"/>
                <w:sz w:val="24"/>
              </w:rPr>
            </w:pPr>
            <w:r>
              <w:rPr>
                <w:rFonts w:hint="eastAsia" w:ascii="宋体" w:hAnsi="宋体" w:eastAsia="宋体"/>
                <w:sz w:val="24"/>
              </w:rPr>
              <w:t>……</w:t>
            </w:r>
          </w:p>
        </w:tc>
        <w:tc>
          <w:tcPr>
            <w:tcW w:w="1516" w:type="dxa"/>
            <w:vAlign w:val="center"/>
          </w:tcPr>
          <w:p>
            <w:pPr>
              <w:jc w:val="center"/>
              <w:rPr>
                <w:rFonts w:hint="eastAsia" w:ascii="宋体" w:hAnsi="宋体" w:eastAsia="宋体"/>
                <w:sz w:val="24"/>
              </w:rPr>
            </w:pPr>
            <w:r>
              <w:rPr>
                <w:rFonts w:hint="eastAsia" w:ascii="宋体" w:hAnsi="宋体" w:eastAsia="宋体"/>
                <w:sz w:val="24"/>
              </w:rPr>
              <w:t>……</w:t>
            </w:r>
          </w:p>
        </w:tc>
        <w:tc>
          <w:tcPr>
            <w:tcW w:w="3297" w:type="dxa"/>
            <w:vAlign w:val="center"/>
          </w:tcPr>
          <w:p>
            <w:pPr>
              <w:jc w:val="center"/>
              <w:rPr>
                <w:rFonts w:hint="eastAsia" w:ascii="宋体" w:hAnsi="宋体" w:eastAsia="宋体"/>
                <w:sz w:val="24"/>
              </w:rPr>
            </w:pPr>
            <w:r>
              <w:rPr>
                <w:rFonts w:hint="eastAsia" w:ascii="宋体" w:hAnsi="宋体" w:eastAsia="宋体"/>
                <w:sz w:val="24"/>
              </w:rPr>
              <w:t>1  ……</w:t>
            </w:r>
          </w:p>
          <w:p>
            <w:pPr>
              <w:jc w:val="center"/>
              <w:rPr>
                <w:rFonts w:hint="eastAsia" w:ascii="宋体" w:hAnsi="宋体" w:eastAsia="宋体"/>
                <w:sz w:val="24"/>
              </w:rPr>
            </w:pPr>
            <w:r>
              <w:rPr>
                <w:rFonts w:hint="eastAsia" w:ascii="宋体" w:hAnsi="宋体" w:eastAsia="宋体"/>
                <w:sz w:val="24"/>
              </w:rPr>
              <w:t>2  ……</w:t>
            </w:r>
          </w:p>
          <w:p>
            <w:pPr>
              <w:jc w:val="center"/>
              <w:rPr>
                <w:rFonts w:hint="eastAsia" w:ascii="宋体" w:hAnsi="宋体" w:eastAsia="宋体"/>
                <w:sz w:val="24"/>
              </w:rPr>
            </w:pPr>
            <w:r>
              <w:rPr>
                <w:rFonts w:hint="eastAsia" w:ascii="宋体" w:hAnsi="宋体" w:eastAsia="宋体"/>
                <w:sz w:val="24"/>
              </w:rPr>
              <w:t>3  ……</w:t>
            </w:r>
          </w:p>
          <w:p>
            <w:pPr>
              <w:jc w:val="center"/>
              <w:rPr>
                <w:rFonts w:hint="eastAsia" w:ascii="宋体" w:hAnsi="宋体" w:eastAsia="宋体"/>
                <w:sz w:val="24"/>
              </w:rPr>
            </w:pPr>
            <w:r>
              <w:rPr>
                <w:rFonts w:hint="eastAsia" w:ascii="宋体" w:hAnsi="宋体" w:eastAsia="宋体"/>
                <w:sz w:val="24"/>
              </w:rPr>
              <w:t>……</w:t>
            </w:r>
          </w:p>
        </w:tc>
        <w:tc>
          <w:tcPr>
            <w:tcW w:w="1539" w:type="dxa"/>
            <w:vAlign w:val="center"/>
          </w:tcPr>
          <w:p>
            <w:pPr>
              <w:rPr>
                <w:rFonts w:hint="eastAsia"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宋体" w:hAnsi="宋体" w:eastAsia="宋体"/>
                <w:sz w:val="24"/>
              </w:rPr>
            </w:pPr>
            <w:r>
              <w:rPr>
                <w:rFonts w:hint="eastAsia" w:ascii="宋体" w:hAnsi="宋体" w:eastAsia="宋体"/>
                <w:sz w:val="24"/>
              </w:rPr>
              <w:t>2</w:t>
            </w:r>
          </w:p>
        </w:tc>
        <w:tc>
          <w:tcPr>
            <w:tcW w:w="1260" w:type="dxa"/>
            <w:vAlign w:val="center"/>
          </w:tcPr>
          <w:p>
            <w:pPr>
              <w:jc w:val="center"/>
              <w:rPr>
                <w:rFonts w:hint="eastAsia" w:ascii="宋体" w:hAnsi="宋体" w:eastAsia="宋体"/>
                <w:sz w:val="24"/>
              </w:rPr>
            </w:pPr>
            <w:r>
              <w:rPr>
                <w:rFonts w:hint="eastAsia" w:ascii="宋体" w:hAnsi="宋体" w:eastAsia="宋体"/>
                <w:sz w:val="24"/>
              </w:rPr>
              <w:t>……</w:t>
            </w:r>
          </w:p>
        </w:tc>
        <w:tc>
          <w:tcPr>
            <w:tcW w:w="2310" w:type="dxa"/>
            <w:vAlign w:val="center"/>
          </w:tcPr>
          <w:p>
            <w:pPr>
              <w:jc w:val="center"/>
              <w:rPr>
                <w:rFonts w:hint="eastAsia" w:ascii="宋体" w:hAnsi="宋体" w:eastAsia="宋体"/>
                <w:sz w:val="24"/>
              </w:rPr>
            </w:pPr>
            <w:r>
              <w:rPr>
                <w:rFonts w:hint="eastAsia" w:ascii="宋体" w:hAnsi="宋体" w:eastAsia="宋体"/>
                <w:sz w:val="24"/>
              </w:rPr>
              <w:t>1  ……</w:t>
            </w:r>
          </w:p>
          <w:p>
            <w:pPr>
              <w:jc w:val="center"/>
              <w:rPr>
                <w:rFonts w:hint="eastAsia" w:ascii="宋体" w:hAnsi="宋体" w:eastAsia="宋体"/>
                <w:sz w:val="24"/>
              </w:rPr>
            </w:pPr>
            <w:r>
              <w:rPr>
                <w:rFonts w:hint="eastAsia" w:ascii="宋体" w:hAnsi="宋体" w:eastAsia="宋体"/>
                <w:sz w:val="24"/>
              </w:rPr>
              <w:t>2  ……</w:t>
            </w:r>
          </w:p>
          <w:p>
            <w:pPr>
              <w:jc w:val="center"/>
              <w:rPr>
                <w:rFonts w:hint="eastAsia" w:ascii="宋体" w:hAnsi="宋体" w:eastAsia="宋体"/>
                <w:sz w:val="24"/>
              </w:rPr>
            </w:pPr>
            <w:r>
              <w:rPr>
                <w:rFonts w:hint="eastAsia" w:ascii="宋体" w:hAnsi="宋体" w:eastAsia="宋体"/>
                <w:sz w:val="24"/>
              </w:rPr>
              <w:t>3  ……</w:t>
            </w:r>
          </w:p>
          <w:p>
            <w:pPr>
              <w:jc w:val="center"/>
              <w:rPr>
                <w:rFonts w:hint="eastAsia" w:ascii="宋体" w:hAnsi="宋体" w:eastAsia="宋体"/>
                <w:sz w:val="24"/>
              </w:rPr>
            </w:pPr>
            <w:r>
              <w:rPr>
                <w:rFonts w:hint="eastAsia" w:ascii="宋体" w:hAnsi="宋体" w:eastAsia="宋体"/>
                <w:sz w:val="24"/>
              </w:rPr>
              <w:t>……</w:t>
            </w:r>
          </w:p>
        </w:tc>
        <w:tc>
          <w:tcPr>
            <w:tcW w:w="1516" w:type="dxa"/>
            <w:vAlign w:val="center"/>
          </w:tcPr>
          <w:p>
            <w:pPr>
              <w:jc w:val="center"/>
              <w:rPr>
                <w:rFonts w:hint="eastAsia" w:ascii="宋体" w:hAnsi="宋体" w:eastAsia="宋体"/>
                <w:sz w:val="24"/>
              </w:rPr>
            </w:pPr>
            <w:r>
              <w:rPr>
                <w:rFonts w:hint="eastAsia" w:ascii="宋体" w:hAnsi="宋体" w:eastAsia="宋体"/>
                <w:sz w:val="24"/>
              </w:rPr>
              <w:t>……</w:t>
            </w:r>
          </w:p>
        </w:tc>
        <w:tc>
          <w:tcPr>
            <w:tcW w:w="3297" w:type="dxa"/>
            <w:vAlign w:val="center"/>
          </w:tcPr>
          <w:p>
            <w:pPr>
              <w:jc w:val="center"/>
              <w:rPr>
                <w:rFonts w:hint="eastAsia" w:ascii="宋体" w:hAnsi="宋体" w:eastAsia="宋体"/>
                <w:sz w:val="24"/>
              </w:rPr>
            </w:pPr>
            <w:r>
              <w:rPr>
                <w:rFonts w:hint="eastAsia" w:ascii="宋体" w:hAnsi="宋体" w:eastAsia="宋体"/>
                <w:sz w:val="24"/>
              </w:rPr>
              <w:t>1  ……</w:t>
            </w:r>
          </w:p>
          <w:p>
            <w:pPr>
              <w:jc w:val="center"/>
              <w:rPr>
                <w:rFonts w:hint="eastAsia" w:ascii="宋体" w:hAnsi="宋体" w:eastAsia="宋体"/>
                <w:sz w:val="24"/>
              </w:rPr>
            </w:pPr>
            <w:r>
              <w:rPr>
                <w:rFonts w:hint="eastAsia" w:ascii="宋体" w:hAnsi="宋体" w:eastAsia="宋体"/>
                <w:sz w:val="24"/>
              </w:rPr>
              <w:t>2  ……</w:t>
            </w:r>
          </w:p>
          <w:p>
            <w:pPr>
              <w:jc w:val="center"/>
              <w:rPr>
                <w:rFonts w:hint="eastAsia" w:ascii="宋体" w:hAnsi="宋体" w:eastAsia="宋体"/>
                <w:sz w:val="24"/>
              </w:rPr>
            </w:pPr>
            <w:r>
              <w:rPr>
                <w:rFonts w:hint="eastAsia" w:ascii="宋体" w:hAnsi="宋体" w:eastAsia="宋体"/>
                <w:sz w:val="24"/>
              </w:rPr>
              <w:t>3  ……</w:t>
            </w:r>
          </w:p>
          <w:p>
            <w:pPr>
              <w:jc w:val="center"/>
              <w:rPr>
                <w:rFonts w:hint="eastAsia" w:ascii="宋体" w:hAnsi="宋体" w:eastAsia="宋体"/>
                <w:sz w:val="24"/>
              </w:rPr>
            </w:pPr>
            <w:r>
              <w:rPr>
                <w:rFonts w:hint="eastAsia" w:ascii="宋体" w:hAnsi="宋体" w:eastAsia="宋体"/>
                <w:sz w:val="24"/>
              </w:rPr>
              <w:t>……</w:t>
            </w:r>
          </w:p>
        </w:tc>
        <w:tc>
          <w:tcPr>
            <w:tcW w:w="1539" w:type="dxa"/>
            <w:vAlign w:val="center"/>
          </w:tcPr>
          <w:p>
            <w:pPr>
              <w:rPr>
                <w:rFonts w:hint="eastAsia"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宋体" w:hAnsi="宋体" w:eastAsia="宋体"/>
                <w:sz w:val="24"/>
              </w:rPr>
            </w:pPr>
            <w:r>
              <w:rPr>
                <w:rFonts w:hint="eastAsia" w:ascii="宋体" w:hAnsi="宋体" w:eastAsia="宋体"/>
                <w:sz w:val="24"/>
              </w:rPr>
              <w:t>...</w:t>
            </w:r>
          </w:p>
        </w:tc>
        <w:tc>
          <w:tcPr>
            <w:tcW w:w="1260" w:type="dxa"/>
            <w:vAlign w:val="center"/>
          </w:tcPr>
          <w:p>
            <w:pPr>
              <w:rPr>
                <w:rFonts w:hint="eastAsia" w:ascii="宋体" w:hAnsi="宋体" w:eastAsia="宋体"/>
                <w:sz w:val="24"/>
              </w:rPr>
            </w:pPr>
          </w:p>
        </w:tc>
        <w:tc>
          <w:tcPr>
            <w:tcW w:w="2310" w:type="dxa"/>
            <w:vAlign w:val="center"/>
          </w:tcPr>
          <w:p>
            <w:pPr>
              <w:rPr>
                <w:rFonts w:hint="eastAsia" w:ascii="宋体" w:hAnsi="宋体" w:eastAsia="宋体"/>
                <w:sz w:val="24"/>
              </w:rPr>
            </w:pPr>
          </w:p>
        </w:tc>
        <w:tc>
          <w:tcPr>
            <w:tcW w:w="1516" w:type="dxa"/>
            <w:vAlign w:val="center"/>
          </w:tcPr>
          <w:p>
            <w:pPr>
              <w:rPr>
                <w:rFonts w:hint="eastAsia" w:ascii="宋体" w:hAnsi="宋体" w:eastAsia="宋体"/>
                <w:sz w:val="24"/>
              </w:rPr>
            </w:pPr>
          </w:p>
        </w:tc>
        <w:tc>
          <w:tcPr>
            <w:tcW w:w="3297" w:type="dxa"/>
            <w:vAlign w:val="center"/>
          </w:tcPr>
          <w:p>
            <w:pPr>
              <w:rPr>
                <w:rFonts w:hint="eastAsia" w:ascii="宋体" w:hAnsi="宋体" w:eastAsia="宋体"/>
                <w:sz w:val="24"/>
              </w:rPr>
            </w:pPr>
          </w:p>
        </w:tc>
        <w:tc>
          <w:tcPr>
            <w:tcW w:w="1539" w:type="dxa"/>
            <w:vAlign w:val="center"/>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hint="eastAsia" w:ascii="宋体" w:hAnsi="宋体" w:eastAsia="宋体"/>
                <w:sz w:val="24"/>
              </w:rPr>
            </w:pPr>
            <w:r>
              <w:rPr>
                <w:rFonts w:hint="eastAsia" w:ascii="宋体" w:hAnsi="宋体" w:eastAsia="宋体"/>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hint="eastAsia" w:ascii="宋体" w:hAnsi="宋体" w:eastAsia="宋体"/>
                <w:sz w:val="24"/>
              </w:rPr>
            </w:pPr>
            <w:r>
              <w:rPr>
                <w:rFonts w:hint="eastAsia" w:ascii="宋体" w:hAnsi="宋体" w:eastAsia="宋体"/>
                <w:sz w:val="24"/>
              </w:rPr>
              <w:t>法定代表人或其委托代理人（签字或盖章）：</w:t>
            </w:r>
          </w:p>
        </w:tc>
      </w:tr>
    </w:tbl>
    <w:p>
      <w:pPr>
        <w:pStyle w:val="17"/>
        <w:spacing w:line="500" w:lineRule="exact"/>
        <w:rPr>
          <w:rFonts w:hint="eastAsia" w:ascii="宋体" w:hAnsi="宋体" w:eastAsia="宋体" w:cs="宋体"/>
          <w:sz w:val="24"/>
          <w:szCs w:val="24"/>
        </w:rPr>
      </w:pPr>
      <w:r>
        <w:rPr>
          <w:rFonts w:hint="eastAsia" w:ascii="宋体" w:hAnsi="宋体" w:eastAsia="宋体" w:cs="宋体"/>
          <w:sz w:val="24"/>
          <w:szCs w:val="24"/>
        </w:rPr>
        <w:t>注：⑴表格内容均需按要求填写并盖章，不得留空，</w:t>
      </w:r>
      <w:r>
        <w:rPr>
          <w:rFonts w:hint="eastAsia" w:ascii="宋体" w:hAnsi="宋体" w:eastAsia="宋体" w:cs="宋体"/>
          <w:bCs/>
          <w:sz w:val="24"/>
          <w:szCs w:val="24"/>
        </w:rPr>
        <w:t>否则按投标无效处理</w:t>
      </w:r>
      <w:r>
        <w:rPr>
          <w:rFonts w:hint="eastAsia" w:ascii="宋体" w:hAnsi="宋体" w:eastAsia="宋体" w:cs="宋体"/>
          <w:sz w:val="24"/>
          <w:szCs w:val="24"/>
        </w:rPr>
        <w:t>。</w:t>
      </w:r>
    </w:p>
    <w:p>
      <w:pPr>
        <w:pStyle w:val="17"/>
        <w:spacing w:line="500" w:lineRule="exact"/>
        <w:ind w:left="742" w:leftChars="228" w:hanging="240" w:hangingChars="100"/>
        <w:rPr>
          <w:rFonts w:hint="eastAsia" w:ascii="宋体" w:hAnsi="宋体" w:eastAsia="宋体" w:cs="宋体"/>
          <w:bCs/>
          <w:sz w:val="24"/>
          <w:szCs w:val="24"/>
        </w:rPr>
      </w:pPr>
      <w:r>
        <w:rPr>
          <w:rFonts w:hint="eastAsia" w:ascii="宋体" w:hAnsi="宋体" w:eastAsia="宋体" w:cs="宋体"/>
          <w:bCs/>
          <w:sz w:val="24"/>
          <w:szCs w:val="24"/>
        </w:rPr>
        <w:t>⑵当投标文件的服务内容低于招标文件要求时，投标人应当如实写明“负偏离”，否则视为虚假应标。</w:t>
      </w:r>
    </w:p>
    <w:p>
      <w:pPr>
        <w:pStyle w:val="17"/>
        <w:rPr>
          <w:rFonts w:hint="eastAsia" w:ascii="宋体" w:hAnsi="宋体" w:eastAsia="宋体" w:cs="宋体"/>
        </w:rPr>
      </w:pPr>
    </w:p>
    <w:p>
      <w:pPr>
        <w:pStyle w:val="17"/>
        <w:rPr>
          <w:rFonts w:hint="eastAsia" w:ascii="宋体" w:hAnsi="宋体" w:eastAsia="宋体" w:cs="宋体"/>
        </w:rPr>
      </w:pPr>
    </w:p>
    <w:p>
      <w:pPr>
        <w:pStyle w:val="17"/>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rPr>
        <w:t>格式7：</w:t>
      </w:r>
    </w:p>
    <w:p>
      <w:pPr>
        <w:pStyle w:val="17"/>
        <w:spacing w:line="600" w:lineRule="exact"/>
        <w:ind w:firstLine="151" w:firstLineChars="50"/>
        <w:jc w:val="center"/>
        <w:rPr>
          <w:rFonts w:hint="eastAsia" w:ascii="宋体" w:hAnsi="宋体" w:eastAsia="宋体" w:cs="宋体"/>
        </w:rPr>
      </w:pPr>
      <w:r>
        <w:rPr>
          <w:rFonts w:hint="eastAsia" w:ascii="宋体" w:hAnsi="宋体" w:eastAsia="宋体" w:cs="宋体"/>
          <w:b/>
          <w:bCs/>
          <w:sz w:val="30"/>
          <w:szCs w:val="30"/>
        </w:rPr>
        <w:t>售后服务承诺书（格式）</w:t>
      </w:r>
    </w:p>
    <w:p>
      <w:pPr>
        <w:pStyle w:val="17"/>
        <w:spacing w:line="440" w:lineRule="exact"/>
        <w:ind w:firstLine="415" w:firstLineChars="198"/>
        <w:rPr>
          <w:rFonts w:hint="eastAsia" w:ascii="宋体" w:hAnsi="宋体" w:eastAsia="宋体" w:cs="宋体"/>
        </w:rPr>
      </w:pPr>
    </w:p>
    <w:p>
      <w:pPr>
        <w:pStyle w:val="17"/>
        <w:spacing w:line="44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由投标人按本项目招标文件第二章“服务需求一览表”中商务条款部分的售后服务要求自行填写。</w:t>
      </w:r>
    </w:p>
    <w:p>
      <w:pPr>
        <w:pStyle w:val="17"/>
        <w:spacing w:line="440" w:lineRule="exact"/>
        <w:ind w:firstLine="480" w:firstLineChars="200"/>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spacing w:line="600" w:lineRule="exact"/>
        <w:ind w:firstLine="480" w:firstLineChars="200"/>
        <w:rPr>
          <w:rFonts w:hint="eastAsia" w:ascii="宋体" w:hAnsi="宋体" w:eastAsia="宋体" w:cs="宋体"/>
          <w:sz w:val="24"/>
          <w:szCs w:val="24"/>
        </w:rPr>
      </w:pPr>
    </w:p>
    <w:p>
      <w:pPr>
        <w:pStyle w:val="17"/>
        <w:spacing w:line="600" w:lineRule="exact"/>
        <w:rPr>
          <w:rFonts w:hint="eastAsia" w:ascii="宋体" w:hAnsi="宋体" w:eastAsia="宋体" w:cs="宋体"/>
          <w:sz w:val="24"/>
          <w:szCs w:val="24"/>
          <w:u w:val="single"/>
        </w:rPr>
      </w:pPr>
      <w:r>
        <w:rPr>
          <w:rFonts w:hint="eastAsia" w:ascii="宋体" w:hAnsi="宋体" w:eastAsia="宋体" w:cs="宋体"/>
          <w:sz w:val="24"/>
          <w:szCs w:val="24"/>
        </w:rPr>
        <w:t>投标人（盖单位公章）：</w:t>
      </w:r>
      <w:r>
        <w:rPr>
          <w:rFonts w:hint="eastAsia" w:ascii="宋体" w:hAnsi="宋体" w:eastAsia="宋体" w:cs="宋体"/>
          <w:sz w:val="24"/>
          <w:szCs w:val="24"/>
          <w:u w:val="single"/>
        </w:rPr>
        <w:t xml:space="preserve">                                    </w:t>
      </w:r>
    </w:p>
    <w:p>
      <w:pPr>
        <w:pStyle w:val="17"/>
        <w:spacing w:line="600" w:lineRule="exact"/>
        <w:rPr>
          <w:rFonts w:hint="eastAsia" w:ascii="宋体" w:hAnsi="宋体" w:eastAsia="宋体" w:cs="宋体"/>
          <w:sz w:val="24"/>
          <w:szCs w:val="24"/>
          <w:u w:val="single"/>
        </w:rPr>
      </w:pPr>
    </w:p>
    <w:p>
      <w:pPr>
        <w:pStyle w:val="17"/>
        <w:spacing w:line="600" w:lineRule="exact"/>
        <w:rPr>
          <w:rFonts w:hint="eastAsia" w:ascii="宋体" w:hAnsi="宋体" w:eastAsia="宋体" w:cs="宋体"/>
          <w:sz w:val="24"/>
          <w:szCs w:val="24"/>
          <w:u w:val="single"/>
        </w:rPr>
      </w:pPr>
      <w:r>
        <w:rPr>
          <w:rFonts w:hint="eastAsia" w:ascii="宋体" w:hAnsi="宋体" w:eastAsia="宋体" w:cs="宋体"/>
          <w:sz w:val="24"/>
          <w:szCs w:val="24"/>
        </w:rPr>
        <w:t>法定代表人或其委托代理人（签字或盖章）：</w:t>
      </w:r>
      <w:r>
        <w:rPr>
          <w:rFonts w:hint="eastAsia" w:ascii="宋体" w:hAnsi="宋体" w:eastAsia="宋体" w:cs="宋体"/>
          <w:sz w:val="24"/>
          <w:szCs w:val="24"/>
          <w:u w:val="single"/>
        </w:rPr>
        <w:t xml:space="preserve">                  </w:t>
      </w:r>
    </w:p>
    <w:p>
      <w:pPr>
        <w:pStyle w:val="17"/>
        <w:spacing w:line="600" w:lineRule="exact"/>
        <w:rPr>
          <w:rFonts w:hint="eastAsia" w:ascii="宋体" w:hAnsi="宋体" w:eastAsia="宋体" w:cs="宋体"/>
          <w:sz w:val="24"/>
          <w:szCs w:val="24"/>
          <w:u w:val="single"/>
        </w:rPr>
      </w:pPr>
    </w:p>
    <w:p>
      <w:pPr>
        <w:pStyle w:val="17"/>
        <w:spacing w:line="600" w:lineRule="exact"/>
        <w:rPr>
          <w:rFonts w:hint="eastAsia" w:ascii="宋体" w:hAnsi="宋体" w:eastAsia="宋体" w:cs="宋体"/>
          <w:sz w:val="24"/>
          <w:szCs w:val="24"/>
          <w:u w:val="single"/>
        </w:rPr>
      </w:pPr>
    </w:p>
    <w:p>
      <w:pPr>
        <w:pStyle w:val="17"/>
        <w:spacing w:line="600" w:lineRule="exact"/>
        <w:rPr>
          <w:rFonts w:hint="eastAsia" w:ascii="宋体" w:hAnsi="宋体" w:eastAsia="宋体" w:cs="宋体"/>
          <w:sz w:val="24"/>
          <w:szCs w:val="24"/>
          <w:u w:val="single"/>
        </w:rPr>
      </w:pPr>
    </w:p>
    <w:p>
      <w:pPr>
        <w:pStyle w:val="17"/>
        <w:spacing w:line="600" w:lineRule="exact"/>
        <w:rPr>
          <w:rFonts w:hint="eastAsia" w:ascii="宋体" w:hAnsi="宋体" w:eastAsia="宋体" w:cs="宋体"/>
          <w:sz w:val="24"/>
          <w:szCs w:val="24"/>
          <w:u w:val="single"/>
        </w:rPr>
      </w:pPr>
    </w:p>
    <w:p>
      <w:pPr>
        <w:pStyle w:val="17"/>
        <w:spacing w:line="600" w:lineRule="exact"/>
        <w:rPr>
          <w:rFonts w:hint="eastAsia" w:ascii="宋体" w:hAnsi="宋体" w:eastAsia="宋体" w:cs="宋体"/>
          <w:sz w:val="24"/>
          <w:szCs w:val="24"/>
          <w:u w:val="single"/>
        </w:rPr>
      </w:pPr>
    </w:p>
    <w:p>
      <w:pPr>
        <w:adjustRightInd/>
        <w:snapToGrid/>
        <w:spacing w:line="220" w:lineRule="atLeast"/>
        <w:rPr>
          <w:rFonts w:hint="eastAsia" w:ascii="宋体" w:hAnsi="宋体" w:eastAsia="宋体"/>
          <w:b/>
          <w:kern w:val="2"/>
          <w:sz w:val="21"/>
          <w:szCs w:val="20"/>
        </w:rPr>
      </w:pPr>
      <w:r>
        <w:rPr>
          <w:rFonts w:hint="eastAsia" w:ascii="宋体" w:hAnsi="宋体" w:eastAsia="宋体"/>
          <w:b/>
        </w:rPr>
        <w:br w:type="page"/>
      </w:r>
    </w:p>
    <w:p>
      <w:pPr>
        <w:pStyle w:val="17"/>
        <w:spacing w:line="600" w:lineRule="exact"/>
        <w:rPr>
          <w:rFonts w:hint="eastAsia" w:ascii="宋体" w:hAnsi="宋体" w:eastAsia="宋体" w:cs="宋体"/>
          <w:u w:val="single"/>
        </w:rPr>
      </w:pPr>
      <w:r>
        <w:rPr>
          <w:rFonts w:hint="eastAsia" w:ascii="宋体" w:hAnsi="宋体" w:eastAsia="宋体" w:cs="宋体"/>
          <w:b/>
        </w:rPr>
        <w:t>格式8：</w:t>
      </w:r>
    </w:p>
    <w:p>
      <w:pPr>
        <w:pStyle w:val="17"/>
        <w:spacing w:line="500" w:lineRule="exact"/>
        <w:jc w:val="center"/>
        <w:rPr>
          <w:rFonts w:hint="eastAsia" w:ascii="宋体" w:hAnsi="宋体" w:eastAsia="宋体" w:cs="宋体"/>
        </w:rPr>
      </w:pPr>
      <w:r>
        <w:rPr>
          <w:rFonts w:hint="eastAsia" w:ascii="宋体" w:hAnsi="宋体" w:eastAsia="宋体" w:cs="宋体"/>
          <w:b/>
          <w:bCs/>
          <w:sz w:val="30"/>
          <w:szCs w:val="30"/>
        </w:rPr>
        <w:t>商务条款偏离表（格式）</w:t>
      </w:r>
    </w:p>
    <w:p>
      <w:pPr>
        <w:pStyle w:val="17"/>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hint="eastAsia" w:ascii="宋体" w:hAnsi="宋体" w:eastAsia="宋体"/>
                <w:sz w:val="24"/>
              </w:rPr>
            </w:pPr>
            <w:r>
              <w:rPr>
                <w:rFonts w:hint="eastAsia" w:ascii="宋体" w:hAnsi="宋体" w:eastAsia="宋体"/>
                <w:sz w:val="24"/>
              </w:rPr>
              <w:t>项号</w:t>
            </w:r>
          </w:p>
        </w:tc>
        <w:tc>
          <w:tcPr>
            <w:tcW w:w="3402" w:type="dxa"/>
            <w:vAlign w:val="center"/>
          </w:tcPr>
          <w:p>
            <w:pPr>
              <w:spacing w:line="340" w:lineRule="exact"/>
              <w:jc w:val="center"/>
              <w:rPr>
                <w:rFonts w:hint="eastAsia" w:ascii="宋体" w:hAnsi="宋体" w:eastAsia="宋体"/>
                <w:sz w:val="24"/>
              </w:rPr>
            </w:pPr>
            <w:r>
              <w:rPr>
                <w:rFonts w:hint="eastAsia" w:ascii="宋体" w:hAnsi="宋体" w:eastAsia="宋体"/>
                <w:sz w:val="24"/>
              </w:rPr>
              <w:t>招标文件的商务需求</w:t>
            </w:r>
          </w:p>
        </w:tc>
        <w:tc>
          <w:tcPr>
            <w:tcW w:w="2862" w:type="dxa"/>
            <w:vAlign w:val="center"/>
          </w:tcPr>
          <w:p>
            <w:pPr>
              <w:spacing w:line="340" w:lineRule="exact"/>
              <w:jc w:val="center"/>
              <w:rPr>
                <w:rFonts w:hint="eastAsia" w:ascii="宋体" w:hAnsi="宋体" w:eastAsia="宋体"/>
                <w:sz w:val="24"/>
              </w:rPr>
            </w:pPr>
            <w:r>
              <w:rPr>
                <w:rFonts w:hint="eastAsia" w:ascii="宋体" w:hAnsi="宋体" w:eastAsia="宋体"/>
                <w:sz w:val="24"/>
              </w:rPr>
              <w:t>投标文件承诺的商务条款</w:t>
            </w:r>
          </w:p>
        </w:tc>
        <w:tc>
          <w:tcPr>
            <w:tcW w:w="2241" w:type="dxa"/>
            <w:vAlign w:val="center"/>
          </w:tcPr>
          <w:p>
            <w:pPr>
              <w:spacing w:line="340" w:lineRule="exact"/>
              <w:jc w:val="center"/>
              <w:rPr>
                <w:rFonts w:hint="eastAsia" w:ascii="宋体" w:hAnsi="宋体" w:eastAsia="宋体"/>
                <w:sz w:val="24"/>
              </w:rPr>
            </w:pPr>
            <w:r>
              <w:rPr>
                <w:rFonts w:hint="eastAsia" w:ascii="宋体" w:hAnsi="宋体" w:eastAsia="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hint="eastAsia" w:ascii="宋体" w:hAnsi="宋体" w:eastAsia="宋体"/>
                <w:sz w:val="24"/>
              </w:rPr>
            </w:pPr>
            <w:r>
              <w:rPr>
                <w:rFonts w:hint="eastAsia" w:ascii="宋体" w:hAnsi="宋体" w:eastAsia="宋体"/>
                <w:sz w:val="24"/>
              </w:rPr>
              <w:t>一</w:t>
            </w:r>
          </w:p>
        </w:tc>
        <w:tc>
          <w:tcPr>
            <w:tcW w:w="3402" w:type="dxa"/>
          </w:tcPr>
          <w:p>
            <w:pPr>
              <w:spacing w:line="340" w:lineRule="exact"/>
              <w:rPr>
                <w:rFonts w:hint="eastAsia" w:ascii="宋体" w:hAnsi="宋体" w:eastAsia="宋体"/>
                <w:sz w:val="24"/>
              </w:rPr>
            </w:pPr>
            <w:r>
              <w:rPr>
                <w:rFonts w:hint="eastAsia" w:ascii="宋体" w:hAnsi="宋体" w:eastAsia="宋体"/>
                <w:sz w:val="24"/>
              </w:rPr>
              <w:t>1  ……</w:t>
            </w:r>
          </w:p>
          <w:p>
            <w:pPr>
              <w:spacing w:line="340" w:lineRule="exact"/>
              <w:rPr>
                <w:rFonts w:hint="eastAsia" w:ascii="宋体" w:hAnsi="宋体" w:eastAsia="宋体"/>
                <w:sz w:val="24"/>
              </w:rPr>
            </w:pPr>
            <w:r>
              <w:rPr>
                <w:rFonts w:hint="eastAsia" w:ascii="宋体" w:hAnsi="宋体" w:eastAsia="宋体"/>
                <w:sz w:val="24"/>
              </w:rPr>
              <w:t>2  ……</w:t>
            </w:r>
          </w:p>
          <w:p>
            <w:pPr>
              <w:spacing w:line="340" w:lineRule="exact"/>
              <w:rPr>
                <w:rFonts w:hint="eastAsia" w:ascii="宋体" w:hAnsi="宋体" w:eastAsia="宋体"/>
                <w:sz w:val="24"/>
              </w:rPr>
            </w:pPr>
            <w:r>
              <w:rPr>
                <w:rFonts w:hint="eastAsia" w:ascii="宋体" w:hAnsi="宋体" w:eastAsia="宋体"/>
                <w:sz w:val="24"/>
              </w:rPr>
              <w:t>3  ……</w:t>
            </w:r>
          </w:p>
          <w:p>
            <w:pPr>
              <w:spacing w:line="340" w:lineRule="exact"/>
              <w:rPr>
                <w:rFonts w:hint="eastAsia" w:ascii="宋体" w:hAnsi="宋体" w:eastAsia="宋体"/>
                <w:sz w:val="24"/>
              </w:rPr>
            </w:pPr>
            <w:r>
              <w:rPr>
                <w:rFonts w:hint="eastAsia" w:ascii="宋体" w:hAnsi="宋体" w:eastAsia="宋体"/>
                <w:sz w:val="24"/>
              </w:rPr>
              <w:t>……</w:t>
            </w:r>
          </w:p>
        </w:tc>
        <w:tc>
          <w:tcPr>
            <w:tcW w:w="2862" w:type="dxa"/>
          </w:tcPr>
          <w:p>
            <w:pPr>
              <w:spacing w:line="340" w:lineRule="exact"/>
              <w:rPr>
                <w:rFonts w:hint="eastAsia" w:ascii="宋体" w:hAnsi="宋体" w:eastAsia="宋体"/>
                <w:sz w:val="24"/>
              </w:rPr>
            </w:pPr>
            <w:r>
              <w:rPr>
                <w:rFonts w:hint="eastAsia" w:ascii="宋体" w:hAnsi="宋体" w:eastAsia="宋体"/>
                <w:sz w:val="24"/>
              </w:rPr>
              <w:t>1  ……</w:t>
            </w:r>
          </w:p>
          <w:p>
            <w:pPr>
              <w:spacing w:line="340" w:lineRule="exact"/>
              <w:rPr>
                <w:rFonts w:hint="eastAsia" w:ascii="宋体" w:hAnsi="宋体" w:eastAsia="宋体"/>
                <w:sz w:val="24"/>
              </w:rPr>
            </w:pPr>
            <w:r>
              <w:rPr>
                <w:rFonts w:hint="eastAsia" w:ascii="宋体" w:hAnsi="宋体" w:eastAsia="宋体"/>
                <w:sz w:val="24"/>
              </w:rPr>
              <w:t>2  ……</w:t>
            </w:r>
          </w:p>
          <w:p>
            <w:pPr>
              <w:spacing w:line="340" w:lineRule="exact"/>
              <w:rPr>
                <w:rFonts w:hint="eastAsia" w:ascii="宋体" w:hAnsi="宋体" w:eastAsia="宋体"/>
                <w:sz w:val="24"/>
              </w:rPr>
            </w:pPr>
            <w:r>
              <w:rPr>
                <w:rFonts w:hint="eastAsia" w:ascii="宋体" w:hAnsi="宋体" w:eastAsia="宋体"/>
                <w:sz w:val="24"/>
              </w:rPr>
              <w:t>3  ……</w:t>
            </w:r>
          </w:p>
          <w:p>
            <w:pPr>
              <w:spacing w:line="340" w:lineRule="exact"/>
              <w:rPr>
                <w:rFonts w:hint="eastAsia" w:ascii="宋体" w:hAnsi="宋体" w:eastAsia="宋体"/>
                <w:sz w:val="24"/>
              </w:rPr>
            </w:pPr>
            <w:r>
              <w:rPr>
                <w:rFonts w:hint="eastAsia" w:ascii="宋体" w:hAnsi="宋体" w:eastAsia="宋体"/>
                <w:sz w:val="24"/>
              </w:rPr>
              <w:t>……</w:t>
            </w:r>
          </w:p>
        </w:tc>
        <w:tc>
          <w:tcPr>
            <w:tcW w:w="2241" w:type="dxa"/>
          </w:tcPr>
          <w:p>
            <w:pPr>
              <w:spacing w:line="300" w:lineRule="exact"/>
              <w:rPr>
                <w:rFonts w:hint="eastAsia"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hint="eastAsia" w:ascii="宋体" w:hAnsi="宋体" w:eastAsia="宋体"/>
                <w:sz w:val="24"/>
              </w:rPr>
            </w:pPr>
            <w:r>
              <w:rPr>
                <w:rFonts w:hint="eastAsia" w:ascii="宋体" w:hAnsi="宋体" w:eastAsia="宋体"/>
                <w:sz w:val="24"/>
              </w:rPr>
              <w:t>二</w:t>
            </w:r>
          </w:p>
        </w:tc>
        <w:tc>
          <w:tcPr>
            <w:tcW w:w="3402" w:type="dxa"/>
          </w:tcPr>
          <w:p>
            <w:pPr>
              <w:spacing w:line="340" w:lineRule="exact"/>
              <w:rPr>
                <w:rFonts w:hint="eastAsia" w:ascii="宋体" w:hAnsi="宋体" w:eastAsia="宋体"/>
                <w:sz w:val="24"/>
              </w:rPr>
            </w:pPr>
            <w:r>
              <w:rPr>
                <w:rFonts w:hint="eastAsia" w:ascii="宋体" w:hAnsi="宋体" w:eastAsia="宋体"/>
                <w:sz w:val="24"/>
              </w:rPr>
              <w:t>1  ……</w:t>
            </w:r>
          </w:p>
          <w:p>
            <w:pPr>
              <w:spacing w:line="340" w:lineRule="exact"/>
              <w:rPr>
                <w:rFonts w:hint="eastAsia" w:ascii="宋体" w:hAnsi="宋体" w:eastAsia="宋体"/>
                <w:sz w:val="24"/>
              </w:rPr>
            </w:pPr>
            <w:r>
              <w:rPr>
                <w:rFonts w:hint="eastAsia" w:ascii="宋体" w:hAnsi="宋体" w:eastAsia="宋体"/>
                <w:sz w:val="24"/>
              </w:rPr>
              <w:t>2  ……</w:t>
            </w:r>
          </w:p>
          <w:p>
            <w:pPr>
              <w:spacing w:line="340" w:lineRule="exact"/>
              <w:rPr>
                <w:rFonts w:hint="eastAsia" w:ascii="宋体" w:hAnsi="宋体" w:eastAsia="宋体"/>
                <w:sz w:val="24"/>
              </w:rPr>
            </w:pPr>
            <w:r>
              <w:rPr>
                <w:rFonts w:hint="eastAsia" w:ascii="宋体" w:hAnsi="宋体" w:eastAsia="宋体"/>
                <w:sz w:val="24"/>
              </w:rPr>
              <w:t>3  ……</w:t>
            </w:r>
          </w:p>
          <w:p>
            <w:pPr>
              <w:spacing w:line="340" w:lineRule="exact"/>
              <w:rPr>
                <w:rFonts w:hint="eastAsia" w:ascii="宋体" w:hAnsi="宋体" w:eastAsia="宋体"/>
                <w:sz w:val="24"/>
              </w:rPr>
            </w:pPr>
            <w:r>
              <w:rPr>
                <w:rFonts w:hint="eastAsia" w:ascii="宋体" w:hAnsi="宋体" w:eastAsia="宋体"/>
                <w:sz w:val="24"/>
              </w:rPr>
              <w:t>……</w:t>
            </w:r>
          </w:p>
        </w:tc>
        <w:tc>
          <w:tcPr>
            <w:tcW w:w="2862" w:type="dxa"/>
          </w:tcPr>
          <w:p>
            <w:pPr>
              <w:spacing w:line="340" w:lineRule="exact"/>
              <w:rPr>
                <w:rFonts w:hint="eastAsia" w:ascii="宋体" w:hAnsi="宋体" w:eastAsia="宋体"/>
                <w:sz w:val="24"/>
              </w:rPr>
            </w:pPr>
            <w:r>
              <w:rPr>
                <w:rFonts w:hint="eastAsia" w:ascii="宋体" w:hAnsi="宋体" w:eastAsia="宋体"/>
                <w:sz w:val="24"/>
              </w:rPr>
              <w:t>1  ……</w:t>
            </w:r>
          </w:p>
          <w:p>
            <w:pPr>
              <w:spacing w:line="340" w:lineRule="exact"/>
              <w:rPr>
                <w:rFonts w:hint="eastAsia" w:ascii="宋体" w:hAnsi="宋体" w:eastAsia="宋体"/>
                <w:sz w:val="24"/>
              </w:rPr>
            </w:pPr>
            <w:r>
              <w:rPr>
                <w:rFonts w:hint="eastAsia" w:ascii="宋体" w:hAnsi="宋体" w:eastAsia="宋体"/>
                <w:sz w:val="24"/>
              </w:rPr>
              <w:t>2  ……</w:t>
            </w:r>
          </w:p>
          <w:p>
            <w:pPr>
              <w:spacing w:line="340" w:lineRule="exact"/>
              <w:rPr>
                <w:rFonts w:hint="eastAsia" w:ascii="宋体" w:hAnsi="宋体" w:eastAsia="宋体"/>
                <w:sz w:val="24"/>
              </w:rPr>
            </w:pPr>
            <w:r>
              <w:rPr>
                <w:rFonts w:hint="eastAsia" w:ascii="宋体" w:hAnsi="宋体" w:eastAsia="宋体"/>
                <w:sz w:val="24"/>
              </w:rPr>
              <w:t>3  ……</w:t>
            </w:r>
          </w:p>
          <w:p>
            <w:pPr>
              <w:spacing w:line="340" w:lineRule="exact"/>
              <w:rPr>
                <w:rFonts w:hint="eastAsia" w:ascii="宋体" w:hAnsi="宋体" w:eastAsia="宋体"/>
                <w:sz w:val="24"/>
              </w:rPr>
            </w:pPr>
            <w:r>
              <w:rPr>
                <w:rFonts w:hint="eastAsia" w:ascii="宋体" w:hAnsi="宋体" w:eastAsia="宋体"/>
                <w:sz w:val="24"/>
              </w:rPr>
              <w:t>……</w:t>
            </w:r>
          </w:p>
        </w:tc>
        <w:tc>
          <w:tcPr>
            <w:tcW w:w="2241" w:type="dxa"/>
          </w:tcPr>
          <w:p>
            <w:pPr>
              <w:spacing w:line="300" w:lineRule="exact"/>
              <w:rPr>
                <w:rFonts w:hint="eastAsia"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hint="eastAsia" w:ascii="宋体" w:hAnsi="宋体" w:eastAsia="宋体"/>
                <w:sz w:val="24"/>
              </w:rPr>
            </w:pPr>
            <w:r>
              <w:rPr>
                <w:rFonts w:hint="eastAsia" w:ascii="宋体" w:hAnsi="宋体" w:eastAsia="宋体"/>
                <w:sz w:val="24"/>
              </w:rPr>
              <w:t>...</w:t>
            </w:r>
          </w:p>
        </w:tc>
        <w:tc>
          <w:tcPr>
            <w:tcW w:w="3402" w:type="dxa"/>
          </w:tcPr>
          <w:p>
            <w:pPr>
              <w:spacing w:line="340" w:lineRule="exact"/>
              <w:rPr>
                <w:rFonts w:hint="eastAsia" w:ascii="宋体" w:hAnsi="宋体" w:eastAsia="宋体"/>
                <w:sz w:val="24"/>
              </w:rPr>
            </w:pPr>
            <w:r>
              <w:rPr>
                <w:rFonts w:hint="eastAsia" w:ascii="宋体" w:hAnsi="宋体" w:eastAsia="宋体"/>
                <w:sz w:val="24"/>
              </w:rPr>
              <w:t>1  ……</w:t>
            </w:r>
          </w:p>
          <w:p>
            <w:pPr>
              <w:spacing w:line="340" w:lineRule="exact"/>
              <w:rPr>
                <w:rFonts w:hint="eastAsia" w:ascii="宋体" w:hAnsi="宋体" w:eastAsia="宋体"/>
                <w:sz w:val="24"/>
              </w:rPr>
            </w:pPr>
            <w:r>
              <w:rPr>
                <w:rFonts w:hint="eastAsia" w:ascii="宋体" w:hAnsi="宋体" w:eastAsia="宋体"/>
                <w:sz w:val="24"/>
              </w:rPr>
              <w:t>2  ……</w:t>
            </w:r>
          </w:p>
          <w:p>
            <w:pPr>
              <w:spacing w:line="340" w:lineRule="exact"/>
              <w:rPr>
                <w:rFonts w:hint="eastAsia" w:ascii="宋体" w:hAnsi="宋体" w:eastAsia="宋体"/>
                <w:sz w:val="24"/>
              </w:rPr>
            </w:pPr>
            <w:r>
              <w:rPr>
                <w:rFonts w:hint="eastAsia" w:ascii="宋体" w:hAnsi="宋体" w:eastAsia="宋体"/>
                <w:sz w:val="24"/>
              </w:rPr>
              <w:t>3  ……</w:t>
            </w:r>
          </w:p>
        </w:tc>
        <w:tc>
          <w:tcPr>
            <w:tcW w:w="2862" w:type="dxa"/>
          </w:tcPr>
          <w:p>
            <w:pPr>
              <w:spacing w:line="340" w:lineRule="exact"/>
              <w:rPr>
                <w:rFonts w:hint="eastAsia" w:ascii="宋体" w:hAnsi="宋体" w:eastAsia="宋体"/>
                <w:sz w:val="24"/>
              </w:rPr>
            </w:pPr>
            <w:r>
              <w:rPr>
                <w:rFonts w:hint="eastAsia" w:ascii="宋体" w:hAnsi="宋体" w:eastAsia="宋体"/>
                <w:sz w:val="24"/>
              </w:rPr>
              <w:t>1  ……</w:t>
            </w:r>
          </w:p>
          <w:p>
            <w:pPr>
              <w:spacing w:line="340" w:lineRule="exact"/>
              <w:rPr>
                <w:rFonts w:hint="eastAsia" w:ascii="宋体" w:hAnsi="宋体" w:eastAsia="宋体"/>
                <w:sz w:val="24"/>
              </w:rPr>
            </w:pPr>
            <w:r>
              <w:rPr>
                <w:rFonts w:hint="eastAsia" w:ascii="宋体" w:hAnsi="宋体" w:eastAsia="宋体"/>
                <w:sz w:val="24"/>
              </w:rPr>
              <w:t>2  ……</w:t>
            </w:r>
          </w:p>
          <w:p>
            <w:pPr>
              <w:spacing w:line="340" w:lineRule="exact"/>
              <w:rPr>
                <w:rFonts w:hint="eastAsia" w:ascii="宋体" w:hAnsi="宋体" w:eastAsia="宋体"/>
                <w:sz w:val="24"/>
              </w:rPr>
            </w:pPr>
            <w:r>
              <w:rPr>
                <w:rFonts w:hint="eastAsia" w:ascii="宋体" w:hAnsi="宋体" w:eastAsia="宋体"/>
                <w:sz w:val="24"/>
              </w:rPr>
              <w:t>3  ……</w:t>
            </w:r>
          </w:p>
        </w:tc>
        <w:tc>
          <w:tcPr>
            <w:tcW w:w="2241" w:type="dxa"/>
          </w:tcPr>
          <w:p>
            <w:pPr>
              <w:spacing w:line="300" w:lineRule="exact"/>
              <w:rPr>
                <w:rFonts w:hint="eastAsia"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hint="eastAsia" w:ascii="宋体" w:hAnsi="宋体" w:eastAsia="宋体"/>
                <w:sz w:val="24"/>
              </w:rPr>
            </w:pPr>
            <w:r>
              <w:rPr>
                <w:rFonts w:hint="eastAsia" w:ascii="宋体" w:hAnsi="宋体" w:eastAsia="宋体"/>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hint="eastAsia" w:ascii="宋体" w:hAnsi="宋体" w:eastAsia="宋体"/>
                <w:sz w:val="24"/>
              </w:rPr>
            </w:pPr>
            <w:r>
              <w:rPr>
                <w:rFonts w:hint="eastAsia" w:ascii="宋体" w:hAnsi="宋体" w:eastAsia="宋体"/>
                <w:sz w:val="24"/>
              </w:rPr>
              <w:t>法定代表人或其委托代理人（签字或盖章）：</w:t>
            </w:r>
          </w:p>
        </w:tc>
      </w:tr>
    </w:tbl>
    <w:p>
      <w:pPr>
        <w:spacing w:line="400" w:lineRule="exact"/>
        <w:rPr>
          <w:rFonts w:hint="eastAsia" w:ascii="宋体" w:hAnsi="宋体" w:eastAsia="宋体"/>
          <w:sz w:val="24"/>
        </w:rPr>
      </w:pPr>
      <w:r>
        <w:rPr>
          <w:rFonts w:hint="eastAsia" w:ascii="宋体" w:hAnsi="宋体" w:eastAsia="宋体"/>
          <w:sz w:val="24"/>
        </w:rPr>
        <w:t>注：⑴表格内容均需按要求填写并盖章，不得留空，否则按投标无效处理。</w:t>
      </w:r>
    </w:p>
    <w:p>
      <w:pPr>
        <w:spacing w:line="400" w:lineRule="exact"/>
        <w:rPr>
          <w:rFonts w:hint="eastAsia" w:ascii="宋体" w:hAnsi="宋体" w:eastAsia="宋体"/>
          <w:sz w:val="24"/>
        </w:rPr>
      </w:pPr>
      <w:r>
        <w:rPr>
          <w:rFonts w:hint="eastAsia" w:ascii="宋体" w:hAnsi="宋体" w:eastAsia="宋体"/>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7"/>
        <w:spacing w:line="400" w:lineRule="exact"/>
        <w:rPr>
          <w:rFonts w:hint="eastAsia" w:ascii="宋体" w:hAnsi="宋体" w:eastAsia="宋体" w:cs="宋体"/>
          <w:sz w:val="24"/>
          <w:szCs w:val="24"/>
        </w:rPr>
      </w:pPr>
      <w:r>
        <w:rPr>
          <w:rFonts w:hint="eastAsia" w:ascii="宋体" w:hAnsi="宋体" w:eastAsia="宋体" w:cs="宋体"/>
          <w:sz w:val="24"/>
          <w:szCs w:val="24"/>
        </w:rPr>
        <w:t>⑶当投标文件的商务内容低于招标文件要求时，投标人应当如实写明“负偏离”，否则视为虚假应标。</w:t>
      </w:r>
    </w:p>
    <w:p>
      <w:pPr>
        <w:pStyle w:val="17"/>
        <w:spacing w:line="400" w:lineRule="exact"/>
        <w:rPr>
          <w:rFonts w:hint="eastAsia" w:ascii="宋体" w:hAnsi="宋体" w:eastAsia="宋体" w:cs="宋体"/>
        </w:rPr>
      </w:pPr>
      <w:r>
        <w:rPr>
          <w:rFonts w:hint="eastAsia" w:ascii="宋体" w:hAnsi="宋体" w:eastAsia="宋体" w:cs="宋体"/>
          <w:b/>
        </w:rPr>
        <w:br w:type="page"/>
      </w:r>
      <w:r>
        <w:rPr>
          <w:rFonts w:hint="eastAsia" w:ascii="宋体" w:hAnsi="宋体" w:eastAsia="宋体" w:cs="宋体"/>
          <w:b/>
        </w:rPr>
        <w:t>格式9：</w:t>
      </w:r>
    </w:p>
    <w:p>
      <w:pPr>
        <w:pStyle w:val="17"/>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法定代表人授权委托书（格式）</w:t>
      </w:r>
    </w:p>
    <w:p>
      <w:pPr>
        <w:pStyle w:val="17"/>
        <w:spacing w:line="440" w:lineRule="exact"/>
        <w:ind w:firstLine="420" w:firstLineChars="200"/>
        <w:rPr>
          <w:rFonts w:hint="eastAsia" w:ascii="宋体" w:hAnsi="宋体" w:eastAsia="宋体" w:cs="宋体"/>
          <w:u w:val="single"/>
        </w:rPr>
      </w:pPr>
    </w:p>
    <w:p>
      <w:pPr>
        <w:pStyle w:val="17"/>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pPr>
        <w:pStyle w:val="17"/>
        <w:spacing w:line="440" w:lineRule="exact"/>
        <w:ind w:firstLine="480" w:firstLineChars="200"/>
        <w:rPr>
          <w:rFonts w:hint="eastAsia" w:ascii="宋体" w:hAnsi="宋体" w:eastAsia="宋体" w:cs="宋体"/>
          <w:sz w:val="24"/>
          <w:szCs w:val="24"/>
        </w:rPr>
      </w:pPr>
    </w:p>
    <w:p>
      <w:pPr>
        <w:pStyle w:val="17"/>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（投标人名称）的法定代表人，现授权我单位在职正式员工</w:t>
      </w:r>
      <w:r>
        <w:rPr>
          <w:rFonts w:hint="eastAsia" w:ascii="宋体" w:hAnsi="宋体" w:eastAsia="宋体" w:cs="宋体"/>
          <w:sz w:val="24"/>
          <w:szCs w:val="24"/>
          <w:u w:val="single"/>
        </w:rPr>
        <w:t xml:space="preserve">             </w:t>
      </w:r>
      <w:r>
        <w:rPr>
          <w:rFonts w:hint="eastAsia" w:ascii="宋体" w:hAnsi="宋体" w:eastAsia="宋体" w:cs="宋体"/>
          <w:sz w:val="24"/>
          <w:szCs w:val="24"/>
        </w:rPr>
        <w:t>（姓名和职务）为我方代理人。代理人根据授权，以我方名义签署、澄清、说明、补正、递交、撤回、修改贵方组织的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）的投标文件、签订合同和处理一切有关事宜，其法律后果由我方承担。</w:t>
      </w:r>
    </w:p>
    <w:p>
      <w:pPr>
        <w:pStyle w:val="17"/>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pacing w:val="10"/>
          <w:sz w:val="24"/>
          <w:szCs w:val="24"/>
          <w:u w:val="single"/>
        </w:rPr>
        <w:t xml:space="preserve">    </w:t>
      </w:r>
      <w:r>
        <w:rPr>
          <w:rFonts w:hint="eastAsia" w:ascii="宋体" w:hAnsi="宋体" w:eastAsia="宋体" w:cs="宋体"/>
          <w:sz w:val="24"/>
          <w:szCs w:val="24"/>
        </w:rPr>
        <w:t>年</w:t>
      </w:r>
      <w:r>
        <w:rPr>
          <w:rFonts w:hint="eastAsia" w:ascii="宋体" w:hAnsi="宋体" w:eastAsia="宋体" w:cs="宋体"/>
          <w:spacing w:val="10"/>
          <w:sz w:val="24"/>
          <w:szCs w:val="24"/>
          <w:u w:val="single"/>
        </w:rPr>
        <w:t xml:space="preserve">    </w:t>
      </w:r>
      <w:r>
        <w:rPr>
          <w:rFonts w:hint="eastAsia" w:ascii="宋体" w:hAnsi="宋体" w:eastAsia="宋体" w:cs="宋体"/>
          <w:sz w:val="24"/>
          <w:szCs w:val="24"/>
        </w:rPr>
        <w:t>月</w:t>
      </w:r>
      <w:r>
        <w:rPr>
          <w:rFonts w:hint="eastAsia" w:ascii="宋体" w:hAnsi="宋体" w:eastAsia="宋体" w:cs="宋体"/>
          <w:spacing w:val="10"/>
          <w:sz w:val="24"/>
          <w:szCs w:val="24"/>
          <w:u w:val="single"/>
        </w:rPr>
        <w:t xml:space="preserve">    </w:t>
      </w:r>
      <w:r>
        <w:rPr>
          <w:rFonts w:hint="eastAsia" w:ascii="宋体" w:hAnsi="宋体" w:eastAsia="宋体" w:cs="宋体"/>
          <w:sz w:val="24"/>
          <w:szCs w:val="24"/>
        </w:rPr>
        <w:t>日签字生效，委托期限：</w:t>
      </w:r>
      <w:r>
        <w:rPr>
          <w:rFonts w:hint="eastAsia" w:ascii="宋体" w:hAnsi="宋体" w:eastAsia="宋体" w:cs="宋体"/>
          <w:spacing w:val="10"/>
          <w:sz w:val="24"/>
          <w:szCs w:val="24"/>
          <w:u w:val="single"/>
        </w:rPr>
        <w:t xml:space="preserve">                </w:t>
      </w:r>
      <w:r>
        <w:rPr>
          <w:rFonts w:hint="eastAsia" w:ascii="宋体" w:hAnsi="宋体" w:eastAsia="宋体" w:cs="宋体"/>
          <w:sz w:val="24"/>
          <w:szCs w:val="24"/>
        </w:rPr>
        <w:t>。</w:t>
      </w:r>
    </w:p>
    <w:p>
      <w:pPr>
        <w:pStyle w:val="17"/>
        <w:spacing w:line="360" w:lineRule="auto"/>
        <w:ind w:firstLine="420"/>
        <w:rPr>
          <w:rFonts w:hint="eastAsia" w:ascii="宋体" w:hAnsi="宋体" w:eastAsia="宋体" w:cs="宋体"/>
          <w:sz w:val="24"/>
          <w:szCs w:val="24"/>
        </w:rPr>
      </w:pPr>
    </w:p>
    <w:p>
      <w:pPr>
        <w:pStyle w:val="17"/>
        <w:spacing w:line="360" w:lineRule="auto"/>
        <w:ind w:firstLine="420"/>
        <w:rPr>
          <w:rFonts w:hint="eastAsia" w:ascii="宋体" w:hAnsi="宋体" w:eastAsia="宋体" w:cs="宋体"/>
          <w:sz w:val="24"/>
          <w:szCs w:val="24"/>
        </w:rPr>
      </w:pPr>
      <w:r>
        <w:rPr>
          <w:rFonts w:hint="eastAsia" w:ascii="宋体" w:hAnsi="宋体" w:eastAsia="宋体" w:cs="宋体"/>
          <w:sz w:val="24"/>
          <w:szCs w:val="24"/>
        </w:rPr>
        <w:t>代理人无转委托权。</w:t>
      </w:r>
    </w:p>
    <w:p>
      <w:pPr>
        <w:pStyle w:val="17"/>
        <w:spacing w:line="360" w:lineRule="auto"/>
        <w:ind w:firstLine="420"/>
        <w:rPr>
          <w:rFonts w:hint="eastAsia" w:ascii="宋体" w:hAnsi="宋体" w:eastAsia="宋体" w:cs="宋体"/>
          <w:sz w:val="24"/>
          <w:szCs w:val="24"/>
        </w:rPr>
      </w:pPr>
    </w:p>
    <w:p>
      <w:pPr>
        <w:pStyle w:val="17"/>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投标人（盖单位公章）：__________________________________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____</w:t>
      </w:r>
      <w:r>
        <w:rPr>
          <w:rFonts w:hint="eastAsia" w:ascii="宋体" w:hAnsi="宋体" w:eastAsia="宋体" w:cs="宋体"/>
          <w:sz w:val="24"/>
          <w:szCs w:val="24"/>
          <w:u w:val="single"/>
        </w:rPr>
        <w:t xml:space="preserve">                                       </w:t>
      </w:r>
    </w:p>
    <w:p>
      <w:pPr>
        <w:pStyle w:val="17"/>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社会统一信用代码: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__________________________________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w:t>
      </w:r>
      <w:r>
        <w:rPr>
          <w:rFonts w:hint="eastAsia" w:ascii="宋体" w:hAnsi="宋体" w:eastAsia="宋体" w:cs="宋体"/>
          <w:sz w:val="24"/>
          <w:szCs w:val="24"/>
          <w:u w:val="single"/>
        </w:rPr>
        <w:t xml:space="preserve"> </w:t>
      </w:r>
      <w:r>
        <w:rPr>
          <w:rFonts w:hint="eastAsia" w:ascii="宋体" w:hAnsi="宋体" w:eastAsia="宋体" w:cs="宋体"/>
          <w:sz w:val="24"/>
          <w:szCs w:val="24"/>
        </w:rPr>
        <w:t>______</w:t>
      </w:r>
      <w:r>
        <w:rPr>
          <w:rFonts w:hint="eastAsia" w:ascii="宋体" w:hAnsi="宋体" w:eastAsia="宋体" w:cs="宋体"/>
          <w:sz w:val="24"/>
          <w:szCs w:val="24"/>
          <w:u w:val="single"/>
        </w:rPr>
        <w:t xml:space="preserve">                                           </w:t>
      </w:r>
    </w:p>
    <w:p>
      <w:pPr>
        <w:pStyle w:val="17"/>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法定代表人（签字或盖章）：___________________________________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17"/>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法定代表人身份证号码：__________________________________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____</w:t>
      </w:r>
      <w:r>
        <w:rPr>
          <w:rFonts w:hint="eastAsia" w:ascii="宋体" w:hAnsi="宋体" w:eastAsia="宋体" w:cs="宋体"/>
          <w:sz w:val="24"/>
          <w:szCs w:val="24"/>
          <w:u w:val="single"/>
        </w:rPr>
        <w:t xml:space="preserve">                                       </w:t>
      </w:r>
    </w:p>
    <w:p>
      <w:pPr>
        <w:pStyle w:val="17"/>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委托代理人（签字或盖章）：___________________________________</w:t>
      </w:r>
      <w:r>
        <w:rPr>
          <w:rFonts w:hint="eastAsia" w:ascii="宋体" w:hAnsi="宋体" w:eastAsia="宋体" w:cs="宋体"/>
          <w:sz w:val="24"/>
          <w:szCs w:val="24"/>
          <w:u w:val="single"/>
        </w:rPr>
        <w:t xml:space="preserve">                                  </w:t>
      </w:r>
    </w:p>
    <w:p>
      <w:pPr>
        <w:pStyle w:val="17"/>
        <w:spacing w:line="360" w:lineRule="auto"/>
        <w:ind w:firstLine="420"/>
        <w:rPr>
          <w:rFonts w:hint="eastAsia" w:ascii="宋体" w:hAnsi="宋体" w:eastAsia="宋体" w:cs="宋体"/>
          <w:sz w:val="24"/>
          <w:szCs w:val="24"/>
          <w:u w:val="single"/>
        </w:rPr>
        <w:sectPr>
          <w:pgSz w:w="11906" w:h="16838"/>
          <w:pgMar w:top="1440" w:right="1080" w:bottom="1440" w:left="1080" w:header="851" w:footer="907" w:gutter="0"/>
          <w:cols w:space="720" w:num="1"/>
          <w:docGrid w:type="lines" w:linePitch="312" w:charSpace="0"/>
        </w:sectPr>
      </w:pPr>
      <w:r>
        <w:rPr>
          <w:rFonts w:hint="eastAsia" w:ascii="宋体" w:hAnsi="宋体" w:eastAsia="宋体" w:cs="宋体"/>
          <w:sz w:val="24"/>
          <w:szCs w:val="24"/>
        </w:rPr>
        <w:t>委托代理人身份证号码：______________________________________</w:t>
      </w:r>
      <w:r>
        <w:rPr>
          <w:rFonts w:hint="eastAsia" w:ascii="宋体" w:hAnsi="宋体" w:eastAsia="宋体" w:cs="宋体"/>
          <w:sz w:val="24"/>
          <w:szCs w:val="24"/>
          <w:u w:val="single"/>
        </w:rPr>
        <w:t xml:space="preserve">    </w:t>
      </w:r>
    </w:p>
    <w:p>
      <w:pPr>
        <w:pStyle w:val="17"/>
        <w:spacing w:line="360" w:lineRule="auto"/>
        <w:ind w:firstLine="420"/>
        <w:rPr>
          <w:rFonts w:hint="eastAsia" w:ascii="宋体" w:hAnsi="宋体" w:eastAsia="宋体" w:cs="宋体"/>
          <w:sz w:val="24"/>
          <w:szCs w:val="24"/>
        </w:rPr>
      </w:pPr>
      <w:r>
        <w:rPr>
          <w:rFonts w:hint="eastAsia" w:ascii="宋体" w:hAnsi="宋体" w:eastAsia="宋体" w:cs="宋体"/>
          <w:b/>
          <w:bCs/>
        </w:rPr>
        <w:t>格式10：</w:t>
      </w:r>
      <w:r>
        <w:rPr>
          <w:rFonts w:hint="eastAsia" w:ascii="宋体" w:hAnsi="宋体" w:eastAsia="宋体" w:cs="宋体"/>
          <w:sz w:val="24"/>
          <w:szCs w:val="24"/>
        </w:rPr>
        <w:t xml:space="preserve">                                </w:t>
      </w:r>
    </w:p>
    <w:p>
      <w:pPr>
        <w:pStyle w:val="17"/>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投标人直接控股、管理关系信息表（格式）</w:t>
      </w:r>
    </w:p>
    <w:p>
      <w:pPr>
        <w:spacing w:before="50" w:after="156" w:afterLines="50"/>
        <w:jc w:val="center"/>
        <w:rPr>
          <w:rFonts w:hint="eastAsia" w:ascii="宋体" w:hAnsi="宋体" w:eastAsia="宋体"/>
          <w:b/>
          <w:sz w:val="28"/>
          <w:szCs w:val="28"/>
        </w:rPr>
      </w:pPr>
    </w:p>
    <w:p>
      <w:pPr>
        <w:spacing w:before="50" w:after="156" w:afterLines="50"/>
        <w:jc w:val="center"/>
        <w:rPr>
          <w:rFonts w:hint="eastAsia" w:ascii="宋体" w:hAnsi="宋体" w:eastAsia="宋体"/>
          <w:b/>
          <w:sz w:val="28"/>
          <w:szCs w:val="28"/>
        </w:rPr>
      </w:pPr>
      <w:r>
        <w:rPr>
          <w:rFonts w:hint="eastAsia" w:ascii="宋体" w:hAnsi="宋体" w:eastAsia="宋体"/>
          <w:b/>
          <w:sz w:val="28"/>
          <w:szCs w:val="28"/>
        </w:rPr>
        <w:t>投标人直接控股股东信息表</w:t>
      </w:r>
    </w:p>
    <w:tbl>
      <w:tblPr>
        <w:tblStyle w:val="26"/>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r>
    </w:tbl>
    <w:p>
      <w:pPr>
        <w:rPr>
          <w:rFonts w:hint="eastAsia" w:ascii="宋体" w:hAnsi="宋体" w:eastAsia="宋体"/>
          <w:sz w:val="24"/>
          <w:szCs w:val="24"/>
        </w:rPr>
      </w:pPr>
      <w:r>
        <w:rPr>
          <w:rFonts w:hint="eastAsia" w:ascii="宋体" w:hAnsi="宋体" w:eastAsia="宋体"/>
          <w:sz w:val="24"/>
          <w:szCs w:val="24"/>
        </w:rPr>
        <w:t>注：</w:t>
      </w:r>
    </w:p>
    <w:p>
      <w:pPr>
        <w:rPr>
          <w:rFonts w:hint="eastAsia" w:ascii="宋体" w:hAnsi="宋体" w:eastAsia="宋体"/>
          <w:sz w:val="24"/>
          <w:szCs w:val="24"/>
        </w:rPr>
      </w:pPr>
      <w:r>
        <w:rPr>
          <w:rFonts w:hint="eastAsia" w:ascii="宋体" w:hAnsi="宋体" w:eastAsia="宋体"/>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hint="eastAsia" w:ascii="宋体" w:hAnsi="宋体" w:eastAsia="宋体"/>
          <w:sz w:val="24"/>
          <w:szCs w:val="24"/>
        </w:rPr>
      </w:pPr>
      <w:r>
        <w:rPr>
          <w:rFonts w:hint="eastAsia" w:ascii="宋体" w:hAnsi="宋体" w:eastAsia="宋体"/>
          <w:sz w:val="24"/>
          <w:szCs w:val="24"/>
        </w:rPr>
        <w:t>2.本表所指的控股关系仅限于直接控股关系，不包括间接的控股关系。公司实际控制人与公司之间的关系不属于本表所指的直接控股关系。</w:t>
      </w:r>
    </w:p>
    <w:p>
      <w:pPr>
        <w:rPr>
          <w:rFonts w:hint="eastAsia" w:ascii="宋体" w:hAnsi="宋体" w:eastAsia="宋体"/>
          <w:sz w:val="24"/>
          <w:szCs w:val="24"/>
        </w:rPr>
      </w:pPr>
    </w:p>
    <w:p>
      <w:pPr>
        <w:rPr>
          <w:rFonts w:hint="eastAsia" w:ascii="宋体" w:hAnsi="宋体" w:eastAsia="宋体"/>
          <w:sz w:val="24"/>
          <w:szCs w:val="24"/>
        </w:rPr>
      </w:pPr>
    </w:p>
    <w:p>
      <w:pPr>
        <w:rPr>
          <w:rFonts w:hint="eastAsia" w:ascii="宋体" w:hAnsi="宋体" w:eastAsia="宋体"/>
          <w:sz w:val="24"/>
          <w:szCs w:val="24"/>
        </w:rPr>
      </w:pPr>
    </w:p>
    <w:p>
      <w:pPr>
        <w:pStyle w:val="17"/>
        <w:spacing w:line="600" w:lineRule="exact"/>
        <w:rPr>
          <w:rFonts w:hint="eastAsia" w:ascii="宋体" w:hAnsi="宋体" w:eastAsia="宋体" w:cs="宋体"/>
          <w:sz w:val="24"/>
          <w:szCs w:val="24"/>
          <w:u w:val="single"/>
        </w:rPr>
      </w:pPr>
      <w:r>
        <w:rPr>
          <w:rFonts w:hint="eastAsia" w:ascii="宋体" w:hAnsi="宋体" w:eastAsia="宋体" w:cs="宋体"/>
          <w:sz w:val="24"/>
          <w:szCs w:val="24"/>
        </w:rPr>
        <w:t>投标人（盖单位公章）：</w:t>
      </w:r>
      <w:r>
        <w:rPr>
          <w:rFonts w:hint="eastAsia" w:ascii="宋体" w:hAnsi="宋体" w:eastAsia="宋体" w:cs="宋体"/>
          <w:sz w:val="24"/>
          <w:szCs w:val="24"/>
          <w:u w:val="single"/>
        </w:rPr>
        <w:t xml:space="preserve">                                    </w:t>
      </w:r>
    </w:p>
    <w:p>
      <w:pPr>
        <w:pStyle w:val="17"/>
        <w:spacing w:line="600" w:lineRule="exact"/>
        <w:rPr>
          <w:rFonts w:hint="eastAsia" w:ascii="宋体" w:hAnsi="宋体" w:eastAsia="宋体" w:cs="宋体"/>
          <w:sz w:val="24"/>
          <w:szCs w:val="24"/>
        </w:rPr>
      </w:pPr>
    </w:p>
    <w:p>
      <w:pPr>
        <w:pStyle w:val="17"/>
        <w:spacing w:line="600" w:lineRule="exact"/>
        <w:rPr>
          <w:rFonts w:hint="eastAsia" w:ascii="宋体" w:hAnsi="宋体" w:eastAsia="宋体" w:cs="宋体"/>
          <w:sz w:val="24"/>
          <w:szCs w:val="24"/>
          <w:u w:val="single"/>
        </w:rPr>
      </w:pPr>
      <w:r>
        <w:rPr>
          <w:rFonts w:hint="eastAsia" w:ascii="宋体" w:hAnsi="宋体" w:eastAsia="宋体" w:cs="宋体"/>
          <w:sz w:val="24"/>
          <w:szCs w:val="24"/>
        </w:rPr>
        <w:t>法定代表人或其委托代理人（签字或盖章）：</w:t>
      </w:r>
      <w:r>
        <w:rPr>
          <w:rFonts w:hint="eastAsia" w:ascii="宋体" w:hAnsi="宋体" w:eastAsia="宋体" w:cs="宋体"/>
          <w:sz w:val="24"/>
          <w:szCs w:val="24"/>
          <w:u w:val="single"/>
        </w:rPr>
        <w:t xml:space="preserve">                  </w:t>
      </w:r>
    </w:p>
    <w:p>
      <w:pPr>
        <w:spacing w:before="156" w:beforeLines="50" w:after="50"/>
        <w:ind w:right="480" w:firstLine="5520" w:firstLineChars="2300"/>
        <w:rPr>
          <w:rFonts w:hint="eastAsia" w:ascii="宋体" w:hAnsi="宋体" w:eastAsia="宋体"/>
          <w:sz w:val="24"/>
          <w:szCs w:val="24"/>
        </w:rPr>
      </w:pPr>
    </w:p>
    <w:p>
      <w:pPr>
        <w:spacing w:before="156" w:beforeLines="50" w:after="50"/>
        <w:ind w:right="480" w:firstLine="240" w:firstLineChars="100"/>
        <w:rPr>
          <w:rFonts w:hint="eastAsia" w:ascii="宋体" w:hAnsi="宋体" w:eastAsia="宋体"/>
          <w:sz w:val="24"/>
          <w:szCs w:val="24"/>
        </w:rPr>
      </w:pPr>
      <w:r>
        <w:rPr>
          <w:rFonts w:hint="eastAsia" w:ascii="宋体" w:hAnsi="宋体" w:eastAsia="宋体"/>
          <w:sz w:val="24"/>
          <w:szCs w:val="24"/>
        </w:rPr>
        <w:t>年    月    日</w:t>
      </w:r>
    </w:p>
    <w:p>
      <w:pPr>
        <w:jc w:val="center"/>
        <w:rPr>
          <w:rFonts w:hint="eastAsia" w:ascii="宋体" w:hAnsi="宋体" w:eastAsia="宋体"/>
          <w:sz w:val="24"/>
          <w:szCs w:val="24"/>
        </w:rPr>
      </w:pPr>
      <w:r>
        <w:rPr>
          <w:rFonts w:hint="eastAsia" w:ascii="宋体" w:hAnsi="宋体" w:eastAsia="宋体"/>
          <w:b/>
          <w:sz w:val="24"/>
          <w:szCs w:val="24"/>
        </w:rPr>
        <w:br w:type="page"/>
      </w:r>
      <w:r>
        <w:rPr>
          <w:rFonts w:hint="eastAsia" w:ascii="宋体" w:hAnsi="宋体" w:eastAsia="宋体"/>
          <w:b/>
          <w:sz w:val="28"/>
          <w:szCs w:val="28"/>
        </w:rPr>
        <w:t>投标人直接管理关系信息表</w:t>
      </w:r>
    </w:p>
    <w:tbl>
      <w:tblPr>
        <w:tblStyle w:val="26"/>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sz w:val="24"/>
                <w:szCs w:val="24"/>
              </w:rPr>
            </w:pPr>
            <w:r>
              <w:rPr>
                <w:rFonts w:hint="eastAsia" w:ascii="宋体" w:hAnsi="宋体" w:eastAsia="宋体"/>
                <w:b/>
                <w:bCs/>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sz w:val="24"/>
                <w:szCs w:val="24"/>
              </w:rPr>
            </w:pPr>
            <w:r>
              <w:rPr>
                <w:rFonts w:hint="eastAsia" w:ascii="宋体" w:hAnsi="宋体" w:eastAsia="宋体"/>
                <w:b/>
                <w:bCs/>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sz w:val="24"/>
                <w:szCs w:val="24"/>
              </w:rPr>
            </w:pPr>
            <w:r>
              <w:rPr>
                <w:rFonts w:hint="eastAsia" w:ascii="宋体" w:hAnsi="宋体" w:eastAsia="宋体"/>
                <w:b/>
                <w:bCs/>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sz w:val="24"/>
                <w:szCs w:val="24"/>
              </w:rPr>
            </w:pPr>
            <w:r>
              <w:rPr>
                <w:rFonts w:hint="eastAsia" w:ascii="宋体" w:hAnsi="宋体" w:eastAsia="宋体"/>
                <w:b/>
                <w:bCs/>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r>
              <w:rPr>
                <w:rFonts w:hint="eastAsia" w:ascii="宋体" w:hAnsi="宋体" w:eastAsia="宋体"/>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sz w:val="24"/>
                <w:szCs w:val="24"/>
              </w:rPr>
            </w:pPr>
          </w:p>
        </w:tc>
      </w:tr>
    </w:tbl>
    <w:p>
      <w:pPr>
        <w:rPr>
          <w:rFonts w:hint="eastAsia" w:ascii="宋体" w:hAnsi="宋体" w:eastAsia="宋体"/>
          <w:sz w:val="24"/>
          <w:szCs w:val="24"/>
        </w:rPr>
      </w:pPr>
      <w:r>
        <w:rPr>
          <w:rFonts w:hint="eastAsia" w:ascii="宋体" w:hAnsi="宋体" w:eastAsia="宋体"/>
          <w:sz w:val="24"/>
          <w:szCs w:val="24"/>
        </w:rPr>
        <w:t>注：</w:t>
      </w:r>
    </w:p>
    <w:p>
      <w:pPr>
        <w:rPr>
          <w:rFonts w:hint="eastAsia" w:ascii="宋体" w:hAnsi="宋体" w:eastAsia="宋体"/>
          <w:sz w:val="24"/>
          <w:szCs w:val="24"/>
        </w:rPr>
      </w:pPr>
      <w:r>
        <w:rPr>
          <w:rFonts w:hint="eastAsia" w:ascii="宋体" w:hAnsi="宋体" w:eastAsia="宋体"/>
          <w:sz w:val="24"/>
          <w:szCs w:val="24"/>
        </w:rPr>
        <w:t>1.管理关系：是指不具有出资持股关系的其他单位之间存在的管理与被管理关系，如一些上下级关系的事业单位和团体组织。</w:t>
      </w:r>
    </w:p>
    <w:p>
      <w:pPr>
        <w:rPr>
          <w:rFonts w:hint="eastAsia" w:ascii="宋体" w:hAnsi="宋体" w:eastAsia="宋体"/>
          <w:sz w:val="24"/>
          <w:szCs w:val="24"/>
        </w:rPr>
      </w:pPr>
      <w:r>
        <w:rPr>
          <w:rFonts w:hint="eastAsia" w:ascii="宋体" w:hAnsi="宋体" w:eastAsia="宋体"/>
          <w:sz w:val="24"/>
          <w:szCs w:val="24"/>
        </w:rPr>
        <w:t>2.本表所指的管理关系仅限于直接管理关系，不包括间接的管理关系。</w:t>
      </w:r>
    </w:p>
    <w:p>
      <w:pPr>
        <w:rPr>
          <w:rFonts w:hint="eastAsia" w:ascii="宋体" w:hAnsi="宋体" w:eastAsia="宋体"/>
          <w:sz w:val="24"/>
          <w:szCs w:val="24"/>
        </w:rPr>
      </w:pPr>
    </w:p>
    <w:p>
      <w:pPr>
        <w:rPr>
          <w:rFonts w:hint="eastAsia" w:ascii="宋体" w:hAnsi="宋体" w:eastAsia="宋体"/>
          <w:sz w:val="24"/>
          <w:szCs w:val="24"/>
        </w:rPr>
      </w:pPr>
    </w:p>
    <w:p>
      <w:pPr>
        <w:rPr>
          <w:rFonts w:hint="eastAsia" w:ascii="宋体" w:hAnsi="宋体" w:eastAsia="宋体"/>
          <w:sz w:val="24"/>
          <w:szCs w:val="24"/>
        </w:rPr>
      </w:pPr>
    </w:p>
    <w:p>
      <w:pPr>
        <w:rPr>
          <w:rFonts w:hint="eastAsia" w:ascii="宋体" w:hAnsi="宋体" w:eastAsia="宋体"/>
          <w:sz w:val="24"/>
          <w:szCs w:val="24"/>
        </w:rPr>
      </w:pPr>
    </w:p>
    <w:p>
      <w:pPr>
        <w:rPr>
          <w:rFonts w:hint="eastAsia" w:ascii="宋体" w:hAnsi="宋体" w:eastAsia="宋体"/>
          <w:sz w:val="24"/>
          <w:szCs w:val="24"/>
        </w:rPr>
      </w:pPr>
    </w:p>
    <w:p>
      <w:pPr>
        <w:pStyle w:val="17"/>
        <w:spacing w:line="600" w:lineRule="exact"/>
        <w:rPr>
          <w:rFonts w:hint="eastAsia" w:ascii="宋体" w:hAnsi="宋体" w:eastAsia="宋体" w:cs="宋体"/>
          <w:sz w:val="24"/>
          <w:szCs w:val="24"/>
          <w:u w:val="single"/>
        </w:rPr>
      </w:pPr>
      <w:r>
        <w:rPr>
          <w:rFonts w:hint="eastAsia" w:ascii="宋体" w:hAnsi="宋体" w:eastAsia="宋体" w:cs="宋体"/>
          <w:sz w:val="24"/>
          <w:szCs w:val="24"/>
        </w:rPr>
        <w:t>投标人（盖单位公章）：</w:t>
      </w:r>
      <w:r>
        <w:rPr>
          <w:rFonts w:hint="eastAsia" w:ascii="宋体" w:hAnsi="宋体" w:eastAsia="宋体" w:cs="宋体"/>
          <w:sz w:val="24"/>
          <w:szCs w:val="24"/>
          <w:u w:val="single"/>
        </w:rPr>
        <w:t xml:space="preserve">                                    </w:t>
      </w:r>
    </w:p>
    <w:p>
      <w:pPr>
        <w:pStyle w:val="17"/>
        <w:spacing w:line="600" w:lineRule="exact"/>
        <w:rPr>
          <w:rFonts w:hint="eastAsia" w:ascii="宋体" w:hAnsi="宋体" w:eastAsia="宋体" w:cs="宋体"/>
          <w:sz w:val="24"/>
          <w:szCs w:val="24"/>
        </w:rPr>
      </w:pPr>
    </w:p>
    <w:p>
      <w:pPr>
        <w:pStyle w:val="17"/>
        <w:spacing w:line="600" w:lineRule="exact"/>
        <w:rPr>
          <w:rFonts w:hint="eastAsia" w:ascii="宋体" w:hAnsi="宋体" w:eastAsia="宋体" w:cs="宋体"/>
          <w:sz w:val="24"/>
          <w:szCs w:val="24"/>
          <w:u w:val="single"/>
        </w:rPr>
      </w:pPr>
      <w:r>
        <w:rPr>
          <w:rFonts w:hint="eastAsia" w:ascii="宋体" w:hAnsi="宋体" w:eastAsia="宋体" w:cs="宋体"/>
          <w:sz w:val="24"/>
          <w:szCs w:val="24"/>
        </w:rPr>
        <w:t>法定代表人或其委托代理人（签字或盖章）：</w:t>
      </w:r>
      <w:r>
        <w:rPr>
          <w:rFonts w:hint="eastAsia" w:ascii="宋体" w:hAnsi="宋体" w:eastAsia="宋体" w:cs="宋体"/>
          <w:sz w:val="24"/>
          <w:szCs w:val="24"/>
          <w:u w:val="single"/>
        </w:rPr>
        <w:t xml:space="preserve">                  </w:t>
      </w:r>
    </w:p>
    <w:p>
      <w:pPr>
        <w:spacing w:before="156" w:beforeLines="50" w:after="50"/>
        <w:ind w:right="480" w:firstLine="5520" w:firstLineChars="2300"/>
        <w:rPr>
          <w:rFonts w:hint="eastAsia" w:ascii="宋体" w:hAnsi="宋体" w:eastAsia="宋体"/>
          <w:sz w:val="24"/>
          <w:szCs w:val="24"/>
        </w:rPr>
      </w:pPr>
    </w:p>
    <w:p>
      <w:pPr>
        <w:spacing w:before="156" w:beforeLines="50" w:after="50"/>
        <w:ind w:right="480" w:firstLine="240" w:firstLineChars="100"/>
        <w:rPr>
          <w:rFonts w:hint="eastAsia" w:ascii="宋体" w:hAnsi="宋体" w:eastAsia="宋体"/>
          <w:sz w:val="24"/>
          <w:szCs w:val="24"/>
        </w:rPr>
      </w:pPr>
      <w:r>
        <w:rPr>
          <w:rFonts w:hint="eastAsia" w:ascii="宋体" w:hAnsi="宋体" w:eastAsia="宋体"/>
          <w:sz w:val="24"/>
          <w:szCs w:val="24"/>
        </w:rPr>
        <w:t>年    月    日</w:t>
      </w:r>
    </w:p>
    <w:p>
      <w:pPr>
        <w:pStyle w:val="17"/>
        <w:spacing w:line="360" w:lineRule="auto"/>
        <w:ind w:firstLine="420"/>
        <w:jc w:val="center"/>
        <w:rPr>
          <w:rFonts w:hint="eastAsia" w:ascii="宋体" w:hAnsi="宋体" w:eastAsia="宋体" w:cs="宋体"/>
          <w:sz w:val="24"/>
          <w:szCs w:val="24"/>
        </w:rPr>
      </w:pPr>
    </w:p>
    <w:p>
      <w:pPr>
        <w:pStyle w:val="17"/>
        <w:spacing w:line="360" w:lineRule="auto"/>
        <w:outlineLvl w:val="0"/>
        <w:rPr>
          <w:rFonts w:hint="eastAsia" w:ascii="宋体" w:hAnsi="宋体" w:eastAsia="宋体" w:cs="宋体"/>
          <w:b/>
          <w:sz w:val="36"/>
          <w:szCs w:val="36"/>
        </w:rPr>
      </w:pPr>
      <w:bookmarkStart w:id="52" w:name="_Toc213326424"/>
      <w:r>
        <w:rPr>
          <w:rFonts w:hint="eastAsia" w:ascii="宋体" w:hAnsi="宋体" w:eastAsia="宋体" w:cs="宋体"/>
          <w:b/>
          <w:sz w:val="36"/>
          <w:szCs w:val="36"/>
        </w:rPr>
        <w:br w:type="page"/>
      </w:r>
    </w:p>
    <w:p>
      <w:pPr>
        <w:pStyle w:val="17"/>
        <w:spacing w:line="360" w:lineRule="auto"/>
        <w:jc w:val="center"/>
        <w:outlineLvl w:val="0"/>
        <w:rPr>
          <w:rFonts w:hint="eastAsia" w:ascii="宋体" w:hAnsi="宋体" w:eastAsia="宋体" w:cs="宋体"/>
          <w:sz w:val="44"/>
        </w:rPr>
      </w:pPr>
      <w:bookmarkStart w:id="53" w:name="_Toc12816"/>
      <w:r>
        <w:rPr>
          <w:rFonts w:hint="eastAsia" w:ascii="宋体" w:hAnsi="宋体" w:eastAsia="宋体" w:cs="宋体"/>
          <w:b/>
          <w:sz w:val="36"/>
          <w:szCs w:val="36"/>
        </w:rPr>
        <w:t>第六章  合同条款及格式</w:t>
      </w:r>
      <w:bookmarkEnd w:id="52"/>
      <w:bookmarkEnd w:id="53"/>
    </w:p>
    <w:p>
      <w:pPr>
        <w:spacing w:line="360" w:lineRule="auto"/>
        <w:ind w:firstLine="880" w:firstLineChars="200"/>
        <w:rPr>
          <w:rFonts w:hint="eastAsia" w:ascii="宋体" w:hAnsi="宋体" w:eastAsia="宋体"/>
          <w:sz w:val="44"/>
        </w:rPr>
      </w:pPr>
    </w:p>
    <w:p>
      <w:pPr>
        <w:spacing w:line="360" w:lineRule="auto"/>
        <w:jc w:val="center"/>
        <w:rPr>
          <w:rFonts w:hint="eastAsia" w:ascii="宋体" w:hAnsi="宋体" w:eastAsia="宋体"/>
          <w:b/>
          <w:bCs/>
          <w:sz w:val="52"/>
        </w:rPr>
      </w:pPr>
      <w:r>
        <w:rPr>
          <w:rFonts w:hint="eastAsia" w:ascii="宋体" w:hAnsi="宋体" w:eastAsia="宋体"/>
          <w:b/>
          <w:bCs/>
          <w:sz w:val="52"/>
        </w:rPr>
        <w:t>南 宁 市 政 府 采 购</w:t>
      </w:r>
    </w:p>
    <w:p>
      <w:pPr>
        <w:spacing w:line="360" w:lineRule="auto"/>
        <w:ind w:firstLine="440" w:firstLineChars="200"/>
        <w:rPr>
          <w:rFonts w:hint="eastAsia" w:ascii="宋体" w:hAnsi="宋体" w:eastAsia="宋体"/>
        </w:rPr>
      </w:pPr>
    </w:p>
    <w:p>
      <w:pPr>
        <w:spacing w:line="360" w:lineRule="auto"/>
        <w:ind w:firstLine="440" w:firstLineChars="200"/>
        <w:rPr>
          <w:rFonts w:hint="eastAsia" w:ascii="宋体" w:hAnsi="宋体" w:eastAsia="宋体"/>
        </w:rPr>
      </w:pPr>
      <w:r>
        <w:rPr>
          <w:rFonts w:hint="eastAsia" w:ascii="宋体" w:hAnsi="宋体" w:eastAsia="宋体"/>
        </w:rPr>
        <w:t xml:space="preserve">                                              </w:t>
      </w:r>
    </w:p>
    <w:p>
      <w:pPr>
        <w:pStyle w:val="17"/>
        <w:spacing w:line="360" w:lineRule="auto"/>
        <w:ind w:hanging="13"/>
        <w:jc w:val="center"/>
        <w:rPr>
          <w:rFonts w:hint="eastAsia" w:ascii="宋体" w:hAnsi="宋体" w:eastAsia="宋体" w:cs="宋体"/>
          <w:b/>
          <w:bCs/>
          <w:sz w:val="44"/>
        </w:rPr>
      </w:pPr>
      <w:r>
        <w:rPr>
          <w:rFonts w:hint="eastAsia" w:ascii="宋体" w:hAnsi="宋体" w:eastAsia="宋体" w:cs="宋体"/>
          <w:b/>
          <w:bCs/>
          <w:sz w:val="44"/>
          <w:u w:val="single"/>
        </w:rPr>
        <w:t>扬尘治理视频综合管理系统（二期）</w:t>
      </w:r>
      <w:r>
        <w:rPr>
          <w:rFonts w:hint="eastAsia" w:ascii="宋体" w:hAnsi="宋体" w:eastAsia="宋体" w:cs="宋体"/>
          <w:b/>
          <w:bCs/>
          <w:sz w:val="44"/>
        </w:rPr>
        <w:t>合 同</w:t>
      </w:r>
    </w:p>
    <w:p>
      <w:pPr>
        <w:spacing w:line="360" w:lineRule="auto"/>
        <w:rPr>
          <w:rFonts w:hint="eastAsia" w:ascii="宋体" w:hAnsi="宋体" w:eastAsia="宋体"/>
          <w:b/>
          <w:bCs/>
          <w:sz w:val="44"/>
        </w:rPr>
      </w:pPr>
    </w:p>
    <w:p>
      <w:pPr>
        <w:spacing w:line="360" w:lineRule="auto"/>
        <w:ind w:firstLine="2870" w:firstLineChars="794"/>
        <w:rPr>
          <w:rFonts w:hint="eastAsia" w:ascii="宋体" w:hAnsi="宋体" w:eastAsia="宋体"/>
          <w:b/>
          <w:bCs/>
          <w:sz w:val="36"/>
          <w:szCs w:val="36"/>
        </w:rPr>
      </w:pPr>
    </w:p>
    <w:p>
      <w:pPr>
        <w:ind w:firstLine="1995" w:firstLineChars="552"/>
        <w:rPr>
          <w:rFonts w:hint="eastAsia" w:ascii="宋体" w:hAnsi="宋体" w:eastAsia="宋体"/>
          <w:b/>
          <w:sz w:val="36"/>
          <w:szCs w:val="36"/>
        </w:rPr>
      </w:pPr>
      <w:r>
        <w:rPr>
          <w:rFonts w:hint="eastAsia" w:ascii="宋体" w:hAnsi="宋体" w:eastAsia="宋体"/>
          <w:b/>
          <w:sz w:val="36"/>
          <w:szCs w:val="36"/>
        </w:rPr>
        <w:t>项目编号：NNZC2020-G3-990080-GXYZ</w:t>
      </w:r>
    </w:p>
    <w:p>
      <w:pPr>
        <w:ind w:firstLine="1995" w:firstLineChars="552"/>
        <w:rPr>
          <w:rFonts w:hint="eastAsia" w:ascii="宋体" w:hAnsi="宋体" w:eastAsia="宋体"/>
          <w:b/>
          <w:sz w:val="36"/>
          <w:szCs w:val="36"/>
        </w:rPr>
      </w:pPr>
      <w:r>
        <w:rPr>
          <w:rFonts w:hint="eastAsia" w:ascii="宋体" w:hAnsi="宋体" w:eastAsia="宋体"/>
          <w:b/>
          <w:sz w:val="36"/>
          <w:szCs w:val="36"/>
        </w:rPr>
        <w:t>审批编号：</w:t>
      </w:r>
      <w:r>
        <w:rPr>
          <w:rFonts w:hint="eastAsia" w:ascii="宋体" w:hAnsi="宋体" w:eastAsia="宋体"/>
          <w:b/>
          <w:bCs w:val="0"/>
          <w:sz w:val="36"/>
          <w:szCs w:val="36"/>
        </w:rPr>
        <w:t>[2020]NCCJA058/1</w:t>
      </w:r>
      <w:r>
        <w:rPr>
          <w:rFonts w:hint="eastAsia" w:ascii="宋体" w:hAnsi="宋体" w:eastAsia="宋体"/>
          <w:b/>
          <w:sz w:val="36"/>
          <w:szCs w:val="36"/>
        </w:rPr>
        <w:t xml:space="preserve"> </w:t>
      </w:r>
    </w:p>
    <w:p>
      <w:pPr>
        <w:spacing w:line="360" w:lineRule="auto"/>
        <w:ind w:firstLine="1988" w:firstLineChars="550"/>
        <w:rPr>
          <w:rFonts w:hint="eastAsia" w:ascii="宋体" w:hAnsi="宋体" w:eastAsia="宋体"/>
          <w:b/>
          <w:sz w:val="36"/>
          <w:szCs w:val="36"/>
        </w:rPr>
      </w:pPr>
    </w:p>
    <w:p>
      <w:pPr>
        <w:spacing w:line="360" w:lineRule="auto"/>
        <w:ind w:firstLine="1988" w:firstLineChars="550"/>
        <w:rPr>
          <w:rFonts w:hint="eastAsia" w:ascii="宋体" w:hAnsi="宋体" w:eastAsia="宋体"/>
          <w:b/>
          <w:sz w:val="36"/>
          <w:szCs w:val="36"/>
        </w:rPr>
      </w:pPr>
    </w:p>
    <w:p>
      <w:pPr>
        <w:spacing w:line="360" w:lineRule="auto"/>
        <w:ind w:firstLine="1988" w:firstLineChars="550"/>
        <w:rPr>
          <w:rFonts w:hint="eastAsia" w:ascii="宋体" w:hAnsi="宋体" w:eastAsia="宋体"/>
          <w:b/>
          <w:sz w:val="36"/>
          <w:szCs w:val="36"/>
        </w:rPr>
      </w:pPr>
    </w:p>
    <w:p>
      <w:pPr>
        <w:spacing w:line="360" w:lineRule="auto"/>
        <w:ind w:firstLine="1988" w:firstLineChars="550"/>
        <w:rPr>
          <w:rFonts w:hint="eastAsia" w:ascii="宋体" w:hAnsi="宋体" w:eastAsia="宋体"/>
          <w:b/>
          <w:sz w:val="36"/>
          <w:szCs w:val="36"/>
        </w:rPr>
      </w:pPr>
      <w:r>
        <w:rPr>
          <w:rFonts w:hint="eastAsia" w:ascii="宋体" w:hAnsi="宋体" w:eastAsia="宋体"/>
          <w:b/>
          <w:sz w:val="36"/>
          <w:szCs w:val="36"/>
        </w:rPr>
        <w:t>采购人：</w:t>
      </w:r>
      <w:r>
        <w:rPr>
          <w:rFonts w:hint="eastAsia" w:ascii="宋体" w:hAnsi="宋体" w:eastAsia="宋体"/>
          <w:b/>
          <w:sz w:val="36"/>
          <w:szCs w:val="36"/>
          <w:u w:val="single"/>
        </w:rPr>
        <w:t xml:space="preserve"> 南宁市智慧城管信息中心              </w:t>
      </w:r>
    </w:p>
    <w:p>
      <w:pPr>
        <w:tabs>
          <w:tab w:val="left" w:pos="7380"/>
        </w:tabs>
        <w:spacing w:line="360" w:lineRule="auto"/>
        <w:ind w:firstLine="1988" w:firstLineChars="550"/>
        <w:rPr>
          <w:rFonts w:hint="eastAsia" w:ascii="宋体" w:hAnsi="宋体" w:eastAsia="宋体"/>
          <w:b/>
          <w:bCs/>
          <w:sz w:val="44"/>
        </w:rPr>
      </w:pPr>
      <w:r>
        <w:rPr>
          <w:rFonts w:hint="eastAsia" w:ascii="宋体" w:hAnsi="宋体" w:eastAsia="宋体"/>
          <w:b/>
          <w:sz w:val="36"/>
          <w:szCs w:val="36"/>
        </w:rPr>
        <w:t>中标供应商：</w:t>
      </w:r>
      <w:r>
        <w:rPr>
          <w:rFonts w:hint="eastAsia" w:ascii="宋体" w:hAnsi="宋体" w:eastAsia="宋体"/>
          <w:b/>
          <w:sz w:val="24"/>
          <w:szCs w:val="24"/>
        </w:rPr>
        <w:t>__________________</w:t>
      </w:r>
      <w:r>
        <w:rPr>
          <w:rFonts w:hint="eastAsia" w:ascii="宋体" w:hAnsi="宋体" w:eastAsia="宋体"/>
          <w:b/>
          <w:sz w:val="24"/>
          <w:szCs w:val="24"/>
          <w:u w:val="single"/>
        </w:rPr>
        <w:t xml:space="preserve">      </w:t>
      </w:r>
      <w:r>
        <w:rPr>
          <w:rFonts w:hint="eastAsia" w:ascii="宋体" w:hAnsi="宋体" w:eastAsia="宋体"/>
          <w:b/>
          <w:sz w:val="24"/>
          <w:szCs w:val="24"/>
        </w:rPr>
        <w:t>____</w:t>
      </w:r>
      <w:r>
        <w:rPr>
          <w:rFonts w:hint="eastAsia" w:ascii="宋体" w:hAnsi="宋体" w:eastAsia="宋体"/>
          <w:b/>
          <w:sz w:val="36"/>
          <w:szCs w:val="36"/>
          <w:u w:val="single"/>
        </w:rPr>
        <w:t xml:space="preserve">   </w:t>
      </w:r>
    </w:p>
    <w:p>
      <w:pPr>
        <w:tabs>
          <w:tab w:val="left" w:pos="7380"/>
        </w:tabs>
        <w:spacing w:line="360" w:lineRule="auto"/>
        <w:jc w:val="center"/>
        <w:rPr>
          <w:rFonts w:hint="eastAsia" w:ascii="宋体" w:hAnsi="宋体" w:eastAsia="宋体"/>
          <w:b/>
          <w:bCs/>
          <w:sz w:val="44"/>
        </w:rPr>
      </w:pPr>
      <w:r>
        <w:rPr>
          <w:rFonts w:hint="eastAsia" w:ascii="宋体" w:hAnsi="宋体" w:eastAsia="宋体"/>
          <w:b/>
          <w:bCs/>
          <w:sz w:val="44"/>
        </w:rPr>
        <w:br w:type="page"/>
      </w:r>
      <w:r>
        <w:rPr>
          <w:rFonts w:hint="eastAsia" w:ascii="宋体" w:hAnsi="宋体" w:eastAsia="宋体"/>
          <w:b/>
          <w:sz w:val="36"/>
          <w:szCs w:val="36"/>
        </w:rPr>
        <w:t>目  录</w:t>
      </w:r>
    </w:p>
    <w:p>
      <w:pPr>
        <w:tabs>
          <w:tab w:val="left" w:pos="1170"/>
        </w:tabs>
        <w:spacing w:line="360" w:lineRule="auto"/>
        <w:ind w:left="376" w:leftChars="171" w:firstLine="198" w:firstLineChars="71"/>
        <w:rPr>
          <w:rFonts w:hint="eastAsia" w:ascii="宋体" w:hAnsi="宋体" w:eastAsia="宋体"/>
          <w:sz w:val="28"/>
        </w:rPr>
      </w:pPr>
      <w:r>
        <w:rPr>
          <w:rFonts w:hint="eastAsia" w:ascii="宋体" w:hAnsi="宋体" w:eastAsia="宋体"/>
          <w:sz w:val="28"/>
        </w:rPr>
        <w:tab/>
      </w:r>
    </w:p>
    <w:p>
      <w:pPr>
        <w:spacing w:line="360" w:lineRule="auto"/>
        <w:rPr>
          <w:rFonts w:hint="eastAsia" w:ascii="宋体" w:hAnsi="宋体" w:eastAsia="宋体"/>
          <w:b/>
          <w:sz w:val="30"/>
          <w:szCs w:val="30"/>
        </w:rPr>
      </w:pPr>
      <w:r>
        <w:rPr>
          <w:rFonts w:hint="eastAsia" w:ascii="宋体" w:hAnsi="宋体" w:eastAsia="宋体"/>
          <w:b/>
          <w:sz w:val="30"/>
          <w:szCs w:val="30"/>
        </w:rPr>
        <w:t>一、南宁市政府采购合同书</w:t>
      </w:r>
    </w:p>
    <w:p>
      <w:pPr>
        <w:spacing w:line="360" w:lineRule="auto"/>
        <w:rPr>
          <w:rFonts w:hint="eastAsia" w:ascii="宋体" w:hAnsi="宋体" w:eastAsia="宋体"/>
          <w:b/>
          <w:sz w:val="30"/>
          <w:szCs w:val="30"/>
        </w:rPr>
      </w:pPr>
      <w:r>
        <w:rPr>
          <w:rFonts w:hint="eastAsia" w:ascii="宋体" w:hAnsi="宋体" w:eastAsia="宋体"/>
          <w:b/>
          <w:sz w:val="30"/>
          <w:szCs w:val="30"/>
        </w:rPr>
        <w:t>二、合同附件</w:t>
      </w:r>
    </w:p>
    <w:p>
      <w:pPr>
        <w:pStyle w:val="17"/>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1、中标通知书</w:t>
      </w:r>
    </w:p>
    <w:p>
      <w:pPr>
        <w:pStyle w:val="17"/>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2、招标文件服务需求一览表</w:t>
      </w:r>
    </w:p>
    <w:p>
      <w:pPr>
        <w:pStyle w:val="17"/>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3、招标文件的更改通知（如有）</w:t>
      </w:r>
    </w:p>
    <w:p>
      <w:pPr>
        <w:pStyle w:val="17"/>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4、投标函</w:t>
      </w:r>
    </w:p>
    <w:p>
      <w:pPr>
        <w:pStyle w:val="17"/>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5、投标报价表</w:t>
      </w:r>
    </w:p>
    <w:p>
      <w:pPr>
        <w:pStyle w:val="17"/>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6、投标服务技术资料表</w:t>
      </w:r>
    </w:p>
    <w:p>
      <w:pPr>
        <w:pStyle w:val="17"/>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7、商务条款偏离表</w:t>
      </w:r>
    </w:p>
    <w:p>
      <w:pPr>
        <w:pStyle w:val="17"/>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8、中标供应商澄清函（如有请提供）</w:t>
      </w:r>
    </w:p>
    <w:p>
      <w:pPr>
        <w:pStyle w:val="17"/>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9、其他与本合同相关的资料（如有请提供）</w:t>
      </w:r>
    </w:p>
    <w:p>
      <w:pPr>
        <w:rPr>
          <w:rFonts w:hint="eastAsia" w:ascii="宋体" w:hAnsi="宋体" w:eastAsia="宋体"/>
          <w:b/>
          <w:sz w:val="30"/>
          <w:szCs w:val="30"/>
        </w:rPr>
      </w:pPr>
    </w:p>
    <w:p>
      <w:pPr>
        <w:spacing w:line="360" w:lineRule="auto"/>
        <w:jc w:val="center"/>
        <w:rPr>
          <w:rFonts w:hint="eastAsia" w:ascii="宋体" w:hAnsi="宋体" w:eastAsia="宋体"/>
          <w:b/>
          <w:bCs/>
          <w:sz w:val="28"/>
        </w:rPr>
      </w:pPr>
    </w:p>
    <w:p>
      <w:pPr>
        <w:spacing w:line="360" w:lineRule="auto"/>
        <w:jc w:val="center"/>
        <w:rPr>
          <w:rFonts w:hint="eastAsia" w:ascii="宋体" w:hAnsi="宋体" w:eastAsia="宋体"/>
          <w:b/>
          <w:bCs/>
          <w:sz w:val="28"/>
        </w:rPr>
      </w:pPr>
    </w:p>
    <w:p>
      <w:pPr>
        <w:spacing w:line="360" w:lineRule="auto"/>
        <w:jc w:val="center"/>
        <w:rPr>
          <w:rFonts w:hint="eastAsia" w:ascii="宋体" w:hAnsi="宋体" w:eastAsia="宋体"/>
          <w:b/>
          <w:bCs/>
          <w:sz w:val="28"/>
        </w:rPr>
      </w:pPr>
    </w:p>
    <w:p>
      <w:pPr>
        <w:spacing w:line="360" w:lineRule="auto"/>
        <w:jc w:val="center"/>
        <w:rPr>
          <w:rFonts w:hint="eastAsia" w:ascii="宋体" w:hAnsi="宋体" w:eastAsia="宋体"/>
          <w:b/>
          <w:bCs/>
          <w:sz w:val="28"/>
        </w:rPr>
      </w:pPr>
    </w:p>
    <w:p>
      <w:pPr>
        <w:spacing w:line="360" w:lineRule="auto"/>
        <w:jc w:val="center"/>
        <w:rPr>
          <w:rFonts w:hint="eastAsia" w:ascii="宋体" w:hAnsi="宋体" w:eastAsia="宋体"/>
          <w:b/>
          <w:bCs/>
          <w:sz w:val="28"/>
        </w:rPr>
      </w:pPr>
    </w:p>
    <w:p>
      <w:pPr>
        <w:spacing w:line="360" w:lineRule="auto"/>
        <w:jc w:val="center"/>
        <w:rPr>
          <w:rFonts w:hint="eastAsia" w:ascii="宋体" w:hAnsi="宋体" w:eastAsia="宋体"/>
          <w:b/>
          <w:bCs/>
          <w:sz w:val="28"/>
        </w:rPr>
      </w:pPr>
    </w:p>
    <w:p>
      <w:pPr>
        <w:spacing w:line="360" w:lineRule="auto"/>
        <w:jc w:val="center"/>
        <w:rPr>
          <w:rFonts w:hint="eastAsia" w:ascii="宋体" w:hAnsi="宋体" w:eastAsia="宋体"/>
          <w:b/>
          <w:bCs/>
          <w:sz w:val="30"/>
          <w:szCs w:val="30"/>
        </w:rPr>
      </w:pPr>
      <w:r>
        <w:rPr>
          <w:rFonts w:hint="eastAsia" w:ascii="宋体" w:hAnsi="宋体" w:eastAsia="宋体"/>
          <w:b/>
          <w:sz w:val="30"/>
          <w:szCs w:val="30"/>
        </w:rPr>
        <w:t>南宁市政府采购合同书</w:t>
      </w:r>
    </w:p>
    <w:p>
      <w:pPr>
        <w:pStyle w:val="17"/>
        <w:spacing w:line="360" w:lineRule="auto"/>
        <w:rPr>
          <w:rFonts w:hint="eastAsia" w:ascii="宋体" w:hAnsi="宋体" w:eastAsia="宋体" w:cs="宋体"/>
          <w:sz w:val="24"/>
          <w:szCs w:val="24"/>
        </w:rPr>
      </w:pPr>
    </w:p>
    <w:p>
      <w:pPr>
        <w:pStyle w:val="17"/>
        <w:spacing w:line="360" w:lineRule="auto"/>
        <w:ind w:left="1200" w:hanging="1200" w:hangingChars="500"/>
        <w:rPr>
          <w:rFonts w:hint="eastAsia" w:ascii="宋体" w:hAnsi="宋体" w:eastAsia="宋体" w:cs="宋体"/>
          <w:b/>
          <w:sz w:val="44"/>
          <w:szCs w:val="4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扬尘治理视频综合管理系统（二期）  </w:t>
      </w:r>
    </w:p>
    <w:p>
      <w:pPr>
        <w:pStyle w:val="17"/>
        <w:spacing w:line="360" w:lineRule="auto"/>
        <w:rPr>
          <w:rFonts w:hint="eastAsia"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NNZC2020-G3-990080-GXYZ</w:t>
      </w:r>
      <w:r>
        <w:rPr>
          <w:rFonts w:hint="eastAsia" w:ascii="宋体" w:hAnsi="宋体" w:eastAsia="宋体" w:cs="宋体"/>
          <w:kern w:val="0"/>
          <w:sz w:val="24"/>
          <w:szCs w:val="22"/>
          <w:u w:val="single"/>
        </w:rPr>
        <w:t>_________</w:t>
      </w:r>
      <w:r>
        <w:rPr>
          <w:rFonts w:hint="eastAsia" w:ascii="宋体" w:hAnsi="宋体" w:eastAsia="宋体" w:cs="宋体"/>
          <w:sz w:val="24"/>
          <w:szCs w:val="24"/>
          <w:u w:val="single"/>
        </w:rPr>
        <w:t xml:space="preserve">          </w:t>
      </w:r>
    </w:p>
    <w:p>
      <w:pPr>
        <w:pStyle w:val="17"/>
        <w:spacing w:line="360" w:lineRule="auto"/>
        <w:rPr>
          <w:rFonts w:hint="eastAsia" w:ascii="宋体" w:hAnsi="宋体" w:eastAsia="宋体" w:cs="宋体"/>
          <w:sz w:val="24"/>
          <w:szCs w:val="24"/>
          <w:u w:val="single"/>
        </w:rPr>
      </w:pPr>
      <w:r>
        <w:rPr>
          <w:rFonts w:hint="eastAsia" w:ascii="宋体" w:hAnsi="宋体" w:eastAsia="宋体" w:cs="宋体"/>
          <w:sz w:val="24"/>
          <w:szCs w:val="24"/>
        </w:rPr>
        <w:t>分标：</w:t>
      </w:r>
      <w:r>
        <w:rPr>
          <w:rFonts w:hint="eastAsia" w:ascii="宋体" w:hAnsi="宋体" w:eastAsia="宋体" w:cs="宋体"/>
          <w:sz w:val="24"/>
          <w:szCs w:val="24"/>
          <w:u w:val="single"/>
        </w:rPr>
        <w:t xml:space="preserve"> / </w:t>
      </w:r>
    </w:p>
    <w:p>
      <w:pPr>
        <w:pStyle w:val="17"/>
        <w:spacing w:line="360" w:lineRule="auto"/>
        <w:rPr>
          <w:rFonts w:hint="eastAsia" w:ascii="宋体" w:hAnsi="宋体" w:eastAsia="宋体" w:cs="宋体"/>
          <w:sz w:val="24"/>
          <w:szCs w:val="24"/>
        </w:rPr>
      </w:pPr>
    </w:p>
    <w:p>
      <w:pPr>
        <w:pStyle w:val="17"/>
        <w:spacing w:line="360" w:lineRule="auto"/>
        <w:rPr>
          <w:rFonts w:hint="eastAsia" w:ascii="宋体" w:hAnsi="宋体" w:eastAsia="宋体" w:cs="宋体"/>
          <w:sz w:val="24"/>
          <w:szCs w:val="24"/>
        </w:rPr>
      </w:pPr>
    </w:p>
    <w:p>
      <w:pPr>
        <w:spacing w:line="360" w:lineRule="auto"/>
        <w:rPr>
          <w:rFonts w:hint="eastAsia" w:ascii="宋体" w:hAnsi="宋体" w:eastAsia="宋体"/>
          <w:sz w:val="24"/>
          <w:u w:val="single"/>
        </w:rPr>
      </w:pPr>
      <w:r>
        <w:rPr>
          <w:rFonts w:hint="eastAsia" w:ascii="宋体" w:hAnsi="宋体" w:eastAsia="宋体"/>
          <w:sz w:val="24"/>
        </w:rPr>
        <w:t>甲方（买方）：</w:t>
      </w:r>
      <w:r>
        <w:rPr>
          <w:rFonts w:hint="eastAsia" w:ascii="宋体" w:hAnsi="宋体" w:eastAsia="宋体"/>
          <w:sz w:val="24"/>
          <w:u w:val="single"/>
        </w:rPr>
        <w:t xml:space="preserve"> 南宁市智慧城管信息中心____       </w:t>
      </w:r>
    </w:p>
    <w:p>
      <w:pPr>
        <w:pStyle w:val="17"/>
        <w:spacing w:line="360" w:lineRule="auto"/>
        <w:rPr>
          <w:rFonts w:hint="eastAsia" w:ascii="宋体" w:hAnsi="宋体" w:eastAsia="宋体" w:cs="宋体"/>
          <w:sz w:val="24"/>
          <w:szCs w:val="24"/>
        </w:rPr>
      </w:pPr>
      <w:r>
        <w:rPr>
          <w:rFonts w:hint="eastAsia" w:ascii="宋体" w:hAnsi="宋体" w:eastAsia="宋体" w:cs="宋体"/>
          <w:sz w:val="24"/>
          <w:szCs w:val="24"/>
        </w:rPr>
        <w:t>乙方（卖方）：</w:t>
      </w:r>
      <w:r>
        <w:rPr>
          <w:rFonts w:hint="eastAsia" w:ascii="宋体" w:hAnsi="宋体" w:eastAsia="宋体" w:cs="宋体"/>
          <w:kern w:val="0"/>
          <w:sz w:val="24"/>
          <w:szCs w:val="22"/>
          <w:u w:val="single"/>
        </w:rPr>
        <w:t xml:space="preserve">___________________________ </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 xml:space="preserve">  </w:t>
      </w:r>
    </w:p>
    <w:p>
      <w:pPr>
        <w:pStyle w:val="17"/>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17"/>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2020</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日南宁市政府采购项目的采购结果，甲方接受乙方对本项目的投标，甲、乙双方同意签署本合同（以下简称合同）。</w:t>
      </w:r>
    </w:p>
    <w:p>
      <w:pPr>
        <w:pStyle w:val="17"/>
        <w:spacing w:line="360" w:lineRule="auto"/>
        <w:rPr>
          <w:rFonts w:hint="eastAsia" w:ascii="宋体" w:hAnsi="宋体" w:eastAsia="宋体" w:cs="宋体"/>
          <w:b/>
          <w:sz w:val="24"/>
          <w:szCs w:val="24"/>
        </w:rPr>
      </w:pPr>
    </w:p>
    <w:p>
      <w:pPr>
        <w:pStyle w:val="17"/>
        <w:spacing w:line="360" w:lineRule="auto"/>
        <w:rPr>
          <w:rFonts w:hint="eastAsia" w:ascii="宋体" w:hAnsi="宋体" w:eastAsia="宋体" w:cs="宋体"/>
          <w:b/>
          <w:bCs/>
          <w:sz w:val="24"/>
          <w:szCs w:val="24"/>
        </w:rPr>
      </w:pPr>
      <w:r>
        <w:rPr>
          <w:rFonts w:hint="eastAsia" w:ascii="宋体" w:hAnsi="宋体" w:eastAsia="宋体" w:cs="宋体"/>
          <w:b/>
          <w:bCs/>
          <w:sz w:val="24"/>
          <w:szCs w:val="24"/>
        </w:rPr>
        <w:t>1.  采购内容</w:t>
      </w:r>
    </w:p>
    <w:p>
      <w:pPr>
        <w:pStyle w:val="17"/>
        <w:tabs>
          <w:tab w:val="left" w:pos="5220"/>
        </w:tabs>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1.1 服务名称：</w:t>
      </w:r>
      <w:r>
        <w:rPr>
          <w:rFonts w:hint="eastAsia" w:ascii="宋体" w:hAnsi="宋体" w:eastAsia="宋体" w:cs="宋体"/>
          <w:sz w:val="24"/>
          <w:szCs w:val="24"/>
          <w:u w:val="single"/>
        </w:rPr>
        <w:t>详见合同附件中投标报价表</w:t>
      </w:r>
    </w:p>
    <w:p>
      <w:pPr>
        <w:pStyle w:val="17"/>
        <w:tabs>
          <w:tab w:val="left" w:pos="52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数量：</w:t>
      </w:r>
      <w:r>
        <w:rPr>
          <w:rFonts w:hint="eastAsia" w:ascii="宋体" w:hAnsi="宋体" w:eastAsia="宋体" w:cs="宋体"/>
          <w:sz w:val="24"/>
          <w:szCs w:val="24"/>
          <w:u w:val="single"/>
        </w:rPr>
        <w:t>详见合同附件中投标报价表</w:t>
      </w:r>
    </w:p>
    <w:p>
      <w:pPr>
        <w:pStyle w:val="17"/>
        <w:tabs>
          <w:tab w:val="left" w:pos="52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服务内容：</w:t>
      </w:r>
      <w:r>
        <w:rPr>
          <w:rFonts w:hint="eastAsia" w:ascii="宋体" w:hAnsi="宋体" w:eastAsia="宋体" w:cs="宋体"/>
          <w:sz w:val="24"/>
          <w:szCs w:val="24"/>
          <w:u w:val="single"/>
        </w:rPr>
        <w:t>详见合同附件中投标服务技术资料表</w:t>
      </w:r>
    </w:p>
    <w:p>
      <w:pPr>
        <w:pStyle w:val="17"/>
        <w:tabs>
          <w:tab w:val="left" w:pos="514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2.  合同金额</w:t>
      </w:r>
    </w:p>
    <w:p>
      <w:pPr>
        <w:pStyle w:val="17"/>
        <w:spacing w:line="360" w:lineRule="auto"/>
        <w:ind w:firstLine="470" w:firstLineChars="196"/>
        <w:rPr>
          <w:rFonts w:hint="eastAsia" w:ascii="宋体" w:hAnsi="宋体" w:eastAsia="宋体" w:cs="宋体"/>
          <w:b/>
          <w:bCs/>
          <w:sz w:val="24"/>
          <w:szCs w:val="24"/>
        </w:rPr>
      </w:pPr>
      <w:r>
        <w:rPr>
          <w:rFonts w:hint="eastAsia" w:ascii="宋体" w:hAnsi="宋体" w:eastAsia="宋体" w:cs="宋体"/>
          <w:sz w:val="24"/>
          <w:szCs w:val="24"/>
        </w:rPr>
        <w:t>2.1 本合同金额为（大写）人民币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元）。（详见投标报价表）</w:t>
      </w:r>
    </w:p>
    <w:p>
      <w:pPr>
        <w:pStyle w:val="17"/>
        <w:tabs>
          <w:tab w:val="left" w:pos="5940"/>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3.  提交服务成果时间和地点</w:t>
      </w:r>
    </w:p>
    <w:p>
      <w:pPr>
        <w:pStyle w:val="17"/>
        <w:tabs>
          <w:tab w:val="left" w:pos="5250"/>
          <w:tab w:val="left" w:pos="5940"/>
        </w:tabs>
        <w:spacing w:line="360" w:lineRule="auto"/>
        <w:ind w:firstLine="470" w:firstLineChars="196"/>
        <w:rPr>
          <w:rFonts w:hint="eastAsia" w:ascii="宋体" w:hAnsi="宋体" w:eastAsia="宋体" w:cs="宋体"/>
          <w:b/>
          <w:bCs/>
          <w:sz w:val="24"/>
          <w:szCs w:val="24"/>
          <w:u w:val="single"/>
        </w:rPr>
      </w:pPr>
      <w:r>
        <w:rPr>
          <w:rFonts w:hint="eastAsia" w:ascii="宋体" w:hAnsi="宋体" w:eastAsia="宋体" w:cs="宋体"/>
          <w:bCs/>
          <w:sz w:val="24"/>
          <w:szCs w:val="24"/>
        </w:rPr>
        <w:t>3.1 提交服务成果时间：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pStyle w:val="17"/>
        <w:tabs>
          <w:tab w:val="left" w:pos="5250"/>
          <w:tab w:val="left" w:pos="5940"/>
        </w:tabs>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 xml:space="preserve">3.2 </w:t>
      </w:r>
      <w:r>
        <w:rPr>
          <w:rFonts w:hint="eastAsia" w:ascii="宋体" w:hAnsi="宋体" w:eastAsia="宋体" w:cs="宋体"/>
          <w:sz w:val="24"/>
        </w:rPr>
        <w:t>提交服务成果地点（工作地点）</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pStyle w:val="17"/>
        <w:tabs>
          <w:tab w:val="left" w:pos="5940"/>
        </w:tabs>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 xml:space="preserve">3.3 </w:t>
      </w:r>
      <w:r>
        <w:rPr>
          <w:rFonts w:hint="eastAsia" w:ascii="宋体" w:hAnsi="宋体" w:eastAsia="宋体" w:cs="宋体"/>
          <w:sz w:val="24"/>
          <w:szCs w:val="24"/>
        </w:rPr>
        <w:t>乙方必须按投标文件承诺的服务响应条款向甲方提供服务。</w:t>
      </w:r>
    </w:p>
    <w:p>
      <w:pPr>
        <w:pStyle w:val="17"/>
        <w:spacing w:line="360" w:lineRule="auto"/>
        <w:ind w:left="410" w:hanging="410" w:hangingChars="170"/>
        <w:rPr>
          <w:rFonts w:hint="eastAsia" w:ascii="宋体" w:hAnsi="宋体" w:eastAsia="宋体" w:cs="宋体"/>
          <w:b/>
          <w:bCs/>
          <w:sz w:val="24"/>
          <w:szCs w:val="24"/>
        </w:rPr>
      </w:pPr>
      <w:r>
        <w:rPr>
          <w:rFonts w:hint="eastAsia" w:ascii="宋体" w:hAnsi="宋体" w:eastAsia="宋体" w:cs="宋体"/>
          <w:b/>
          <w:bCs/>
          <w:sz w:val="24"/>
          <w:szCs w:val="24"/>
        </w:rPr>
        <w:t>4.  履约保证金</w:t>
      </w:r>
    </w:p>
    <w:p>
      <w:pPr>
        <w:pStyle w:val="17"/>
        <w:spacing w:line="360" w:lineRule="auto"/>
        <w:ind w:left="330" w:leftChars="150"/>
        <w:rPr>
          <w:rFonts w:hint="eastAsia" w:ascii="宋体" w:hAnsi="宋体" w:eastAsia="宋体" w:cs="宋体"/>
          <w:sz w:val="24"/>
          <w:szCs w:val="24"/>
        </w:rPr>
      </w:pPr>
      <w:r>
        <w:rPr>
          <w:rFonts w:hint="eastAsia" w:ascii="宋体" w:hAnsi="宋体" w:eastAsia="宋体" w:cs="宋体"/>
          <w:sz w:val="24"/>
          <w:szCs w:val="24"/>
        </w:rPr>
        <w:t>本项目不收取履约保证金</w:t>
      </w:r>
    </w:p>
    <w:p>
      <w:pPr>
        <w:pStyle w:val="17"/>
        <w:spacing w:line="360" w:lineRule="auto"/>
        <w:ind w:left="412" w:hanging="412" w:hangingChars="171"/>
        <w:rPr>
          <w:rFonts w:hint="eastAsia" w:ascii="宋体" w:hAnsi="宋体" w:eastAsia="宋体" w:cs="宋体"/>
          <w:b/>
          <w:sz w:val="24"/>
          <w:szCs w:val="24"/>
        </w:rPr>
      </w:pPr>
      <w:r>
        <w:rPr>
          <w:rFonts w:hint="eastAsia" w:ascii="宋体" w:hAnsi="宋体" w:eastAsia="宋体" w:cs="宋体"/>
          <w:b/>
          <w:bCs/>
          <w:sz w:val="24"/>
          <w:szCs w:val="24"/>
        </w:rPr>
        <w:t>5.  产权</w:t>
      </w:r>
    </w:p>
    <w:p>
      <w:pPr>
        <w:pStyle w:val="17"/>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5.1 乙方应保证所提供的服务或其任何一部分均不会侵犯任何第三方的专利权、商标权或著作权</w:t>
      </w:r>
      <w:r>
        <w:rPr>
          <w:rFonts w:hint="eastAsia" w:ascii="宋体" w:hAnsi="宋体" w:eastAsia="宋体" w:cs="宋体"/>
          <w:bCs/>
          <w:sz w:val="24"/>
          <w:szCs w:val="24"/>
        </w:rPr>
        <w:t>。</w:t>
      </w:r>
    </w:p>
    <w:p>
      <w:pPr>
        <w:pStyle w:val="17"/>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7"/>
        <w:spacing w:line="360" w:lineRule="auto"/>
        <w:rPr>
          <w:rFonts w:hint="eastAsia" w:ascii="宋体" w:hAnsi="宋体" w:eastAsia="宋体" w:cs="宋体"/>
          <w:b/>
          <w:sz w:val="24"/>
          <w:szCs w:val="24"/>
        </w:rPr>
      </w:pPr>
      <w:r>
        <w:rPr>
          <w:rFonts w:hint="eastAsia" w:ascii="宋体" w:hAnsi="宋体" w:eastAsia="宋体" w:cs="宋体"/>
          <w:b/>
          <w:bCs/>
          <w:sz w:val="24"/>
          <w:szCs w:val="24"/>
        </w:rPr>
        <w:t>6.  技术资料</w:t>
      </w:r>
    </w:p>
    <w:p>
      <w:pPr>
        <w:pStyle w:val="17"/>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甲方应向乙方提供提交服务成果所必需的有关数据、资料等。</w:t>
      </w:r>
    </w:p>
    <w:p>
      <w:pPr>
        <w:pStyle w:val="17"/>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pacing w:line="360" w:lineRule="auto"/>
        <w:rPr>
          <w:rFonts w:hint="eastAsia" w:ascii="宋体" w:hAnsi="宋体" w:eastAsia="宋体" w:cs="宋体"/>
          <w:b/>
          <w:bCs/>
          <w:sz w:val="24"/>
          <w:szCs w:val="24"/>
        </w:rPr>
      </w:pPr>
      <w:r>
        <w:rPr>
          <w:rFonts w:hint="eastAsia" w:ascii="宋体" w:hAnsi="宋体" w:eastAsia="宋体" w:cs="宋体"/>
          <w:b/>
          <w:bCs/>
          <w:sz w:val="24"/>
          <w:szCs w:val="24"/>
        </w:rPr>
        <w:t>7.  验收</w:t>
      </w:r>
    </w:p>
    <w:p>
      <w:pPr>
        <w:pStyle w:val="17"/>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 乙方应对提交的服务成果作出全面检查和整理，并列出清单，作为甲方验收和使用的技术条件依据，清单应随提交的服务成果交给甲方。</w:t>
      </w:r>
    </w:p>
    <w:p>
      <w:pPr>
        <w:pStyle w:val="17"/>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 乙方在指定地点提交服务成果后，甲方应在五个工作日内依据招标文件、乙方的投标文件等组织验收，验收完毕后作出书面验收报告。验收时乙方必须在现场。</w:t>
      </w:r>
    </w:p>
    <w:p>
      <w:pPr>
        <w:pStyle w:val="17"/>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 对复杂的服务，甲方可请国家认可的专业机构参与验收，并由其出具验收报告，相关费用由甲方承担。</w:t>
      </w:r>
    </w:p>
    <w:p>
      <w:pPr>
        <w:pStyle w:val="17"/>
        <w:spacing w:line="360" w:lineRule="auto"/>
        <w:rPr>
          <w:rFonts w:hint="eastAsia" w:ascii="宋体" w:hAnsi="宋体" w:eastAsia="宋体" w:cs="宋体"/>
          <w:b/>
          <w:bCs/>
          <w:sz w:val="24"/>
          <w:szCs w:val="24"/>
        </w:rPr>
      </w:pPr>
      <w:r>
        <w:rPr>
          <w:rFonts w:hint="eastAsia" w:ascii="宋体" w:hAnsi="宋体" w:eastAsia="宋体" w:cs="宋体"/>
          <w:b/>
          <w:bCs/>
          <w:sz w:val="24"/>
          <w:szCs w:val="24"/>
        </w:rPr>
        <w:t>8.  合同款支付</w:t>
      </w:r>
    </w:p>
    <w:p>
      <w:pPr>
        <w:spacing w:line="440" w:lineRule="exact"/>
        <w:ind w:firstLine="480" w:firstLineChars="200"/>
        <w:rPr>
          <w:rFonts w:ascii="宋体" w:hAnsi="宋体" w:eastAsia="宋体"/>
          <w:sz w:val="24"/>
          <w:szCs w:val="24"/>
        </w:rPr>
      </w:pPr>
      <w:r>
        <w:rPr>
          <w:rFonts w:hint="eastAsia" w:ascii="宋体" w:hAnsi="宋体" w:eastAsia="宋体"/>
          <w:bCs/>
          <w:sz w:val="24"/>
        </w:rPr>
        <w:t>8.1 付款方</w:t>
      </w:r>
      <w:r>
        <w:rPr>
          <w:rFonts w:hint="eastAsia" w:ascii="宋体" w:hAnsi="宋体" w:eastAsia="宋体"/>
          <w:sz w:val="24"/>
        </w:rPr>
        <w:t>式：</w:t>
      </w:r>
      <w:r>
        <w:rPr>
          <w:rFonts w:hint="eastAsia" w:ascii="宋体" w:hAnsi="宋体" w:eastAsia="宋体"/>
          <w:sz w:val="24"/>
          <w:szCs w:val="24"/>
          <w:u w:val="single"/>
        </w:rPr>
        <w:t>本项目无预付款，按软件开发与实施进度分期付款，具体的付款方式如下：中标供应商完成应用软件系统的编制开发方案且审核合格后，采购人向中标供应商支付合同款的</w:t>
      </w:r>
      <w:r>
        <w:rPr>
          <w:rFonts w:ascii="宋体" w:hAnsi="宋体" w:eastAsia="宋体"/>
          <w:sz w:val="24"/>
          <w:szCs w:val="24"/>
          <w:u w:val="single"/>
        </w:rPr>
        <w:t>10%</w:t>
      </w:r>
      <w:r>
        <w:rPr>
          <w:rFonts w:hint="eastAsia" w:ascii="宋体" w:hAnsi="宋体" w:eastAsia="宋体"/>
          <w:sz w:val="24"/>
          <w:szCs w:val="24"/>
          <w:u w:val="single"/>
        </w:rPr>
        <w:t>；中标供应商完成本系统项目整体开发实施工作，并通过初步验收后，采购人向中标供应商支付合同款的</w:t>
      </w:r>
      <w:r>
        <w:rPr>
          <w:rFonts w:ascii="宋体" w:hAnsi="宋体" w:eastAsia="宋体"/>
          <w:sz w:val="24"/>
          <w:szCs w:val="24"/>
          <w:u w:val="single"/>
        </w:rPr>
        <w:t>70%</w:t>
      </w:r>
      <w:r>
        <w:rPr>
          <w:rFonts w:hint="eastAsia" w:ascii="宋体" w:hAnsi="宋体" w:eastAsia="宋体"/>
          <w:sz w:val="24"/>
          <w:szCs w:val="24"/>
          <w:u w:val="single"/>
        </w:rPr>
        <w:t>；中标供应商完成本系统的应用推广和培训，通过测评合格，完成本系统的所有服务并经采购人书面验收合格后，采购人向中标供应商支付剩余合同款。</w:t>
      </w:r>
    </w:p>
    <w:p>
      <w:pPr>
        <w:pStyle w:val="17"/>
        <w:tabs>
          <w:tab w:val="left" w:pos="5145"/>
          <w:tab w:val="left" w:pos="5355"/>
          <w:tab w:val="left" w:pos="619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7"/>
        <w:tabs>
          <w:tab w:val="left" w:pos="5145"/>
          <w:tab w:val="left" w:pos="5355"/>
          <w:tab w:val="left" w:pos="6195"/>
        </w:tabs>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8.3 政府采购监督管理部门在处理投诉事项期间，可以视具体情况书面通知采购人暂停采购活动</w:t>
      </w:r>
      <w:r>
        <w:rPr>
          <w:rFonts w:hint="eastAsia" w:ascii="宋体" w:hAnsi="宋体" w:eastAsia="宋体" w:cs="宋体"/>
          <w:bCs/>
          <w:sz w:val="24"/>
          <w:szCs w:val="24"/>
        </w:rPr>
        <w:t>，并延期支付合同款。</w:t>
      </w:r>
    </w:p>
    <w:p>
      <w:pPr>
        <w:pStyle w:val="17"/>
        <w:spacing w:line="360" w:lineRule="auto"/>
        <w:rPr>
          <w:rFonts w:hint="eastAsia" w:ascii="宋体" w:hAnsi="宋体" w:eastAsia="宋体" w:cs="宋体"/>
          <w:b/>
          <w:bCs/>
          <w:sz w:val="24"/>
          <w:szCs w:val="24"/>
        </w:rPr>
      </w:pPr>
      <w:r>
        <w:rPr>
          <w:rFonts w:hint="eastAsia" w:ascii="宋体" w:hAnsi="宋体" w:eastAsia="宋体" w:cs="宋体"/>
          <w:b/>
          <w:bCs/>
          <w:sz w:val="24"/>
          <w:szCs w:val="24"/>
        </w:rPr>
        <w:t>9.  售后服务要求</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乙方提供服务的质量保证期为：</w:t>
      </w:r>
      <w:r>
        <w:rPr>
          <w:rFonts w:hint="eastAsia" w:ascii="宋体" w:hAnsi="宋体" w:eastAsia="宋体" w:cs="宋体"/>
          <w:sz w:val="24"/>
          <w:szCs w:val="24"/>
          <w:u w:val="single"/>
        </w:rPr>
        <w:t xml:space="preserve">　　　　　　   </w:t>
      </w:r>
      <w:r>
        <w:rPr>
          <w:rFonts w:hint="eastAsia" w:ascii="宋体" w:hAnsi="宋体" w:eastAsia="宋体" w:cs="宋体"/>
          <w:sz w:val="24"/>
          <w:szCs w:val="24"/>
        </w:rPr>
        <w:t>（自提交服务验收合格之日起计）</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在本合同第9.1项约定的质量保证期内，乙方应对服务出现的问题负责处理解决并承担一切费用。</w:t>
      </w:r>
    </w:p>
    <w:p>
      <w:pPr>
        <w:pStyle w:val="17"/>
        <w:tabs>
          <w:tab w:val="left" w:pos="5250"/>
        </w:tabs>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9.3 其他售后服务要求：</w:t>
      </w:r>
      <w:r>
        <w:rPr>
          <w:rFonts w:hint="eastAsia" w:ascii="宋体" w:hAnsi="宋体" w:eastAsia="宋体" w:cs="宋体"/>
          <w:sz w:val="24"/>
          <w:szCs w:val="24"/>
          <w:u w:val="single"/>
        </w:rPr>
        <w:t>按投标文件商务条款偏离表内容执行。</w:t>
      </w:r>
    </w:p>
    <w:p>
      <w:pPr>
        <w:pStyle w:val="17"/>
        <w:spacing w:line="360" w:lineRule="auto"/>
        <w:rPr>
          <w:rFonts w:hint="eastAsia" w:ascii="宋体" w:hAnsi="宋体" w:eastAsia="宋体" w:cs="宋体"/>
          <w:b/>
          <w:bCs/>
          <w:sz w:val="24"/>
          <w:szCs w:val="24"/>
        </w:rPr>
      </w:pPr>
      <w:r>
        <w:rPr>
          <w:rFonts w:hint="eastAsia" w:ascii="宋体" w:hAnsi="宋体" w:eastAsia="宋体" w:cs="宋体"/>
          <w:b/>
          <w:bCs/>
          <w:sz w:val="24"/>
          <w:szCs w:val="24"/>
        </w:rPr>
        <w:t>10.  违约责任</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 甲方无正当理由拒收服务的，甲方向乙方偿付拒收服务费总值的百分之五违约金。</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甲方无故逾期验收或办理合同款支付手续的，甲方应按逾期付款总额每日万分之五向乙方支付违约金。</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7"/>
        <w:spacing w:line="360" w:lineRule="auto"/>
        <w:rPr>
          <w:rFonts w:hint="eastAsia" w:ascii="宋体" w:hAnsi="宋体" w:eastAsia="宋体" w:cs="宋体"/>
          <w:b/>
          <w:bCs/>
          <w:sz w:val="24"/>
          <w:szCs w:val="24"/>
        </w:rPr>
      </w:pPr>
      <w:r>
        <w:rPr>
          <w:rFonts w:hint="eastAsia" w:ascii="宋体" w:hAnsi="宋体" w:eastAsia="宋体" w:cs="宋体"/>
          <w:b/>
          <w:bCs/>
          <w:sz w:val="24"/>
          <w:szCs w:val="24"/>
        </w:rPr>
        <w:t>11.  不可抗力事件处理</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在合同有效期内，任何一方因不可抗力事件导致不能履行合同，则合同履行期可延长，其延长期与不可抗力影响期相同。</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不可抗力事件发生后，应立即通知对方，并寄送有关权威机构出具的证明。</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不可抗力事件延续120天以上，双方应通过友好协商，确定是否继续履行合同。</w:t>
      </w:r>
    </w:p>
    <w:p>
      <w:pPr>
        <w:pStyle w:val="17"/>
        <w:spacing w:line="360" w:lineRule="auto"/>
        <w:rPr>
          <w:rFonts w:hint="eastAsia" w:ascii="宋体" w:hAnsi="宋体" w:eastAsia="宋体" w:cs="宋体"/>
          <w:b/>
          <w:bCs/>
          <w:sz w:val="24"/>
          <w:szCs w:val="24"/>
        </w:rPr>
      </w:pPr>
      <w:r>
        <w:rPr>
          <w:rFonts w:hint="eastAsia" w:ascii="宋体" w:hAnsi="宋体" w:eastAsia="宋体" w:cs="宋体"/>
          <w:b/>
          <w:bCs/>
          <w:sz w:val="24"/>
          <w:szCs w:val="24"/>
        </w:rPr>
        <w:t>12.  诉讼</w:t>
      </w:r>
    </w:p>
    <w:p>
      <w:pPr>
        <w:pStyle w:val="17"/>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双方在执行合同中所发生的一切争议，应通过协商解决。如协商不成，可向合同签订地法院起诉，合同签订地在此约定为广西南宁市。</w:t>
      </w:r>
    </w:p>
    <w:p>
      <w:pPr>
        <w:pStyle w:val="17"/>
        <w:spacing w:line="360" w:lineRule="auto"/>
        <w:rPr>
          <w:rFonts w:hint="eastAsia" w:ascii="宋体" w:hAnsi="宋体" w:eastAsia="宋体" w:cs="宋体"/>
          <w:b/>
          <w:bCs/>
          <w:sz w:val="24"/>
          <w:szCs w:val="24"/>
        </w:rPr>
      </w:pPr>
      <w:r>
        <w:rPr>
          <w:rFonts w:hint="eastAsia" w:ascii="宋体" w:hAnsi="宋体" w:eastAsia="宋体" w:cs="宋体"/>
          <w:b/>
          <w:bCs/>
          <w:sz w:val="24"/>
          <w:szCs w:val="24"/>
        </w:rPr>
        <w:t>13.  合同生效及其它</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合同经双方法定代表人或授权委托代理人签字并加盖单位公章后生效。</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 合同执行中涉及采购资金和采购内容修改或补充的，须经市财政部门审批，并签书面补充协议报南宁市政府采购监督管理部门备案，方可作为主合同不可分割的一部分。</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 下述合同附件为本合同不可分割的部分并与本合同具有同等效力：</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（1）中标通知书；</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（2）招标文件服务需求一览表；</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（3）招标文件的澄清和修改；</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（4）投标函、投标报价表；</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（5）投标服务技术资料表、商务条款偏离表、售后服务承诺书；</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（6）中标供应商澄清函。</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13.4 本合同未尽事宜，遵照《中华人民共和国合同法》有关条文执行。</w:t>
      </w:r>
    </w:p>
    <w:p>
      <w:pPr>
        <w:pStyle w:val="1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13.5 </w:t>
      </w:r>
      <w:r>
        <w:rPr>
          <w:rFonts w:hint="eastAsia" w:ascii="宋体" w:hAnsi="宋体" w:eastAsia="宋体" w:cs="宋体"/>
          <w:b/>
          <w:sz w:val="24"/>
        </w:rPr>
        <w:t>本合同正本一式贰份</w:t>
      </w:r>
      <w:r>
        <w:rPr>
          <w:rFonts w:hint="eastAsia" w:ascii="宋体" w:hAnsi="宋体" w:eastAsia="宋体" w:cs="宋体"/>
          <w:sz w:val="24"/>
        </w:rPr>
        <w:t>，具有同等法律效力，甲乙双方各执</w:t>
      </w:r>
      <w:r>
        <w:rPr>
          <w:rFonts w:hint="eastAsia" w:ascii="宋体" w:hAnsi="宋体" w:eastAsia="宋体" w:cs="宋体"/>
          <w:b/>
          <w:sz w:val="24"/>
        </w:rPr>
        <w:t>壹份</w:t>
      </w:r>
      <w:r>
        <w:rPr>
          <w:rFonts w:hint="eastAsia" w:ascii="宋体" w:hAnsi="宋体" w:eastAsia="宋体" w:cs="宋体"/>
          <w:sz w:val="24"/>
        </w:rPr>
        <w:t>；</w:t>
      </w:r>
      <w:r>
        <w:rPr>
          <w:rFonts w:hint="eastAsia" w:ascii="宋体" w:hAnsi="宋体" w:eastAsia="宋体" w:cs="宋体"/>
          <w:b/>
          <w:sz w:val="24"/>
        </w:rPr>
        <w:t>副本肆份</w:t>
      </w:r>
      <w:r>
        <w:rPr>
          <w:rFonts w:hint="eastAsia" w:ascii="宋体" w:hAnsi="宋体" w:eastAsia="宋体" w:cs="宋体"/>
          <w:sz w:val="24"/>
        </w:rPr>
        <w:t>，甲乙双方各执</w:t>
      </w:r>
      <w:r>
        <w:rPr>
          <w:rFonts w:hint="eastAsia" w:ascii="宋体" w:hAnsi="宋体" w:eastAsia="宋体" w:cs="宋体"/>
          <w:b/>
          <w:sz w:val="24"/>
        </w:rPr>
        <w:t>壹份</w:t>
      </w:r>
      <w:r>
        <w:rPr>
          <w:rFonts w:hint="eastAsia" w:ascii="宋体" w:hAnsi="宋体" w:eastAsia="宋体" w:cs="宋体"/>
          <w:sz w:val="24"/>
        </w:rPr>
        <w:t>，采购代理</w:t>
      </w:r>
      <w:r>
        <w:rPr>
          <w:rFonts w:hint="eastAsia" w:ascii="宋体" w:hAnsi="宋体" w:eastAsia="宋体" w:cs="宋体"/>
          <w:b/>
          <w:sz w:val="24"/>
        </w:rPr>
        <w:t>贰份</w:t>
      </w:r>
      <w:r>
        <w:rPr>
          <w:rFonts w:hint="eastAsia" w:ascii="宋体" w:hAnsi="宋体" w:eastAsia="宋体" w:cs="宋体"/>
          <w:sz w:val="24"/>
        </w:rPr>
        <w:t>。自合同签订之日起</w:t>
      </w:r>
      <w:r>
        <w:rPr>
          <w:rFonts w:hint="eastAsia" w:ascii="宋体" w:hAnsi="宋体" w:eastAsia="宋体" w:cs="宋体"/>
          <w:b/>
          <w:sz w:val="24"/>
        </w:rPr>
        <w:t>2个工作日内</w:t>
      </w:r>
      <w:r>
        <w:rPr>
          <w:rFonts w:hint="eastAsia" w:ascii="宋体" w:hAnsi="宋体" w:eastAsia="宋体" w:cs="宋体"/>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7"/>
        <w:spacing w:line="360" w:lineRule="auto"/>
        <w:ind w:firstLine="480" w:firstLineChars="200"/>
        <w:rPr>
          <w:rFonts w:hint="eastAsia" w:ascii="宋体" w:hAnsi="宋体" w:eastAsia="宋体" w:cs="宋体"/>
          <w:sz w:val="24"/>
          <w:szCs w:val="24"/>
        </w:rPr>
      </w:pPr>
    </w:p>
    <w:p>
      <w:pPr>
        <w:pStyle w:val="17"/>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乙方：_______________________________</w:t>
      </w:r>
      <w:r>
        <w:rPr>
          <w:rFonts w:hint="eastAsia" w:ascii="宋体" w:hAnsi="宋体" w:eastAsia="宋体" w:cs="宋体"/>
          <w:sz w:val="24"/>
          <w:szCs w:val="24"/>
          <w:u w:val="single"/>
        </w:rPr>
        <w:t xml:space="preserve">                                   </w:t>
      </w:r>
    </w:p>
    <w:p>
      <w:pPr>
        <w:pStyle w:val="17"/>
        <w:spacing w:line="360" w:lineRule="auto"/>
        <w:jc w:val="left"/>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7"/>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法定代表人：_________________________</w:t>
      </w:r>
      <w:r>
        <w:rPr>
          <w:rFonts w:hint="eastAsia" w:ascii="宋体" w:hAnsi="宋体" w:eastAsia="宋体" w:cs="宋体"/>
          <w:sz w:val="24"/>
          <w:szCs w:val="24"/>
          <w:u w:val="single"/>
        </w:rPr>
        <w:t xml:space="preserve">                              </w:t>
      </w:r>
    </w:p>
    <w:p>
      <w:pPr>
        <w:pStyle w:val="17"/>
        <w:spacing w:line="360" w:lineRule="auto"/>
        <w:jc w:val="left"/>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委托代理人：_________________________</w:t>
      </w:r>
      <w:r>
        <w:rPr>
          <w:rFonts w:hint="eastAsia" w:ascii="宋体" w:hAnsi="宋体" w:eastAsia="宋体" w:cs="宋体"/>
          <w:sz w:val="24"/>
          <w:szCs w:val="24"/>
          <w:u w:val="single"/>
        </w:rPr>
        <w:t xml:space="preserve">                               </w:t>
      </w:r>
    </w:p>
    <w:p>
      <w:pPr>
        <w:pStyle w:val="17"/>
        <w:spacing w:line="360" w:lineRule="auto"/>
        <w:jc w:val="left"/>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7"/>
        <w:spacing w:line="360" w:lineRule="auto"/>
        <w:jc w:val="left"/>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7"/>
        <w:spacing w:line="360" w:lineRule="auto"/>
        <w:jc w:val="left"/>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邮政编码：___________________________</w:t>
      </w:r>
      <w:r>
        <w:rPr>
          <w:rFonts w:hint="eastAsia" w:ascii="宋体" w:hAnsi="宋体" w:eastAsia="宋体" w:cs="宋体"/>
          <w:sz w:val="24"/>
          <w:szCs w:val="24"/>
          <w:u w:val="single"/>
        </w:rPr>
        <w:t xml:space="preserve">                                 </w:t>
      </w:r>
    </w:p>
    <w:p>
      <w:pPr>
        <w:pStyle w:val="17"/>
        <w:spacing w:line="360" w:lineRule="auto"/>
        <w:jc w:val="left"/>
        <w:rPr>
          <w:rFonts w:hint="eastAsia" w:ascii="宋体" w:hAnsi="宋体" w:eastAsia="宋体" w:cs="宋体"/>
          <w:u w:val="single"/>
        </w:rPr>
      </w:pPr>
      <w:r>
        <w:rPr>
          <w:rFonts w:hint="eastAsia" w:ascii="宋体" w:hAnsi="宋体" w:eastAsia="宋体" w:cs="宋体"/>
          <w:sz w:val="24"/>
          <w:szCs w:val="24"/>
        </w:rPr>
        <w:t xml:space="preserve">                                          统一社会代码：_______________________</w:t>
      </w:r>
      <w:r>
        <w:rPr>
          <w:rFonts w:hint="eastAsia" w:ascii="宋体" w:hAnsi="宋体" w:eastAsia="宋体" w:cs="宋体"/>
          <w:sz w:val="24"/>
          <w:szCs w:val="24"/>
          <w:u w:val="single"/>
        </w:rPr>
        <w:t xml:space="preserve">  </w:t>
      </w:r>
      <w:r>
        <w:rPr>
          <w:rFonts w:hint="eastAsia" w:ascii="宋体" w:hAnsi="宋体" w:eastAsia="宋体" w:cs="宋体"/>
          <w:u w:val="single"/>
        </w:rPr>
        <w:t xml:space="preserve">                          </w:t>
      </w:r>
    </w:p>
    <w:p>
      <w:pPr>
        <w:pStyle w:val="17"/>
        <w:spacing w:line="360" w:lineRule="auto"/>
        <w:ind w:firstLine="5040" w:firstLineChars="2100"/>
        <w:jc w:val="left"/>
        <w:rPr>
          <w:rFonts w:hint="eastAsia" w:ascii="宋体" w:hAnsi="宋体" w:eastAsia="宋体" w:cs="宋体"/>
          <w:sz w:val="24"/>
          <w:szCs w:val="24"/>
          <w:u w:val="single"/>
        </w:rPr>
      </w:pPr>
      <w:r>
        <w:rPr>
          <w:rFonts w:hint="eastAsia" w:ascii="宋体" w:hAnsi="宋体" w:eastAsia="宋体" w:cs="宋体"/>
          <w:sz w:val="24"/>
          <w:szCs w:val="24"/>
        </w:rPr>
        <w:t>开户银行：___________________________</w:t>
      </w:r>
      <w:r>
        <w:rPr>
          <w:rFonts w:hint="eastAsia" w:ascii="宋体" w:hAnsi="宋体" w:eastAsia="宋体" w:cs="宋体"/>
          <w:sz w:val="24"/>
          <w:szCs w:val="24"/>
          <w:u w:val="single"/>
        </w:rPr>
        <w:t xml:space="preserve">                                 </w:t>
      </w:r>
    </w:p>
    <w:p>
      <w:pPr>
        <w:pStyle w:val="17"/>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开户名称：___________________________</w:t>
      </w:r>
      <w:r>
        <w:rPr>
          <w:rFonts w:hint="eastAsia" w:ascii="宋体" w:hAnsi="宋体" w:eastAsia="宋体" w:cs="宋体"/>
          <w:sz w:val="24"/>
          <w:szCs w:val="24"/>
          <w:u w:val="single"/>
        </w:rPr>
        <w:t xml:space="preserve">                                </w:t>
      </w:r>
    </w:p>
    <w:p>
      <w:pPr>
        <w:pStyle w:val="17"/>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 xml:space="preserve">                                          银行账号：___________________________</w:t>
      </w:r>
      <w:r>
        <w:rPr>
          <w:rFonts w:hint="eastAsia" w:ascii="宋体" w:hAnsi="宋体" w:eastAsia="宋体" w:cs="宋体"/>
          <w:sz w:val="24"/>
          <w:szCs w:val="24"/>
          <w:u w:val="single"/>
        </w:rPr>
        <w:t xml:space="preserve">                                </w:t>
      </w:r>
    </w:p>
    <w:p>
      <w:pPr>
        <w:pStyle w:val="17"/>
        <w:spacing w:line="360" w:lineRule="auto"/>
        <w:rPr>
          <w:rFonts w:hint="eastAsia" w:ascii="宋体" w:hAnsi="宋体" w:eastAsia="宋体" w:cs="宋体"/>
          <w:sz w:val="24"/>
          <w:szCs w:val="24"/>
        </w:rPr>
      </w:pPr>
      <w:r>
        <w:rPr>
          <w:rFonts w:hint="eastAsia" w:ascii="宋体" w:hAnsi="宋体" w:eastAsia="宋体" w:cs="宋体"/>
          <w:sz w:val="24"/>
          <w:szCs w:val="24"/>
        </w:rPr>
        <w:t xml:space="preserve">合同签订地点：广西南宁市 </w:t>
      </w:r>
    </w:p>
    <w:p>
      <w:pPr>
        <w:pStyle w:val="17"/>
        <w:spacing w:line="360" w:lineRule="auto"/>
        <w:rPr>
          <w:rFonts w:hint="eastAsia" w:ascii="宋体" w:hAnsi="宋体" w:eastAsia="宋体" w:cs="宋体"/>
          <w:sz w:val="24"/>
          <w:szCs w:val="24"/>
        </w:rPr>
      </w:pPr>
      <w:r>
        <w:rPr>
          <w:rFonts w:hint="eastAsia" w:ascii="宋体" w:hAnsi="宋体" w:eastAsia="宋体" w:cs="宋体"/>
          <w:sz w:val="24"/>
          <w:szCs w:val="24"/>
        </w:rPr>
        <w:t>合同签订日期：</w:t>
      </w:r>
      <w:r>
        <w:rPr>
          <w:rFonts w:hint="eastAsia" w:ascii="宋体" w:hAnsi="宋体" w:eastAsia="宋体" w:cs="宋体"/>
          <w:sz w:val="24"/>
          <w:szCs w:val="24"/>
          <w:u w:val="single"/>
        </w:rPr>
        <w:t>2020</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17"/>
        <w:spacing w:line="360" w:lineRule="auto"/>
        <w:rPr>
          <w:rFonts w:hint="eastAsia" w:ascii="宋体" w:hAnsi="宋体" w:eastAsia="宋体" w:cs="宋体"/>
        </w:rPr>
      </w:pPr>
    </w:p>
    <w:p>
      <w:pPr>
        <w:spacing w:line="220" w:lineRule="atLeast"/>
        <w:rPr>
          <w:rFonts w:hint="eastAsia" w:ascii="宋体" w:hAnsi="宋体" w:eastAsia="宋体"/>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15</w:t>
    </w:r>
    <w:r>
      <w:rPr>
        <w:lang w:val="zh-CN"/>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68</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Arial"/>
        <w:bCs/>
        <w:sz w:val="16"/>
        <w:szCs w:val="16"/>
        <w:u w:val="single"/>
      </w:rPr>
    </w:pPr>
    <w:r>
      <w:rPr>
        <w:rFonts w:hint="eastAsia" w:ascii="宋体" w:hAnsi="宋体" w:eastAsia="宋体" w:cs="Arial"/>
        <w:bCs/>
        <w:sz w:val="16"/>
        <w:szCs w:val="16"/>
        <w:u w:val="single"/>
      </w:rPr>
      <w:t>项目名称：扬尘治理视频综合管理系统（二期）                                             项目编号：</w:t>
    </w:r>
    <w:r>
      <w:rPr>
        <w:rFonts w:ascii="宋体" w:hAnsi="宋体" w:eastAsia="宋体" w:cs="Arial"/>
        <w:bCs/>
        <w:sz w:val="16"/>
        <w:szCs w:val="16"/>
        <w:u w:val="single"/>
      </w:rPr>
      <w:t>NNZC2020-G3-9900</w:t>
    </w:r>
    <w:r>
      <w:rPr>
        <w:rFonts w:hint="eastAsia" w:ascii="宋体" w:hAnsi="宋体" w:eastAsia="宋体" w:cs="Arial"/>
        <w:bCs/>
        <w:sz w:val="16"/>
        <w:szCs w:val="16"/>
        <w:u w:val="single"/>
      </w:rPr>
      <w:t>80</w:t>
    </w:r>
    <w:r>
      <w:rPr>
        <w:rFonts w:ascii="宋体" w:hAnsi="宋体" w:eastAsia="宋体" w:cs="Arial"/>
        <w:bCs/>
        <w:sz w:val="16"/>
        <w:szCs w:val="16"/>
        <w:u w:val="single"/>
      </w:rPr>
      <w:t>-GXYZ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A6939"/>
    <w:multiLevelType w:val="singleLevel"/>
    <w:tmpl w:val="B84A6939"/>
    <w:lvl w:ilvl="0" w:tentative="0">
      <w:start w:val="2"/>
      <w:numFmt w:val="decimal"/>
      <w:suff w:val="space"/>
      <w:lvlText w:val="%1)"/>
      <w:lvlJc w:val="left"/>
    </w:lvl>
  </w:abstractNum>
  <w:abstractNum w:abstractNumId="1">
    <w:nsid w:val="F21F5903"/>
    <w:multiLevelType w:val="singleLevel"/>
    <w:tmpl w:val="F21F5903"/>
    <w:lvl w:ilvl="0" w:tentative="0">
      <w:start w:val="6"/>
      <w:numFmt w:val="chineseCounting"/>
      <w:suff w:val="nothing"/>
      <w:lvlText w:val="%1、"/>
      <w:lvlJc w:val="left"/>
      <w:rPr>
        <w:rFonts w:hint="eastAsia"/>
      </w:rPr>
    </w:lvl>
  </w:abstractNum>
  <w:abstractNum w:abstractNumId="2">
    <w:nsid w:val="FBEB71C6"/>
    <w:multiLevelType w:val="singleLevel"/>
    <w:tmpl w:val="FBEB71C6"/>
    <w:lvl w:ilvl="0" w:tentative="0">
      <w:start w:val="5"/>
      <w:numFmt w:val="decimal"/>
      <w:suff w:val="nothing"/>
      <w:lvlText w:val="%1、"/>
      <w:lvlJc w:val="left"/>
    </w:lvl>
  </w:abstractNum>
  <w:abstractNum w:abstractNumId="3">
    <w:nsid w:val="00000002"/>
    <w:multiLevelType w:val="singleLevel"/>
    <w:tmpl w:val="00000002"/>
    <w:lvl w:ilvl="0" w:tentative="0">
      <w:start w:val="30"/>
      <w:numFmt w:val="decimal"/>
      <w:suff w:val="space"/>
      <w:lvlText w:val="%1."/>
      <w:lvlJc w:val="left"/>
    </w:lvl>
  </w:abstractNum>
  <w:abstractNum w:abstractNumId="4">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8"/>
    <w:multiLevelType w:val="singleLevel"/>
    <w:tmpl w:val="00000008"/>
    <w:lvl w:ilvl="0" w:tentative="0">
      <w:start w:val="1"/>
      <w:numFmt w:val="chineseCounting"/>
      <w:suff w:val="nothing"/>
      <w:lvlText w:val="%1、"/>
      <w:lvlJc w:val="left"/>
    </w:lvl>
  </w:abstractNum>
  <w:abstractNum w:abstractNumId="8">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abstractNum w:abstractNumId="9">
    <w:nsid w:val="15275920"/>
    <w:multiLevelType w:val="singleLevel"/>
    <w:tmpl w:val="15275920"/>
    <w:lvl w:ilvl="0" w:tentative="0">
      <w:start w:val="1"/>
      <w:numFmt w:val="decimal"/>
      <w:suff w:val="nothing"/>
      <w:lvlText w:val="（%1）"/>
      <w:lvlJc w:val="left"/>
    </w:lvl>
  </w:abstractNum>
  <w:abstractNum w:abstractNumId="10">
    <w:nsid w:val="334A0A82"/>
    <w:multiLevelType w:val="singleLevel"/>
    <w:tmpl w:val="334A0A82"/>
    <w:lvl w:ilvl="0" w:tentative="0">
      <w:start w:val="12"/>
      <w:numFmt w:val="decimal"/>
      <w:suff w:val="space"/>
      <w:lvlText w:val="%1."/>
      <w:lvlJc w:val="left"/>
    </w:lvl>
  </w:abstractNum>
  <w:num w:numId="1">
    <w:abstractNumId w:val="8"/>
  </w:num>
  <w:num w:numId="2">
    <w:abstractNumId w:val="5"/>
  </w:num>
  <w:num w:numId="3">
    <w:abstractNumId w:val="1"/>
  </w:num>
  <w:num w:numId="4">
    <w:abstractNumId w:val="2"/>
  </w:num>
  <w:num w:numId="5">
    <w:abstractNumId w:val="9"/>
  </w:num>
  <w:num w:numId="6">
    <w:abstractNumId w:val="0"/>
  </w:num>
  <w:num w:numId="7">
    <w:abstractNumId w:val="10"/>
  </w:num>
  <w:num w:numId="8">
    <w:abstractNumId w:val="3"/>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4BvPHY4b6AygpS0PXbDe//zaJvQ=" w:salt="IiX68O5DrCxcfff/wJkn2g=="/>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A3"/>
    <w:rsid w:val="00003034"/>
    <w:rsid w:val="00030650"/>
    <w:rsid w:val="00034268"/>
    <w:rsid w:val="00034F7B"/>
    <w:rsid w:val="00044ABB"/>
    <w:rsid w:val="00046507"/>
    <w:rsid w:val="00051CFD"/>
    <w:rsid w:val="000529FE"/>
    <w:rsid w:val="000839C1"/>
    <w:rsid w:val="0009052F"/>
    <w:rsid w:val="00095100"/>
    <w:rsid w:val="000A4156"/>
    <w:rsid w:val="000B313E"/>
    <w:rsid w:val="000C1B7B"/>
    <w:rsid w:val="000D315E"/>
    <w:rsid w:val="000D3792"/>
    <w:rsid w:val="000D5C13"/>
    <w:rsid w:val="000D5C16"/>
    <w:rsid w:val="000F1675"/>
    <w:rsid w:val="000F250D"/>
    <w:rsid w:val="00101495"/>
    <w:rsid w:val="00101C5F"/>
    <w:rsid w:val="00111C16"/>
    <w:rsid w:val="00112770"/>
    <w:rsid w:val="00123ADF"/>
    <w:rsid w:val="00130607"/>
    <w:rsid w:val="00132DCD"/>
    <w:rsid w:val="00133302"/>
    <w:rsid w:val="0013335D"/>
    <w:rsid w:val="00146917"/>
    <w:rsid w:val="00150935"/>
    <w:rsid w:val="0016375D"/>
    <w:rsid w:val="001807A8"/>
    <w:rsid w:val="00181946"/>
    <w:rsid w:val="0018341C"/>
    <w:rsid w:val="0018516C"/>
    <w:rsid w:val="00191C60"/>
    <w:rsid w:val="001B1653"/>
    <w:rsid w:val="001D2773"/>
    <w:rsid w:val="001D6B88"/>
    <w:rsid w:val="001E12D1"/>
    <w:rsid w:val="001E7AA8"/>
    <w:rsid w:val="001F2A21"/>
    <w:rsid w:val="001F490B"/>
    <w:rsid w:val="001F585B"/>
    <w:rsid w:val="00202BC6"/>
    <w:rsid w:val="00206D2A"/>
    <w:rsid w:val="00221B5F"/>
    <w:rsid w:val="0023222E"/>
    <w:rsid w:val="0023430D"/>
    <w:rsid w:val="00236612"/>
    <w:rsid w:val="00246131"/>
    <w:rsid w:val="002477B4"/>
    <w:rsid w:val="002522FD"/>
    <w:rsid w:val="00257CEF"/>
    <w:rsid w:val="0026703A"/>
    <w:rsid w:val="00273A94"/>
    <w:rsid w:val="00275AB8"/>
    <w:rsid w:val="00276296"/>
    <w:rsid w:val="00280806"/>
    <w:rsid w:val="00291918"/>
    <w:rsid w:val="002A464E"/>
    <w:rsid w:val="002A5471"/>
    <w:rsid w:val="002C1D9B"/>
    <w:rsid w:val="002C6635"/>
    <w:rsid w:val="002F4CFF"/>
    <w:rsid w:val="002F6BFE"/>
    <w:rsid w:val="00302FDF"/>
    <w:rsid w:val="00311E65"/>
    <w:rsid w:val="00323D45"/>
    <w:rsid w:val="00326E21"/>
    <w:rsid w:val="00346C43"/>
    <w:rsid w:val="00347A25"/>
    <w:rsid w:val="00355123"/>
    <w:rsid w:val="00356A41"/>
    <w:rsid w:val="00356A4A"/>
    <w:rsid w:val="00357B89"/>
    <w:rsid w:val="00374F76"/>
    <w:rsid w:val="00383BF6"/>
    <w:rsid w:val="00395231"/>
    <w:rsid w:val="00395954"/>
    <w:rsid w:val="00397945"/>
    <w:rsid w:val="003A4A9E"/>
    <w:rsid w:val="003B5ACE"/>
    <w:rsid w:val="003C0385"/>
    <w:rsid w:val="003C5914"/>
    <w:rsid w:val="003D0FE7"/>
    <w:rsid w:val="003E11A5"/>
    <w:rsid w:val="003E1CAF"/>
    <w:rsid w:val="003F2CF5"/>
    <w:rsid w:val="00405904"/>
    <w:rsid w:val="00415E86"/>
    <w:rsid w:val="00423B79"/>
    <w:rsid w:val="00425028"/>
    <w:rsid w:val="00433B42"/>
    <w:rsid w:val="00452E0B"/>
    <w:rsid w:val="00464558"/>
    <w:rsid w:val="004722E0"/>
    <w:rsid w:val="0047480E"/>
    <w:rsid w:val="00482A25"/>
    <w:rsid w:val="004924E1"/>
    <w:rsid w:val="00495DBE"/>
    <w:rsid w:val="004A47B5"/>
    <w:rsid w:val="004A5BDF"/>
    <w:rsid w:val="004C052E"/>
    <w:rsid w:val="004C09F9"/>
    <w:rsid w:val="004D02F7"/>
    <w:rsid w:val="004E22DB"/>
    <w:rsid w:val="004E5A84"/>
    <w:rsid w:val="004F0B9B"/>
    <w:rsid w:val="004F63E8"/>
    <w:rsid w:val="00500A52"/>
    <w:rsid w:val="00506A92"/>
    <w:rsid w:val="00507E6F"/>
    <w:rsid w:val="005111BB"/>
    <w:rsid w:val="00511336"/>
    <w:rsid w:val="005455FE"/>
    <w:rsid w:val="00545877"/>
    <w:rsid w:val="0055127D"/>
    <w:rsid w:val="00563541"/>
    <w:rsid w:val="00566E89"/>
    <w:rsid w:val="0056734A"/>
    <w:rsid w:val="00571D77"/>
    <w:rsid w:val="005731F2"/>
    <w:rsid w:val="00585473"/>
    <w:rsid w:val="005C369B"/>
    <w:rsid w:val="005C3BEE"/>
    <w:rsid w:val="005C5A96"/>
    <w:rsid w:val="005C707C"/>
    <w:rsid w:val="005D17A9"/>
    <w:rsid w:val="005D4668"/>
    <w:rsid w:val="005E0CA9"/>
    <w:rsid w:val="005E1220"/>
    <w:rsid w:val="005E69EF"/>
    <w:rsid w:val="006063A4"/>
    <w:rsid w:val="00611CD1"/>
    <w:rsid w:val="00617E46"/>
    <w:rsid w:val="006239CD"/>
    <w:rsid w:val="006406B2"/>
    <w:rsid w:val="00643C00"/>
    <w:rsid w:val="006442DB"/>
    <w:rsid w:val="0065000F"/>
    <w:rsid w:val="0066296A"/>
    <w:rsid w:val="00675772"/>
    <w:rsid w:val="00675F16"/>
    <w:rsid w:val="00680501"/>
    <w:rsid w:val="0068269F"/>
    <w:rsid w:val="006A40EC"/>
    <w:rsid w:val="006C00F2"/>
    <w:rsid w:val="006C55C4"/>
    <w:rsid w:val="006C5948"/>
    <w:rsid w:val="006D1732"/>
    <w:rsid w:val="006D23AE"/>
    <w:rsid w:val="006D2F13"/>
    <w:rsid w:val="006D530D"/>
    <w:rsid w:val="006E503E"/>
    <w:rsid w:val="00707FEF"/>
    <w:rsid w:val="00721714"/>
    <w:rsid w:val="00721B13"/>
    <w:rsid w:val="00736EC3"/>
    <w:rsid w:val="0073717A"/>
    <w:rsid w:val="00737FB9"/>
    <w:rsid w:val="007444A6"/>
    <w:rsid w:val="00751DD5"/>
    <w:rsid w:val="00752548"/>
    <w:rsid w:val="0075610C"/>
    <w:rsid w:val="007571D9"/>
    <w:rsid w:val="00757D87"/>
    <w:rsid w:val="007628BF"/>
    <w:rsid w:val="00764893"/>
    <w:rsid w:val="00775685"/>
    <w:rsid w:val="007758A3"/>
    <w:rsid w:val="00776B14"/>
    <w:rsid w:val="00792FF7"/>
    <w:rsid w:val="007A4C21"/>
    <w:rsid w:val="007B104B"/>
    <w:rsid w:val="007B5E8B"/>
    <w:rsid w:val="007E709E"/>
    <w:rsid w:val="007F04A2"/>
    <w:rsid w:val="007F64BD"/>
    <w:rsid w:val="00814927"/>
    <w:rsid w:val="008205BC"/>
    <w:rsid w:val="00835107"/>
    <w:rsid w:val="00855518"/>
    <w:rsid w:val="0086353D"/>
    <w:rsid w:val="008779EB"/>
    <w:rsid w:val="00883CE3"/>
    <w:rsid w:val="00884809"/>
    <w:rsid w:val="008A5620"/>
    <w:rsid w:val="008C36BD"/>
    <w:rsid w:val="008D2504"/>
    <w:rsid w:val="008D4ECA"/>
    <w:rsid w:val="008F1D32"/>
    <w:rsid w:val="008F3A23"/>
    <w:rsid w:val="00902BAD"/>
    <w:rsid w:val="00905CDA"/>
    <w:rsid w:val="00906ABA"/>
    <w:rsid w:val="00910BE7"/>
    <w:rsid w:val="009110C2"/>
    <w:rsid w:val="0092016A"/>
    <w:rsid w:val="00926D63"/>
    <w:rsid w:val="00942ECF"/>
    <w:rsid w:val="009451B4"/>
    <w:rsid w:val="00945C91"/>
    <w:rsid w:val="009624A8"/>
    <w:rsid w:val="009643BD"/>
    <w:rsid w:val="009746D3"/>
    <w:rsid w:val="00976D92"/>
    <w:rsid w:val="009948C0"/>
    <w:rsid w:val="009A588F"/>
    <w:rsid w:val="009A7343"/>
    <w:rsid w:val="009A7E57"/>
    <w:rsid w:val="009B247B"/>
    <w:rsid w:val="009B383C"/>
    <w:rsid w:val="009B49CA"/>
    <w:rsid w:val="009D491F"/>
    <w:rsid w:val="009D58B4"/>
    <w:rsid w:val="009D74A5"/>
    <w:rsid w:val="009E4BBD"/>
    <w:rsid w:val="009F0114"/>
    <w:rsid w:val="00A03C23"/>
    <w:rsid w:val="00A159C3"/>
    <w:rsid w:val="00A173AD"/>
    <w:rsid w:val="00A300C0"/>
    <w:rsid w:val="00A318EE"/>
    <w:rsid w:val="00A32BF7"/>
    <w:rsid w:val="00A40610"/>
    <w:rsid w:val="00A46AF3"/>
    <w:rsid w:val="00A567AF"/>
    <w:rsid w:val="00A6162B"/>
    <w:rsid w:val="00A64A17"/>
    <w:rsid w:val="00A72A00"/>
    <w:rsid w:val="00A829D9"/>
    <w:rsid w:val="00A9158A"/>
    <w:rsid w:val="00A97A32"/>
    <w:rsid w:val="00AB0587"/>
    <w:rsid w:val="00AB7B8E"/>
    <w:rsid w:val="00AC2E9C"/>
    <w:rsid w:val="00AD218A"/>
    <w:rsid w:val="00AE0BA6"/>
    <w:rsid w:val="00AF1251"/>
    <w:rsid w:val="00B23D4D"/>
    <w:rsid w:val="00B2786D"/>
    <w:rsid w:val="00B32EA5"/>
    <w:rsid w:val="00B37CA3"/>
    <w:rsid w:val="00B62074"/>
    <w:rsid w:val="00B63C43"/>
    <w:rsid w:val="00B727D1"/>
    <w:rsid w:val="00B741C7"/>
    <w:rsid w:val="00B76EDA"/>
    <w:rsid w:val="00B8525B"/>
    <w:rsid w:val="00B92857"/>
    <w:rsid w:val="00BD0B51"/>
    <w:rsid w:val="00BD6210"/>
    <w:rsid w:val="00BD7239"/>
    <w:rsid w:val="00BE05C2"/>
    <w:rsid w:val="00BE2AFD"/>
    <w:rsid w:val="00C0224C"/>
    <w:rsid w:val="00C02938"/>
    <w:rsid w:val="00C171C9"/>
    <w:rsid w:val="00C20C90"/>
    <w:rsid w:val="00C332E0"/>
    <w:rsid w:val="00C46C96"/>
    <w:rsid w:val="00C52512"/>
    <w:rsid w:val="00C65F4E"/>
    <w:rsid w:val="00C664F1"/>
    <w:rsid w:val="00C71949"/>
    <w:rsid w:val="00C71FF2"/>
    <w:rsid w:val="00C731A5"/>
    <w:rsid w:val="00C7513E"/>
    <w:rsid w:val="00C91065"/>
    <w:rsid w:val="00C96C1B"/>
    <w:rsid w:val="00CB581A"/>
    <w:rsid w:val="00CC05CC"/>
    <w:rsid w:val="00CC6EF9"/>
    <w:rsid w:val="00CD7CB6"/>
    <w:rsid w:val="00CE1CFA"/>
    <w:rsid w:val="00CE278A"/>
    <w:rsid w:val="00CE7822"/>
    <w:rsid w:val="00CF0DB0"/>
    <w:rsid w:val="00D048C9"/>
    <w:rsid w:val="00D0563E"/>
    <w:rsid w:val="00D1051A"/>
    <w:rsid w:val="00D154A5"/>
    <w:rsid w:val="00D34CC2"/>
    <w:rsid w:val="00D45666"/>
    <w:rsid w:val="00D5016C"/>
    <w:rsid w:val="00D70D99"/>
    <w:rsid w:val="00D9108F"/>
    <w:rsid w:val="00D92FBC"/>
    <w:rsid w:val="00DA28A9"/>
    <w:rsid w:val="00DB1DD4"/>
    <w:rsid w:val="00DB354F"/>
    <w:rsid w:val="00DC7CF4"/>
    <w:rsid w:val="00DD0B6D"/>
    <w:rsid w:val="00DD1F5C"/>
    <w:rsid w:val="00DE0F9E"/>
    <w:rsid w:val="00DE4E25"/>
    <w:rsid w:val="00DE6A2D"/>
    <w:rsid w:val="00DF1A8E"/>
    <w:rsid w:val="00DF579E"/>
    <w:rsid w:val="00E04E4B"/>
    <w:rsid w:val="00E07A7D"/>
    <w:rsid w:val="00E15697"/>
    <w:rsid w:val="00E15EAC"/>
    <w:rsid w:val="00E26BA0"/>
    <w:rsid w:val="00E31D29"/>
    <w:rsid w:val="00E32E92"/>
    <w:rsid w:val="00E446DA"/>
    <w:rsid w:val="00E478C3"/>
    <w:rsid w:val="00E5687F"/>
    <w:rsid w:val="00E60A5A"/>
    <w:rsid w:val="00E62B9B"/>
    <w:rsid w:val="00E6453A"/>
    <w:rsid w:val="00E7104C"/>
    <w:rsid w:val="00E8738A"/>
    <w:rsid w:val="00E877F5"/>
    <w:rsid w:val="00E94A36"/>
    <w:rsid w:val="00E97D2B"/>
    <w:rsid w:val="00EB3949"/>
    <w:rsid w:val="00ED442C"/>
    <w:rsid w:val="00EE5F7E"/>
    <w:rsid w:val="00EF6BAD"/>
    <w:rsid w:val="00F00E9D"/>
    <w:rsid w:val="00F25BC9"/>
    <w:rsid w:val="00F27A98"/>
    <w:rsid w:val="00F32B7D"/>
    <w:rsid w:val="00F34723"/>
    <w:rsid w:val="00F35091"/>
    <w:rsid w:val="00F37549"/>
    <w:rsid w:val="00F432C3"/>
    <w:rsid w:val="00F4640C"/>
    <w:rsid w:val="00F50831"/>
    <w:rsid w:val="00F63947"/>
    <w:rsid w:val="00F64122"/>
    <w:rsid w:val="00F64F3B"/>
    <w:rsid w:val="00F70449"/>
    <w:rsid w:val="00F86955"/>
    <w:rsid w:val="00FA39B8"/>
    <w:rsid w:val="00FA50E7"/>
    <w:rsid w:val="00FA65F2"/>
    <w:rsid w:val="00FB124B"/>
    <w:rsid w:val="00FC3325"/>
    <w:rsid w:val="00FE1AE4"/>
    <w:rsid w:val="00FE2BA7"/>
    <w:rsid w:val="00FE302E"/>
    <w:rsid w:val="00FE76DD"/>
    <w:rsid w:val="00FF720E"/>
    <w:rsid w:val="01587987"/>
    <w:rsid w:val="025A3944"/>
    <w:rsid w:val="02B302CE"/>
    <w:rsid w:val="02F64BAF"/>
    <w:rsid w:val="045916FC"/>
    <w:rsid w:val="04EB4EDA"/>
    <w:rsid w:val="05847AD3"/>
    <w:rsid w:val="05D40816"/>
    <w:rsid w:val="05FC777E"/>
    <w:rsid w:val="062A740E"/>
    <w:rsid w:val="07011036"/>
    <w:rsid w:val="07194894"/>
    <w:rsid w:val="07487787"/>
    <w:rsid w:val="074B76D2"/>
    <w:rsid w:val="075D1783"/>
    <w:rsid w:val="076B7DFC"/>
    <w:rsid w:val="07D10F24"/>
    <w:rsid w:val="085250A1"/>
    <w:rsid w:val="08FE54EB"/>
    <w:rsid w:val="096568BD"/>
    <w:rsid w:val="09B62A97"/>
    <w:rsid w:val="0AD92CA9"/>
    <w:rsid w:val="0D6C5E11"/>
    <w:rsid w:val="0DF861E2"/>
    <w:rsid w:val="0E1A7E12"/>
    <w:rsid w:val="0E3F48AA"/>
    <w:rsid w:val="0E417DB4"/>
    <w:rsid w:val="0F070A57"/>
    <w:rsid w:val="111B63C0"/>
    <w:rsid w:val="111C6FA4"/>
    <w:rsid w:val="113B107D"/>
    <w:rsid w:val="11793C54"/>
    <w:rsid w:val="11F159B7"/>
    <w:rsid w:val="124949E7"/>
    <w:rsid w:val="129D38C5"/>
    <w:rsid w:val="138B02FA"/>
    <w:rsid w:val="13923F05"/>
    <w:rsid w:val="13E27FC9"/>
    <w:rsid w:val="14647E92"/>
    <w:rsid w:val="151378F5"/>
    <w:rsid w:val="153737C5"/>
    <w:rsid w:val="16B25EDC"/>
    <w:rsid w:val="16BB11D9"/>
    <w:rsid w:val="176158DD"/>
    <w:rsid w:val="17BC2FAA"/>
    <w:rsid w:val="17DE2634"/>
    <w:rsid w:val="18AC4184"/>
    <w:rsid w:val="18B94026"/>
    <w:rsid w:val="18C4389D"/>
    <w:rsid w:val="19BF1365"/>
    <w:rsid w:val="1A6757A2"/>
    <w:rsid w:val="1C3C2B5A"/>
    <w:rsid w:val="1CF13DA1"/>
    <w:rsid w:val="1CF425B7"/>
    <w:rsid w:val="1D1B4B72"/>
    <w:rsid w:val="1E207CB6"/>
    <w:rsid w:val="1E311674"/>
    <w:rsid w:val="1E4D1C69"/>
    <w:rsid w:val="1E91258C"/>
    <w:rsid w:val="1EC103F5"/>
    <w:rsid w:val="1F3B5483"/>
    <w:rsid w:val="1F550123"/>
    <w:rsid w:val="20133F41"/>
    <w:rsid w:val="211214A1"/>
    <w:rsid w:val="220C01CD"/>
    <w:rsid w:val="22721A95"/>
    <w:rsid w:val="23135615"/>
    <w:rsid w:val="234F33AF"/>
    <w:rsid w:val="24770D63"/>
    <w:rsid w:val="24CE07E6"/>
    <w:rsid w:val="25D451D4"/>
    <w:rsid w:val="272B5A71"/>
    <w:rsid w:val="27FB6EDB"/>
    <w:rsid w:val="28BD3EB9"/>
    <w:rsid w:val="29A46B78"/>
    <w:rsid w:val="29D7082C"/>
    <w:rsid w:val="2A2514F8"/>
    <w:rsid w:val="2B36276B"/>
    <w:rsid w:val="2B5345B9"/>
    <w:rsid w:val="2BEE2A4D"/>
    <w:rsid w:val="2BF208CC"/>
    <w:rsid w:val="2C647C1B"/>
    <w:rsid w:val="2CFD27FA"/>
    <w:rsid w:val="2CFF44A8"/>
    <w:rsid w:val="2D640E44"/>
    <w:rsid w:val="2DEA61F3"/>
    <w:rsid w:val="2E083D88"/>
    <w:rsid w:val="2EA74841"/>
    <w:rsid w:val="2F1F3D6A"/>
    <w:rsid w:val="2F707513"/>
    <w:rsid w:val="2FBD77F4"/>
    <w:rsid w:val="30027AD1"/>
    <w:rsid w:val="30C01516"/>
    <w:rsid w:val="30E8140D"/>
    <w:rsid w:val="310A1064"/>
    <w:rsid w:val="32564131"/>
    <w:rsid w:val="33503B5E"/>
    <w:rsid w:val="33D075DE"/>
    <w:rsid w:val="347C19A8"/>
    <w:rsid w:val="352D44E4"/>
    <w:rsid w:val="35684C5C"/>
    <w:rsid w:val="35780C4C"/>
    <w:rsid w:val="35B45501"/>
    <w:rsid w:val="36925AE2"/>
    <w:rsid w:val="37544066"/>
    <w:rsid w:val="3797169A"/>
    <w:rsid w:val="379A3444"/>
    <w:rsid w:val="37D77A82"/>
    <w:rsid w:val="3A026C82"/>
    <w:rsid w:val="3A0A5EBE"/>
    <w:rsid w:val="3A327F8A"/>
    <w:rsid w:val="3AB94183"/>
    <w:rsid w:val="3B2E62A3"/>
    <w:rsid w:val="3B66326F"/>
    <w:rsid w:val="3B9751CF"/>
    <w:rsid w:val="3CD9312B"/>
    <w:rsid w:val="3D6F51F7"/>
    <w:rsid w:val="3DC33BBE"/>
    <w:rsid w:val="3DF82247"/>
    <w:rsid w:val="3DFD1806"/>
    <w:rsid w:val="3E1714CE"/>
    <w:rsid w:val="3F174953"/>
    <w:rsid w:val="3F46696A"/>
    <w:rsid w:val="3F5226A7"/>
    <w:rsid w:val="3F6D3A22"/>
    <w:rsid w:val="3FCB69F5"/>
    <w:rsid w:val="3FFB2EBA"/>
    <w:rsid w:val="407D52F6"/>
    <w:rsid w:val="40BE49BA"/>
    <w:rsid w:val="41681DD1"/>
    <w:rsid w:val="4231047C"/>
    <w:rsid w:val="4250392D"/>
    <w:rsid w:val="42536DB0"/>
    <w:rsid w:val="426C7C9E"/>
    <w:rsid w:val="42845038"/>
    <w:rsid w:val="42BD707F"/>
    <w:rsid w:val="43A338DA"/>
    <w:rsid w:val="441F31AC"/>
    <w:rsid w:val="44315155"/>
    <w:rsid w:val="44556220"/>
    <w:rsid w:val="4490013D"/>
    <w:rsid w:val="44E342AF"/>
    <w:rsid w:val="457D3335"/>
    <w:rsid w:val="45991BD4"/>
    <w:rsid w:val="464B765E"/>
    <w:rsid w:val="46FE4324"/>
    <w:rsid w:val="472406D0"/>
    <w:rsid w:val="478D6057"/>
    <w:rsid w:val="481D4641"/>
    <w:rsid w:val="48637F96"/>
    <w:rsid w:val="4895152D"/>
    <w:rsid w:val="48C80863"/>
    <w:rsid w:val="48F100C2"/>
    <w:rsid w:val="498B6EE0"/>
    <w:rsid w:val="49A63015"/>
    <w:rsid w:val="49C5526C"/>
    <w:rsid w:val="4C445B13"/>
    <w:rsid w:val="4C5574AC"/>
    <w:rsid w:val="4D2E266E"/>
    <w:rsid w:val="4D6728EF"/>
    <w:rsid w:val="4E36073D"/>
    <w:rsid w:val="4E9C2A97"/>
    <w:rsid w:val="4F661C87"/>
    <w:rsid w:val="50843301"/>
    <w:rsid w:val="513B6772"/>
    <w:rsid w:val="513D6074"/>
    <w:rsid w:val="517200B3"/>
    <w:rsid w:val="51AF0BAF"/>
    <w:rsid w:val="528500B0"/>
    <w:rsid w:val="52EE6111"/>
    <w:rsid w:val="534539D3"/>
    <w:rsid w:val="538C311E"/>
    <w:rsid w:val="538D1BE4"/>
    <w:rsid w:val="54815E90"/>
    <w:rsid w:val="54EF1EF6"/>
    <w:rsid w:val="54FB3E22"/>
    <w:rsid w:val="552A3D6D"/>
    <w:rsid w:val="55A90BC3"/>
    <w:rsid w:val="56324CEF"/>
    <w:rsid w:val="564C22D3"/>
    <w:rsid w:val="56A256F9"/>
    <w:rsid w:val="571E2B99"/>
    <w:rsid w:val="574C6A78"/>
    <w:rsid w:val="57851C74"/>
    <w:rsid w:val="57FB662A"/>
    <w:rsid w:val="5823390A"/>
    <w:rsid w:val="58674C0A"/>
    <w:rsid w:val="58882E8A"/>
    <w:rsid w:val="5A602CAF"/>
    <w:rsid w:val="5ACC0689"/>
    <w:rsid w:val="5BEB6C84"/>
    <w:rsid w:val="5C2600CB"/>
    <w:rsid w:val="5C39038A"/>
    <w:rsid w:val="5CE91DF5"/>
    <w:rsid w:val="5D941C45"/>
    <w:rsid w:val="5DBD7CD6"/>
    <w:rsid w:val="5DE35F96"/>
    <w:rsid w:val="5E2D369E"/>
    <w:rsid w:val="5F170A6C"/>
    <w:rsid w:val="61F30C49"/>
    <w:rsid w:val="62054DD6"/>
    <w:rsid w:val="62AC6585"/>
    <w:rsid w:val="62DF7AEC"/>
    <w:rsid w:val="635F47D8"/>
    <w:rsid w:val="63A154B6"/>
    <w:rsid w:val="641D25B0"/>
    <w:rsid w:val="64386C11"/>
    <w:rsid w:val="647901D5"/>
    <w:rsid w:val="648624B3"/>
    <w:rsid w:val="64E04669"/>
    <w:rsid w:val="6595720F"/>
    <w:rsid w:val="66057AD8"/>
    <w:rsid w:val="66314FB1"/>
    <w:rsid w:val="663C45A4"/>
    <w:rsid w:val="665B32AA"/>
    <w:rsid w:val="66B217D3"/>
    <w:rsid w:val="672C7B48"/>
    <w:rsid w:val="6758047F"/>
    <w:rsid w:val="67847BA5"/>
    <w:rsid w:val="68201C33"/>
    <w:rsid w:val="683D6053"/>
    <w:rsid w:val="68DD5BC5"/>
    <w:rsid w:val="69392693"/>
    <w:rsid w:val="6A5A5B7C"/>
    <w:rsid w:val="6A74529E"/>
    <w:rsid w:val="6B691F55"/>
    <w:rsid w:val="6CE21BF1"/>
    <w:rsid w:val="6D5C4A68"/>
    <w:rsid w:val="6E9C2730"/>
    <w:rsid w:val="6EA34451"/>
    <w:rsid w:val="6EAD1A00"/>
    <w:rsid w:val="6EC1468F"/>
    <w:rsid w:val="6F3832A2"/>
    <w:rsid w:val="6FD2031E"/>
    <w:rsid w:val="703C7BC9"/>
    <w:rsid w:val="704E114F"/>
    <w:rsid w:val="708B0A5E"/>
    <w:rsid w:val="71394F19"/>
    <w:rsid w:val="72096B7A"/>
    <w:rsid w:val="723468EB"/>
    <w:rsid w:val="72532062"/>
    <w:rsid w:val="727F6A05"/>
    <w:rsid w:val="72AB6F9C"/>
    <w:rsid w:val="7318080A"/>
    <w:rsid w:val="737D783F"/>
    <w:rsid w:val="73A05F3D"/>
    <w:rsid w:val="74B426FC"/>
    <w:rsid w:val="7516446B"/>
    <w:rsid w:val="758E7065"/>
    <w:rsid w:val="75C83C18"/>
    <w:rsid w:val="75EA61AA"/>
    <w:rsid w:val="761E49F4"/>
    <w:rsid w:val="7691664D"/>
    <w:rsid w:val="76BF3DDF"/>
    <w:rsid w:val="76DC23CA"/>
    <w:rsid w:val="76FB63F3"/>
    <w:rsid w:val="778F5196"/>
    <w:rsid w:val="78312827"/>
    <w:rsid w:val="783861EF"/>
    <w:rsid w:val="78CF210D"/>
    <w:rsid w:val="797314CF"/>
    <w:rsid w:val="7A382C83"/>
    <w:rsid w:val="7AA755F6"/>
    <w:rsid w:val="7B15235A"/>
    <w:rsid w:val="7B4F54B2"/>
    <w:rsid w:val="7B863BC9"/>
    <w:rsid w:val="7BE923BB"/>
    <w:rsid w:val="7C0A6E44"/>
    <w:rsid w:val="7C59757A"/>
    <w:rsid w:val="7E7260F9"/>
    <w:rsid w:val="7EAC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1"/>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2"/>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3"/>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4"/>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5"/>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8"/>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7"/>
    <w:qFormat/>
    <w:uiPriority w:val="0"/>
    <w:pPr>
      <w:tabs>
        <w:tab w:val="center" w:pos="4153"/>
        <w:tab w:val="right" w:pos="8306"/>
      </w:tabs>
    </w:pPr>
    <w:rPr>
      <w:sz w:val="18"/>
      <w:szCs w:val="18"/>
    </w:rPr>
  </w:style>
  <w:style w:type="paragraph" w:styleId="10">
    <w:name w:val="index 8"/>
    <w:basedOn w:val="1"/>
    <w:next w:val="1"/>
    <w:qFormat/>
    <w:uiPriority w:val="0"/>
    <w:pPr>
      <w:ind w:left="2940"/>
    </w:pPr>
  </w:style>
  <w:style w:type="paragraph" w:styleId="11">
    <w:name w:val="Normal Indent"/>
    <w:basedOn w:val="1"/>
    <w:link w:val="83"/>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0"/>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1"/>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w:basedOn w:val="1"/>
    <w:link w:val="49"/>
    <w:qFormat/>
    <w:uiPriority w:val="0"/>
    <w:pPr>
      <w:widowControl w:val="0"/>
      <w:adjustRightInd/>
      <w:snapToGrid/>
      <w:spacing w:after="120"/>
      <w:jc w:val="both"/>
    </w:pPr>
    <w:rPr>
      <w:rFonts w:ascii="Calibri" w:hAnsi="Calibri" w:eastAsia="宋体" w:cs="Times New Roman"/>
      <w:kern w:val="2"/>
      <w:sz w:val="21"/>
      <w:szCs w:val="24"/>
    </w:rPr>
  </w:style>
  <w:style w:type="paragraph" w:styleId="16">
    <w:name w:val="Body Text Indent"/>
    <w:basedOn w:val="1"/>
    <w:link w:val="52"/>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7">
    <w:name w:val="Plain Text"/>
    <w:basedOn w:val="1"/>
    <w:next w:val="10"/>
    <w:link w:val="54"/>
    <w:qFormat/>
    <w:uiPriority w:val="0"/>
    <w:pPr>
      <w:widowControl w:val="0"/>
      <w:adjustRightInd/>
      <w:snapToGrid/>
      <w:spacing w:after="0"/>
      <w:jc w:val="both"/>
    </w:pPr>
    <w:rPr>
      <w:rFonts w:ascii="宋体" w:hAnsi="Courier New" w:eastAsia="宋体" w:cs="Times New Roman"/>
      <w:kern w:val="2"/>
      <w:sz w:val="21"/>
      <w:szCs w:val="20"/>
    </w:rPr>
  </w:style>
  <w:style w:type="paragraph" w:styleId="18">
    <w:name w:val="Balloon Text"/>
    <w:basedOn w:val="1"/>
    <w:link w:val="55"/>
    <w:qFormat/>
    <w:uiPriority w:val="0"/>
    <w:pPr>
      <w:widowControl w:val="0"/>
      <w:adjustRightInd/>
      <w:snapToGrid/>
      <w:spacing w:after="0"/>
      <w:jc w:val="both"/>
    </w:pPr>
    <w:rPr>
      <w:rFonts w:ascii="Calibri" w:hAnsi="Calibri" w:eastAsia="宋体" w:cs="Times New Roman"/>
      <w:kern w:val="2"/>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6"/>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7"/>
    <w:qFormat/>
    <w:uiPriority w:val="0"/>
    <w:rPr>
      <w:b/>
      <w:bCs/>
    </w:rPr>
  </w:style>
  <w:style w:type="paragraph" w:styleId="25">
    <w:name w:val="Body Text First Indent 2"/>
    <w:basedOn w:val="16"/>
    <w:link w:val="93"/>
    <w:semiHidden/>
    <w:unhideWhenUsed/>
    <w:qFormat/>
    <w:uiPriority w:val="99"/>
    <w:pPr>
      <w:widowControl/>
      <w:adjustRightInd w:val="0"/>
      <w:snapToGrid w:val="0"/>
      <w:spacing w:after="120" w:line="240" w:lineRule="auto"/>
      <w:ind w:left="420" w:leftChars="200" w:firstLine="420" w:firstLineChars="200"/>
      <w:jc w:val="left"/>
    </w:pPr>
    <w:rPr>
      <w:rFonts w:hint="default" w:ascii="Tahoma" w:hAnsi="Tahoma" w:eastAsia="微软雅黑" w:cs="宋体"/>
      <w:spacing w:val="0"/>
      <w:kern w:val="0"/>
      <w:sz w:val="22"/>
      <w:szCs w:val="22"/>
    </w:r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paragraph" w:customStyle="1" w:styleId="40">
    <w:name w:val="表格文字"/>
    <w:basedOn w:val="1"/>
    <w:qFormat/>
    <w:uiPriority w:val="99"/>
    <w:pPr>
      <w:spacing w:before="25" w:after="25"/>
    </w:pPr>
    <w:rPr>
      <w:bCs/>
      <w:spacing w:val="10"/>
      <w:sz w:val="24"/>
    </w:rPr>
  </w:style>
  <w:style w:type="character" w:customStyle="1" w:styleId="41">
    <w:name w:val="标题 2 字符"/>
    <w:basedOn w:val="27"/>
    <w:link w:val="4"/>
    <w:qFormat/>
    <w:uiPriority w:val="9"/>
    <w:rPr>
      <w:rFonts w:ascii="Cambria" w:hAnsi="Cambria" w:eastAsia="宋体" w:cs="Times New Roman"/>
      <w:b/>
      <w:bCs/>
      <w:sz w:val="28"/>
      <w:szCs w:val="32"/>
    </w:rPr>
  </w:style>
  <w:style w:type="character" w:customStyle="1" w:styleId="42">
    <w:name w:val="标题 3 字符"/>
    <w:basedOn w:val="27"/>
    <w:link w:val="5"/>
    <w:qFormat/>
    <w:uiPriority w:val="0"/>
    <w:rPr>
      <w:rFonts w:ascii="宋体" w:hAnsi="宋体" w:eastAsia="宋体" w:cs="Times New Roman"/>
      <w:b/>
      <w:bCs/>
      <w:kern w:val="2"/>
      <w:sz w:val="28"/>
      <w:szCs w:val="32"/>
    </w:rPr>
  </w:style>
  <w:style w:type="character" w:customStyle="1" w:styleId="43">
    <w:name w:val="标题 4 字符"/>
    <w:basedOn w:val="27"/>
    <w:link w:val="6"/>
    <w:qFormat/>
    <w:uiPriority w:val="0"/>
    <w:rPr>
      <w:rFonts w:ascii="Arial" w:hAnsi="Calibri" w:eastAsia="黑体" w:cs="Times New Roman"/>
      <w:sz w:val="28"/>
      <w:szCs w:val="20"/>
    </w:rPr>
  </w:style>
  <w:style w:type="character" w:customStyle="1" w:styleId="44">
    <w:name w:val="标题 5 字符"/>
    <w:basedOn w:val="27"/>
    <w:link w:val="7"/>
    <w:qFormat/>
    <w:uiPriority w:val="0"/>
    <w:rPr>
      <w:rFonts w:ascii="仿宋_GB2312" w:hAnsi="Calibri" w:eastAsia="仿宋_GB2312" w:cs="Times New Roman"/>
      <w:b/>
      <w:bCs/>
      <w:kern w:val="2"/>
      <w:sz w:val="28"/>
      <w:szCs w:val="28"/>
    </w:rPr>
  </w:style>
  <w:style w:type="character" w:customStyle="1" w:styleId="45">
    <w:name w:val="标题 6 字符"/>
    <w:basedOn w:val="27"/>
    <w:link w:val="8"/>
    <w:qFormat/>
    <w:uiPriority w:val="0"/>
    <w:rPr>
      <w:rFonts w:ascii="Arial" w:hAnsi="Arial" w:eastAsia="黑体" w:cs="Times New Roman"/>
      <w:b/>
      <w:kern w:val="2"/>
      <w:sz w:val="24"/>
      <w:szCs w:val="24"/>
    </w:rPr>
  </w:style>
  <w:style w:type="character" w:customStyle="1" w:styleId="46">
    <w:name w:val="页眉 字符"/>
    <w:basedOn w:val="27"/>
    <w:link w:val="19"/>
    <w:qFormat/>
    <w:uiPriority w:val="99"/>
    <w:rPr>
      <w:rFonts w:ascii="Tahoma" w:hAnsi="Tahoma"/>
      <w:sz w:val="18"/>
      <w:szCs w:val="18"/>
    </w:rPr>
  </w:style>
  <w:style w:type="character" w:customStyle="1" w:styleId="47">
    <w:name w:val="页脚 字符"/>
    <w:basedOn w:val="27"/>
    <w:link w:val="2"/>
    <w:qFormat/>
    <w:uiPriority w:val="99"/>
    <w:rPr>
      <w:rFonts w:ascii="Tahoma" w:hAnsi="Tahoma"/>
      <w:sz w:val="18"/>
      <w:szCs w:val="18"/>
    </w:rPr>
  </w:style>
  <w:style w:type="character" w:customStyle="1" w:styleId="48">
    <w:name w:val="标题 9 字符"/>
    <w:basedOn w:val="27"/>
    <w:link w:val="9"/>
    <w:qFormat/>
    <w:uiPriority w:val="0"/>
    <w:rPr>
      <w:rFonts w:ascii="Cambria" w:hAnsi="Cambria" w:eastAsia="宋体" w:cs="Times New Roman"/>
      <w:kern w:val="2"/>
      <w:sz w:val="21"/>
      <w:szCs w:val="21"/>
    </w:rPr>
  </w:style>
  <w:style w:type="character" w:customStyle="1" w:styleId="49">
    <w:name w:val="正文文本 字符"/>
    <w:basedOn w:val="27"/>
    <w:link w:val="15"/>
    <w:qFormat/>
    <w:uiPriority w:val="0"/>
    <w:rPr>
      <w:rFonts w:ascii="Calibri" w:hAnsi="Calibri" w:eastAsia="宋体" w:cs="Times New Roman"/>
      <w:kern w:val="2"/>
      <w:sz w:val="21"/>
      <w:szCs w:val="24"/>
    </w:rPr>
  </w:style>
  <w:style w:type="character" w:customStyle="1" w:styleId="50">
    <w:name w:val="文档结构图 字符"/>
    <w:basedOn w:val="27"/>
    <w:link w:val="13"/>
    <w:qFormat/>
    <w:uiPriority w:val="0"/>
    <w:rPr>
      <w:rFonts w:ascii="宋体" w:hAnsi="Calibri" w:eastAsia="宋体" w:cs="Times New Roman"/>
      <w:kern w:val="2"/>
      <w:sz w:val="18"/>
      <w:szCs w:val="18"/>
    </w:rPr>
  </w:style>
  <w:style w:type="character" w:customStyle="1" w:styleId="51">
    <w:name w:val="批注文字 字符"/>
    <w:basedOn w:val="27"/>
    <w:link w:val="14"/>
    <w:qFormat/>
    <w:uiPriority w:val="0"/>
    <w:rPr>
      <w:rFonts w:ascii="Calibri" w:hAnsi="Calibri" w:eastAsia="宋体" w:cs="Times New Roman"/>
      <w:kern w:val="2"/>
      <w:sz w:val="21"/>
      <w:szCs w:val="24"/>
    </w:rPr>
  </w:style>
  <w:style w:type="character" w:customStyle="1" w:styleId="52">
    <w:name w:val="正文文本缩进 字符"/>
    <w:basedOn w:val="27"/>
    <w:link w:val="16"/>
    <w:qFormat/>
    <w:uiPriority w:val="99"/>
    <w:rPr>
      <w:rFonts w:ascii="宋体" w:hAnsi="Courier New" w:eastAsia="宋体" w:cs="Times New Roman"/>
      <w:spacing w:val="-4"/>
      <w:kern w:val="2"/>
      <w:sz w:val="18"/>
      <w:szCs w:val="20"/>
    </w:rPr>
  </w:style>
  <w:style w:type="character" w:customStyle="1" w:styleId="53">
    <w:name w:val="纯文本 Char1"/>
    <w:qFormat/>
    <w:uiPriority w:val="99"/>
    <w:rPr>
      <w:rFonts w:ascii="宋体" w:hAnsi="Courier New" w:eastAsia="宋体" w:cs="Times New Roman"/>
      <w:kern w:val="2"/>
      <w:sz w:val="21"/>
      <w:szCs w:val="20"/>
    </w:rPr>
  </w:style>
  <w:style w:type="character" w:customStyle="1" w:styleId="54">
    <w:name w:val="纯文本 字符"/>
    <w:basedOn w:val="27"/>
    <w:link w:val="17"/>
    <w:qFormat/>
    <w:uiPriority w:val="0"/>
    <w:rPr>
      <w:rFonts w:ascii="宋体" w:hAnsi="Courier New" w:eastAsia="宋体" w:cs="Courier New"/>
      <w:sz w:val="21"/>
      <w:szCs w:val="21"/>
    </w:rPr>
  </w:style>
  <w:style w:type="character" w:customStyle="1" w:styleId="55">
    <w:name w:val="批注框文本 字符"/>
    <w:basedOn w:val="27"/>
    <w:link w:val="18"/>
    <w:qFormat/>
    <w:uiPriority w:val="0"/>
    <w:rPr>
      <w:rFonts w:ascii="Calibri" w:hAnsi="Calibri" w:eastAsia="宋体" w:cs="Times New Roman"/>
      <w:kern w:val="2"/>
      <w:sz w:val="18"/>
      <w:szCs w:val="18"/>
    </w:rPr>
  </w:style>
  <w:style w:type="character" w:customStyle="1" w:styleId="56">
    <w:name w:val="标题 字符"/>
    <w:basedOn w:val="27"/>
    <w:link w:val="23"/>
    <w:qFormat/>
    <w:uiPriority w:val="0"/>
    <w:rPr>
      <w:rFonts w:ascii="Cambria" w:hAnsi="Cambria" w:eastAsia="宋体" w:cs="Times New Roman"/>
      <w:b/>
      <w:bCs/>
      <w:sz w:val="32"/>
      <w:szCs w:val="32"/>
    </w:rPr>
  </w:style>
  <w:style w:type="character" w:customStyle="1" w:styleId="57">
    <w:name w:val="批注主题 字符"/>
    <w:basedOn w:val="51"/>
    <w:link w:val="24"/>
    <w:qFormat/>
    <w:uiPriority w:val="0"/>
    <w:rPr>
      <w:rFonts w:ascii="Calibri" w:hAnsi="Calibri" w:eastAsia="宋体" w:cs="Times New Roman"/>
      <w:b/>
      <w:bCs/>
      <w:kern w:val="2"/>
      <w:sz w:val="21"/>
      <w:szCs w:val="24"/>
    </w:rPr>
  </w:style>
  <w:style w:type="character" w:customStyle="1" w:styleId="58">
    <w:name w:val="已访问的超链接1"/>
    <w:qFormat/>
    <w:uiPriority w:val="0"/>
    <w:rPr>
      <w:color w:val="0000CC"/>
      <w:u w:val="none"/>
    </w:rPr>
  </w:style>
  <w:style w:type="character" w:customStyle="1" w:styleId="59">
    <w:name w:val="fontborder"/>
    <w:qFormat/>
    <w:uiPriority w:val="0"/>
    <w:rPr>
      <w:bdr w:val="single" w:color="000000" w:sz="6" w:space="0"/>
    </w:rPr>
  </w:style>
  <w:style w:type="character" w:customStyle="1" w:styleId="60">
    <w:name w:val="释义正文2"/>
    <w:qFormat/>
    <w:uiPriority w:val="0"/>
    <w:rPr>
      <w:sz w:val="24"/>
    </w:rPr>
  </w:style>
  <w:style w:type="character" w:customStyle="1" w:styleId="61">
    <w:name w:val="神路正文"/>
    <w:qFormat/>
    <w:uiPriority w:val="0"/>
    <w:rPr>
      <w:rFonts w:ascii="宋体" w:hAnsi="宋体" w:eastAsia="仿宋_GB2312"/>
      <w:color w:val="000000"/>
      <w:sz w:val="24"/>
    </w:rPr>
  </w:style>
  <w:style w:type="character" w:customStyle="1" w:styleId="62">
    <w:name w:val="fontstrikethrough"/>
    <w:qFormat/>
    <w:uiPriority w:val="0"/>
    <w:rPr>
      <w:strike/>
    </w:rPr>
  </w:style>
  <w:style w:type="paragraph" w:customStyle="1" w:styleId="63">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4">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5">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9">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0">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1">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2">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3">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4">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5">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6">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7">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8">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9">
    <w:name w:val="p16"/>
    <w:basedOn w:val="1"/>
    <w:qFormat/>
    <w:uiPriority w:val="0"/>
    <w:pPr>
      <w:adjustRightInd/>
      <w:snapToGrid/>
      <w:spacing w:after="0"/>
      <w:jc w:val="both"/>
    </w:pPr>
    <w:rPr>
      <w:rFonts w:ascii="宋体" w:hAnsi="宋体" w:eastAsia="宋体"/>
      <w:sz w:val="21"/>
      <w:szCs w:val="21"/>
    </w:rPr>
  </w:style>
  <w:style w:type="paragraph" w:customStyle="1" w:styleId="80">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3">
    <w:name w:val="正文缩进 字符"/>
    <w:link w:val="11"/>
    <w:qFormat/>
    <w:uiPriority w:val="0"/>
    <w:rPr>
      <w:rFonts w:ascii="Calibri" w:hAnsi="Calibri" w:eastAsia="宋体" w:cs="Times New Roman"/>
      <w:kern w:val="2"/>
      <w:sz w:val="21"/>
      <w:szCs w:val="24"/>
    </w:rPr>
  </w:style>
  <w:style w:type="character" w:customStyle="1" w:styleId="84">
    <w:name w:val="c-icon14"/>
    <w:basedOn w:val="27"/>
    <w:qFormat/>
    <w:uiPriority w:val="0"/>
  </w:style>
  <w:style w:type="paragraph" w:customStyle="1" w:styleId="85">
    <w:name w:val="cjk"/>
    <w:basedOn w:val="1"/>
    <w:qFormat/>
    <w:uiPriority w:val="0"/>
    <w:pPr>
      <w:adjustRightInd/>
      <w:snapToGrid/>
      <w:spacing w:after="0" w:line="480" w:lineRule="auto"/>
    </w:pPr>
    <w:rPr>
      <w:rFonts w:ascii="宋体" w:hAnsi="宋体" w:eastAsia="宋体"/>
      <w:sz w:val="24"/>
      <w:szCs w:val="24"/>
    </w:rPr>
  </w:style>
  <w:style w:type="character" w:customStyle="1" w:styleId="86">
    <w:name w:val="layui-layer-tabnow"/>
    <w:basedOn w:val="27"/>
    <w:qFormat/>
    <w:uiPriority w:val="0"/>
    <w:rPr>
      <w:bdr w:val="single" w:color="CCCCCC" w:sz="6" w:space="0"/>
      <w:shd w:val="clear" w:color="auto" w:fill="FFFFFF"/>
    </w:rPr>
  </w:style>
  <w:style w:type="character" w:customStyle="1" w:styleId="87">
    <w:name w:val="first-child"/>
    <w:basedOn w:val="27"/>
    <w:qFormat/>
    <w:uiPriority w:val="0"/>
  </w:style>
  <w:style w:type="character" w:customStyle="1" w:styleId="88">
    <w:name w:val="time"/>
    <w:basedOn w:val="27"/>
    <w:qFormat/>
    <w:uiPriority w:val="0"/>
    <w:rPr>
      <w:color w:val="999999"/>
    </w:rPr>
  </w:style>
  <w:style w:type="character" w:customStyle="1" w:styleId="89">
    <w:name w:val="dot"/>
    <w:basedOn w:val="27"/>
    <w:qFormat/>
    <w:uiPriority w:val="0"/>
  </w:style>
  <w:style w:type="character" w:customStyle="1" w:styleId="90">
    <w:name w:val="time2"/>
    <w:basedOn w:val="27"/>
    <w:qFormat/>
    <w:uiPriority w:val="0"/>
    <w:rPr>
      <w:color w:val="999999"/>
    </w:rPr>
  </w:style>
  <w:style w:type="paragraph" w:customStyle="1" w:styleId="91">
    <w:name w:val="修订2"/>
    <w:hidden/>
    <w:unhideWhenUsed/>
    <w:qFormat/>
    <w:uiPriority w:val="99"/>
    <w:rPr>
      <w:rFonts w:ascii="Tahoma" w:hAnsi="Tahoma" w:eastAsia="微软雅黑" w:cs="宋体"/>
      <w:sz w:val="22"/>
      <w:szCs w:val="22"/>
      <w:lang w:val="en-US" w:eastAsia="zh-CN" w:bidi="ar-SA"/>
    </w:rPr>
  </w:style>
  <w:style w:type="paragraph" w:customStyle="1" w:styleId="92">
    <w:name w:val="Plain Text1"/>
    <w:basedOn w:val="1"/>
    <w:qFormat/>
    <w:uiPriority w:val="0"/>
    <w:rPr>
      <w:rFonts w:ascii="宋体" w:hAnsi="Courier New"/>
      <w:szCs w:val="20"/>
    </w:rPr>
  </w:style>
  <w:style w:type="character" w:customStyle="1" w:styleId="93">
    <w:name w:val="正文文本首行缩进 2 字符"/>
    <w:basedOn w:val="52"/>
    <w:link w:val="25"/>
    <w:semiHidden/>
    <w:qFormat/>
    <w:uiPriority w:val="99"/>
    <w:rPr>
      <w:rFonts w:ascii="Tahoma" w:hAnsi="Tahoma" w:eastAsia="微软雅黑" w:cs="宋体"/>
      <w:spacing w:val="-4"/>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CAA07-84A8-4EE2-A021-1019E6F38DE9}">
  <ds:schemaRefs/>
</ds:datastoreItem>
</file>

<file path=customXml/itemProps3.xml><?xml version="1.0" encoding="utf-8"?>
<ds:datastoreItem xmlns:ds="http://schemas.openxmlformats.org/officeDocument/2006/customXml" ds:itemID="{7EBD8BD5-4022-4567-B4AE-68A0C699D75B}">
  <ds:schemaRefs/>
</ds:datastoreItem>
</file>

<file path=customXml/itemProps4.xml><?xml version="1.0" encoding="utf-8"?>
<ds:datastoreItem xmlns:ds="http://schemas.openxmlformats.org/officeDocument/2006/customXml" ds:itemID="{CB0B19C4-E061-4C97-AEC2-1BA994996F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122</Pages>
  <Words>10310</Words>
  <Characters>58769</Characters>
  <Lines>489</Lines>
  <Paragraphs>137</Paragraphs>
  <TotalTime>20</TotalTime>
  <ScaleCrop>false</ScaleCrop>
  <LinksUpToDate>false</LinksUpToDate>
  <CharactersWithSpaces>68942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2020-09-24T12:11:00Z</dcterms:created>
  <dc:creator>Administrator</dc:creator>
  <cp:lastModifiedBy>Administrator</cp:lastModifiedBy>
  <cp:lastPrinted>2020-09-23T09:49:00Z</cp:lastPrinted>
  <dcterms:modified xsi:type="dcterms:W3CDTF">2020-09-25T12:21:55Z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