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center" w:pos="4950"/>
          <w:tab w:val="right" w:pos="9781"/>
        </w:tabs>
        <w:jc w:val="left"/>
        <w:rPr>
          <w:rFonts w:asciiTheme="majorEastAsia" w:hAnsiTheme="majorEastAsia" w:eastAsiaTheme="majorEastAsia"/>
        </w:rPr>
      </w:pPr>
      <w:permStart w:id="0" w:edGrp="everyone"/>
      <w:permEnd w:id="0"/>
    </w:p>
    <w:p>
      <w:pPr>
        <w:pStyle w:val="17"/>
        <w:tabs>
          <w:tab w:val="center" w:pos="4950"/>
          <w:tab w:val="right" w:pos="9781"/>
        </w:tabs>
        <w:ind w:firstLine="2940" w:firstLineChars="350"/>
        <w:jc w:val="left"/>
        <w:rPr>
          <w:rFonts w:asciiTheme="majorEastAsia" w:hAnsiTheme="majorEastAsia" w:eastAsiaTheme="majorEastAsia"/>
          <w:sz w:val="84"/>
          <w:szCs w:val="84"/>
        </w:rPr>
      </w:pPr>
    </w:p>
    <w:p>
      <w:pPr>
        <w:pStyle w:val="17"/>
        <w:tabs>
          <w:tab w:val="center" w:pos="4950"/>
          <w:tab w:val="right" w:pos="9781"/>
        </w:tabs>
        <w:ind w:firstLine="2419" w:firstLineChars="288"/>
        <w:jc w:val="left"/>
        <w:rPr>
          <w:rFonts w:asciiTheme="majorEastAsia" w:hAnsiTheme="majorEastAsia" w:eastAsiaTheme="majorEastAsia"/>
          <w:b/>
          <w:bCs/>
          <w:sz w:val="84"/>
          <w:szCs w:val="84"/>
        </w:rPr>
      </w:pPr>
      <w:r>
        <w:rPr>
          <w:rFonts w:hint="eastAsia" w:asciiTheme="majorEastAsia" w:hAnsiTheme="majorEastAsia" w:eastAsiaTheme="majorEastAsia"/>
          <w:sz w:val="84"/>
          <w:szCs w:val="84"/>
        </w:rPr>
        <w:t>公开招标文件</w:t>
      </w:r>
      <w:bookmarkStart w:id="54" w:name="_GoBack"/>
      <w:bookmarkEnd w:id="54"/>
      <w:permStart w:id="1" w:edGrp="everyone"/>
      <w:permEnd w:id="1"/>
    </w:p>
    <w:p>
      <w:pPr>
        <w:jc w:val="center"/>
        <w:rPr>
          <w:rFonts w:asciiTheme="majorEastAsia" w:hAnsiTheme="majorEastAsia" w:eastAsiaTheme="majorEastAsia"/>
          <w:sz w:val="52"/>
          <w:szCs w:val="52"/>
        </w:rPr>
      </w:pPr>
    </w:p>
    <w:p>
      <w:pPr>
        <w:jc w:val="center"/>
        <w:rPr>
          <w:rFonts w:asciiTheme="majorEastAsia" w:hAnsiTheme="majorEastAsia" w:eastAsiaTheme="majorEastAsia"/>
          <w:b/>
          <w:bCs/>
          <w:sz w:val="32"/>
          <w:szCs w:val="32"/>
        </w:rPr>
      </w:pPr>
    </w:p>
    <w:p>
      <w:pPr>
        <w:pStyle w:val="17"/>
        <w:rPr>
          <w:rFonts w:asciiTheme="majorEastAsia" w:hAnsiTheme="majorEastAsia" w:eastAsiaTheme="majorEastAsia"/>
          <w:sz w:val="32"/>
          <w:szCs w:val="32"/>
        </w:rPr>
      </w:pPr>
    </w:p>
    <w:p>
      <w:pPr>
        <w:ind w:left="3541" w:leftChars="900" w:hanging="1561" w:hangingChars="486"/>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项目名称：南宁市就业创业多媒体服务平台建设</w:t>
      </w:r>
    </w:p>
    <w:p>
      <w:pPr>
        <w:ind w:left="2822" w:leftChars="900" w:hanging="842" w:hangingChars="262"/>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项目编号：NNZC2020-G3-990158-GXYZ</w:t>
      </w:r>
    </w:p>
    <w:p>
      <w:pPr>
        <w:ind w:left="2822" w:leftChars="900" w:hanging="842" w:hangingChars="262"/>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rPr>
        <w:t>审批编号：</w:t>
      </w:r>
      <w:r>
        <w:rPr>
          <w:rFonts w:hint="eastAsia" w:asciiTheme="majorEastAsia" w:hAnsiTheme="majorEastAsia" w:eastAsiaTheme="majorEastAsia"/>
          <w:b/>
          <w:bCs/>
          <w:sz w:val="32"/>
          <w:szCs w:val="32"/>
          <w:lang w:eastAsia="zh-CN"/>
        </w:rPr>
        <w:t>[2020]NCCSH197-001</w:t>
      </w:r>
    </w:p>
    <w:p>
      <w:pPr>
        <w:rPr>
          <w:rFonts w:asciiTheme="majorEastAsia" w:hAnsiTheme="majorEastAsia" w:eastAsiaTheme="majorEastAsia"/>
          <w:b/>
          <w:bCs/>
          <w:sz w:val="32"/>
          <w:szCs w:val="32"/>
        </w:rPr>
      </w:pPr>
    </w:p>
    <w:p>
      <w:pPr>
        <w:ind w:left="2608" w:leftChars="900" w:hanging="628" w:hangingChars="262"/>
        <w:rPr>
          <w:rFonts w:asciiTheme="majorEastAsia" w:hAnsiTheme="majorEastAsia" w:eastAsiaTheme="majorEastAsia"/>
          <w:b/>
          <w:bCs/>
          <w:sz w:val="32"/>
          <w:szCs w:val="32"/>
        </w:rPr>
      </w:pPr>
      <w:r>
        <w:rPr>
          <w:rFonts w:ascii="宋体" w:hAnsi="宋体" w:eastAsia="宋体" w:cs="宋体"/>
          <w:kern w:val="0"/>
          <w:sz w:val="24"/>
          <w:szCs w:val="24"/>
          <w:lang w:val="en-US" w:eastAsia="zh-CN" w:bidi="ar"/>
        </w:rPr>
        <w:drawing>
          <wp:anchor distT="0" distB="0" distL="114300" distR="114300" simplePos="0" relativeHeight="251670528" behindDoc="1" locked="0" layoutInCell="1" allowOverlap="1">
            <wp:simplePos x="0" y="0"/>
            <wp:positionH relativeFrom="column">
              <wp:posOffset>926465</wp:posOffset>
            </wp:positionH>
            <wp:positionV relativeFrom="paragraph">
              <wp:posOffset>241300</wp:posOffset>
            </wp:positionV>
            <wp:extent cx="4241800" cy="4044315"/>
            <wp:effectExtent l="0" t="0" r="6350" b="13335"/>
            <wp:wrapTight wrapText="bothSides">
              <wp:wrapPolygon>
                <wp:start x="0" y="0"/>
                <wp:lineTo x="0" y="21468"/>
                <wp:lineTo x="21535" y="21468"/>
                <wp:lineTo x="21535" y="0"/>
                <wp:lineTo x="0" y="0"/>
              </wp:wrapPolygon>
            </wp:wrapTight>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2"/>
                    <a:stretch>
                      <a:fillRect/>
                    </a:stretch>
                  </pic:blipFill>
                  <pic:spPr>
                    <a:xfrm>
                      <a:off x="0" y="0"/>
                      <a:ext cx="4241800" cy="4044315"/>
                    </a:xfrm>
                    <a:prstGeom prst="rect">
                      <a:avLst/>
                    </a:prstGeom>
                    <a:noFill/>
                    <a:ln w="9525">
                      <a:noFill/>
                    </a:ln>
                  </pic:spPr>
                </pic:pic>
              </a:graphicData>
            </a:graphic>
          </wp:anchor>
        </w:drawing>
      </w:r>
    </w:p>
    <w:p>
      <w:pPr>
        <w:ind w:left="2822" w:leftChars="900" w:hanging="842" w:hangingChars="262"/>
        <w:rPr>
          <w:rFonts w:asciiTheme="majorEastAsia" w:hAnsiTheme="majorEastAsia" w:eastAsiaTheme="majorEastAsia"/>
          <w:b/>
          <w:bCs/>
          <w:sz w:val="32"/>
          <w:szCs w:val="32"/>
        </w:rPr>
      </w:pPr>
    </w:p>
    <w:p>
      <w:pPr>
        <w:ind w:left="2822" w:leftChars="900" w:hanging="842" w:hangingChars="262"/>
        <w:rPr>
          <w:rFonts w:asciiTheme="majorEastAsia" w:hAnsiTheme="majorEastAsia" w:eastAsiaTheme="majorEastAsia"/>
          <w:b/>
          <w:bCs/>
          <w:sz w:val="32"/>
          <w:szCs w:val="32"/>
        </w:rPr>
      </w:pPr>
    </w:p>
    <w:p>
      <w:pPr>
        <w:jc w:val="center"/>
        <w:rPr>
          <w:rFonts w:asciiTheme="majorEastAsia" w:hAnsiTheme="majorEastAsia" w:eastAsiaTheme="majorEastAsia"/>
          <w:b/>
          <w:bCs/>
          <w:sz w:val="32"/>
          <w:szCs w:val="32"/>
        </w:rPr>
      </w:pPr>
    </w:p>
    <w:p>
      <w:pPr>
        <w:adjustRightInd/>
        <w:snapToGrid/>
        <w:spacing w:after="0"/>
        <w:jc w:val="center"/>
        <w:rPr>
          <w:rFonts w:ascii="宋体" w:hAnsi="宋体" w:eastAsia="宋体"/>
          <w:sz w:val="24"/>
          <w:szCs w:val="24"/>
        </w:rPr>
      </w:pPr>
    </w:p>
    <w:p>
      <w:pPr>
        <w:ind w:left="2822" w:leftChars="900" w:hanging="842" w:hangingChars="262"/>
        <w:rPr>
          <w:rFonts w:asciiTheme="majorEastAsia" w:hAnsiTheme="majorEastAsia" w:eastAsiaTheme="majorEastAsia"/>
          <w:b/>
          <w:bCs/>
          <w:sz w:val="32"/>
          <w:szCs w:val="32"/>
        </w:rPr>
        <w:sectPr>
          <w:headerReference r:id="rId4" w:type="first"/>
          <w:headerReference r:id="rId3" w:type="default"/>
          <w:footerReference r:id="rId5" w:type="default"/>
          <w:pgSz w:w="11906" w:h="16838"/>
          <w:pgMar w:top="1440" w:right="1366" w:bottom="1440" w:left="1080" w:header="851" w:footer="907" w:gutter="0"/>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关于投标文件邮寄形式的通知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（一）本项目投标截止（开标）时间为：</w:t>
      </w:r>
      <w:r>
        <w:rPr>
          <w:rFonts w:hint="eastAsia" w:asciiTheme="majorEastAsia" w:hAnsiTheme="majorEastAsia" w:eastAsiaTheme="majorEastAsia"/>
          <w:b/>
          <w:bCs/>
          <w:sz w:val="24"/>
          <w:szCs w:val="24"/>
        </w:rPr>
        <w:t>2020年</w:t>
      </w:r>
      <w:r>
        <w:rPr>
          <w:rFonts w:hint="eastAsia" w:asciiTheme="majorEastAsia" w:hAnsiTheme="majorEastAsia" w:eastAsiaTheme="majorEastAsia"/>
          <w:b/>
          <w:bCs/>
          <w:sz w:val="24"/>
          <w:szCs w:val="24"/>
          <w:lang w:val="en-US" w:eastAsia="zh-CN"/>
        </w:rPr>
        <w:t>10</w:t>
      </w:r>
      <w:r>
        <w:rPr>
          <w:rFonts w:hint="eastAsia" w:asciiTheme="majorEastAsia" w:hAnsiTheme="majorEastAsia" w:eastAsiaTheme="majorEastAsia"/>
          <w:b/>
          <w:bCs/>
          <w:sz w:val="24"/>
          <w:szCs w:val="24"/>
        </w:rPr>
        <w:t>月</w:t>
      </w:r>
      <w:r>
        <w:rPr>
          <w:rFonts w:hint="eastAsia" w:asciiTheme="majorEastAsia" w:hAnsiTheme="majorEastAsia" w:eastAsiaTheme="majorEastAsia"/>
          <w:b/>
          <w:bCs/>
          <w:sz w:val="24"/>
          <w:szCs w:val="24"/>
          <w:lang w:val="en-US" w:eastAsia="zh-CN"/>
        </w:rPr>
        <w:t>21</w:t>
      </w:r>
      <w:r>
        <w:rPr>
          <w:rFonts w:hint="eastAsia" w:asciiTheme="majorEastAsia" w:hAnsiTheme="majorEastAsia" w:eastAsiaTheme="majorEastAsia"/>
          <w:b/>
          <w:bCs/>
          <w:sz w:val="24"/>
          <w:szCs w:val="24"/>
        </w:rPr>
        <w:t>日</w:t>
      </w:r>
      <w:r>
        <w:rPr>
          <w:rFonts w:hint="eastAsia" w:asciiTheme="majorEastAsia" w:hAnsiTheme="majorEastAsia" w:eastAsiaTheme="majorEastAsia"/>
          <w:b/>
          <w:bCs/>
          <w:sz w:val="24"/>
          <w:szCs w:val="24"/>
          <w:lang w:val="en-US" w:eastAsia="zh-CN"/>
        </w:rPr>
        <w:t>09</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（二）本项目的投标文件通过邮寄快递的方式送达。</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bCs/>
          <w:sz w:val="24"/>
          <w:szCs w:val="24"/>
        </w:rPr>
        <w:t>投标文件必须在投标截止时间前一小时（即</w:t>
      </w:r>
      <w:r>
        <w:rPr>
          <w:rFonts w:hint="eastAsia" w:asciiTheme="majorEastAsia" w:hAnsiTheme="majorEastAsia" w:eastAsiaTheme="majorEastAsia"/>
          <w:b/>
          <w:bCs/>
          <w:sz w:val="24"/>
          <w:szCs w:val="24"/>
          <w:lang w:val="en-US" w:eastAsia="zh-CN"/>
        </w:rPr>
        <w:t>08</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分）送达。</w:t>
      </w:r>
      <w:r>
        <w:rPr>
          <w:rFonts w:hint="eastAsia" w:asciiTheme="majorEastAsia" w:hAnsiTheme="majorEastAsia" w:eastAsiaTheme="majorEastAsia"/>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投标人应充分预留投标文件邮寄、送达所需要的时间。为确保疫情防控期间邮寄包裹能及时送达，</w:t>
      </w:r>
      <w:r>
        <w:rPr>
          <w:rFonts w:asciiTheme="majorEastAsia" w:hAnsiTheme="majorEastAsia" w:eastAsiaTheme="majorEastAsia"/>
          <w:b/>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投标人在按照</w:t>
      </w:r>
      <w:r>
        <w:rPr>
          <w:rFonts w:asciiTheme="majorEastAsia" w:hAnsiTheme="majorEastAsia" w:eastAsiaTheme="majorEastAsia"/>
          <w:b/>
          <w:sz w:val="24"/>
          <w:szCs w:val="24"/>
        </w:rPr>
        <w:t>招标文件的要求</w:t>
      </w:r>
      <w:r>
        <w:rPr>
          <w:rFonts w:asciiTheme="majorEastAsia" w:hAnsiTheme="majorEastAsia" w:eastAsiaTheme="majorEastAsia"/>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sz w:val="24"/>
          <w:szCs w:val="24"/>
        </w:rPr>
        <w:t>项目开标日期、</w:t>
      </w:r>
      <w:r>
        <w:rPr>
          <w:rFonts w:asciiTheme="majorEastAsia" w:hAnsiTheme="majorEastAsia" w:eastAsiaTheme="majorEastAsia"/>
          <w:sz w:val="24"/>
          <w:szCs w:val="24"/>
        </w:rPr>
        <w:t>有效的电子邮箱等内容的纸质表格</w:t>
      </w:r>
      <w:r>
        <w:rPr>
          <w:rFonts w:asciiTheme="majorEastAsia" w:hAnsiTheme="majorEastAsia" w:eastAsiaTheme="majorEastAsia"/>
          <w:b/>
          <w:sz w:val="24"/>
          <w:szCs w:val="24"/>
        </w:rPr>
        <w:t>（表格格式详见附件）</w:t>
      </w:r>
      <w:r>
        <w:rPr>
          <w:rFonts w:asciiTheme="majorEastAsia" w:hAnsiTheme="majorEastAsia" w:eastAsiaTheme="majorEastAsia"/>
          <w:sz w:val="24"/>
          <w:szCs w:val="24"/>
        </w:rPr>
        <w:t>。</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5、</w:t>
      </w:r>
      <w:r>
        <w:rPr>
          <w:rFonts w:asciiTheme="majorEastAsia" w:hAnsiTheme="majorEastAsia" w:eastAsiaTheme="majorEastAsia"/>
          <w:b/>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sz w:val="24"/>
          <w:szCs w:val="24"/>
        </w:rPr>
        <w:t>投标</w:t>
      </w:r>
      <w:r>
        <w:rPr>
          <w:rFonts w:asciiTheme="majorEastAsia" w:hAnsiTheme="majorEastAsia" w:eastAsiaTheme="majorEastAsia"/>
          <w:b/>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sz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投标文件邮寄地址：</w:t>
      </w:r>
      <w:r>
        <w:rPr>
          <w:rFonts w:hint="eastAsia" w:asciiTheme="majorEastAsia" w:hAnsiTheme="majorEastAsia" w:eastAsiaTheme="majorEastAsia"/>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收件人：</w:t>
      </w:r>
      <w:r>
        <w:rPr>
          <w:rFonts w:hint="eastAsia" w:asciiTheme="majorEastAsia" w:hAnsiTheme="majorEastAsia" w:eastAsiaTheme="majorEastAsia"/>
          <w:sz w:val="24"/>
        </w:rPr>
        <w:t>黎工</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联系电话：0771-</w:t>
      </w:r>
      <w:r>
        <w:rPr>
          <w:rFonts w:hint="eastAsia" w:asciiTheme="majorEastAsia" w:hAnsiTheme="majorEastAsia" w:eastAsiaTheme="majorEastAsia"/>
          <w:sz w:val="24"/>
          <w:szCs w:val="24"/>
        </w:rPr>
        <w:t>2442850</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（三）</w:t>
      </w:r>
      <w:r>
        <w:rPr>
          <w:rFonts w:hint="eastAsia" w:asciiTheme="majorEastAsia" w:hAnsiTheme="majorEastAsia" w:eastAsiaTheme="majorEastAsia"/>
          <w:b/>
          <w:sz w:val="24"/>
          <w:szCs w:val="24"/>
        </w:rPr>
        <w:t>投标人不参加现场开标活动。</w:t>
      </w:r>
      <w:r>
        <w:rPr>
          <w:rFonts w:hint="eastAsia" w:asciiTheme="majorEastAsia" w:hAnsiTheme="majorEastAsia" w:eastAsiaTheme="majorEastAsia"/>
          <w:sz w:val="24"/>
          <w:szCs w:val="24"/>
        </w:rPr>
        <w:t>取消招标文件“第四章投标人须知”中16.开标”的所有内容。</w:t>
      </w:r>
    </w:p>
    <w:p>
      <w:pPr>
        <w:spacing w:line="440" w:lineRule="exact"/>
        <w:ind w:firstLine="480" w:firstLineChars="200"/>
        <w:rPr>
          <w:rFonts w:asciiTheme="majorEastAsia" w:hAnsiTheme="majorEastAsia" w:eastAsiaTheme="majorEastAsia"/>
          <w:sz w:val="24"/>
          <w:szCs w:val="24"/>
        </w:rPr>
        <w:sectPr>
          <w:pgSz w:w="11906" w:h="16838"/>
          <w:pgMar w:top="1440" w:right="1080" w:bottom="1440" w:left="1080" w:header="851" w:footer="907" w:gutter="0"/>
          <w:cols w:space="720" w:num="1"/>
          <w:titlePg/>
          <w:docGrid w:type="lines" w:linePitch="312" w:charSpace="0"/>
        </w:sect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（四）投标文件拆封及密封性检查。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（五）关于投标人的报价。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（六）关于投标文件澄清的有关要求</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sz w:val="24"/>
          <w:szCs w:val="24"/>
        </w:rPr>
        <w:t>开标当天投标人务必保持电话畅通。</w:t>
      </w:r>
      <w:r>
        <w:rPr>
          <w:rFonts w:hint="eastAsia" w:asciiTheme="majorEastAsia" w:hAnsiTheme="majorEastAsia" w:eastAsiaTheme="majorEastAsia"/>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（七）请按通知内容执行，招标文件其余内容不变。</w:t>
      </w:r>
    </w:p>
    <w:p>
      <w:pPr>
        <w:pStyle w:val="85"/>
        <w:spacing w:line="601" w:lineRule="atLeast"/>
        <w:ind w:firstLine="482"/>
        <w:rPr>
          <w:rFonts w:asciiTheme="majorEastAsia" w:hAnsiTheme="majorEastAsia" w:eastAsiaTheme="majorEastAsia"/>
        </w:rPr>
      </w:pPr>
      <w:r>
        <w:rPr>
          <w:rFonts w:asciiTheme="majorEastAsia" w:hAnsiTheme="majorEastAsia" w:eastAsiaTheme="majorEastAsia"/>
        </w:rPr>
        <w:t>特此通知。</w:t>
      </w:r>
    </w:p>
    <w:p>
      <w:pPr>
        <w:spacing w:line="440" w:lineRule="exact"/>
        <w:ind w:firstLine="4440" w:firstLineChars="1850"/>
        <w:rPr>
          <w:rFonts w:asciiTheme="majorEastAsia" w:hAnsiTheme="majorEastAsia" w:eastAsiaTheme="majorEastAsia"/>
          <w:sz w:val="24"/>
        </w:rPr>
      </w:pP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采购代理机构：广西邕政采购代理有限公司 </w:t>
      </w:r>
    </w:p>
    <w:p>
      <w:pPr>
        <w:spacing w:line="440" w:lineRule="exact"/>
        <w:ind w:firstLine="5520" w:firstLineChars="2300"/>
        <w:rPr>
          <w:rFonts w:asciiTheme="majorEastAsia" w:hAnsiTheme="majorEastAsia" w:eastAsiaTheme="majorEastAsia"/>
          <w:sz w:val="24"/>
        </w:rPr>
      </w:pPr>
      <w:r>
        <w:rPr>
          <w:rFonts w:hint="eastAsia" w:asciiTheme="majorEastAsia" w:hAnsiTheme="majorEastAsia" w:eastAsiaTheme="majorEastAsia"/>
          <w:sz w:val="24"/>
        </w:rPr>
        <w:t>日期：2020年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28</w:t>
      </w:r>
      <w:r>
        <w:rPr>
          <w:rFonts w:hint="eastAsia" w:asciiTheme="majorEastAsia" w:hAnsiTheme="majorEastAsia" w:eastAsiaTheme="majorEastAsia"/>
          <w:sz w:val="24"/>
        </w:rPr>
        <w:t>日</w:t>
      </w:r>
    </w:p>
    <w:p>
      <w:pPr>
        <w:spacing w:line="276" w:lineRule="auto"/>
        <w:rPr>
          <w:rFonts w:asciiTheme="majorEastAsia" w:hAnsiTheme="majorEastAsia" w:eastAsiaTheme="majorEastAsia"/>
          <w:sz w:val="27"/>
          <w:szCs w:val="27"/>
        </w:rPr>
        <w:sectPr>
          <w:footerReference r:id="rId7" w:type="first"/>
          <w:footerReference r:id="rId6" w:type="default"/>
          <w:pgSz w:w="11906" w:h="16838"/>
          <w:pgMar w:top="1440" w:right="1080" w:bottom="1440" w:left="1080" w:header="851" w:footer="907" w:gutter="0"/>
          <w:cols w:space="720" w:num="1"/>
          <w:titlePg/>
          <w:docGrid w:type="lines" w:linePitch="312" w:charSpace="0"/>
        </w:sectPr>
      </w:pPr>
    </w:p>
    <w:p>
      <w:pPr>
        <w:spacing w:line="276" w:lineRule="auto"/>
        <w:rPr>
          <w:rFonts w:asciiTheme="majorEastAsia" w:hAnsiTheme="majorEastAsia" w:eastAsiaTheme="majorEastAsia"/>
          <w:sz w:val="24"/>
          <w:szCs w:val="24"/>
        </w:rPr>
      </w:pPr>
      <w:r>
        <w:rPr>
          <w:rFonts w:asciiTheme="majorEastAsia" w:hAnsiTheme="majorEastAsia" w:eastAsiaTheme="majorEastAsia"/>
          <w:sz w:val="27"/>
          <w:szCs w:val="27"/>
        </w:rPr>
        <w:t>附件：</w:t>
      </w:r>
    </w:p>
    <w:p>
      <w:pPr>
        <w:pStyle w:val="85"/>
        <w:jc w:val="center"/>
        <w:rPr>
          <w:rFonts w:asciiTheme="majorEastAsia" w:hAnsiTheme="majorEastAsia" w:eastAsiaTheme="majorEastAsia"/>
          <w:sz w:val="18"/>
          <w:szCs w:val="18"/>
        </w:rPr>
      </w:pPr>
      <w:r>
        <w:rPr>
          <w:rFonts w:asciiTheme="majorEastAsia" w:hAnsiTheme="majorEastAsia" w:eastAsiaTheme="majorEastAsia"/>
          <w:b/>
          <w:bCs/>
          <w:sz w:val="36"/>
          <w:szCs w:val="36"/>
        </w:rPr>
        <w:t>邮件外包粘贴表格（格式）</w:t>
      </w:r>
    </w:p>
    <w:p>
      <w:pPr>
        <w:pStyle w:val="85"/>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项目名称：</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项目编号：</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项目开标日期：</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联系</w:t>
      </w:r>
      <w:r>
        <w:rPr>
          <w:rFonts w:hint="eastAsia" w:asciiTheme="majorEastAsia" w:hAnsiTheme="majorEastAsia" w:eastAsiaTheme="majorEastAsia"/>
          <w:b/>
          <w:bCs/>
          <w:sz w:val="27"/>
          <w:szCs w:val="27"/>
        </w:rPr>
        <w:t>方式</w:t>
      </w:r>
      <w:r>
        <w:rPr>
          <w:rFonts w:asciiTheme="majorEastAsia" w:hAnsiTheme="majorEastAsia" w:eastAsiaTheme="majorEastAsia"/>
          <w:b/>
          <w:bCs/>
          <w:sz w:val="27"/>
          <w:szCs w:val="27"/>
        </w:rPr>
        <w:t>：</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联系电子邮箱：</w:t>
      </w:r>
    </w:p>
    <w:p>
      <w:pPr>
        <w:pStyle w:val="17"/>
        <w:jc w:val="center"/>
        <w:rPr>
          <w:rFonts w:cs="宋体" w:asciiTheme="majorEastAsia" w:hAnsiTheme="majorEastAsia" w:eastAsiaTheme="majorEastAsia"/>
          <w:b/>
          <w:sz w:val="48"/>
          <w:szCs w:val="48"/>
        </w:rPr>
        <w:sectPr>
          <w:footerReference r:id="rId9" w:type="first"/>
          <w:footerReference r:id="rId8" w:type="default"/>
          <w:pgSz w:w="11906" w:h="16838"/>
          <w:pgMar w:top="1440" w:right="1080" w:bottom="1440" w:left="1080" w:header="851" w:footer="907" w:gutter="0"/>
          <w:cols w:space="720" w:num="1"/>
          <w:titlePg/>
          <w:docGrid w:type="lines" w:linePitch="312" w:charSpace="0"/>
        </w:sectPr>
      </w:pPr>
    </w:p>
    <w:p>
      <w:pPr>
        <w:pStyle w:val="17"/>
        <w:jc w:val="center"/>
        <w:rPr>
          <w:rFonts w:cs="宋体" w:asciiTheme="majorEastAsia" w:hAnsiTheme="majorEastAsia" w:eastAsiaTheme="majorEastAsia"/>
          <w:b/>
          <w:sz w:val="48"/>
          <w:szCs w:val="48"/>
        </w:rPr>
      </w:pPr>
      <w:r>
        <w:rPr>
          <w:rFonts w:cs="宋体" w:asciiTheme="majorEastAsia" w:hAnsiTheme="majorEastAsia" w:eastAsiaTheme="majorEastAsia"/>
          <w:b/>
          <w:sz w:val="48"/>
          <w:szCs w:val="48"/>
        </w:rPr>
        <w:t>目     录</w:t>
      </w:r>
    </w:p>
    <w:p>
      <w:pPr>
        <w:pStyle w:val="17"/>
        <w:tabs>
          <w:tab w:val="left" w:pos="4011"/>
        </w:tabs>
        <w:rPr>
          <w:rFonts w:cs="宋体" w:asciiTheme="majorEastAsia" w:hAnsiTheme="majorEastAsia" w:eastAsiaTheme="majorEastAsia"/>
          <w:b/>
          <w:sz w:val="48"/>
          <w:szCs w:val="48"/>
        </w:rPr>
      </w:pPr>
      <w:r>
        <w:rPr>
          <w:rFonts w:hint="eastAsia" w:cs="宋体" w:asciiTheme="majorEastAsia" w:hAnsiTheme="majorEastAsia" w:eastAsiaTheme="majorEastAsia"/>
          <w:b/>
          <w:sz w:val="48"/>
          <w:szCs w:val="48"/>
        </w:rPr>
        <w:tab/>
      </w:r>
      <w:permStart w:id="2" w:edGrp="everyone"/>
      <w:permEnd w:id="2"/>
    </w:p>
    <w:p>
      <w:pPr>
        <w:pStyle w:val="17"/>
        <w:rPr>
          <w:rFonts w:cs="宋体" w:asciiTheme="majorEastAsia" w:hAnsiTheme="majorEastAsia" w:eastAsiaTheme="majorEastAsia"/>
          <w:b/>
          <w:sz w:val="48"/>
          <w:szCs w:val="48"/>
        </w:rPr>
      </w:pPr>
    </w:p>
    <w:p>
      <w:pPr>
        <w:pStyle w:val="21"/>
        <w:tabs>
          <w:tab w:val="right" w:leader="dot" w:pos="9746"/>
        </w:tabs>
        <w:rPr>
          <w:rFonts w:asciiTheme="majorEastAsia" w:hAnsiTheme="majorEastAsia" w:eastAsiaTheme="majorEastAsia"/>
          <w:b/>
          <w:sz w:val="28"/>
          <w:szCs w:val="36"/>
        </w:rPr>
      </w:pPr>
      <w:r>
        <w:rPr>
          <w:rFonts w:hint="eastAsia" w:cs="宋体" w:asciiTheme="majorEastAsia" w:hAnsiTheme="majorEastAsia" w:eastAsiaTheme="majorEastAsia"/>
          <w:b/>
          <w:bCs/>
          <w:sz w:val="56"/>
          <w:szCs w:val="56"/>
          <w:highlight w:val="yellow"/>
        </w:rPr>
        <w:fldChar w:fldCharType="begin"/>
      </w:r>
      <w:r>
        <w:rPr>
          <w:rFonts w:hint="eastAsia" w:cs="宋体" w:asciiTheme="majorEastAsia" w:hAnsiTheme="majorEastAsia" w:eastAsiaTheme="majorEastAsia"/>
          <w:b/>
          <w:bCs/>
          <w:sz w:val="56"/>
          <w:szCs w:val="56"/>
          <w:highlight w:val="yellow"/>
        </w:rPr>
        <w:instrText xml:space="preserve"> TOC \o "1-3" \h \z \u </w:instrText>
      </w:r>
      <w:r>
        <w:rPr>
          <w:rFonts w:hint="eastAsia" w:cs="宋体" w:asciiTheme="majorEastAsia" w:hAnsiTheme="majorEastAsia" w:eastAsiaTheme="majorEastAsia"/>
          <w:b/>
          <w:bCs/>
          <w:sz w:val="56"/>
          <w:szCs w:val="56"/>
          <w:highlight w:val="yellow"/>
        </w:rPr>
        <w:fldChar w:fldCharType="separate"/>
      </w:r>
      <w:r>
        <w:fldChar w:fldCharType="begin"/>
      </w:r>
      <w:r>
        <w:instrText xml:space="preserve"> HYPERLINK \l "_Toc26249" </w:instrText>
      </w:r>
      <w:r>
        <w:fldChar w:fldCharType="separate"/>
      </w:r>
      <w:r>
        <w:rPr>
          <w:rFonts w:hint="eastAsia" w:cs="宋体" w:asciiTheme="majorEastAsia" w:hAnsiTheme="majorEastAsia" w:eastAsiaTheme="majorEastAsia"/>
          <w:b/>
          <w:sz w:val="28"/>
          <w:szCs w:val="36"/>
        </w:rPr>
        <w:t>第一章 公告</w:t>
      </w:r>
      <w:r>
        <w:rPr>
          <w:rFonts w:asciiTheme="majorEastAsia" w:hAnsiTheme="majorEastAsia" w:eastAsiaTheme="majorEastAsia"/>
          <w:b/>
          <w:sz w:val="28"/>
          <w:szCs w:val="36"/>
        </w:rPr>
        <w:tab/>
      </w:r>
      <w:r>
        <w:rPr>
          <w:rFonts w:hint="eastAsia" w:asciiTheme="majorEastAsia" w:hAnsiTheme="majorEastAsia" w:eastAsiaTheme="majorEastAsia"/>
          <w:b/>
          <w:sz w:val="28"/>
          <w:szCs w:val="36"/>
        </w:rPr>
        <w:t>1</w:t>
      </w:r>
      <w:r>
        <w:rPr>
          <w:rFonts w:hint="eastAsia" w:asciiTheme="majorEastAsia" w:hAnsiTheme="majorEastAsia" w:eastAsiaTheme="majorEastAsia"/>
          <w:b/>
          <w:sz w:val="28"/>
          <w:szCs w:val="36"/>
        </w:rPr>
        <w:fldChar w:fldCharType="end"/>
      </w:r>
    </w:p>
    <w:p>
      <w:pPr>
        <w:pStyle w:val="21"/>
        <w:tabs>
          <w:tab w:val="right" w:leader="dot" w:pos="9746"/>
        </w:tabs>
        <w:rPr>
          <w:rFonts w:asciiTheme="majorEastAsia" w:hAnsiTheme="majorEastAsia" w:eastAsiaTheme="majorEastAsia"/>
          <w:b/>
          <w:sz w:val="28"/>
          <w:szCs w:val="36"/>
        </w:rPr>
      </w:pPr>
      <w:r>
        <w:fldChar w:fldCharType="begin"/>
      </w:r>
      <w:r>
        <w:instrText xml:space="preserve"> HYPERLINK \l "_Toc32448" </w:instrText>
      </w:r>
      <w:r>
        <w:fldChar w:fldCharType="separate"/>
      </w:r>
      <w:r>
        <w:rPr>
          <w:rFonts w:hint="eastAsia" w:cs="宋体" w:asciiTheme="majorEastAsia" w:hAnsiTheme="majorEastAsia" w:eastAsiaTheme="majorEastAsia"/>
          <w:b/>
          <w:sz w:val="28"/>
          <w:szCs w:val="36"/>
        </w:rPr>
        <w:t>第二章  服务需求一览表</w:t>
      </w:r>
      <w:r>
        <w:rPr>
          <w:rFonts w:asciiTheme="majorEastAsia" w:hAnsiTheme="majorEastAsia" w:eastAsiaTheme="majorEastAsia"/>
          <w:b/>
          <w:sz w:val="28"/>
          <w:szCs w:val="36"/>
        </w:rPr>
        <w:tab/>
      </w:r>
      <w:r>
        <w:rPr>
          <w:rFonts w:hint="eastAsia" w:asciiTheme="majorEastAsia" w:hAnsiTheme="majorEastAsia" w:eastAsiaTheme="majorEastAsia"/>
          <w:b/>
          <w:sz w:val="28"/>
          <w:szCs w:val="36"/>
        </w:rPr>
        <w:t>4</w:t>
      </w:r>
      <w:r>
        <w:rPr>
          <w:rFonts w:hint="eastAsia" w:asciiTheme="majorEastAsia" w:hAnsiTheme="majorEastAsia" w:eastAsiaTheme="majorEastAsia"/>
          <w:b/>
          <w:sz w:val="28"/>
          <w:szCs w:val="36"/>
        </w:rPr>
        <w:fldChar w:fldCharType="end"/>
      </w:r>
    </w:p>
    <w:p>
      <w:pPr>
        <w:pStyle w:val="21"/>
        <w:tabs>
          <w:tab w:val="right" w:leader="dot" w:pos="9746"/>
        </w:tabs>
        <w:rPr>
          <w:rFonts w:hint="eastAsia" w:asciiTheme="majorEastAsia" w:hAnsiTheme="majorEastAsia" w:eastAsiaTheme="majorEastAsia"/>
          <w:b/>
          <w:sz w:val="28"/>
          <w:szCs w:val="36"/>
          <w:lang w:val="en-US" w:eastAsia="zh-CN"/>
        </w:rPr>
      </w:pPr>
      <w:r>
        <w:fldChar w:fldCharType="begin"/>
      </w:r>
      <w:r>
        <w:instrText xml:space="preserve"> HYPERLINK \l "_Toc2133" </w:instrText>
      </w:r>
      <w:r>
        <w:fldChar w:fldCharType="separate"/>
      </w:r>
      <w:r>
        <w:rPr>
          <w:rFonts w:hint="eastAsia" w:cs="宋体" w:asciiTheme="majorEastAsia" w:hAnsiTheme="majorEastAsia" w:eastAsiaTheme="majorEastAsia"/>
          <w:b/>
          <w:sz w:val="28"/>
          <w:szCs w:val="36"/>
        </w:rPr>
        <w:t>第三章  评审方法</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1</w:t>
      </w:r>
      <w:r>
        <w:rPr>
          <w:rFonts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2</w:t>
      </w:r>
    </w:p>
    <w:p>
      <w:pPr>
        <w:pStyle w:val="21"/>
        <w:tabs>
          <w:tab w:val="right" w:leader="dot" w:pos="9746"/>
        </w:tabs>
        <w:rPr>
          <w:rFonts w:hint="eastAsia" w:asciiTheme="majorEastAsia" w:hAnsiTheme="majorEastAsia" w:eastAsiaTheme="majorEastAsia"/>
          <w:b/>
          <w:sz w:val="28"/>
          <w:szCs w:val="36"/>
          <w:lang w:eastAsia="zh-CN"/>
        </w:rPr>
      </w:pPr>
      <w:r>
        <w:fldChar w:fldCharType="begin"/>
      </w:r>
      <w:r>
        <w:instrText xml:space="preserve"> HYPERLINK \l "_Toc27800" </w:instrText>
      </w:r>
      <w:r>
        <w:fldChar w:fldCharType="separate"/>
      </w:r>
      <w:r>
        <w:rPr>
          <w:rFonts w:cs="宋体" w:asciiTheme="majorEastAsia" w:hAnsiTheme="majorEastAsia" w:eastAsiaTheme="majorEastAsia"/>
          <w:b/>
          <w:sz w:val="28"/>
          <w:szCs w:val="36"/>
        </w:rPr>
        <w:t>第四章  投标人须知</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1</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6</w:t>
      </w:r>
    </w:p>
    <w:p>
      <w:pPr>
        <w:pStyle w:val="22"/>
        <w:tabs>
          <w:tab w:val="right" w:leader="dot" w:pos="9746"/>
        </w:tabs>
        <w:ind w:left="440"/>
        <w:rPr>
          <w:rFonts w:hint="eastAsia" w:asciiTheme="majorEastAsia" w:hAnsiTheme="majorEastAsia" w:eastAsiaTheme="majorEastAsia"/>
          <w:b/>
          <w:sz w:val="28"/>
          <w:szCs w:val="36"/>
          <w:lang w:val="en-US" w:eastAsia="zh-CN"/>
        </w:rPr>
      </w:pPr>
      <w:r>
        <w:fldChar w:fldCharType="begin"/>
      </w:r>
      <w:r>
        <w:instrText xml:space="preserve"> HYPERLINK \l "_Toc5564" </w:instrText>
      </w:r>
      <w:r>
        <w:fldChar w:fldCharType="separate"/>
      </w:r>
      <w:r>
        <w:rPr>
          <w:rFonts w:cs="宋体" w:asciiTheme="majorEastAsia" w:hAnsiTheme="majorEastAsia" w:eastAsiaTheme="majorEastAsia"/>
          <w:b/>
          <w:sz w:val="28"/>
          <w:szCs w:val="40"/>
        </w:rPr>
        <w:t>一    总则</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1</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9</w:t>
      </w:r>
    </w:p>
    <w:p>
      <w:pPr>
        <w:pStyle w:val="22"/>
        <w:tabs>
          <w:tab w:val="right" w:leader="dot" w:pos="9746"/>
        </w:tabs>
        <w:ind w:left="440"/>
        <w:rPr>
          <w:rFonts w:hint="eastAsia" w:asciiTheme="majorEastAsia" w:hAnsiTheme="majorEastAsia" w:eastAsiaTheme="majorEastAsia"/>
          <w:b/>
          <w:sz w:val="28"/>
          <w:szCs w:val="36"/>
          <w:lang w:eastAsia="zh-CN"/>
        </w:rPr>
      </w:pPr>
      <w:r>
        <w:fldChar w:fldCharType="begin"/>
      </w:r>
      <w:r>
        <w:instrText xml:space="preserve"> HYPERLINK \l "_Toc19901" </w:instrText>
      </w:r>
      <w:r>
        <w:fldChar w:fldCharType="separate"/>
      </w:r>
      <w:r>
        <w:rPr>
          <w:rFonts w:cs="宋体" w:asciiTheme="majorEastAsia" w:hAnsiTheme="majorEastAsia" w:eastAsiaTheme="majorEastAsia"/>
          <w:b/>
          <w:sz w:val="28"/>
          <w:szCs w:val="40"/>
        </w:rPr>
        <w:t>二    公开招标文件</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2</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2</w:t>
      </w:r>
    </w:p>
    <w:p>
      <w:pPr>
        <w:pStyle w:val="22"/>
        <w:tabs>
          <w:tab w:val="right" w:leader="dot" w:pos="9746"/>
        </w:tabs>
        <w:ind w:left="440"/>
        <w:rPr>
          <w:rFonts w:asciiTheme="majorEastAsia" w:hAnsiTheme="majorEastAsia" w:eastAsiaTheme="majorEastAsia"/>
          <w:b/>
          <w:sz w:val="28"/>
          <w:szCs w:val="36"/>
        </w:rPr>
      </w:pPr>
      <w:r>
        <w:fldChar w:fldCharType="begin"/>
      </w:r>
      <w:r>
        <w:instrText xml:space="preserve"> HYPERLINK \l "_Toc11232" </w:instrText>
      </w:r>
      <w:r>
        <w:fldChar w:fldCharType="separate"/>
      </w:r>
      <w:r>
        <w:rPr>
          <w:rFonts w:cs="宋体" w:asciiTheme="majorEastAsia" w:hAnsiTheme="majorEastAsia" w:eastAsiaTheme="majorEastAsia"/>
          <w:b/>
          <w:sz w:val="28"/>
          <w:szCs w:val="40"/>
        </w:rPr>
        <w:t>三    投标文件</w:t>
      </w:r>
      <w:r>
        <w:rPr>
          <w:rFonts w:asciiTheme="majorEastAsia" w:hAnsiTheme="majorEastAsia" w:eastAsiaTheme="majorEastAsia"/>
          <w:b/>
          <w:sz w:val="28"/>
          <w:szCs w:val="36"/>
        </w:rPr>
        <w:tab/>
      </w:r>
      <w:r>
        <w:rPr>
          <w:rFonts w:asciiTheme="majorEastAsia" w:hAnsiTheme="majorEastAsia" w:eastAsiaTheme="majorEastAsia"/>
          <w:b/>
          <w:sz w:val="28"/>
          <w:szCs w:val="36"/>
        </w:rPr>
        <w:fldChar w:fldCharType="begin"/>
      </w:r>
      <w:r>
        <w:rPr>
          <w:rFonts w:asciiTheme="majorEastAsia" w:hAnsiTheme="majorEastAsia" w:eastAsiaTheme="majorEastAsia"/>
          <w:b/>
          <w:sz w:val="28"/>
          <w:szCs w:val="36"/>
        </w:rPr>
        <w:instrText xml:space="preserve"> PAGEREF _Toc11232 </w:instrText>
      </w:r>
      <w:r>
        <w:rPr>
          <w:rFonts w:asciiTheme="majorEastAsia" w:hAnsiTheme="majorEastAsia" w:eastAsiaTheme="majorEastAsia"/>
          <w:b/>
          <w:sz w:val="28"/>
          <w:szCs w:val="36"/>
        </w:rPr>
        <w:fldChar w:fldCharType="separate"/>
      </w:r>
      <w:r>
        <w:rPr>
          <w:rFonts w:asciiTheme="majorEastAsia" w:hAnsiTheme="majorEastAsia" w:eastAsiaTheme="majorEastAsia"/>
          <w:b/>
          <w:sz w:val="28"/>
          <w:szCs w:val="36"/>
        </w:rPr>
        <w:t>23</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fldChar w:fldCharType="end"/>
      </w:r>
    </w:p>
    <w:p>
      <w:pPr>
        <w:pStyle w:val="22"/>
        <w:tabs>
          <w:tab w:val="right" w:leader="dot" w:pos="9746"/>
        </w:tabs>
        <w:ind w:left="440"/>
        <w:rPr>
          <w:rFonts w:hint="eastAsia" w:asciiTheme="majorEastAsia" w:hAnsiTheme="majorEastAsia" w:eastAsiaTheme="majorEastAsia"/>
          <w:b/>
          <w:sz w:val="28"/>
          <w:szCs w:val="36"/>
          <w:lang w:eastAsia="zh-CN"/>
        </w:rPr>
      </w:pPr>
      <w:r>
        <w:fldChar w:fldCharType="begin"/>
      </w:r>
      <w:r>
        <w:instrText xml:space="preserve"> HYPERLINK \l "_Toc23984" </w:instrText>
      </w:r>
      <w:r>
        <w:fldChar w:fldCharType="separate"/>
      </w:r>
      <w:r>
        <w:rPr>
          <w:rFonts w:cs="宋体" w:asciiTheme="majorEastAsia" w:hAnsiTheme="majorEastAsia" w:eastAsiaTheme="majorEastAsia"/>
          <w:b/>
          <w:sz w:val="28"/>
          <w:szCs w:val="40"/>
        </w:rPr>
        <w:t>四    投标</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2</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7</w:t>
      </w:r>
    </w:p>
    <w:p>
      <w:pPr>
        <w:pStyle w:val="22"/>
        <w:tabs>
          <w:tab w:val="right" w:leader="dot" w:pos="9746"/>
        </w:tabs>
        <w:ind w:left="440"/>
        <w:rPr>
          <w:rFonts w:hint="eastAsia" w:asciiTheme="majorEastAsia" w:hAnsiTheme="majorEastAsia" w:eastAsiaTheme="majorEastAsia"/>
          <w:b/>
          <w:sz w:val="28"/>
          <w:szCs w:val="36"/>
          <w:lang w:eastAsia="zh-CN"/>
        </w:rPr>
      </w:pPr>
      <w:r>
        <w:fldChar w:fldCharType="begin"/>
      </w:r>
      <w:r>
        <w:instrText xml:space="preserve"> HYPERLINK \l "_Toc1928" </w:instrText>
      </w:r>
      <w:r>
        <w:fldChar w:fldCharType="separate"/>
      </w:r>
      <w:r>
        <w:rPr>
          <w:rFonts w:cs="宋体" w:asciiTheme="majorEastAsia" w:hAnsiTheme="majorEastAsia" w:eastAsiaTheme="majorEastAsia"/>
          <w:b/>
          <w:sz w:val="28"/>
          <w:szCs w:val="40"/>
        </w:rPr>
        <w:t>五  开标、资格审查与评标</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2</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8</w:t>
      </w:r>
    </w:p>
    <w:p>
      <w:pPr>
        <w:pStyle w:val="22"/>
        <w:tabs>
          <w:tab w:val="right" w:leader="dot" w:pos="9746"/>
        </w:tabs>
        <w:ind w:left="440"/>
        <w:rPr>
          <w:rFonts w:hint="eastAsia" w:asciiTheme="majorEastAsia" w:hAnsiTheme="majorEastAsia" w:eastAsiaTheme="majorEastAsia"/>
          <w:b/>
          <w:sz w:val="28"/>
          <w:szCs w:val="36"/>
          <w:lang w:eastAsia="zh-CN"/>
        </w:rPr>
      </w:pPr>
      <w:r>
        <w:fldChar w:fldCharType="begin"/>
      </w:r>
      <w:r>
        <w:instrText xml:space="preserve"> HYPERLINK \l "_Toc8281" </w:instrText>
      </w:r>
      <w:r>
        <w:fldChar w:fldCharType="separate"/>
      </w:r>
      <w:r>
        <w:rPr>
          <w:rFonts w:cs="宋体" w:asciiTheme="majorEastAsia" w:hAnsiTheme="majorEastAsia" w:eastAsiaTheme="majorEastAsia"/>
          <w:b/>
          <w:sz w:val="28"/>
          <w:szCs w:val="40"/>
        </w:rPr>
        <w:t>六    合同授予</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3</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2</w:t>
      </w:r>
    </w:p>
    <w:p>
      <w:pPr>
        <w:pStyle w:val="22"/>
        <w:tabs>
          <w:tab w:val="right" w:leader="dot" w:pos="9746"/>
        </w:tabs>
        <w:ind w:left="440"/>
        <w:rPr>
          <w:rFonts w:asciiTheme="majorEastAsia" w:hAnsiTheme="majorEastAsia" w:eastAsiaTheme="majorEastAsia"/>
          <w:b/>
          <w:sz w:val="28"/>
          <w:szCs w:val="36"/>
        </w:rPr>
      </w:pPr>
      <w:r>
        <w:fldChar w:fldCharType="begin"/>
      </w:r>
      <w:r>
        <w:instrText xml:space="preserve"> HYPERLINK \l "_Toc22087" </w:instrText>
      </w:r>
      <w:r>
        <w:fldChar w:fldCharType="separate"/>
      </w:r>
      <w:r>
        <w:rPr>
          <w:rFonts w:cs="宋体" w:asciiTheme="majorEastAsia" w:hAnsiTheme="majorEastAsia" w:eastAsiaTheme="majorEastAsia"/>
          <w:b/>
          <w:sz w:val="28"/>
          <w:szCs w:val="40"/>
        </w:rPr>
        <w:t>七    其他事项</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3</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3</w:t>
      </w:r>
    </w:p>
    <w:p>
      <w:pPr>
        <w:pStyle w:val="21"/>
        <w:tabs>
          <w:tab w:val="right" w:leader="dot" w:pos="9746"/>
        </w:tabs>
        <w:rPr>
          <w:rFonts w:asciiTheme="majorEastAsia" w:hAnsiTheme="majorEastAsia" w:eastAsiaTheme="majorEastAsia"/>
          <w:b/>
          <w:sz w:val="28"/>
          <w:szCs w:val="36"/>
        </w:rPr>
      </w:pPr>
      <w:r>
        <w:fldChar w:fldCharType="begin"/>
      </w:r>
      <w:r>
        <w:instrText xml:space="preserve"> HYPERLINK \l "_Toc10506" </w:instrText>
      </w:r>
      <w:r>
        <w:fldChar w:fldCharType="separate"/>
      </w:r>
      <w:r>
        <w:rPr>
          <w:rFonts w:cs="宋体" w:asciiTheme="majorEastAsia" w:hAnsiTheme="majorEastAsia" w:eastAsiaTheme="majorEastAsia"/>
          <w:b/>
          <w:sz w:val="28"/>
          <w:szCs w:val="36"/>
        </w:rPr>
        <w:t>第五章  投标文件格式</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3</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5</w:t>
      </w:r>
    </w:p>
    <w:p>
      <w:pPr>
        <w:pStyle w:val="21"/>
        <w:tabs>
          <w:tab w:val="right" w:leader="dot" w:pos="9746"/>
        </w:tabs>
        <w:rPr>
          <w:rFonts w:asciiTheme="majorEastAsia" w:hAnsiTheme="majorEastAsia" w:eastAsiaTheme="majorEastAsia"/>
          <w:b/>
          <w:sz w:val="28"/>
          <w:szCs w:val="36"/>
        </w:rPr>
      </w:pPr>
      <w:r>
        <w:fldChar w:fldCharType="begin"/>
      </w:r>
      <w:r>
        <w:instrText xml:space="preserve"> HYPERLINK \l "_Toc12816" </w:instrText>
      </w:r>
      <w:r>
        <w:fldChar w:fldCharType="separate"/>
      </w:r>
      <w:r>
        <w:rPr>
          <w:rFonts w:cs="宋体" w:asciiTheme="majorEastAsia" w:hAnsiTheme="majorEastAsia" w:eastAsiaTheme="majorEastAsia"/>
          <w:b/>
          <w:sz w:val="28"/>
          <w:szCs w:val="48"/>
        </w:rPr>
        <w:t>第六章  合同条款及格式</w:t>
      </w:r>
      <w:r>
        <w:rPr>
          <w:rFonts w:asciiTheme="majorEastAsia" w:hAnsiTheme="majorEastAsia" w:eastAsiaTheme="majorEastAsia"/>
          <w:b/>
          <w:sz w:val="28"/>
          <w:szCs w:val="36"/>
        </w:rPr>
        <w:tab/>
      </w:r>
      <w:r>
        <w:rPr>
          <w:rFonts w:hint="eastAsia" w:asciiTheme="majorEastAsia" w:hAnsiTheme="majorEastAsia" w:eastAsiaTheme="majorEastAsia"/>
          <w:b/>
          <w:sz w:val="28"/>
          <w:szCs w:val="36"/>
          <w:lang w:val="en-US" w:eastAsia="zh-CN"/>
        </w:rPr>
        <w:t>4</w:t>
      </w:r>
      <w:r>
        <w:rPr>
          <w:rFonts w:hint="eastAsia" w:asciiTheme="majorEastAsia" w:hAnsiTheme="majorEastAsia" w:eastAsiaTheme="majorEastAsia"/>
          <w:b/>
          <w:sz w:val="28"/>
          <w:szCs w:val="36"/>
        </w:rPr>
        <w:fldChar w:fldCharType="end"/>
      </w:r>
      <w:r>
        <w:rPr>
          <w:rFonts w:hint="eastAsia" w:asciiTheme="majorEastAsia" w:hAnsiTheme="majorEastAsia" w:eastAsiaTheme="majorEastAsia"/>
          <w:b/>
          <w:sz w:val="28"/>
          <w:szCs w:val="36"/>
          <w:lang w:val="en-US" w:eastAsia="zh-CN"/>
        </w:rPr>
        <w:t>8</w:t>
      </w:r>
    </w:p>
    <w:p>
      <w:pPr>
        <w:pStyle w:val="64"/>
        <w:tabs>
          <w:tab w:val="right" w:leader="dot" w:pos="9660"/>
        </w:tabs>
        <w:spacing w:before="0" w:after="0" w:line="600" w:lineRule="exact"/>
        <w:rPr>
          <w:rFonts w:cs="宋体" w:asciiTheme="majorEastAsia" w:hAnsiTheme="majorEastAsia" w:eastAsiaTheme="majorEastAsia"/>
          <w:b w:val="0"/>
          <w:bCs w:val="0"/>
          <w:caps w:val="0"/>
          <w:sz w:val="72"/>
          <w:szCs w:val="72"/>
        </w:rPr>
      </w:pPr>
      <w:r>
        <w:rPr>
          <w:rFonts w:hint="eastAsia" w:cs="宋体" w:asciiTheme="majorEastAsia" w:hAnsiTheme="majorEastAsia" w:eastAsiaTheme="majorEastAsia"/>
          <w:sz w:val="24"/>
          <w:szCs w:val="56"/>
          <w:highlight w:val="yellow"/>
        </w:rPr>
        <w:fldChar w:fldCharType="end"/>
      </w:r>
      <w:bookmarkStart w:id="0" w:name="_Toc139967217"/>
      <w:bookmarkStart w:id="1" w:name="_Toc213206171"/>
      <w:bookmarkStart w:id="2" w:name="_Toc139966433"/>
      <w:bookmarkStart w:id="3" w:name="_Toc213325920"/>
      <w:bookmarkStart w:id="4" w:name="_Toc139966426"/>
      <w:bookmarkStart w:id="5" w:name="_Toc139967210"/>
    </w:p>
    <w:p>
      <w:pPr>
        <w:pStyle w:val="17"/>
        <w:jc w:val="center"/>
        <w:rPr>
          <w:rFonts w:cs="宋体" w:asciiTheme="majorEastAsia" w:hAnsiTheme="majorEastAsia" w:eastAsiaTheme="majorEastAsia"/>
          <w:b/>
          <w:bCs/>
          <w:caps/>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sz w:val="28"/>
          <w:szCs w:val="28"/>
        </w:rPr>
        <w:sectPr>
          <w:pgSz w:w="11906" w:h="16838"/>
          <w:pgMar w:top="1440" w:right="1080" w:bottom="1440" w:left="1080" w:header="851" w:footer="907" w:gutter="0"/>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6" w:name="_Toc26249"/>
      <w:r>
        <w:rPr>
          <w:rFonts w:hint="eastAsia" w:cs="宋体" w:asciiTheme="majorEastAsia" w:hAnsiTheme="majorEastAsia" w:eastAsiaTheme="majorEastAsia"/>
          <w:b/>
          <w:sz w:val="36"/>
        </w:rPr>
        <w:t>第一章</w:t>
      </w:r>
      <w:bookmarkStart w:id="7" w:name="_Toc452363802"/>
      <w:r>
        <w:rPr>
          <w:rFonts w:hint="eastAsia" w:cs="宋体" w:asciiTheme="majorEastAsia" w:hAnsiTheme="majorEastAsia" w:eastAsiaTheme="majorEastAsia"/>
          <w:b/>
          <w:sz w:val="36"/>
        </w:rPr>
        <w:t>公告</w:t>
      </w:r>
      <w:bookmarkEnd w:id="6"/>
      <w:bookmarkEnd w:id="7"/>
    </w:p>
    <w:bookmarkEnd w:id="0"/>
    <w:bookmarkEnd w:id="1"/>
    <w:bookmarkEnd w:id="2"/>
    <w:bookmarkEnd w:id="3"/>
    <w:p>
      <w:pPr>
        <w:pStyle w:val="65"/>
        <w:widowControl w:val="0"/>
        <w:spacing w:after="156"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bookmarkStart w:id="8" w:name="_Toc450053769"/>
            <w:bookmarkStart w:id="9" w:name="_Toc213325921"/>
            <w:bookmarkStart w:id="10" w:name="_Toc139966431"/>
            <w:bookmarkStart w:id="11" w:name="_Toc213206172"/>
            <w:bookmarkStart w:id="12" w:name="_Toc139967215"/>
            <w:r>
              <w:rPr>
                <w:rFonts w:hint="eastAsia" w:asciiTheme="majorEastAsia" w:hAnsiTheme="majorEastAsia" w:eastAsiaTheme="majorEastAsia"/>
              </w:rPr>
              <w:t>项目概况:</w:t>
            </w:r>
          </w:p>
          <w:p>
            <w:pPr>
              <w:pStyle w:val="23"/>
              <w:keepNext w:val="0"/>
              <w:keepLines w:val="0"/>
              <w:pageBreakBefore w:val="0"/>
              <w:widowControl/>
              <w:kinsoku/>
              <w:wordWrap w:val="0"/>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rPr>
              <w:t>南宁市就业创业多媒体服务平台建设（项目编号：</w:t>
            </w:r>
            <w:r>
              <w:rPr>
                <w:rFonts w:hint="eastAsia" w:asciiTheme="majorEastAsia" w:hAnsiTheme="majorEastAsia" w:eastAsiaTheme="majorEastAsia"/>
                <w:u w:val="single"/>
                <w:lang w:eastAsia="zh-CN"/>
              </w:rPr>
              <w:t>NNZC2020-G3-990158-GXYZ</w:t>
            </w:r>
            <w:r>
              <w:rPr>
                <w:rFonts w:hint="eastAsia" w:asciiTheme="majorEastAsia" w:hAnsiTheme="majorEastAsia" w:eastAsiaTheme="majorEastAsia"/>
                <w:u w:val="single"/>
              </w:rPr>
              <w:t>）</w:t>
            </w:r>
            <w:r>
              <w:rPr>
                <w:rFonts w:hint="eastAsia" w:asciiTheme="majorEastAsia" w:hAnsiTheme="majorEastAsia" w:eastAsiaTheme="majorEastAsia"/>
              </w:rPr>
              <w:t>采购项目的潜在投标人应在</w:t>
            </w:r>
            <w:r>
              <w:rPr>
                <w:rFonts w:hint="eastAsia" w:asciiTheme="majorEastAsia" w:hAnsiTheme="majorEastAsia" w:eastAsiaTheme="majorEastAsia"/>
                <w:u w:val="single"/>
              </w:rPr>
              <w:t>南宁市公共资源交易平台(https://www.nnggzy.org.cn/gxnnhy)</w:t>
            </w:r>
            <w:r>
              <w:rPr>
                <w:rFonts w:hint="eastAsia" w:asciiTheme="majorEastAsia" w:hAnsiTheme="majorEastAsia" w:eastAsiaTheme="majorEastAsia"/>
              </w:rPr>
              <w:t>的信息公告处自行下载获取本项目招标文件，并于</w:t>
            </w:r>
            <w:r>
              <w:rPr>
                <w:rFonts w:hint="eastAsia" w:asciiTheme="majorEastAsia" w:hAnsiTheme="majorEastAsia" w:eastAsiaTheme="majorEastAsia"/>
                <w:u w:val="single"/>
              </w:rPr>
              <w:t>2020年</w:t>
            </w:r>
            <w:r>
              <w:rPr>
                <w:rFonts w:hint="eastAsia" w:asciiTheme="majorEastAsia" w:hAnsiTheme="majorEastAsia" w:eastAsiaTheme="majorEastAsia"/>
                <w:u w:val="single"/>
                <w:lang w:val="en-US" w:eastAsia="zh-CN"/>
              </w:rPr>
              <w:t>10</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21</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点</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（北京时间）前递交投标文件。</w:t>
            </w:r>
          </w:p>
        </w:tc>
      </w:tr>
    </w:tbl>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Style w:val="28"/>
          <w:rFonts w:hint="eastAsia" w:asciiTheme="majorEastAsia" w:hAnsiTheme="majorEastAsia" w:eastAsiaTheme="majorEastAsia"/>
        </w:rPr>
        <w:t>一、项目基本情况：</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hint="eastAsia" w:asciiTheme="majorEastAsia" w:hAnsiTheme="majorEastAsia" w:eastAsiaTheme="majorEastAsia"/>
        </w:rPr>
      </w:pPr>
      <w:r>
        <w:rPr>
          <w:rFonts w:hint="eastAsia" w:asciiTheme="majorEastAsia" w:hAnsiTheme="majorEastAsia" w:eastAsiaTheme="majorEastAsia"/>
        </w:rPr>
        <w:t>项目编号：NNZC2020-G3-990158-GXYZ</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hint="eastAsia" w:asciiTheme="majorEastAsia" w:hAnsiTheme="majorEastAsia" w:eastAsiaTheme="majorEastAsia"/>
        </w:rPr>
      </w:pPr>
      <w:r>
        <w:rPr>
          <w:rFonts w:hint="eastAsia" w:asciiTheme="majorEastAsia" w:hAnsiTheme="majorEastAsia" w:eastAsiaTheme="majorEastAsia"/>
        </w:rPr>
        <w:t>项目名称：南宁市就业创业多媒体服务平台建设</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hint="eastAsia" w:asciiTheme="majorEastAsia" w:hAnsiTheme="majorEastAsia" w:eastAsiaTheme="majorEastAsia"/>
          <w:lang w:eastAsia="zh-CN"/>
        </w:rPr>
      </w:pPr>
      <w:r>
        <w:rPr>
          <w:rFonts w:hint="eastAsia" w:asciiTheme="majorEastAsia" w:hAnsiTheme="majorEastAsia" w:eastAsiaTheme="majorEastAsia"/>
        </w:rPr>
        <w:t>审批编号：</w:t>
      </w:r>
      <w:r>
        <w:rPr>
          <w:rFonts w:hint="eastAsia" w:eastAsiaTheme="majorEastAsia"/>
          <w:color w:val="000000"/>
          <w:lang w:eastAsia="zh-CN"/>
        </w:rPr>
        <w:t>[2020]NCCSH197-001</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asciiTheme="majorEastAsia" w:hAnsiTheme="majorEastAsia" w:eastAsiaTheme="majorEastAsia"/>
        </w:rPr>
      </w:pPr>
      <w:r>
        <w:rPr>
          <w:rFonts w:hint="eastAsia" w:asciiTheme="majorEastAsia" w:hAnsiTheme="majorEastAsia" w:eastAsiaTheme="majorEastAsia"/>
        </w:rPr>
        <w:t>预算金额：人民币叁佰肆拾万元整(￥3400000.00元)</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asciiTheme="majorEastAsia" w:hAnsiTheme="majorEastAsia" w:eastAsiaTheme="majorEastAsia"/>
        </w:rPr>
      </w:pPr>
      <w:r>
        <w:rPr>
          <w:rFonts w:hint="eastAsia" w:asciiTheme="majorEastAsia" w:hAnsiTheme="majorEastAsia" w:eastAsiaTheme="majorEastAsia"/>
        </w:rPr>
        <w:t>最高限价为：人民币叁佰肆拾万元整(￥3400000.00元)</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asciiTheme="majorEastAsia" w:hAnsiTheme="majorEastAsia" w:eastAsiaTheme="majorEastAsia"/>
        </w:rPr>
      </w:pPr>
      <w:r>
        <w:rPr>
          <w:rFonts w:hint="eastAsia" w:asciiTheme="majorEastAsia" w:hAnsiTheme="majorEastAsia" w:eastAsiaTheme="majorEastAsia"/>
        </w:rPr>
        <w:t>采购需求：</w:t>
      </w:r>
    </w:p>
    <w:tbl>
      <w:tblPr>
        <w:tblStyle w:val="26"/>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pageBreakBefore w:val="0"/>
              <w:widowControl/>
              <w:kinsoku/>
              <w:overflowPunct/>
              <w:topLinePunct w:val="0"/>
              <w:autoSpaceDE/>
              <w:autoSpaceDN/>
              <w:bidi w:val="0"/>
              <w:spacing w:line="440" w:lineRule="exact"/>
              <w:jc w:val="center"/>
              <w:textAlignment w:val="auto"/>
              <w:rPr>
                <w:rFonts w:ascii="宋体" w:hAnsi="宋体" w:eastAsia="宋体"/>
                <w:b/>
                <w:sz w:val="24"/>
                <w:szCs w:val="24"/>
              </w:rPr>
            </w:pPr>
            <w:r>
              <w:rPr>
                <w:rFonts w:hint="eastAsia" w:ascii="宋体" w:hAnsi="宋体" w:eastAsia="宋体"/>
                <w:b/>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440" w:lineRule="exact"/>
              <w:jc w:val="center"/>
              <w:textAlignment w:val="auto"/>
              <w:rPr>
                <w:rFonts w:ascii="宋体" w:hAnsi="宋体" w:eastAsia="宋体"/>
                <w:b/>
                <w:sz w:val="24"/>
                <w:szCs w:val="24"/>
              </w:rPr>
            </w:pPr>
            <w:r>
              <w:rPr>
                <w:rFonts w:hint="eastAsia" w:ascii="宋体" w:hAnsi="宋体" w:eastAsia="宋体"/>
                <w:b/>
                <w:sz w:val="24"/>
                <w:szCs w:val="24"/>
              </w:rPr>
              <w:t>服务名称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440" w:lineRule="exact"/>
              <w:jc w:val="center"/>
              <w:textAlignment w:val="auto"/>
              <w:rPr>
                <w:rFonts w:ascii="宋体" w:hAnsi="宋体" w:eastAsia="宋体"/>
                <w:b/>
                <w:sz w:val="24"/>
                <w:szCs w:val="24"/>
              </w:rPr>
            </w:pPr>
            <w:r>
              <w:rPr>
                <w:rFonts w:hint="eastAsia" w:ascii="宋体" w:hAnsi="宋体" w:eastAsia="宋体"/>
                <w:b/>
                <w:sz w:val="24"/>
                <w:szCs w:val="24"/>
              </w:rPr>
              <w:t>数量</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440" w:lineRule="exact"/>
              <w:jc w:val="center"/>
              <w:textAlignment w:val="auto"/>
              <w:rPr>
                <w:rFonts w:ascii="宋体" w:hAnsi="宋体" w:eastAsia="宋体"/>
                <w:b/>
                <w:sz w:val="24"/>
                <w:szCs w:val="24"/>
              </w:rPr>
            </w:pPr>
            <w:r>
              <w:rPr>
                <w:rFonts w:hint="eastAsia" w:ascii="宋体" w:hAnsi="宋体" w:eastAsia="宋体"/>
                <w:b/>
                <w:sz w:val="24"/>
                <w:szCs w:val="24"/>
              </w:rPr>
              <w:t>服务内容及要求（详见服务需求一览表）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440" w:lineRule="exact"/>
              <w:textAlignment w:val="auto"/>
              <w:rPr>
                <w:rFonts w:eastAsia="宋体"/>
              </w:rPr>
            </w:pPr>
            <w:r>
              <w:rPr>
                <w:rFonts w:hint="eastAsia" w:ascii="宋体" w:hAnsi="宋体" w:eastAsia="宋体"/>
                <w:sz w:val="24"/>
                <w:szCs w:val="24"/>
              </w:rPr>
              <w:t>南宁市就业创业多媒体服务平台建设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spacing w:line="440" w:lineRule="exact"/>
              <w:jc w:val="center"/>
              <w:textAlignment w:val="auto"/>
              <w:rPr>
                <w:rFonts w:ascii="宋体" w:hAnsi="宋体" w:eastAsia="宋体"/>
                <w:sz w:val="24"/>
                <w:szCs w:val="24"/>
              </w:rPr>
            </w:pPr>
            <w:r>
              <w:rPr>
                <w:rFonts w:hint="eastAsia" w:ascii="宋体" w:hAnsi="宋体" w:eastAsia="宋体"/>
                <w:sz w:val="24"/>
                <w:szCs w:val="24"/>
              </w:rPr>
              <w:t>1</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overflowPunct/>
              <w:topLinePunct w:val="0"/>
              <w:autoSpaceDE/>
              <w:autoSpaceDN/>
              <w:bidi w:val="0"/>
              <w:spacing w:line="440" w:lineRule="exact"/>
              <w:textAlignment w:val="auto"/>
              <w:rPr>
                <w:rFonts w:ascii="宋体" w:hAnsi="宋体" w:eastAsia="宋体"/>
                <w:color w:val="auto"/>
                <w:sz w:val="24"/>
                <w:szCs w:val="24"/>
              </w:rPr>
            </w:pPr>
            <w:r>
              <w:rPr>
                <w:rFonts w:hint="eastAsia" w:ascii="宋体" w:hAnsi="宋体" w:eastAsia="宋体"/>
                <w:color w:val="auto"/>
                <w:sz w:val="24"/>
                <w:szCs w:val="24"/>
              </w:rPr>
              <w:t>一、项目概述</w:t>
            </w:r>
          </w:p>
          <w:p>
            <w:pPr>
              <w:keepNext w:val="0"/>
              <w:keepLines w:val="0"/>
              <w:pageBreakBefore w:val="0"/>
              <w:widowControl/>
              <w:kinsoku/>
              <w:overflowPunct/>
              <w:topLinePunct w:val="0"/>
              <w:autoSpaceDE/>
              <w:autoSpaceDN/>
              <w:bidi w:val="0"/>
              <w:spacing w:line="440" w:lineRule="exact"/>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南宁市就业创业多媒体服务平台建设，基于信息技术、虚拟技术、互联网等新技术，以服务为核心，开发智能服务管理系统，建设就业创业多媒体服务平台，通过创新就业创业业务管理，强化服务功能，优化和提升就业创业服务管理功能，为市民提供全方位服务。利用移动互联技术，按移动门户的内容标准和展现标准,在移动设备平台上对多媒体服务中心的功能接入渠道进行拓展，从原有的单一的电话服务方式拓展至可使用电话、互联网、数据、声音、图像等综合为一体的多媒体服务方式。通过与微信、APP、短信、网站的互联互通，建设数据交换模块，实现对其他服务渠道的数据接驳和业务流程处理，可以方便地实现就业创业多媒体平台与微信、APP、网站等平台数据和业务同步，并实现各平台统一信息发布和采集。</w:t>
            </w:r>
          </w:p>
          <w:p>
            <w:pPr>
              <w:pStyle w:val="19"/>
              <w:keepNext w:val="0"/>
              <w:keepLines w:val="0"/>
              <w:pageBreakBefore w:val="0"/>
              <w:widowControl/>
              <w:kinsoku/>
              <w:overflowPunct/>
              <w:topLinePunct w:val="0"/>
              <w:autoSpaceDE/>
              <w:autoSpaceDN/>
              <w:bidi w:val="0"/>
              <w:spacing w:line="44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w:t>
            </w:r>
          </w:p>
        </w:tc>
      </w:tr>
    </w:tbl>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240" w:firstLineChars="100"/>
        <w:textAlignment w:val="auto"/>
        <w:rPr>
          <w:rFonts w:asciiTheme="majorEastAsia" w:hAnsiTheme="majorEastAsia" w:eastAsiaTheme="majorEastAsia"/>
        </w:rPr>
      </w:pPr>
      <w:r>
        <w:rPr>
          <w:rFonts w:hint="eastAsia" w:asciiTheme="majorEastAsia" w:hAnsiTheme="majorEastAsia" w:eastAsiaTheme="majorEastAsia"/>
        </w:rPr>
        <w:t>合同履行期限：详见公开招标文件。</w:t>
      </w:r>
    </w:p>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Style w:val="28"/>
          <w:rFonts w:hint="eastAsia" w:asciiTheme="majorEastAsia" w:hAnsiTheme="majorEastAsia" w:eastAsiaTheme="majorEastAsia"/>
        </w:rPr>
        <w:t>二、申请人的资格要求：</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3、本项目的特定资格要求：无</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4、</w:t>
      </w:r>
      <w:r>
        <w:rPr>
          <w:rFonts w:hint="eastAsia"/>
        </w:rPr>
        <w:t>具有国内法人资格或法人授权委托的分公司，注册经营(业务)范围满足采购内容的供应商或法人授权委托的分公司</w:t>
      </w:r>
      <w:r>
        <w:rPr>
          <w:rFonts w:hint="eastAsia" w:asciiTheme="majorEastAsia" w:hAnsiTheme="majorEastAsia" w:eastAsiaTheme="majorEastAsia"/>
        </w:rPr>
        <w:t>；</w:t>
      </w:r>
    </w:p>
    <w:p>
      <w:pPr>
        <w:pStyle w:val="23"/>
        <w:keepNext w:val="0"/>
        <w:keepLines w:val="0"/>
        <w:pageBreakBefore w:val="0"/>
        <w:widowControl/>
        <w:kinsoku/>
        <w:wordWrap w:val="0"/>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7、本项目不接受联合体投标。</w:t>
      </w:r>
    </w:p>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Style w:val="28"/>
          <w:rFonts w:hint="eastAsia" w:asciiTheme="majorEastAsia" w:hAnsiTheme="majorEastAsia" w:eastAsiaTheme="majorEastAsia"/>
        </w:rPr>
        <w:t>三、获取招标文件：</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29</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12</w:t>
      </w:r>
      <w:r>
        <w:rPr>
          <w:rFonts w:hint="eastAsia" w:asciiTheme="majorEastAsia" w:hAnsiTheme="majorEastAsia" w:eastAsiaTheme="majorEastAsia"/>
        </w:rPr>
        <w:t>日</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地址：南宁市公共资源交易平台(https://www.nnggzy.org.cn/gxnnhy)的信息公告处。</w:t>
      </w:r>
    </w:p>
    <w:p>
      <w:pPr>
        <w:pStyle w:val="23"/>
        <w:keepNext w:val="0"/>
        <w:keepLines w:val="0"/>
        <w:pageBreakBefore w:val="0"/>
        <w:widowControl/>
        <w:kinsoku/>
        <w:wordWrap w:val="0"/>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方式：本项目不发放纸质文件，投标人自行在南宁市公共资源交易平台(https://www.nnggzy.org.cn/gxnnhy)的信息公告处下载采购文件。</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售价：0元。</w:t>
      </w:r>
    </w:p>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Style w:val="28"/>
          <w:rFonts w:hint="eastAsia" w:asciiTheme="majorEastAsia" w:hAnsiTheme="majorEastAsia" w:eastAsiaTheme="majorEastAsia"/>
        </w:rPr>
        <w:t>四、提交投标文件截止时间、开标时间和地点：</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21</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开标时间：2020年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21</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开标地点：南宁市良庆区玉洞大道33号（市青少年活动中心旁）南宁市市民中心9楼南宁市公共资源交易中心（具体详见9楼电子显示屏场地安排） </w:t>
      </w:r>
    </w:p>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Style w:val="28"/>
          <w:rFonts w:hint="eastAsia" w:asciiTheme="majorEastAsia" w:hAnsiTheme="majorEastAsia" w:eastAsiaTheme="majorEastAsia"/>
        </w:rPr>
        <w:t>五、公告期限：</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420"/>
        <w:textAlignment w:val="auto"/>
        <w:rPr>
          <w:rFonts w:asciiTheme="majorEastAsia" w:hAnsiTheme="majorEastAsia" w:eastAsiaTheme="majorEastAsia"/>
        </w:rPr>
      </w:pPr>
      <w:r>
        <w:rPr>
          <w:rFonts w:hint="eastAsia" w:asciiTheme="majorEastAsia" w:hAnsiTheme="majorEastAsia" w:eastAsiaTheme="majorEastAsia"/>
        </w:rPr>
        <w:t>自本公告发布之日起5个工作日（ 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29</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12</w:t>
      </w:r>
      <w:r>
        <w:rPr>
          <w:rFonts w:hint="eastAsia" w:asciiTheme="majorEastAsia" w:hAnsiTheme="majorEastAsia" w:eastAsiaTheme="majorEastAsia"/>
        </w:rPr>
        <w:t>日结束）。</w:t>
      </w:r>
    </w:p>
    <w:p>
      <w:pPr>
        <w:pStyle w:val="23"/>
        <w:keepNext w:val="0"/>
        <w:keepLines w:val="0"/>
        <w:pageBreakBefore w:val="0"/>
        <w:widowControl/>
        <w:numPr>
          <w:ilvl w:val="0"/>
          <w:numId w:val="3"/>
        </w:numPr>
        <w:kinsoku/>
        <w:overflowPunct/>
        <w:topLinePunct w:val="0"/>
        <w:autoSpaceDE/>
        <w:autoSpaceDN/>
        <w:bidi w:val="0"/>
        <w:spacing w:before="75" w:beforeAutospacing="0" w:after="75" w:afterAutospacing="0" w:line="440" w:lineRule="exact"/>
        <w:textAlignment w:val="auto"/>
        <w:rPr>
          <w:rStyle w:val="28"/>
          <w:rFonts w:asciiTheme="majorEastAsia" w:hAnsiTheme="majorEastAsia" w:eastAsiaTheme="majorEastAsia"/>
        </w:rPr>
      </w:pPr>
      <w:r>
        <w:rPr>
          <w:rStyle w:val="28"/>
          <w:rFonts w:hint="eastAsia" w:asciiTheme="majorEastAsia" w:hAnsiTheme="majorEastAsia" w:eastAsiaTheme="majorEastAsia"/>
        </w:rPr>
        <w:t>其他补充事项：</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firstLine="720" w:firstLineChars="300"/>
        <w:textAlignment w:val="auto"/>
        <w:rPr>
          <w:rFonts w:asciiTheme="majorEastAsia" w:hAnsiTheme="majorEastAsia" w:eastAsiaTheme="majorEastAsia"/>
        </w:rPr>
      </w:pPr>
      <w:r>
        <w:rPr>
          <w:rFonts w:hint="eastAsia" w:asciiTheme="majorEastAsia" w:hAnsiTheme="majorEastAsia" w:eastAsiaTheme="majorEastAsia"/>
        </w:rPr>
        <w:t>网上查询地址：</w:t>
      </w:r>
      <w:r>
        <w:fldChar w:fldCharType="begin"/>
      </w:r>
      <w:r>
        <w:instrText xml:space="preserve"> HYPERLINK </w:instrText>
      </w:r>
      <w:r>
        <w:fldChar w:fldCharType="separate"/>
      </w:r>
      <w:r>
        <w:rPr>
          <w:rFonts w:hint="eastAsia" w:asciiTheme="majorEastAsia" w:hAnsiTheme="majorEastAsia" w:eastAsiaTheme="majorEastAsia"/>
        </w:rPr>
        <w:t>www.ccgp.gov.cn（中国政府采购网）， http://zfcg.gxzf.gov.cn/（广西壮族自治区政府采购网），www.nnggzy.org.cn （南宁市公共资源交易中心网）</w:t>
      </w:r>
      <w:r>
        <w:rPr>
          <w:rFonts w:hint="eastAsia" w:asciiTheme="majorEastAsia" w:hAnsiTheme="majorEastAsia" w:eastAsiaTheme="majorEastAsia"/>
        </w:rPr>
        <w:fldChar w:fldCharType="end"/>
      </w:r>
    </w:p>
    <w:p>
      <w:pPr>
        <w:pStyle w:val="23"/>
        <w:keepNext w:val="0"/>
        <w:keepLines w:val="0"/>
        <w:pageBreakBefore w:val="0"/>
        <w:widowControl/>
        <w:kinsoku/>
        <w:overflowPunct/>
        <w:topLinePunct w:val="0"/>
        <w:autoSpaceDE/>
        <w:autoSpaceDN/>
        <w:bidi w:val="0"/>
        <w:spacing w:before="75" w:beforeAutospacing="0" w:after="75" w:afterAutospacing="0" w:line="440" w:lineRule="exact"/>
        <w:textAlignment w:val="auto"/>
        <w:rPr>
          <w:rFonts w:asciiTheme="majorEastAsia" w:hAnsiTheme="majorEastAsia" w:eastAsiaTheme="majorEastAsia"/>
        </w:rPr>
      </w:pPr>
      <w:r>
        <w:rPr>
          <w:rStyle w:val="28"/>
          <w:rFonts w:hint="eastAsia" w:asciiTheme="majorEastAsia" w:hAnsiTheme="majorEastAsia" w:eastAsiaTheme="majorEastAsia"/>
        </w:rPr>
        <w:t>七、对本次招标提出询问，请按以下方式联系。</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1.采购人信息：</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名称：南宁市社会保障卡管理办公室</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地址：</w:t>
      </w:r>
      <w:r>
        <w:rPr>
          <w:rFonts w:hint="eastAsia" w:eastAsiaTheme="majorEastAsia"/>
        </w:rPr>
        <w:t>南宁市桂春路南二里4号</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联系人及电话：黄其文；0771-5881530</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2.采购代理机构信息：</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联系地址：南宁市青秀区思贤路45号创投中心16A层</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 xml:space="preserve">项目联系人及联系电话：罗工、黎工  0771-2442850 </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3.项目联系方式</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项目联系人：罗工、黎工</w:t>
      </w:r>
    </w:p>
    <w:p>
      <w:pPr>
        <w:pStyle w:val="23"/>
        <w:keepNext w:val="0"/>
        <w:keepLines w:val="0"/>
        <w:pageBreakBefore w:val="0"/>
        <w:widowControl/>
        <w:kinsoku/>
        <w:overflowPunct/>
        <w:topLinePunct w:val="0"/>
        <w:autoSpaceDE/>
        <w:autoSpaceDN/>
        <w:bidi w:val="0"/>
        <w:spacing w:before="75" w:beforeAutospacing="0" w:after="75" w:afterAutospacing="0" w:line="440" w:lineRule="exact"/>
        <w:ind w:right="840" w:firstLine="420"/>
        <w:textAlignment w:val="auto"/>
        <w:rPr>
          <w:rFonts w:asciiTheme="majorEastAsia" w:hAnsiTheme="majorEastAsia" w:eastAsiaTheme="majorEastAsia"/>
        </w:rPr>
      </w:pPr>
      <w:r>
        <w:rPr>
          <w:rFonts w:hint="eastAsia" w:asciiTheme="majorEastAsia" w:hAnsiTheme="majorEastAsia" w:eastAsiaTheme="majorEastAsia"/>
        </w:rPr>
        <w:t xml:space="preserve">电话：0771-2442850 </w:t>
      </w:r>
    </w:p>
    <w:p>
      <w:pPr>
        <w:keepNext w:val="0"/>
        <w:keepLines w:val="0"/>
        <w:pageBreakBefore w:val="0"/>
        <w:widowControl/>
        <w:kinsoku/>
        <w:overflowPunct/>
        <w:topLinePunct w:val="0"/>
        <w:autoSpaceDE/>
        <w:autoSpaceDN/>
        <w:bidi w:val="0"/>
        <w:spacing w:line="440" w:lineRule="exact"/>
        <w:jc w:val="right"/>
        <w:textAlignment w:val="auto"/>
        <w:rPr>
          <w:rFonts w:asciiTheme="majorEastAsia" w:hAnsiTheme="majorEastAsia" w:eastAsiaTheme="majorEastAsia"/>
          <w:b/>
          <w:sz w:val="36"/>
          <w:szCs w:val="20"/>
        </w:rPr>
      </w:pPr>
      <w:r>
        <w:rPr>
          <w:rFonts w:hint="eastAsia" w:asciiTheme="majorEastAsia" w:hAnsiTheme="majorEastAsia" w:eastAsiaTheme="majorEastAsia"/>
          <w:sz w:val="24"/>
          <w:szCs w:val="24"/>
        </w:rPr>
        <w:t>发布日期：2020年</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28</w:t>
      </w:r>
      <w:r>
        <w:rPr>
          <w:rFonts w:hint="eastAsia" w:asciiTheme="majorEastAsia" w:hAnsiTheme="majorEastAsia" w:eastAsiaTheme="majorEastAsia"/>
          <w:sz w:val="24"/>
          <w:szCs w:val="24"/>
        </w:rPr>
        <w:t>日</w:t>
      </w:r>
      <w:r>
        <w:rPr>
          <w:rFonts w:asciiTheme="majorEastAsia" w:hAnsiTheme="majorEastAsia" w:eastAsiaTheme="majorEastAsia"/>
          <w:b/>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13" w:name="_Toc32448"/>
      <w:r>
        <w:rPr>
          <w:rFonts w:hint="eastAsia" w:cs="宋体" w:asciiTheme="majorEastAsia" w:hAnsiTheme="majorEastAsia" w:eastAsiaTheme="majorEastAsia"/>
          <w:b/>
          <w:sz w:val="36"/>
        </w:rPr>
        <w:t>第二章  服务需求一览表</w:t>
      </w:r>
      <w:bookmarkEnd w:id="13"/>
    </w:p>
    <w:p>
      <w:pPr>
        <w:spacing w:line="340" w:lineRule="exact"/>
        <w:rPr>
          <w:rFonts w:asciiTheme="majorEastAsia" w:hAnsiTheme="majorEastAsia" w:eastAsiaTheme="majorEastAsia"/>
          <w:b/>
          <w:sz w:val="24"/>
        </w:rPr>
      </w:pPr>
      <w:r>
        <w:rPr>
          <w:rFonts w:hint="eastAsia" w:asciiTheme="majorEastAsia" w:hAnsiTheme="majorEastAsia" w:eastAsiaTheme="majorEastAsia"/>
          <w:b/>
          <w:sz w:val="24"/>
        </w:rPr>
        <w:t>说明：</w:t>
      </w:r>
    </w:p>
    <w:p>
      <w:pPr>
        <w:ind w:left="6" w:firstLine="412" w:firstLineChars="172"/>
        <w:rPr>
          <w:rFonts w:asciiTheme="majorEastAsia" w:hAnsiTheme="majorEastAsia" w:eastAsiaTheme="majorEastAsia"/>
          <w:b/>
          <w:bCs/>
          <w:sz w:val="24"/>
        </w:rPr>
      </w:pPr>
      <w:r>
        <w:rPr>
          <w:rFonts w:hint="eastAsia" w:asciiTheme="majorEastAsia" w:hAnsiTheme="majorEastAsia" w:eastAsiaTheme="majorEastAsia"/>
          <w:sz w:val="24"/>
        </w:rPr>
        <w:t>1、</w:t>
      </w:r>
      <w:r>
        <w:rPr>
          <w:rFonts w:hint="eastAsia" w:asciiTheme="majorEastAsia" w:hAnsiTheme="majorEastAsia" w:eastAsiaTheme="majorEastAsia"/>
          <w:b/>
          <w:bCs/>
          <w:sz w:val="24"/>
        </w:rPr>
        <w:t>本服务需求一览表中标注★号的部分为实质性要求和条件。</w:t>
      </w:r>
    </w:p>
    <w:p>
      <w:pPr>
        <w:ind w:left="6" w:firstLine="412" w:firstLineChars="172"/>
        <w:rPr>
          <w:rFonts w:asciiTheme="majorEastAsia" w:hAnsiTheme="majorEastAsia" w:eastAsiaTheme="majorEastAsia"/>
          <w:sz w:val="24"/>
        </w:rPr>
      </w:pPr>
      <w:r>
        <w:rPr>
          <w:rFonts w:hint="eastAsia" w:asciiTheme="majorEastAsia" w:hAnsiTheme="majorEastAsia" w:eastAsiaTheme="majorEastAsia"/>
          <w:sz w:val="24"/>
        </w:rPr>
        <w:t>2、本服务需求一览表中内容如与第六章“合同条款及格式”相关条款不一致的，以本表为准。</w:t>
      </w:r>
    </w:p>
    <w:p>
      <w:pPr>
        <w:pStyle w:val="17"/>
        <w:ind w:left="240" w:leftChars="109" w:firstLine="217" w:firstLineChars="90"/>
        <w:rPr>
          <w:rFonts w:cs="宋体" w:asciiTheme="majorEastAsia" w:hAnsiTheme="majorEastAsia" w:eastAsiaTheme="majorEastAsia"/>
          <w:b/>
          <w:sz w:val="24"/>
        </w:rPr>
      </w:pPr>
      <w:r>
        <w:rPr>
          <w:rFonts w:cs="宋体" w:asciiTheme="majorEastAsia" w:hAnsiTheme="majorEastAsia" w:eastAsiaTheme="majorEastAsia"/>
          <w:b/>
          <w:sz w:val="24"/>
        </w:rPr>
        <w:t>3、本次服务采购最高限价为：</w:t>
      </w:r>
      <w:r>
        <w:rPr>
          <w:rFonts w:hint="eastAsia" w:cs="宋体" w:asciiTheme="majorEastAsia" w:hAnsiTheme="majorEastAsia" w:eastAsiaTheme="majorEastAsia"/>
          <w:b/>
          <w:sz w:val="24"/>
        </w:rPr>
        <w:t>人民币叁佰肆拾万元整(￥3400000.00元)</w:t>
      </w:r>
    </w:p>
    <w:tbl>
      <w:tblPr>
        <w:tblStyle w:val="26"/>
        <w:tblpPr w:leftFromText="180" w:rightFromText="180" w:vertAnchor="text" w:horzAnchor="page" w:tblpX="543" w:tblpY="324"/>
        <w:tblOverlap w:val="never"/>
        <w:tblW w:w="10920" w:type="dxa"/>
        <w:tblInd w:w="0" w:type="dxa"/>
        <w:tblLayout w:type="fixed"/>
        <w:tblCellMar>
          <w:top w:w="0" w:type="dxa"/>
          <w:left w:w="0" w:type="dxa"/>
          <w:bottom w:w="0" w:type="dxa"/>
          <w:right w:w="0" w:type="dxa"/>
        </w:tblCellMar>
      </w:tblPr>
      <w:tblGrid>
        <w:gridCol w:w="714"/>
        <w:gridCol w:w="1508"/>
        <w:gridCol w:w="763"/>
        <w:gridCol w:w="5683"/>
        <w:gridCol w:w="2252"/>
      </w:tblGrid>
      <w:tr>
        <w:tblPrEx>
          <w:tblCellMar>
            <w:top w:w="0" w:type="dxa"/>
            <w:left w:w="0" w:type="dxa"/>
            <w:bottom w:w="0" w:type="dxa"/>
            <w:right w:w="0" w:type="dxa"/>
          </w:tblCellMar>
        </w:tblPrEx>
        <w:trPr>
          <w:trHeight w:val="82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5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c>
          <w:tcPr>
            <w:tcW w:w="225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分项最高限价（元）</w:t>
            </w:r>
          </w:p>
        </w:tc>
      </w:tr>
      <w:tr>
        <w:tblPrEx>
          <w:tblCellMar>
            <w:top w:w="0" w:type="dxa"/>
            <w:left w:w="0" w:type="dxa"/>
            <w:bottom w:w="0" w:type="dxa"/>
            <w:right w:w="0" w:type="dxa"/>
          </w:tblCellMar>
        </w:tblPrEx>
        <w:trPr>
          <w:trHeight w:val="968"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南宁市就业创业多媒体服务平台建设</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eastAsia="宋体"/>
                <w:color w:val="auto"/>
                <w:sz w:val="24"/>
                <w:szCs w:val="24"/>
              </w:rPr>
            </w:pPr>
            <w:r>
              <w:rPr>
                <w:rFonts w:hint="eastAsia" w:ascii="宋体" w:hAnsi="宋体" w:eastAsia="宋体"/>
                <w:color w:val="auto"/>
                <w:sz w:val="24"/>
                <w:szCs w:val="24"/>
              </w:rPr>
              <w:t>一、项目概述</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南宁市就业创业多媒体服务平台建设，基于信息技术、虚拟技术、互联网等新技术，以服务为核心，开发智能服务管理系统，建设就业创业多媒体服务平台，通过创新就业创业业务管理，强化服务功能，优化和提升就业创业服务管理功能，为市民提供全方位服务。利用移动互联技术，按移动门户的内容标准和展现标准,在移动设备平台上对多媒体服务中心的功能接入渠道进行拓展，从原有的单一的电话服务方式拓展至可使用电话、互联网、数据、声音、图像等综合为一体的多媒体服务方式。通过与微信、APP、短信、网站的互联互通，建设数据交换模块，实现对其他服务渠道的数据接驳和业务流程处理，可以方便地实现就业创业多媒体平台与微信、APP、网站等平台数据和业务同步，并实现各平台统一信息发布和采集。</w:t>
            </w:r>
          </w:p>
          <w:p>
            <w:pPr>
              <w:spacing w:line="360" w:lineRule="auto"/>
              <w:rPr>
                <w:rFonts w:ascii="宋体" w:hAnsi="宋体" w:eastAsia="宋体"/>
                <w:color w:val="auto"/>
                <w:sz w:val="24"/>
                <w:szCs w:val="24"/>
              </w:rPr>
            </w:pPr>
            <w:r>
              <w:rPr>
                <w:rFonts w:hint="eastAsia" w:ascii="宋体" w:hAnsi="宋体" w:eastAsia="宋体"/>
                <w:color w:val="auto"/>
                <w:sz w:val="24"/>
                <w:szCs w:val="24"/>
              </w:rPr>
              <w:t>二、功能需求</w:t>
            </w:r>
          </w:p>
          <w:p>
            <w:pPr>
              <w:spacing w:line="360" w:lineRule="auto"/>
              <w:rPr>
                <w:rFonts w:ascii="宋体" w:hAnsi="宋体" w:eastAsia="宋体"/>
                <w:color w:val="auto"/>
                <w:sz w:val="24"/>
                <w:szCs w:val="24"/>
              </w:rPr>
            </w:pPr>
            <w:r>
              <w:rPr>
                <w:rFonts w:hint="eastAsia" w:ascii="宋体" w:hAnsi="宋体" w:eastAsia="宋体"/>
                <w:color w:val="auto"/>
                <w:sz w:val="24"/>
                <w:szCs w:val="24"/>
              </w:rPr>
              <w:t>★1、呼叫中心系统：</w:t>
            </w:r>
          </w:p>
          <w:p>
            <w:pPr>
              <w:spacing w:line="360" w:lineRule="auto"/>
              <w:rPr>
                <w:rFonts w:ascii="宋体" w:hAnsi="宋体" w:eastAsia="宋体"/>
                <w:color w:val="auto"/>
                <w:sz w:val="24"/>
                <w:szCs w:val="24"/>
              </w:rPr>
            </w:pPr>
            <w:r>
              <w:rPr>
                <w:rFonts w:hint="eastAsia" w:ascii="宋体" w:hAnsi="宋体" w:eastAsia="宋体"/>
                <w:color w:val="auto"/>
                <w:sz w:val="24"/>
                <w:szCs w:val="24"/>
              </w:rPr>
              <w:t>（1）呼叫中心系统支持IMS、NGN网络架构，支持电信运营商规范。主要组成部分： SoftACD系统、CTI系统、IVR系统、报表系统、监控系统、录音系统；</w:t>
            </w:r>
          </w:p>
          <w:p>
            <w:pPr>
              <w:spacing w:line="360" w:lineRule="auto"/>
              <w:rPr>
                <w:rFonts w:ascii="宋体" w:hAnsi="宋体" w:eastAsia="宋体"/>
                <w:color w:val="auto"/>
                <w:sz w:val="24"/>
                <w:szCs w:val="24"/>
              </w:rPr>
            </w:pPr>
            <w:r>
              <w:rPr>
                <w:rFonts w:hint="eastAsia" w:ascii="宋体" w:hAnsi="宋体" w:eastAsia="宋体"/>
                <w:color w:val="auto"/>
              </w:rPr>
              <w:t>（2</w:t>
            </w:r>
            <w:r>
              <w:rPr>
                <w:rFonts w:hint="eastAsia" w:ascii="宋体" w:hAnsi="宋体" w:eastAsia="宋体"/>
                <w:color w:val="auto"/>
                <w:sz w:val="24"/>
                <w:szCs w:val="24"/>
              </w:rPr>
              <w:t>）支持语音导航菜单定制，多级菜单的灵活跳转、咨询查询、信息定制、语音留言等功能。</w:t>
            </w:r>
          </w:p>
          <w:p>
            <w:pPr>
              <w:spacing w:line="360" w:lineRule="auto"/>
              <w:rPr>
                <w:rFonts w:ascii="宋体" w:hAnsi="宋体" w:eastAsia="宋体"/>
                <w:color w:val="auto"/>
                <w:sz w:val="24"/>
                <w:szCs w:val="24"/>
              </w:rPr>
            </w:pPr>
            <w:r>
              <w:rPr>
                <w:rFonts w:hint="eastAsia" w:ascii="宋体" w:hAnsi="宋体" w:eastAsia="宋体"/>
                <w:color w:val="auto"/>
                <w:sz w:val="24"/>
                <w:szCs w:val="24"/>
              </w:rPr>
              <w:t>（3）支持话务智能分配功能：按话务量平均分配、按优先顺序分配、按来电区域分配、按客户类型分配、按上次接听分配等。</w:t>
            </w:r>
          </w:p>
          <w:p>
            <w:pPr>
              <w:spacing w:line="360" w:lineRule="auto"/>
              <w:rPr>
                <w:rFonts w:ascii="宋体" w:hAnsi="宋体" w:eastAsia="宋体"/>
                <w:color w:val="auto"/>
                <w:sz w:val="24"/>
                <w:szCs w:val="24"/>
              </w:rPr>
            </w:pPr>
            <w:r>
              <w:rPr>
                <w:rFonts w:hint="eastAsia" w:ascii="宋体" w:hAnsi="宋体" w:eastAsia="宋体"/>
                <w:color w:val="auto"/>
                <w:sz w:val="24"/>
                <w:szCs w:val="24"/>
              </w:rPr>
              <w:t>（4）权限管理功能：可以按等级分配操作权限，包括查询记录、设定职责、调取录音，高级权限可以调取所以电话录音，普通权限只能收听本人的录音等。</w:t>
            </w:r>
          </w:p>
          <w:p>
            <w:pPr>
              <w:spacing w:line="360" w:lineRule="auto"/>
              <w:rPr>
                <w:rFonts w:ascii="宋体" w:hAnsi="宋体" w:eastAsia="宋体"/>
                <w:color w:val="auto"/>
                <w:sz w:val="24"/>
                <w:szCs w:val="24"/>
              </w:rPr>
            </w:pPr>
            <w:r>
              <w:rPr>
                <w:rFonts w:hint="eastAsia" w:ascii="宋体" w:hAnsi="宋体" w:eastAsia="宋体"/>
                <w:color w:val="auto"/>
                <w:sz w:val="24"/>
                <w:szCs w:val="24"/>
              </w:rPr>
              <w:t>（5）监控功能：管理者可实时查看坐席员工作状态、通话量、未接电话等业务指标情况，准确了解客服中心运行情况，便于统一监督、管理和现状调度。</w:t>
            </w:r>
          </w:p>
          <w:p>
            <w:pPr>
              <w:spacing w:line="360" w:lineRule="auto"/>
              <w:rPr>
                <w:rFonts w:ascii="宋体" w:hAnsi="宋体" w:eastAsia="宋体"/>
                <w:color w:val="auto"/>
                <w:sz w:val="24"/>
                <w:szCs w:val="24"/>
              </w:rPr>
            </w:pPr>
            <w:r>
              <w:rPr>
                <w:rFonts w:hint="eastAsia" w:ascii="宋体" w:hAnsi="宋体" w:eastAsia="宋体"/>
                <w:color w:val="auto"/>
                <w:sz w:val="24"/>
                <w:szCs w:val="24"/>
              </w:rPr>
              <w:t>（6）通话录音/下载功能：可实现通话双规录音，支持录音播放和下载。</w:t>
            </w:r>
          </w:p>
          <w:p>
            <w:pPr>
              <w:spacing w:line="360" w:lineRule="auto"/>
              <w:rPr>
                <w:rFonts w:ascii="宋体" w:hAnsi="宋体" w:eastAsia="宋体"/>
                <w:color w:val="auto"/>
                <w:sz w:val="24"/>
                <w:szCs w:val="24"/>
              </w:rPr>
            </w:pPr>
            <w:r>
              <w:rPr>
                <w:rFonts w:hint="eastAsia" w:ascii="宋体" w:hAnsi="宋体" w:eastAsia="宋体"/>
                <w:color w:val="auto"/>
                <w:sz w:val="24"/>
                <w:szCs w:val="24"/>
              </w:rPr>
              <w:t>（7）报表功能：提供包括坐席报表、队列报表、中继报表、语音导航报表等在内的多种维度的统计报表，支持按照日、周、月查询检索，全面了解人员工作状态及呼叫中心运营情况等。</w:t>
            </w:r>
          </w:p>
          <w:p>
            <w:pPr>
              <w:spacing w:line="360" w:lineRule="auto"/>
              <w:rPr>
                <w:rFonts w:ascii="宋体" w:hAnsi="宋体" w:eastAsia="宋体"/>
                <w:color w:val="auto"/>
                <w:sz w:val="24"/>
                <w:szCs w:val="24"/>
              </w:rPr>
            </w:pPr>
            <w:r>
              <w:rPr>
                <w:rFonts w:hint="eastAsia" w:ascii="宋体" w:hAnsi="宋体" w:eastAsia="宋体"/>
                <w:color w:val="auto"/>
                <w:sz w:val="24"/>
                <w:szCs w:val="24"/>
              </w:rPr>
              <w:t>（8）智能质检系统：采用AI语音转写算法对语音进行转写，使用文本分析技术对通话内容进行挖掘，通过核查热线服务过程的合规性。</w:t>
            </w:r>
          </w:p>
          <w:p>
            <w:pPr>
              <w:spacing w:line="360" w:lineRule="auto"/>
              <w:rPr>
                <w:rFonts w:ascii="宋体" w:hAnsi="宋体" w:eastAsia="宋体"/>
                <w:color w:val="auto"/>
                <w:sz w:val="24"/>
                <w:szCs w:val="24"/>
              </w:rPr>
            </w:pPr>
            <w:r>
              <w:rPr>
                <w:rFonts w:hint="eastAsia" w:ascii="宋体" w:hAnsi="宋体" w:eastAsia="宋体"/>
                <w:color w:val="auto"/>
                <w:sz w:val="24"/>
                <w:szCs w:val="24"/>
              </w:rPr>
              <w:t>（9）工单创建：可以设置工单规则，可以直接在工作台创建工单记录问题，后续将问题流转给其他客服或部门协助解决。</w:t>
            </w:r>
          </w:p>
          <w:p>
            <w:pPr>
              <w:spacing w:line="360" w:lineRule="auto"/>
              <w:rPr>
                <w:rFonts w:ascii="宋体" w:hAnsi="宋体" w:eastAsia="宋体"/>
                <w:color w:val="auto"/>
                <w:sz w:val="24"/>
                <w:szCs w:val="24"/>
              </w:rPr>
            </w:pPr>
            <w:r>
              <w:rPr>
                <w:rFonts w:hint="eastAsia" w:ascii="宋体" w:hAnsi="宋体" w:eastAsia="宋体"/>
                <w:color w:val="auto"/>
                <w:sz w:val="24"/>
                <w:szCs w:val="24"/>
              </w:rPr>
              <w:t>（10）支持在线咨询答复功能：对通过从南宁人社微信、南宁智慧人社APP、南宁人社网上办事大厅接入的在线咨询问题，可智能分配坐席人员进行回复，可对双方聊天记录进行归档存储。</w:t>
            </w:r>
          </w:p>
          <w:p>
            <w:pPr>
              <w:spacing w:line="360" w:lineRule="auto"/>
              <w:rPr>
                <w:rFonts w:ascii="宋体" w:hAnsi="宋体" w:eastAsia="宋体"/>
                <w:color w:val="auto"/>
                <w:sz w:val="24"/>
                <w:szCs w:val="24"/>
              </w:rPr>
            </w:pPr>
            <w:r>
              <w:rPr>
                <w:rFonts w:hint="eastAsia" w:ascii="宋体" w:hAnsi="宋体" w:eastAsia="宋体"/>
                <w:color w:val="auto"/>
                <w:sz w:val="24"/>
                <w:szCs w:val="24"/>
              </w:rPr>
              <w:t xml:space="preserve">（11）在线咨询会话辅助：支持信息获取、快捷回复、知识库快捷查询等。 </w:t>
            </w:r>
          </w:p>
          <w:p>
            <w:pPr>
              <w:spacing w:line="360" w:lineRule="auto"/>
              <w:rPr>
                <w:rFonts w:ascii="宋体" w:hAnsi="宋体" w:eastAsia="宋体"/>
                <w:color w:val="auto"/>
                <w:sz w:val="24"/>
                <w:szCs w:val="24"/>
              </w:rPr>
            </w:pPr>
            <w:r>
              <w:rPr>
                <w:rFonts w:hint="eastAsia" w:ascii="宋体" w:hAnsi="宋体" w:eastAsia="宋体"/>
                <w:color w:val="auto"/>
                <w:sz w:val="24"/>
                <w:szCs w:val="24"/>
              </w:rPr>
              <w:t>（12）在线咨询分配功能：可根据业务类型分配不同的坐席人员。</w:t>
            </w:r>
          </w:p>
          <w:p>
            <w:pPr>
              <w:spacing w:line="360" w:lineRule="auto"/>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3</w:t>
            </w:r>
            <w:r>
              <w:rPr>
                <w:rFonts w:hint="eastAsia" w:ascii="宋体" w:hAnsi="宋体" w:eastAsia="宋体"/>
                <w:color w:val="auto"/>
                <w:sz w:val="24"/>
                <w:szCs w:val="24"/>
              </w:rPr>
              <w:t>）呼叫排队功能: 系统对于每个呼入电话可根据来话中继组设置应答的流程,</w:t>
            </w:r>
            <w:r>
              <w:rPr>
                <w:rFonts w:hint="eastAsia"/>
                <w:color w:val="auto"/>
              </w:rPr>
              <w:t xml:space="preserve"> </w:t>
            </w:r>
            <w:r>
              <w:rPr>
                <w:rFonts w:hint="eastAsia" w:ascii="宋体" w:hAnsi="宋体" w:eastAsia="宋体"/>
                <w:color w:val="auto"/>
                <w:sz w:val="24"/>
                <w:szCs w:val="24"/>
              </w:rPr>
              <w:t>座席全忙时，将呼叫进行排队，系统播放语音告知市民：“座席员全忙，且前面有多位市民在等候”等语音提示，待座席空闲时，自动接入。</w:t>
            </w:r>
          </w:p>
          <w:p>
            <w:pPr>
              <w:spacing w:line="360" w:lineRule="auto"/>
              <w:rPr>
                <w:rFonts w:ascii="宋体" w:hAnsi="宋体" w:eastAsia="宋体"/>
                <w:color w:val="auto"/>
                <w:sz w:val="24"/>
                <w:szCs w:val="24"/>
              </w:rPr>
            </w:pPr>
            <w:r>
              <w:rPr>
                <w:rFonts w:hint="eastAsia" w:ascii="宋体" w:hAnsi="宋体" w:eastAsia="宋体"/>
                <w:color w:val="auto"/>
                <w:sz w:val="24"/>
                <w:szCs w:val="24"/>
              </w:rPr>
              <w:t>★2、对接南宁智慧人社系统要求：</w:t>
            </w:r>
          </w:p>
          <w:p>
            <w:pPr>
              <w:spacing w:line="360" w:lineRule="auto"/>
              <w:jc w:val="both"/>
              <w:rPr>
                <w:rFonts w:ascii="宋体" w:hAnsi="宋体" w:eastAsia="宋体"/>
                <w:color w:val="auto"/>
                <w:sz w:val="24"/>
                <w:szCs w:val="24"/>
              </w:rPr>
            </w:pPr>
            <w:r>
              <w:rPr>
                <w:rFonts w:hint="eastAsia" w:ascii="宋体" w:hAnsi="宋体" w:eastAsia="宋体"/>
                <w:color w:val="auto"/>
                <w:sz w:val="24"/>
                <w:szCs w:val="24"/>
              </w:rPr>
              <w:t>（1）与门户集成平台对接：纳入智慧人社门户集成平台，通过智慧人社系统统一入口，实现了从一个位置上对于应用程序的访问，且需预留备用登录渠道入口。</w:t>
            </w:r>
          </w:p>
          <w:p>
            <w:pPr>
              <w:spacing w:line="360" w:lineRule="auto"/>
              <w:rPr>
                <w:rFonts w:ascii="宋体" w:hAnsi="宋体" w:eastAsia="宋体"/>
                <w:color w:val="auto"/>
                <w:sz w:val="24"/>
                <w:szCs w:val="24"/>
              </w:rPr>
            </w:pPr>
            <w:r>
              <w:rPr>
                <w:rFonts w:hint="eastAsia" w:ascii="宋体" w:hAnsi="宋体" w:eastAsia="宋体"/>
                <w:color w:val="auto"/>
                <w:sz w:val="24"/>
                <w:szCs w:val="24"/>
              </w:rPr>
              <w:t>（2）与统一身份认证平台对接：纳入南宁智慧人社统一身份认证平台，统一系统用户信息管理，实现一个账号多种用途。</w:t>
            </w:r>
          </w:p>
          <w:p>
            <w:pPr>
              <w:spacing w:line="360" w:lineRule="auto"/>
              <w:rPr>
                <w:rFonts w:ascii="宋体" w:hAnsi="宋体" w:eastAsia="宋体"/>
                <w:color w:val="auto"/>
                <w:sz w:val="24"/>
                <w:szCs w:val="24"/>
              </w:rPr>
            </w:pPr>
            <w:r>
              <w:rPr>
                <w:rFonts w:hint="eastAsia" w:ascii="宋体" w:hAnsi="宋体" w:eastAsia="宋体"/>
                <w:color w:val="auto"/>
                <w:sz w:val="24"/>
                <w:szCs w:val="24"/>
              </w:rPr>
              <w:t>（3）与知识库对接：与现有智慧人社知识库对接，实现人社知识库的统一；实现南宁市就业创业多媒体服务平台与智慧人社知识库互动。</w:t>
            </w:r>
          </w:p>
          <w:p>
            <w:pPr>
              <w:spacing w:line="360" w:lineRule="auto"/>
              <w:rPr>
                <w:rFonts w:ascii="宋体" w:hAnsi="宋体" w:eastAsia="宋体"/>
                <w:color w:val="auto"/>
                <w:sz w:val="24"/>
                <w:szCs w:val="24"/>
              </w:rPr>
            </w:pPr>
            <w:r>
              <w:rPr>
                <w:rFonts w:hint="eastAsia" w:ascii="宋体" w:hAnsi="宋体" w:eastAsia="宋体"/>
                <w:color w:val="auto"/>
                <w:sz w:val="24"/>
                <w:szCs w:val="24"/>
              </w:rPr>
              <w:t>（4）与核心业务系统对接：与南宁智慧人社核心业务系统对接融合，实现业务功能无缝对接。</w:t>
            </w:r>
          </w:p>
          <w:p>
            <w:pPr>
              <w:spacing w:line="360" w:lineRule="auto"/>
              <w:rPr>
                <w:rFonts w:ascii="宋体" w:hAnsi="宋体" w:eastAsia="宋体"/>
                <w:color w:val="auto"/>
                <w:sz w:val="24"/>
                <w:szCs w:val="24"/>
              </w:rPr>
            </w:pPr>
            <w:r>
              <w:rPr>
                <w:rFonts w:hint="eastAsia" w:ascii="宋体" w:hAnsi="宋体" w:eastAsia="宋体"/>
                <w:color w:val="auto"/>
                <w:sz w:val="24"/>
                <w:szCs w:val="24"/>
              </w:rPr>
              <w:t>（5）与消息平台对接：对接智慧人社消息平台，实现统一信息发布管理。</w:t>
            </w:r>
          </w:p>
          <w:p>
            <w:pPr>
              <w:spacing w:line="360" w:lineRule="auto"/>
              <w:rPr>
                <w:rFonts w:ascii="宋体" w:hAnsi="宋体" w:eastAsia="宋体"/>
                <w:color w:val="auto"/>
                <w:sz w:val="24"/>
                <w:szCs w:val="24"/>
              </w:rPr>
            </w:pPr>
            <w:r>
              <w:rPr>
                <w:rFonts w:hint="eastAsia" w:ascii="宋体" w:hAnsi="宋体" w:eastAsia="宋体"/>
                <w:color w:val="auto"/>
                <w:sz w:val="24"/>
                <w:szCs w:val="24"/>
              </w:rPr>
              <w:t>（6）与南宁智慧人社监控大屏对接：与智慧人社大屏监控系统对接，实现南宁市就业创业多媒体服务平台的实时监控和展示。</w:t>
            </w:r>
          </w:p>
          <w:p>
            <w:pPr>
              <w:spacing w:line="360" w:lineRule="auto"/>
              <w:rPr>
                <w:rFonts w:ascii="宋体" w:hAnsi="宋体" w:eastAsia="宋体"/>
                <w:color w:val="auto"/>
                <w:sz w:val="24"/>
                <w:szCs w:val="24"/>
              </w:rPr>
            </w:pPr>
            <w:r>
              <w:rPr>
                <w:rFonts w:hint="eastAsia" w:ascii="宋体" w:hAnsi="宋体" w:eastAsia="宋体"/>
                <w:color w:val="auto"/>
                <w:sz w:val="24"/>
                <w:szCs w:val="24"/>
              </w:rPr>
              <w:t>★3、接入智能客服机器人：</w:t>
            </w:r>
          </w:p>
          <w:p>
            <w:pPr>
              <w:spacing w:line="360" w:lineRule="auto"/>
              <w:rPr>
                <w:rFonts w:ascii="宋体" w:hAnsi="宋体" w:eastAsia="宋体"/>
                <w:color w:val="auto"/>
                <w:sz w:val="24"/>
                <w:szCs w:val="24"/>
              </w:rPr>
            </w:pPr>
            <w:r>
              <w:rPr>
                <w:rFonts w:hint="eastAsia" w:ascii="宋体" w:hAnsi="宋体" w:eastAsia="宋体"/>
                <w:color w:val="auto"/>
                <w:sz w:val="24"/>
                <w:szCs w:val="24"/>
              </w:rPr>
              <w:t>（1）智能IVR：话务接入平台后由机器人统一对接，提供7×24小时自动语音应答和导航，可通过语音或按键自助选择服务，先由机器人与来电客户进行对话并解答客户问题，若机器人无法解答客户问题，则客户可以选择转接人工；</w:t>
            </w:r>
          </w:p>
          <w:p>
            <w:pPr>
              <w:spacing w:line="360" w:lineRule="auto"/>
              <w:jc w:val="both"/>
              <w:rPr>
                <w:rFonts w:ascii="宋体" w:hAnsi="宋体" w:eastAsia="宋体"/>
                <w:color w:val="auto"/>
                <w:sz w:val="24"/>
                <w:szCs w:val="24"/>
              </w:rPr>
            </w:pPr>
            <w:r>
              <w:rPr>
                <w:rFonts w:hint="eastAsia" w:ascii="宋体" w:hAnsi="宋体" w:eastAsia="宋体"/>
                <w:color w:val="auto"/>
                <w:sz w:val="24"/>
                <w:szCs w:val="24"/>
              </w:rPr>
              <w:t>（2）智能在线客服：机器人使用海量数据对建立的对话模型进行训练，并预装多行业、领域知识，再结合客服系统的实时反馈增强学习，能够精准识别用户意图，辅助或代替人工客服高效回答常见或高频问题；</w:t>
            </w:r>
          </w:p>
          <w:p>
            <w:pPr>
              <w:spacing w:line="360" w:lineRule="auto"/>
              <w:rPr>
                <w:rFonts w:ascii="宋体" w:hAnsi="宋体" w:eastAsia="宋体"/>
                <w:color w:val="auto"/>
                <w:sz w:val="24"/>
                <w:szCs w:val="24"/>
              </w:rPr>
            </w:pPr>
            <w:r>
              <w:rPr>
                <w:rFonts w:hint="eastAsia" w:ascii="宋体" w:hAnsi="宋体" w:eastAsia="宋体"/>
                <w:color w:val="auto"/>
                <w:sz w:val="24"/>
                <w:szCs w:val="24"/>
              </w:rPr>
              <w:t>4、与南宁智慧人社公共服务平台对接：</w:t>
            </w:r>
          </w:p>
          <w:p>
            <w:pPr>
              <w:spacing w:line="360" w:lineRule="auto"/>
              <w:jc w:val="both"/>
              <w:rPr>
                <w:rFonts w:ascii="宋体" w:hAnsi="宋体" w:eastAsia="宋体"/>
                <w:color w:val="auto"/>
                <w:sz w:val="24"/>
                <w:szCs w:val="24"/>
              </w:rPr>
            </w:pPr>
            <w:r>
              <w:rPr>
                <w:rFonts w:hint="eastAsia" w:ascii="宋体" w:hAnsi="宋体" w:eastAsia="宋体"/>
                <w:color w:val="auto"/>
                <w:sz w:val="24"/>
                <w:szCs w:val="24"/>
              </w:rPr>
              <w:t>★（1）与南宁智慧人社公共服务平台无缝对接，实现南宁人微信、南宁智慧人社APP、南宁人社网上办事大厅的线上服务的智能服务。</w:t>
            </w:r>
          </w:p>
          <w:p>
            <w:pPr>
              <w:spacing w:line="360" w:lineRule="auto"/>
              <w:jc w:val="both"/>
              <w:rPr>
                <w:rFonts w:ascii="宋体" w:hAnsi="宋体" w:eastAsia="宋体"/>
                <w:color w:val="auto"/>
                <w:sz w:val="24"/>
                <w:szCs w:val="24"/>
              </w:rPr>
            </w:pPr>
            <w:r>
              <w:rPr>
                <w:rFonts w:hint="eastAsia" w:ascii="宋体" w:hAnsi="宋体" w:eastAsia="宋体"/>
                <w:color w:val="auto"/>
                <w:sz w:val="24"/>
                <w:szCs w:val="24"/>
              </w:rPr>
              <w:t>★（2）支持在线咨询功能：可以通过南宁人微信、南宁智慧人社APP、南宁人社网上办事大厅等南宁人社线上渠道进行服务咨询。</w:t>
            </w:r>
          </w:p>
          <w:p>
            <w:pPr>
              <w:spacing w:line="360" w:lineRule="auto"/>
              <w:rPr>
                <w:rFonts w:ascii="宋体" w:hAnsi="宋体" w:eastAsia="宋体"/>
                <w:color w:val="auto"/>
                <w:sz w:val="24"/>
                <w:szCs w:val="24"/>
              </w:rPr>
            </w:pPr>
            <w:r>
              <w:rPr>
                <w:rFonts w:hint="eastAsia" w:ascii="宋体" w:hAnsi="宋体" w:eastAsia="宋体"/>
                <w:color w:val="auto"/>
                <w:sz w:val="24"/>
                <w:szCs w:val="24"/>
              </w:rPr>
              <w:t>（3）支持业务类型选择功能：通过在线咨询平台，可根据自身的业务咨询需求如需选择相应的业务类型进行人工咨询。</w:t>
            </w:r>
          </w:p>
          <w:p>
            <w:pPr>
              <w:spacing w:line="360" w:lineRule="auto"/>
              <w:rPr>
                <w:rFonts w:ascii="宋体" w:hAnsi="宋体" w:eastAsia="宋体"/>
                <w:color w:val="auto"/>
                <w:sz w:val="24"/>
                <w:szCs w:val="24"/>
              </w:rPr>
            </w:pPr>
            <w:r>
              <w:rPr>
                <w:rFonts w:hint="eastAsia" w:ascii="宋体" w:hAnsi="宋体" w:eastAsia="宋体"/>
                <w:color w:val="auto"/>
                <w:sz w:val="24"/>
                <w:szCs w:val="24"/>
              </w:rPr>
              <w:t>（4）跨渠道协同功能：在线文字交流、语音电话、自由无缝切换，弥补在线和语音单独沟通的不足；</w:t>
            </w:r>
          </w:p>
          <w:p>
            <w:pPr>
              <w:spacing w:line="360" w:lineRule="auto"/>
              <w:jc w:val="both"/>
              <w:rPr>
                <w:rFonts w:ascii="宋体" w:hAnsi="宋体" w:eastAsia="宋体"/>
                <w:color w:val="auto"/>
                <w:sz w:val="24"/>
                <w:szCs w:val="24"/>
              </w:rPr>
            </w:pPr>
            <w:r>
              <w:rPr>
                <w:rFonts w:hint="eastAsia" w:ascii="宋体" w:hAnsi="宋体" w:eastAsia="宋体"/>
                <w:color w:val="auto"/>
                <w:sz w:val="24"/>
                <w:szCs w:val="24"/>
              </w:rPr>
              <w:t>★（5）与智能客服机器人无缝对接：实现智能语音客服无缝衔接人工客服，完美结合，提升用户服务体验。</w:t>
            </w:r>
          </w:p>
          <w:p>
            <w:pPr>
              <w:spacing w:line="360" w:lineRule="auto"/>
              <w:rPr>
                <w:rFonts w:ascii="宋体" w:hAnsi="宋体" w:eastAsia="宋体"/>
                <w:color w:val="auto"/>
                <w:sz w:val="24"/>
                <w:szCs w:val="24"/>
              </w:rPr>
            </w:pPr>
            <w:r>
              <w:rPr>
                <w:rFonts w:hint="eastAsia" w:ascii="宋体" w:hAnsi="宋体" w:eastAsia="宋体"/>
                <w:color w:val="auto"/>
                <w:sz w:val="24"/>
                <w:szCs w:val="24"/>
              </w:rPr>
              <w:t>三、性能要求：</w:t>
            </w:r>
          </w:p>
          <w:p>
            <w:pPr>
              <w:spacing w:line="360" w:lineRule="auto"/>
              <w:rPr>
                <w:rFonts w:ascii="宋体" w:hAnsi="宋体" w:eastAsia="宋体"/>
                <w:color w:val="auto"/>
                <w:sz w:val="24"/>
                <w:szCs w:val="24"/>
              </w:rPr>
            </w:pPr>
            <w:r>
              <w:rPr>
                <w:rFonts w:hint="eastAsia" w:ascii="宋体" w:hAnsi="宋体" w:eastAsia="宋体"/>
                <w:color w:val="auto"/>
                <w:sz w:val="24"/>
                <w:szCs w:val="24"/>
              </w:rPr>
              <w:t>1、呼出平台能够连续7×24小时不间断工作，系统稳定性和可靠性不低于99.9%。</w:t>
            </w:r>
          </w:p>
          <w:p>
            <w:pPr>
              <w:spacing w:line="360" w:lineRule="auto"/>
              <w:rPr>
                <w:rFonts w:ascii="宋体" w:hAnsi="宋体" w:eastAsia="宋体"/>
                <w:color w:val="auto"/>
                <w:sz w:val="24"/>
                <w:szCs w:val="24"/>
              </w:rPr>
            </w:pPr>
            <w:r>
              <w:rPr>
                <w:rFonts w:hint="eastAsia" w:ascii="宋体" w:hAnsi="宋体" w:eastAsia="宋体"/>
                <w:color w:val="auto"/>
                <w:sz w:val="24"/>
                <w:szCs w:val="24"/>
              </w:rPr>
              <w:t>2、接入平台容量指标：</w:t>
            </w:r>
          </w:p>
          <w:p>
            <w:pPr>
              <w:spacing w:line="360" w:lineRule="auto"/>
              <w:rPr>
                <w:rFonts w:ascii="宋体" w:hAnsi="宋体" w:eastAsia="宋体"/>
                <w:color w:val="auto"/>
                <w:sz w:val="24"/>
                <w:szCs w:val="24"/>
              </w:rPr>
            </w:pPr>
            <w:r>
              <w:rPr>
                <w:rFonts w:hint="eastAsia" w:ascii="宋体" w:hAnsi="宋体" w:eastAsia="宋体"/>
                <w:color w:val="auto"/>
                <w:sz w:val="24"/>
                <w:szCs w:val="24"/>
              </w:rPr>
              <w:t>（1）支持坐席数&gt;=1000坐席。</w:t>
            </w:r>
          </w:p>
          <w:p>
            <w:pPr>
              <w:spacing w:line="360" w:lineRule="auto"/>
              <w:rPr>
                <w:rFonts w:ascii="宋体" w:hAnsi="宋体" w:eastAsia="宋体"/>
                <w:color w:val="auto"/>
                <w:sz w:val="24"/>
                <w:szCs w:val="24"/>
              </w:rPr>
            </w:pPr>
            <w:r>
              <w:rPr>
                <w:rFonts w:hint="eastAsia" w:ascii="宋体" w:hAnsi="宋体" w:eastAsia="宋体"/>
                <w:color w:val="auto"/>
                <w:sz w:val="24"/>
                <w:szCs w:val="24"/>
              </w:rPr>
              <w:t>（2）接入平台处理能力要求：</w:t>
            </w:r>
          </w:p>
          <w:p>
            <w:pPr>
              <w:spacing w:line="360" w:lineRule="auto"/>
              <w:rPr>
                <w:rFonts w:ascii="宋体" w:hAnsi="宋体" w:eastAsia="宋体"/>
                <w:color w:val="auto"/>
                <w:sz w:val="24"/>
                <w:szCs w:val="24"/>
              </w:rPr>
            </w:pPr>
            <w:r>
              <w:rPr>
                <w:rFonts w:hint="eastAsia" w:ascii="宋体" w:hAnsi="宋体" w:eastAsia="宋体"/>
                <w:color w:val="auto"/>
                <w:sz w:val="24"/>
                <w:szCs w:val="24"/>
              </w:rPr>
              <w:t>（3）系统最大BHCA（忙时呼叫量）值≥1M次/小时。</w:t>
            </w:r>
          </w:p>
          <w:p>
            <w:pPr>
              <w:spacing w:line="360" w:lineRule="auto"/>
              <w:rPr>
                <w:rFonts w:ascii="宋体" w:hAnsi="宋体" w:eastAsia="宋体"/>
                <w:color w:val="auto"/>
                <w:sz w:val="24"/>
                <w:szCs w:val="24"/>
              </w:rPr>
            </w:pPr>
            <w:r>
              <w:rPr>
                <w:rFonts w:hint="eastAsia" w:ascii="宋体" w:hAnsi="宋体" w:eastAsia="宋体"/>
                <w:color w:val="auto"/>
                <w:sz w:val="24"/>
                <w:szCs w:val="24"/>
              </w:rPr>
              <w:t>（4）呼叫并发数≥3000路。</w:t>
            </w:r>
          </w:p>
          <w:p>
            <w:pPr>
              <w:spacing w:line="360" w:lineRule="auto"/>
              <w:rPr>
                <w:rFonts w:ascii="宋体" w:hAnsi="宋体" w:eastAsia="宋体"/>
                <w:color w:val="auto"/>
                <w:sz w:val="24"/>
                <w:szCs w:val="24"/>
              </w:rPr>
            </w:pPr>
            <w:r>
              <w:rPr>
                <w:rFonts w:hint="eastAsia" w:ascii="宋体" w:hAnsi="宋体" w:eastAsia="宋体"/>
                <w:color w:val="auto"/>
                <w:sz w:val="24"/>
                <w:szCs w:val="24"/>
              </w:rPr>
              <w:t>（5）系统忙时接通率≥99%。</w:t>
            </w:r>
          </w:p>
          <w:p>
            <w:pPr>
              <w:spacing w:line="360" w:lineRule="auto"/>
              <w:rPr>
                <w:rFonts w:ascii="宋体" w:hAnsi="宋体" w:eastAsia="宋体"/>
                <w:color w:val="auto"/>
                <w:sz w:val="24"/>
                <w:szCs w:val="24"/>
              </w:rPr>
            </w:pPr>
            <w:r>
              <w:rPr>
                <w:rFonts w:hint="eastAsia" w:ascii="宋体" w:hAnsi="宋体" w:eastAsia="宋体"/>
                <w:color w:val="auto"/>
                <w:sz w:val="24"/>
                <w:szCs w:val="24"/>
              </w:rPr>
              <w:t>（6）坐席侧语音带宽要求 : 1坐席 = 200k/秒</w:t>
            </w:r>
          </w:p>
          <w:p>
            <w:pPr>
              <w:spacing w:line="360" w:lineRule="auto"/>
              <w:rPr>
                <w:rFonts w:ascii="宋体" w:hAnsi="宋体" w:eastAsia="宋体"/>
                <w:color w:val="auto"/>
                <w:sz w:val="24"/>
                <w:szCs w:val="24"/>
              </w:rPr>
            </w:pPr>
            <w:r>
              <w:rPr>
                <w:rFonts w:hint="eastAsia" w:ascii="宋体" w:hAnsi="宋体" w:eastAsia="宋体"/>
                <w:color w:val="auto"/>
                <w:sz w:val="24"/>
                <w:szCs w:val="24"/>
              </w:rPr>
              <w:t>（7）坐席侧数据带宽要求 ：1坐席 = 2k/秒</w:t>
            </w:r>
          </w:p>
          <w:p>
            <w:pPr>
              <w:spacing w:line="360" w:lineRule="auto"/>
              <w:rPr>
                <w:color w:val="auto"/>
              </w:rPr>
            </w:pPr>
            <w:r>
              <w:rPr>
                <w:rFonts w:hint="eastAsia" w:ascii="宋体" w:hAnsi="宋体" w:eastAsia="宋体"/>
                <w:color w:val="auto"/>
                <w:sz w:val="24"/>
                <w:szCs w:val="24"/>
              </w:rPr>
              <w:t>四、系统配套硬件要求：</w:t>
            </w:r>
          </w:p>
          <w:p>
            <w:pPr>
              <w:spacing w:line="276" w:lineRule="auto"/>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、中继网关1台：</w:t>
            </w:r>
          </w:p>
          <w:p>
            <w:pPr>
              <w:spacing w:line="276" w:lineRule="auto"/>
              <w:rPr>
                <w:rFonts w:ascii="宋体" w:hAnsi="宋体" w:eastAsia="宋体" w:cs="Times New Roman"/>
                <w:color w:val="auto"/>
                <w:kern w:val="2"/>
                <w:sz w:val="24"/>
                <w:szCs w:val="24"/>
              </w:rPr>
            </w:pPr>
            <w:r>
              <w:rPr>
                <w:rFonts w:hint="eastAsia" w:asciiTheme="minorEastAsia" w:hAnsiTheme="minorEastAsia" w:eastAsiaTheme="minorEastAsia"/>
                <w:color w:val="auto"/>
                <w:sz w:val="24"/>
                <w:szCs w:val="24"/>
              </w:rPr>
              <w:t>★</w:t>
            </w:r>
            <w:r>
              <w:rPr>
                <w:rFonts w:hint="eastAsia" w:ascii="宋体" w:hAnsi="宋体" w:eastAsia="宋体"/>
                <w:color w:val="auto"/>
                <w:sz w:val="24"/>
                <w:szCs w:val="24"/>
              </w:rPr>
              <w:t>（</w:t>
            </w:r>
            <w:r>
              <w:rPr>
                <w:rFonts w:hint="eastAsia" w:ascii="宋体" w:hAnsi="宋体" w:eastAsia="宋体" w:cs="Times New Roman"/>
                <w:color w:val="auto"/>
                <w:kern w:val="2"/>
                <w:sz w:val="24"/>
                <w:szCs w:val="24"/>
              </w:rPr>
              <w:t>1）支持G.711、G.729、G.723算法；</w:t>
            </w:r>
          </w:p>
          <w:p>
            <w:pPr>
              <w:spacing w:line="276" w:lineRule="auto"/>
              <w:rPr>
                <w:rFonts w:ascii="宋体" w:hAnsi="宋体" w:eastAsia="宋体" w:cs="Times New Roman"/>
                <w:color w:val="auto"/>
                <w:kern w:val="2"/>
                <w:sz w:val="24"/>
                <w:szCs w:val="24"/>
              </w:rPr>
            </w:pPr>
            <w:r>
              <w:rPr>
                <w:rFonts w:hint="eastAsia" w:asciiTheme="minorEastAsia" w:hAnsiTheme="minorEastAsia" w:eastAsiaTheme="minorEastAsia"/>
                <w:color w:val="auto"/>
                <w:sz w:val="24"/>
                <w:szCs w:val="24"/>
              </w:rPr>
              <w:t>★</w:t>
            </w:r>
            <w:r>
              <w:rPr>
                <w:rFonts w:hint="eastAsia" w:ascii="宋体" w:hAnsi="宋体" w:eastAsia="宋体" w:cs="Times New Roman"/>
                <w:color w:val="auto"/>
                <w:kern w:val="2"/>
                <w:sz w:val="24"/>
                <w:szCs w:val="24"/>
              </w:rPr>
              <w:t>（2）具有回声控制机制，支持回声消除G.168，最大消除64ms以内的回音；</w:t>
            </w:r>
          </w:p>
          <w:p>
            <w:pPr>
              <w:spacing w:line="276" w:lineRule="auto"/>
              <w:rPr>
                <w:rFonts w:ascii="宋体" w:hAnsi="宋体" w:eastAsia="宋体" w:cs="Times New Roman"/>
                <w:color w:val="auto"/>
                <w:kern w:val="2"/>
                <w:sz w:val="24"/>
                <w:szCs w:val="24"/>
              </w:rPr>
            </w:pPr>
            <w:r>
              <w:rPr>
                <w:rFonts w:hint="eastAsia" w:asciiTheme="minorEastAsia" w:hAnsiTheme="minorEastAsia" w:eastAsiaTheme="minorEastAsia"/>
                <w:color w:val="auto"/>
                <w:sz w:val="24"/>
                <w:szCs w:val="24"/>
              </w:rPr>
              <w:t>★</w:t>
            </w:r>
            <w:r>
              <w:rPr>
                <w:rFonts w:hint="eastAsia" w:ascii="宋体" w:hAnsi="宋体" w:eastAsia="宋体" w:cs="Times New Roman"/>
                <w:color w:val="auto"/>
                <w:kern w:val="2"/>
                <w:sz w:val="24"/>
                <w:szCs w:val="24"/>
              </w:rPr>
              <w:t>（</w:t>
            </w:r>
            <w:r>
              <w:rPr>
                <w:rFonts w:ascii="宋体" w:hAnsi="宋体" w:eastAsia="宋体" w:cs="Times New Roman"/>
                <w:color w:val="auto"/>
                <w:kern w:val="2"/>
                <w:sz w:val="24"/>
                <w:szCs w:val="24"/>
              </w:rPr>
              <w:t>3</w:t>
            </w:r>
            <w:r>
              <w:rPr>
                <w:rFonts w:hint="eastAsia" w:ascii="宋体" w:hAnsi="宋体" w:eastAsia="宋体" w:cs="Times New Roman"/>
                <w:color w:val="auto"/>
                <w:kern w:val="2"/>
                <w:sz w:val="24"/>
                <w:szCs w:val="24"/>
              </w:rPr>
              <w:t>）最大支持240路并发；</w:t>
            </w:r>
          </w:p>
          <w:p>
            <w:pPr>
              <w:pStyle w:val="2"/>
              <w:spacing w:line="276" w:lineRule="auto"/>
              <w:jc w:val="left"/>
              <w:rPr>
                <w:rFonts w:ascii="宋体" w:hAnsi="宋体"/>
                <w:b w:val="0"/>
                <w:bCs w:val="0"/>
                <w:color w:val="auto"/>
                <w:kern w:val="2"/>
                <w:sz w:val="24"/>
                <w:szCs w:val="24"/>
              </w:rPr>
            </w:pPr>
            <w:r>
              <w:rPr>
                <w:rFonts w:hint="eastAsia" w:ascii="宋体" w:hAnsi="宋体"/>
                <w:b w:val="0"/>
                <w:bCs w:val="0"/>
                <w:color w:val="auto"/>
                <w:kern w:val="2"/>
                <w:sz w:val="24"/>
                <w:szCs w:val="24"/>
              </w:rPr>
              <w:t>（</w:t>
            </w:r>
            <w:r>
              <w:rPr>
                <w:rFonts w:ascii="宋体" w:hAnsi="宋体"/>
                <w:b w:val="0"/>
                <w:bCs w:val="0"/>
                <w:color w:val="auto"/>
                <w:kern w:val="2"/>
                <w:sz w:val="24"/>
                <w:szCs w:val="24"/>
              </w:rPr>
              <w:t>4</w:t>
            </w:r>
            <w:r>
              <w:rPr>
                <w:rFonts w:hint="eastAsia" w:ascii="宋体" w:hAnsi="宋体"/>
                <w:b w:val="0"/>
                <w:bCs w:val="0"/>
                <w:color w:val="auto"/>
                <w:kern w:val="2"/>
                <w:sz w:val="24"/>
                <w:szCs w:val="24"/>
              </w:rPr>
              <w:t>）支持呼叫路由和号码变换功能；</w:t>
            </w:r>
          </w:p>
          <w:p>
            <w:pPr>
              <w:spacing w:line="276" w:lineRule="auto"/>
              <w:rPr>
                <w:rFonts w:ascii="宋体" w:hAnsi="宋体" w:eastAsia="宋体" w:cs="Times New Roman"/>
                <w:color w:val="auto"/>
                <w:kern w:val="2"/>
                <w:sz w:val="24"/>
                <w:szCs w:val="24"/>
              </w:rPr>
            </w:pPr>
            <w:r>
              <w:rPr>
                <w:rFonts w:hint="eastAsia" w:ascii="宋体" w:hAnsi="宋体" w:eastAsia="宋体" w:cs="Times New Roman"/>
                <w:color w:val="auto"/>
                <w:kern w:val="2"/>
                <w:sz w:val="24"/>
                <w:szCs w:val="24"/>
              </w:rPr>
              <w:t>（</w:t>
            </w:r>
            <w:r>
              <w:rPr>
                <w:rFonts w:ascii="宋体" w:hAnsi="宋体" w:eastAsia="宋体" w:cs="Times New Roman"/>
                <w:color w:val="auto"/>
                <w:kern w:val="2"/>
                <w:sz w:val="24"/>
                <w:szCs w:val="24"/>
              </w:rPr>
              <w:t>5</w:t>
            </w:r>
            <w:r>
              <w:rPr>
                <w:rFonts w:hint="eastAsia" w:ascii="宋体" w:hAnsi="宋体" w:eastAsia="宋体" w:cs="Times New Roman"/>
                <w:color w:val="auto"/>
                <w:kern w:val="2"/>
                <w:sz w:val="24"/>
                <w:szCs w:val="24"/>
              </w:rPr>
              <w:t>）保修：一年服务。</w:t>
            </w:r>
          </w:p>
          <w:p>
            <w:pPr>
              <w:spacing w:line="276" w:lineRule="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、多媒体电话交换机</w:t>
            </w:r>
            <w:r>
              <w:rPr>
                <w:rFonts w:ascii="宋体" w:hAnsi="宋体" w:eastAsia="宋体"/>
                <w:color w:val="auto"/>
                <w:sz w:val="24"/>
                <w:szCs w:val="24"/>
              </w:rPr>
              <w:t>1</w:t>
            </w:r>
            <w:r>
              <w:rPr>
                <w:rFonts w:hint="eastAsia" w:ascii="宋体" w:hAnsi="宋体" w:eastAsia="宋体"/>
                <w:color w:val="auto"/>
                <w:sz w:val="24"/>
                <w:szCs w:val="24"/>
              </w:rPr>
              <w:t>台：</w:t>
            </w:r>
          </w:p>
          <w:p>
            <w:pPr>
              <w:spacing w:line="276"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）交换机呼损率≤</w:t>
            </w:r>
            <w:r>
              <w:rPr>
                <w:rFonts w:asciiTheme="minorEastAsia" w:hAnsiTheme="minorEastAsia" w:eastAsiaTheme="minorEastAsia"/>
                <w:color w:val="auto"/>
                <w:sz w:val="24"/>
                <w:szCs w:val="24"/>
              </w:rPr>
              <w:t>0.001</w:t>
            </w:r>
            <w:r>
              <w:rPr>
                <w:rFonts w:hint="eastAsia" w:asciiTheme="minorEastAsia" w:hAnsiTheme="minorEastAsia" w:eastAsiaTheme="minorEastAsia"/>
                <w:color w:val="auto"/>
                <w:sz w:val="24"/>
                <w:szCs w:val="24"/>
              </w:rPr>
              <w:t>。</w:t>
            </w:r>
          </w:p>
          <w:p>
            <w:pPr>
              <w:spacing w:line="276"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）交换机接通率</w:t>
            </w:r>
            <w:r>
              <w:rPr>
                <w:rFonts w:asciiTheme="minorEastAsia" w:hAnsiTheme="minorEastAsia" w:eastAsiaTheme="minorEastAsia"/>
                <w:color w:val="auto"/>
                <w:sz w:val="24"/>
                <w:szCs w:val="24"/>
              </w:rPr>
              <w:t>&gt;99.99%</w:t>
            </w:r>
            <w:r>
              <w:rPr>
                <w:rFonts w:hint="eastAsia" w:asciiTheme="minorEastAsia" w:hAnsiTheme="minorEastAsia" w:eastAsiaTheme="minorEastAsia"/>
                <w:color w:val="auto"/>
                <w:sz w:val="24"/>
                <w:szCs w:val="24"/>
              </w:rPr>
              <w:t>。</w:t>
            </w:r>
          </w:p>
          <w:p>
            <w:pPr>
              <w:spacing w:line="276"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）交换机收号准确率</w:t>
            </w:r>
            <w:r>
              <w:rPr>
                <w:rFonts w:asciiTheme="minorEastAsia" w:hAnsiTheme="minorEastAsia" w:eastAsiaTheme="minorEastAsia"/>
                <w:color w:val="auto"/>
                <w:sz w:val="24"/>
                <w:szCs w:val="24"/>
              </w:rPr>
              <w:t>&gt;99.9%</w:t>
            </w:r>
            <w:r>
              <w:rPr>
                <w:rFonts w:hint="eastAsia" w:asciiTheme="minorEastAsia" w:hAnsiTheme="minorEastAsia" w:eastAsiaTheme="minorEastAsia"/>
                <w:color w:val="auto"/>
                <w:sz w:val="24"/>
                <w:szCs w:val="24"/>
              </w:rPr>
              <w:t>。</w:t>
            </w:r>
          </w:p>
          <w:p>
            <w:pPr>
              <w:spacing w:line="276"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）交换机呼叫响应时间</w:t>
            </w:r>
            <w:r>
              <w:rPr>
                <w:rFonts w:asciiTheme="minorEastAsia" w:hAnsiTheme="minorEastAsia" w:eastAsiaTheme="minorEastAsia"/>
                <w:color w:val="auto"/>
                <w:sz w:val="24"/>
                <w:szCs w:val="24"/>
              </w:rPr>
              <w:t>&lt;1</w:t>
            </w:r>
            <w:r>
              <w:rPr>
                <w:rFonts w:hint="eastAsia" w:asciiTheme="minorEastAsia" w:hAnsiTheme="minorEastAsia" w:eastAsiaTheme="minorEastAsia"/>
                <w:color w:val="auto"/>
                <w:sz w:val="24"/>
                <w:szCs w:val="24"/>
              </w:rPr>
              <w:t>秒。</w:t>
            </w:r>
          </w:p>
          <w:p>
            <w:pPr>
              <w:spacing w:line="276"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）交换机内部阻塞概率</w:t>
            </w:r>
            <w:r>
              <w:rPr>
                <w:rFonts w:asciiTheme="minorEastAsia" w:hAnsiTheme="minorEastAsia" w:eastAsiaTheme="minorEastAsia"/>
                <w:color w:val="auto"/>
                <w:sz w:val="24"/>
                <w:szCs w:val="24"/>
              </w:rPr>
              <w:t>&lt;0.00001</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rPr>
              <w:t>）具有自动呼叫分配能力:排队调度机制需支持不少于30个步骤的编辑能力，且通过合并模式最大支持900个以上步骤编辑能力。</w:t>
            </w:r>
          </w:p>
          <w:p>
            <w:pPr>
              <w:spacing w:line="276"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）保修：一年服务。</w:t>
            </w:r>
          </w:p>
          <w:p>
            <w:pPr>
              <w:spacing w:line="276" w:lineRule="auto"/>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、专用坐席电脑</w:t>
            </w:r>
            <w:r>
              <w:rPr>
                <w:rFonts w:ascii="宋体" w:hAnsi="宋体" w:eastAsia="宋体"/>
                <w:color w:val="auto"/>
                <w:sz w:val="24"/>
                <w:szCs w:val="24"/>
              </w:rPr>
              <w:t>3</w:t>
            </w:r>
            <w:r>
              <w:rPr>
                <w:rFonts w:hint="eastAsia" w:ascii="宋体" w:hAnsi="宋体" w:eastAsia="宋体"/>
                <w:color w:val="auto"/>
                <w:sz w:val="24"/>
                <w:szCs w:val="24"/>
              </w:rPr>
              <w:t>0台：</w:t>
            </w:r>
          </w:p>
          <w:p>
            <w:pPr>
              <w:spacing w:line="276" w:lineRule="auto"/>
              <w:rPr>
                <w:rFonts w:ascii="宋体" w:hAnsi="宋体" w:eastAsia="宋体"/>
                <w:color w:val="auto"/>
                <w:sz w:val="24"/>
                <w:szCs w:val="24"/>
              </w:rPr>
            </w:pPr>
            <w:r>
              <w:rPr>
                <w:rFonts w:hint="eastAsia" w:ascii="宋体" w:hAnsi="宋体" w:eastAsia="宋体"/>
                <w:color w:val="auto"/>
                <w:sz w:val="24"/>
                <w:szCs w:val="24"/>
              </w:rPr>
              <w:t>（1）处理器：4核4线程 2.0GHz；</w:t>
            </w:r>
          </w:p>
          <w:p>
            <w:pPr>
              <w:pStyle w:val="2"/>
              <w:spacing w:line="276"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w:t>
            </w:r>
            <w:r>
              <w:rPr>
                <w:rFonts w:ascii="宋体" w:hAnsi="宋体" w:cs="宋体"/>
                <w:b w:val="0"/>
                <w:bCs w:val="0"/>
                <w:color w:val="auto"/>
                <w:sz w:val="24"/>
                <w:szCs w:val="24"/>
              </w:rPr>
              <w:t>2</w:t>
            </w:r>
            <w:r>
              <w:rPr>
                <w:rFonts w:hint="eastAsia" w:ascii="宋体" w:hAnsi="宋体" w:cs="宋体"/>
                <w:b w:val="0"/>
                <w:bCs w:val="0"/>
                <w:color w:val="auto"/>
                <w:sz w:val="24"/>
                <w:szCs w:val="24"/>
              </w:rPr>
              <w:t>）内存：16G DDR3、2MB三级缓存；</w:t>
            </w:r>
          </w:p>
          <w:p>
            <w:pPr>
              <w:pStyle w:val="2"/>
              <w:spacing w:line="276" w:lineRule="auto"/>
              <w:jc w:val="left"/>
              <w:rPr>
                <w:rFonts w:ascii="宋体" w:hAnsi="宋体" w:cs="宋体"/>
                <w:b w:val="0"/>
                <w:bCs w:val="0"/>
                <w:color w:val="auto"/>
                <w:sz w:val="24"/>
                <w:szCs w:val="24"/>
              </w:rPr>
            </w:pPr>
            <w:r>
              <w:rPr>
                <w:rFonts w:hint="eastAsia" w:ascii="宋体" w:hAnsi="宋体" w:cs="宋体"/>
                <w:b w:val="0"/>
                <w:bCs w:val="0"/>
                <w:color w:val="auto"/>
                <w:sz w:val="24"/>
                <w:szCs w:val="24"/>
              </w:rPr>
              <w:t>（</w:t>
            </w:r>
            <w:r>
              <w:rPr>
                <w:rFonts w:ascii="宋体" w:hAnsi="宋体" w:cs="宋体"/>
                <w:b w:val="0"/>
                <w:bCs w:val="0"/>
                <w:color w:val="auto"/>
                <w:sz w:val="24"/>
                <w:szCs w:val="24"/>
              </w:rPr>
              <w:t>3</w:t>
            </w:r>
            <w:r>
              <w:rPr>
                <w:rFonts w:hint="eastAsia" w:ascii="宋体" w:hAnsi="宋体" w:cs="宋体"/>
                <w:b w:val="0"/>
                <w:bCs w:val="0"/>
                <w:color w:val="auto"/>
                <w:sz w:val="24"/>
                <w:szCs w:val="24"/>
              </w:rPr>
              <w:t>）有线键鼠；</w:t>
            </w:r>
          </w:p>
          <w:p>
            <w:pPr>
              <w:spacing w:line="276" w:lineRule="auto"/>
              <w:rPr>
                <w:rFonts w:ascii="宋体" w:hAnsi="宋体" w:eastAsia="宋体"/>
                <w:color w:val="auto"/>
                <w:sz w:val="24"/>
                <w:szCs w:val="24"/>
              </w:rPr>
            </w:pPr>
            <w:r>
              <w:rPr>
                <w:rFonts w:hint="eastAsia" w:asciiTheme="minorEastAsia" w:hAnsiTheme="minorEastAsia" w:eastAsiaTheme="minorEastAsia"/>
                <w:color w:val="auto"/>
                <w:sz w:val="24"/>
                <w:szCs w:val="24"/>
              </w:rPr>
              <w:t>★</w:t>
            </w: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）硬盘：500G</w:t>
            </w:r>
            <w:r>
              <w:rPr>
                <w:rFonts w:ascii="宋体" w:hAnsi="宋体" w:eastAsia="宋体"/>
                <w:color w:val="auto"/>
                <w:sz w:val="24"/>
                <w:szCs w:val="24"/>
              </w:rPr>
              <w:t xml:space="preserve"> SSD</w:t>
            </w:r>
            <w:r>
              <w:rPr>
                <w:rFonts w:hint="eastAsia" w:ascii="宋体" w:hAnsi="宋体" w:eastAsia="宋体"/>
                <w:color w:val="auto"/>
                <w:sz w:val="24"/>
                <w:szCs w:val="24"/>
              </w:rPr>
              <w:t>；</w:t>
            </w:r>
          </w:p>
          <w:p>
            <w:pPr>
              <w:spacing w:line="276" w:lineRule="auto"/>
              <w:rPr>
                <w:rFonts w:ascii="宋体" w:hAnsi="宋体" w:eastAsia="宋体"/>
                <w:color w:val="auto"/>
                <w:sz w:val="24"/>
                <w:szCs w:val="24"/>
              </w:rPr>
            </w:pPr>
            <w:r>
              <w:rPr>
                <w:rFonts w:hint="eastAsia" w:asciiTheme="minorEastAsia" w:hAnsiTheme="minorEastAsia" w:eastAsiaTheme="minorEastAsia"/>
                <w:color w:val="auto"/>
                <w:sz w:val="24"/>
                <w:szCs w:val="24"/>
              </w:rPr>
              <w:t>★</w:t>
            </w:r>
            <w:r>
              <w:rPr>
                <w:rFonts w:hint="eastAsia" w:ascii="宋体" w:hAnsi="宋体" w:eastAsia="宋体"/>
                <w:color w:val="auto"/>
                <w:sz w:val="24"/>
                <w:szCs w:val="24"/>
              </w:rPr>
              <w:t>（</w:t>
            </w:r>
            <w:r>
              <w:rPr>
                <w:rFonts w:ascii="宋体" w:hAnsi="宋体" w:eastAsia="宋体"/>
                <w:color w:val="auto"/>
                <w:sz w:val="24"/>
                <w:szCs w:val="24"/>
              </w:rPr>
              <w:t>5</w:t>
            </w:r>
            <w:r>
              <w:rPr>
                <w:rFonts w:hint="eastAsia" w:ascii="宋体" w:hAnsi="宋体" w:eastAsia="宋体"/>
                <w:color w:val="auto"/>
                <w:sz w:val="24"/>
                <w:szCs w:val="24"/>
              </w:rPr>
              <w:t>）屏幕：2</w:t>
            </w:r>
            <w:r>
              <w:rPr>
                <w:rFonts w:ascii="宋体" w:hAnsi="宋体" w:eastAsia="宋体"/>
                <w:color w:val="auto"/>
                <w:sz w:val="24"/>
                <w:szCs w:val="24"/>
              </w:rPr>
              <w:t>4</w:t>
            </w:r>
            <w:r>
              <w:rPr>
                <w:rFonts w:hint="eastAsia" w:ascii="宋体" w:hAnsi="宋体" w:eastAsia="宋体"/>
                <w:color w:val="auto"/>
                <w:sz w:val="24"/>
                <w:szCs w:val="24"/>
              </w:rPr>
              <w:t>寸 1920*1080、可视角度：178°/178°广视角；</w:t>
            </w:r>
          </w:p>
          <w:p>
            <w:pPr>
              <w:spacing w:line="276" w:lineRule="auto"/>
              <w:rPr>
                <w:rFonts w:ascii="宋体" w:hAnsi="宋体" w:eastAsia="宋体"/>
                <w:color w:val="auto"/>
                <w:sz w:val="24"/>
                <w:szCs w:val="24"/>
              </w:rPr>
            </w:pPr>
            <w:r>
              <w:rPr>
                <w:rFonts w:hint="eastAsia" w:asciiTheme="minorEastAsia" w:hAnsiTheme="minorEastAsia" w:eastAsiaTheme="minorEastAsia"/>
                <w:color w:val="auto"/>
                <w:sz w:val="24"/>
                <w:szCs w:val="24"/>
              </w:rPr>
              <w:t>★</w:t>
            </w:r>
            <w:r>
              <w:rPr>
                <w:rFonts w:hint="eastAsia" w:ascii="宋体" w:hAnsi="宋体" w:eastAsia="宋体"/>
                <w:color w:val="auto"/>
                <w:sz w:val="24"/>
                <w:szCs w:val="24"/>
              </w:rPr>
              <w:t>（</w:t>
            </w:r>
            <w:r>
              <w:rPr>
                <w:rFonts w:ascii="宋体" w:hAnsi="宋体" w:eastAsia="宋体"/>
                <w:color w:val="auto"/>
                <w:sz w:val="24"/>
                <w:szCs w:val="24"/>
              </w:rPr>
              <w:t>6</w:t>
            </w:r>
            <w:r>
              <w:rPr>
                <w:rFonts w:hint="eastAsia" w:ascii="宋体" w:hAnsi="宋体" w:eastAsia="宋体"/>
                <w:color w:val="auto"/>
                <w:sz w:val="24"/>
                <w:szCs w:val="24"/>
              </w:rPr>
              <w:t>）win</w:t>
            </w:r>
            <w:r>
              <w:rPr>
                <w:rFonts w:ascii="宋体" w:hAnsi="宋体" w:eastAsia="宋体"/>
                <w:color w:val="auto"/>
                <w:sz w:val="24"/>
                <w:szCs w:val="24"/>
              </w:rPr>
              <w:t>10</w:t>
            </w:r>
            <w:r>
              <w:rPr>
                <w:rFonts w:hint="eastAsia" w:ascii="宋体" w:hAnsi="宋体" w:eastAsia="宋体"/>
                <w:color w:val="auto"/>
                <w:sz w:val="24"/>
                <w:szCs w:val="24"/>
              </w:rPr>
              <w:t>专业版正版操作系统；</w:t>
            </w:r>
          </w:p>
          <w:p>
            <w:pPr>
              <w:spacing w:line="360" w:lineRule="auto"/>
              <w:rPr>
                <w:rFonts w:ascii="宋体" w:hAnsi="宋体"/>
                <w:color w:val="auto"/>
                <w:szCs w:val="21"/>
              </w:rPr>
            </w:pPr>
            <w:r>
              <w:rPr>
                <w:rFonts w:hint="eastAsia" w:ascii="宋体" w:hAnsi="宋体" w:eastAsia="宋体"/>
                <w:color w:val="auto"/>
                <w:sz w:val="24"/>
                <w:szCs w:val="24"/>
              </w:rPr>
              <w:t>（</w:t>
            </w:r>
            <w:r>
              <w:rPr>
                <w:rFonts w:ascii="宋体" w:hAnsi="宋体" w:eastAsia="宋体"/>
                <w:color w:val="auto"/>
                <w:sz w:val="24"/>
                <w:szCs w:val="24"/>
              </w:rPr>
              <w:t>7</w:t>
            </w:r>
            <w:r>
              <w:rPr>
                <w:rFonts w:hint="eastAsia" w:ascii="宋体" w:hAnsi="宋体" w:eastAsia="宋体"/>
                <w:color w:val="auto"/>
                <w:sz w:val="24"/>
                <w:szCs w:val="24"/>
              </w:rPr>
              <w:t>）保修：三年服务。</w:t>
            </w:r>
          </w:p>
          <w:p>
            <w:pPr>
              <w:spacing w:line="276" w:lineRule="auto"/>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、坐席话机</w:t>
            </w:r>
            <w:r>
              <w:rPr>
                <w:rFonts w:ascii="宋体" w:hAnsi="宋体" w:eastAsia="宋体"/>
                <w:color w:val="auto"/>
                <w:sz w:val="24"/>
                <w:szCs w:val="24"/>
              </w:rPr>
              <w:t>60</w:t>
            </w:r>
            <w:r>
              <w:rPr>
                <w:rFonts w:hint="eastAsia" w:ascii="宋体" w:hAnsi="宋体" w:eastAsia="宋体"/>
                <w:color w:val="auto"/>
                <w:sz w:val="24"/>
                <w:szCs w:val="24"/>
              </w:rPr>
              <w:t>台：</w:t>
            </w:r>
          </w:p>
          <w:p>
            <w:pPr>
              <w:spacing w:line="276" w:lineRule="auto"/>
              <w:rPr>
                <w:rFonts w:ascii="宋体" w:hAnsi="宋体" w:eastAsia="宋体"/>
                <w:color w:val="auto"/>
                <w:sz w:val="24"/>
                <w:szCs w:val="24"/>
              </w:rPr>
            </w:pPr>
            <w:r>
              <w:rPr>
                <w:rFonts w:hint="eastAsia" w:ascii="宋体" w:hAnsi="宋体" w:eastAsia="宋体"/>
                <w:color w:val="auto"/>
                <w:sz w:val="24"/>
                <w:szCs w:val="24"/>
              </w:rPr>
              <w:t>（1）支持多语包括中文</w:t>
            </w:r>
          </w:p>
          <w:p>
            <w:pPr>
              <w:spacing w:line="276"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）支持多种铃声；</w:t>
            </w:r>
          </w:p>
          <w:p>
            <w:pPr>
              <w:spacing w:line="276"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）具备发光消息等待指示器能力；</w:t>
            </w:r>
          </w:p>
          <w:p>
            <w:pPr>
              <w:spacing w:line="276"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）支持POE或者本地供电；</w:t>
            </w:r>
          </w:p>
          <w:p>
            <w:pPr>
              <w:spacing w:line="276"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5</w:t>
            </w:r>
            <w:r>
              <w:rPr>
                <w:rFonts w:hint="eastAsia" w:ascii="宋体" w:hAnsi="宋体" w:eastAsia="宋体"/>
                <w:color w:val="auto"/>
                <w:sz w:val="24"/>
                <w:szCs w:val="24"/>
              </w:rPr>
              <w:t>）具备全双工扬声器；</w:t>
            </w:r>
          </w:p>
          <w:p>
            <w:pPr>
              <w:spacing w:line="276"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6</w:t>
            </w:r>
            <w:r>
              <w:rPr>
                <w:rFonts w:hint="eastAsia" w:ascii="宋体" w:hAnsi="宋体" w:eastAsia="宋体"/>
                <w:color w:val="auto"/>
                <w:sz w:val="24"/>
                <w:szCs w:val="24"/>
              </w:rPr>
              <w:t>）支持G.711a、G.711、G.729a、G.729b和G.729ab音频压缩编解码器；</w:t>
            </w:r>
          </w:p>
          <w:p>
            <w:pPr>
              <w:spacing w:line="276" w:lineRule="auto"/>
              <w:rPr>
                <w:rFonts w:ascii="宋体" w:hAnsi="宋体" w:eastAsia="宋体"/>
                <w:color w:val="auto"/>
                <w:sz w:val="24"/>
                <w:szCs w:val="24"/>
              </w:rPr>
            </w:pPr>
            <w:r>
              <w:rPr>
                <w:rFonts w:hint="eastAsia" w:ascii="宋体" w:hAnsi="宋体" w:eastAsia="宋体"/>
                <w:color w:val="auto"/>
                <w:sz w:val="24"/>
                <w:szCs w:val="24"/>
              </w:rPr>
              <w:t>（7）能与呼叫中心系统无法衔接。</w:t>
            </w:r>
          </w:p>
          <w:p>
            <w:pPr>
              <w:spacing w:line="276" w:lineRule="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8</w:t>
            </w:r>
            <w:r>
              <w:rPr>
                <w:rFonts w:hint="eastAsia" w:ascii="宋体" w:hAnsi="宋体" w:eastAsia="宋体"/>
                <w:color w:val="auto"/>
                <w:sz w:val="24"/>
                <w:szCs w:val="24"/>
              </w:rPr>
              <w:t>）保修：一年服务。</w:t>
            </w:r>
          </w:p>
          <w:p>
            <w:pPr>
              <w:spacing w:line="360" w:lineRule="auto"/>
              <w:rPr>
                <w:rFonts w:ascii="宋体" w:hAnsi="宋体" w:eastAsia="宋体"/>
                <w:color w:val="auto"/>
                <w:sz w:val="24"/>
                <w:szCs w:val="24"/>
              </w:rPr>
            </w:pPr>
            <w:r>
              <w:rPr>
                <w:rFonts w:hint="eastAsia" w:ascii="宋体" w:hAnsi="宋体" w:eastAsia="宋体"/>
                <w:color w:val="auto"/>
                <w:sz w:val="24"/>
                <w:szCs w:val="24"/>
              </w:rPr>
              <w:t>5、专业坐席耳麦</w:t>
            </w:r>
            <w:r>
              <w:rPr>
                <w:rFonts w:ascii="宋体" w:hAnsi="宋体" w:eastAsia="宋体"/>
                <w:color w:val="auto"/>
                <w:sz w:val="24"/>
                <w:szCs w:val="24"/>
              </w:rPr>
              <w:t>60</w:t>
            </w:r>
            <w:r>
              <w:rPr>
                <w:rFonts w:hint="eastAsia" w:ascii="宋体" w:hAnsi="宋体" w:eastAsia="宋体"/>
                <w:color w:val="auto"/>
                <w:sz w:val="24"/>
                <w:szCs w:val="24"/>
              </w:rPr>
              <w:t>台：支持双3P插头，专业头戴式耳麦，线长＞1.8米，保修：一年服务。</w:t>
            </w:r>
          </w:p>
        </w:tc>
        <w:tc>
          <w:tcPr>
            <w:tcW w:w="225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3400000.00</w:t>
            </w:r>
          </w:p>
        </w:tc>
      </w:tr>
      <w:tr>
        <w:tblPrEx>
          <w:tblCellMar>
            <w:top w:w="0" w:type="dxa"/>
            <w:left w:w="0" w:type="dxa"/>
            <w:bottom w:w="0" w:type="dxa"/>
            <w:right w:w="0" w:type="dxa"/>
          </w:tblCellMar>
        </w:tblPrEx>
        <w:trPr>
          <w:trHeight w:val="577" w:hRule="atLeast"/>
        </w:trPr>
        <w:tc>
          <w:tcPr>
            <w:tcW w:w="2985" w:type="dxa"/>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935"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480" w:lineRule="exact"/>
              <w:ind w:firstLine="240" w:firstLineChars="100"/>
              <w:jc w:val="both"/>
              <w:rPr>
                <w:rFonts w:ascii="宋体" w:hAnsi="宋体" w:eastAsia="宋体"/>
                <w:b/>
                <w:color w:val="auto"/>
                <w:sz w:val="24"/>
                <w:szCs w:val="24"/>
              </w:rPr>
            </w:pPr>
            <w:r>
              <w:rPr>
                <w:rFonts w:hint="eastAsia" w:ascii="宋体" w:hAnsi="宋体" w:eastAsia="宋体"/>
                <w:color w:val="auto"/>
                <w:sz w:val="24"/>
                <w:szCs w:val="24"/>
              </w:rPr>
              <w:t>¥3400000.00元</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line="480" w:lineRule="exact"/>
              <w:jc w:val="center"/>
              <w:rPr>
                <w:rFonts w:ascii="宋体" w:hAnsi="宋体" w:eastAsia="宋体"/>
                <w:i/>
                <w:iCs/>
                <w:color w:val="auto"/>
                <w:sz w:val="24"/>
                <w:szCs w:val="24"/>
              </w:rPr>
            </w:pPr>
            <w:r>
              <w:rPr>
                <w:rFonts w:hint="eastAsia" w:ascii="宋体" w:hAnsi="宋体" w:eastAsia="宋体"/>
                <w:b/>
                <w:bCs/>
                <w:color w:val="auto"/>
                <w:sz w:val="24"/>
                <w:szCs w:val="24"/>
              </w:rPr>
              <w:t>款</w:t>
            </w:r>
          </w:p>
        </w:tc>
        <w:tc>
          <w:tcPr>
            <w:tcW w:w="10206"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★一、合同签订期：自中标通知书发出之日起 25日内</w:t>
            </w:r>
          </w:p>
          <w:p>
            <w:pPr>
              <w:tabs>
                <w:tab w:val="left" w:pos="2101"/>
              </w:tabs>
              <w:spacing w:after="120" w:line="440" w:lineRule="exact"/>
              <w:rPr>
                <w:rFonts w:ascii="宋体" w:hAnsi="宋体" w:eastAsia="宋体"/>
                <w:b/>
                <w:color w:val="auto"/>
                <w:sz w:val="24"/>
              </w:rPr>
            </w:pPr>
            <w:r>
              <w:rPr>
                <w:rFonts w:hint="eastAsia" w:ascii="宋体" w:hAnsi="宋体" w:eastAsia="宋体"/>
                <w:b/>
                <w:color w:val="auto"/>
                <w:sz w:val="24"/>
              </w:rPr>
              <w:t>★</w:t>
            </w:r>
            <w:r>
              <w:rPr>
                <w:rFonts w:hint="eastAsia" w:ascii="宋体" w:hAnsi="宋体" w:eastAsia="宋体"/>
                <w:bCs/>
                <w:color w:val="auto"/>
                <w:sz w:val="24"/>
              </w:rPr>
              <w:t>二、提交服务成果时间：自合同签订之日起45</w:t>
            </w:r>
            <w:r>
              <w:rPr>
                <w:rFonts w:hint="eastAsia" w:ascii="宋体" w:hAnsi="宋体" w:eastAsia="宋体"/>
                <w:color w:val="auto"/>
                <w:sz w:val="24"/>
              </w:rPr>
              <w:t>日</w:t>
            </w:r>
            <w:r>
              <w:rPr>
                <w:rFonts w:hint="eastAsia" w:ascii="宋体" w:hAnsi="宋体" w:eastAsia="宋体"/>
                <w:bCs/>
                <w:color w:val="auto"/>
                <w:sz w:val="24"/>
              </w:rPr>
              <w:t>内完成建设的使用。</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三、服务地点：南宁市采购人指定地点。</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★四、售后服务要求：</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1、软件质量保证期 1年（自交货并验收合格之日起计）</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2、质量保证期内软件故障响应时间：接到故障通知后2小时内响应，24小时内解决软件故障问题。</w:t>
            </w:r>
          </w:p>
          <w:p>
            <w:pPr>
              <w:tabs>
                <w:tab w:val="left" w:pos="2101"/>
              </w:tabs>
              <w:spacing w:line="500" w:lineRule="atLeast"/>
              <w:rPr>
                <w:rFonts w:ascii="宋体" w:hAnsi="宋体"/>
                <w:color w:val="auto"/>
                <w:sz w:val="24"/>
              </w:rPr>
            </w:pPr>
            <w:r>
              <w:rPr>
                <w:rFonts w:hint="eastAsia" w:ascii="宋体" w:hAnsi="宋体"/>
                <w:color w:val="auto"/>
                <w:sz w:val="24"/>
              </w:rPr>
              <w:t>3、</w:t>
            </w:r>
            <w:r>
              <w:rPr>
                <w:rFonts w:hint="eastAsia" w:ascii="宋体" w:hAnsi="宋体" w:eastAsia="宋体"/>
                <w:color w:val="auto"/>
                <w:sz w:val="24"/>
              </w:rPr>
              <w:t>质量保证期内硬件处理问题响应时间：接到故障通知后</w:t>
            </w:r>
            <w:r>
              <w:rPr>
                <w:rFonts w:ascii="宋体" w:hAnsi="宋体" w:eastAsia="宋体"/>
                <w:color w:val="auto"/>
                <w:sz w:val="24"/>
              </w:rPr>
              <w:t>2</w:t>
            </w:r>
            <w:r>
              <w:rPr>
                <w:rFonts w:hint="eastAsia" w:ascii="宋体" w:hAnsi="宋体" w:eastAsia="宋体"/>
                <w:color w:val="auto"/>
                <w:sz w:val="24"/>
              </w:rPr>
              <w:t>小时内到达服务现场。</w:t>
            </w:r>
          </w:p>
          <w:p>
            <w:pPr>
              <w:tabs>
                <w:tab w:val="left" w:pos="2101"/>
              </w:tabs>
              <w:spacing w:after="120" w:line="440" w:lineRule="exact"/>
              <w:rPr>
                <w:rFonts w:ascii="宋体" w:hAnsi="宋体" w:eastAsia="宋体"/>
                <w:color w:val="auto"/>
                <w:sz w:val="24"/>
              </w:rPr>
            </w:pPr>
            <w:r>
              <w:rPr>
                <w:rFonts w:ascii="宋体" w:hAnsi="宋体" w:eastAsia="宋体"/>
                <w:color w:val="auto"/>
                <w:sz w:val="24"/>
              </w:rPr>
              <w:t>4</w:t>
            </w:r>
            <w:r>
              <w:rPr>
                <w:rFonts w:hint="eastAsia" w:ascii="宋体" w:hAnsi="宋体" w:eastAsia="宋体"/>
                <w:color w:val="auto"/>
                <w:sz w:val="24"/>
              </w:rPr>
              <w:t>、南宁市就业创业多媒体服务平台必须与南宁智慧人社系统（包括：社会保险业务系统、社会保障卡业务系统、人事人才业务系统、劳动就业业务系统、劳动仲裁业务系统等）及相关信息系统平台进行无缝实时连接。</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五、其他要求：</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★1、报价必须含以下部分，包括：</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（1）服务的价格；</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（2）必要的保险费用和各项税金；</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（3）其他如培训、交通、差旅、售后服务等费用。</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（4）本项目与南宁智慧人社系统、应用平台关系密切，涉及的技术对接并实现所需的全部费用。</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2、投标人应具备履行合同所必须的设备和专业技术能力。</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★3、中标供应商必须签署相关保密协议，严格遵守协议及有关保密要求。</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★4、付款方式：本项目无预付款，中标供应商提交服务成果经验收合格后，一次性支付合同款。</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★5、在质量保证期内，按采购需求和业务需求调整的变动随时作出响应并对系统做出相应修改，以满足采购人的需求。</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★6、本项目与南宁智慧人社系统、应用平台关系密切，涉及的技术对接并实现，全部由中标供应商负责。</w:t>
            </w:r>
          </w:p>
          <w:p>
            <w:pPr>
              <w:tabs>
                <w:tab w:val="left" w:pos="2101"/>
              </w:tabs>
              <w:spacing w:after="120" w:line="440" w:lineRule="exact"/>
              <w:rPr>
                <w:rFonts w:ascii="宋体" w:hAnsi="宋体" w:eastAsia="宋体"/>
                <w:color w:val="auto"/>
                <w:sz w:val="24"/>
              </w:rPr>
            </w:pPr>
            <w:r>
              <w:rPr>
                <w:rFonts w:hint="eastAsia" w:ascii="宋体" w:hAnsi="宋体" w:eastAsia="宋体"/>
                <w:color w:val="auto"/>
                <w:sz w:val="24"/>
              </w:rPr>
              <w:t>★7、在项目建设及验收后维护期内，提供工程师驻点服务（建设阶段7人，维护阶段3人），工程师必须是项目建设组成员并提供社保证明材料。</w:t>
            </w:r>
          </w:p>
          <w:p>
            <w:pPr>
              <w:tabs>
                <w:tab w:val="left" w:pos="2101"/>
              </w:tabs>
              <w:spacing w:after="120" w:line="440" w:lineRule="exact"/>
              <w:rPr>
                <w:rFonts w:ascii="宋体" w:hAnsi="宋体" w:eastAsia="宋体"/>
                <w:color w:val="auto"/>
                <w:sz w:val="24"/>
                <w:szCs w:val="24"/>
              </w:rPr>
            </w:pPr>
            <w:r>
              <w:rPr>
                <w:rFonts w:hint="eastAsia" w:ascii="宋体" w:hAnsi="宋体" w:eastAsia="宋体"/>
                <w:color w:val="auto"/>
                <w:sz w:val="24"/>
              </w:rPr>
              <w:t>8、中标供应商需采购开发工具、系统功能模块、插件等本项目未列入工具，均由成交中标供应商自行落实处理,不再支付额外费用。</w:t>
            </w:r>
          </w:p>
        </w:tc>
      </w:tr>
      <w:bookmarkEnd w:id="9"/>
      <w:bookmarkEnd w:id="10"/>
      <w:bookmarkEnd w:id="11"/>
      <w:bookmarkEnd w:id="12"/>
    </w:tbl>
    <w:p>
      <w:pPr>
        <w:jc w:val="both"/>
        <w:rPr>
          <w:rFonts w:asciiTheme="majorEastAsia" w:hAnsiTheme="majorEastAsia" w:eastAsiaTheme="majorEastAsia"/>
          <w:b/>
          <w:bCs/>
          <w:sz w:val="28"/>
          <w:szCs w:val="28"/>
        </w:rPr>
        <w:sectPr>
          <w:footerReference r:id="rId10" w:type="default"/>
          <w:pgSz w:w="11906" w:h="16838"/>
          <w:pgMar w:top="1440" w:right="707" w:bottom="1098" w:left="851" w:header="851" w:footer="907" w:gutter="0"/>
          <w:pgNumType w:start="1"/>
          <w:cols w:space="720" w:num="1"/>
          <w:docGrid w:type="lines" w:linePitch="312" w:charSpace="0"/>
        </w:sectPr>
      </w:pPr>
      <w:bookmarkStart w:id="14" w:name="_Toc213206174"/>
      <w:bookmarkStart w:id="15" w:name="_Toc213325923"/>
    </w:p>
    <w:p>
      <w:pPr>
        <w:pStyle w:val="17"/>
        <w:jc w:val="center"/>
        <w:outlineLvl w:val="0"/>
        <w:rPr>
          <w:rFonts w:cs="宋体" w:asciiTheme="majorEastAsia" w:hAnsiTheme="majorEastAsia" w:eastAsiaTheme="majorEastAsia"/>
          <w:b/>
          <w:sz w:val="36"/>
        </w:rPr>
      </w:pPr>
      <w:bookmarkStart w:id="16" w:name="_Toc2133"/>
      <w:bookmarkStart w:id="17" w:name="_Toc508092927"/>
      <w:r>
        <w:rPr>
          <w:rFonts w:hint="eastAsia" w:cs="宋体" w:asciiTheme="majorEastAsia" w:hAnsiTheme="majorEastAsia" w:eastAsiaTheme="majorEastAsia"/>
          <w:b/>
          <w:sz w:val="36"/>
        </w:rPr>
        <w:t>第三章  评审方法</w:t>
      </w:r>
      <w:bookmarkEnd w:id="16"/>
      <w:bookmarkEnd w:id="17"/>
    </w:p>
    <w:p>
      <w:pPr>
        <w:spacing w:line="360" w:lineRule="auto"/>
        <w:ind w:firstLine="562" w:firstLineChars="200"/>
        <w:jc w:val="center"/>
        <w:rPr>
          <w:rFonts w:asciiTheme="majorEastAsia" w:hAnsiTheme="majorEastAsia" w:eastAsiaTheme="majorEastAsia"/>
          <w:b/>
          <w:sz w:val="28"/>
          <w:szCs w:val="28"/>
        </w:rPr>
      </w:pPr>
      <w:bookmarkStart w:id="18" w:name="_Toc508092928"/>
      <w:r>
        <w:rPr>
          <w:rFonts w:hint="eastAsia" w:asciiTheme="majorEastAsia" w:hAnsiTheme="majorEastAsia" w:eastAsiaTheme="majorEastAsia"/>
          <w:b/>
          <w:sz w:val="28"/>
          <w:szCs w:val="28"/>
        </w:rPr>
        <w:t>综合评分法</w:t>
      </w:r>
    </w:p>
    <w:p>
      <w:pPr>
        <w:keepNext w:val="0"/>
        <w:keepLines w:val="0"/>
        <w:pageBreakBefore w:val="0"/>
        <w:kinsoku/>
        <w:wordWrap/>
        <w:overflowPunct/>
        <w:topLinePunct w:val="0"/>
        <w:autoSpaceDE/>
        <w:autoSpaceDN/>
        <w:bidi w:val="0"/>
        <w:spacing w:line="440"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（一）评标委员会以招标文件为依据，对投标文件进行评审，对投标人的投标报价、技术文件及商务文件等三部分内容按百分制打分，其中价格分30分，技术分45分，商务分25     分。（评审时，对于带有主观因素的评分，应由各评委独立进行定档打分。）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（二）评分细则：（按四舍五入取至百分位）</w:t>
      </w:r>
    </w:p>
    <w:p>
      <w:pPr>
        <w:keepNext w:val="0"/>
        <w:keepLines w:val="0"/>
        <w:pageBreakBefore w:val="0"/>
        <w:kinsoku/>
        <w:wordWrap/>
        <w:overflowPunct/>
        <w:topLinePunct w:val="0"/>
        <w:autoSpaceDE/>
        <w:autoSpaceDN/>
        <w:bidi w:val="0"/>
        <w:spacing w:line="440" w:lineRule="exact"/>
        <w:ind w:firstLine="482" w:firstLineChars="200"/>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rPr>
        <w:t>1、价格分…………………………………………………………………………………30分</w:t>
      </w:r>
    </w:p>
    <w:p>
      <w:pPr>
        <w:pStyle w:val="17"/>
        <w:keepNext w:val="0"/>
        <w:keepLines w:val="0"/>
        <w:pageBreakBefore w:val="0"/>
        <w:kinsoku/>
        <w:wordWrap/>
        <w:overflowPunct/>
        <w:topLinePunct w:val="0"/>
        <w:autoSpaceDE/>
        <w:autoSpaceDN/>
        <w:bidi w:val="0"/>
        <w:spacing w:line="440" w:lineRule="exact"/>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（1）对于非专门面向中小企业的项目，对小型和微型企业产品的价格给予</w:t>
      </w:r>
      <w:r>
        <w:rPr>
          <w:rFonts w:hint="eastAsia" w:cs="宋体" w:asciiTheme="majorEastAsia" w:hAnsiTheme="majorEastAsia" w:eastAsiaTheme="majorEastAsia"/>
          <w:sz w:val="24"/>
          <w:szCs w:val="24"/>
          <w:shd w:val="pct10" w:color="auto" w:fill="FFFFFF"/>
        </w:rPr>
        <w:t>6%</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rPr>
        <w:t>6%</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（以投标人按第五章“投标文件格式”要求提供的《报价表》和《</w:t>
      </w:r>
      <w:r>
        <w:rPr>
          <w:rFonts w:hint="eastAsia" w:cs="宋体" w:asciiTheme="majorEastAsia" w:hAnsiTheme="majorEastAsia" w:eastAsiaTheme="majorEastAsia"/>
          <w:sz w:val="24"/>
          <w:szCs w:val="24"/>
        </w:rPr>
        <w:t>中小企业声明函</w:t>
      </w:r>
      <w:r>
        <w:rPr>
          <w:rFonts w:hint="eastAsia" w:cs="宋体" w:asciiTheme="majorEastAsia" w:hAnsiTheme="majorEastAsia" w:eastAsiaTheme="majorEastAsia"/>
          <w:bCs/>
          <w:sz w:val="24"/>
          <w:szCs w:val="24"/>
        </w:rPr>
        <w:t>》为评分依据）</w:t>
      </w:r>
    </w:p>
    <w:p>
      <w:pPr>
        <w:pStyle w:val="17"/>
        <w:keepNext w:val="0"/>
        <w:keepLines w:val="0"/>
        <w:pageBreakBefore w:val="0"/>
        <w:kinsoku/>
        <w:wordWrap/>
        <w:overflowPunct/>
        <w:topLinePunct w:val="0"/>
        <w:autoSpaceDE/>
        <w:autoSpaceDN/>
        <w:bidi w:val="0"/>
        <w:spacing w:line="440" w:lineRule="exact"/>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（以投标人按第五章“投标文件格式”要求提供的《报价表》、《中小企业声明函》和《联合体协议书》为评分依据）</w:t>
      </w:r>
    </w:p>
    <w:p>
      <w:pPr>
        <w:pStyle w:val="17"/>
        <w:keepNext w:val="0"/>
        <w:keepLines w:val="0"/>
        <w:pageBreakBefore w:val="0"/>
        <w:kinsoku/>
        <w:wordWrap/>
        <w:overflowPunct/>
        <w:topLinePunct w:val="0"/>
        <w:autoSpaceDE/>
        <w:autoSpaceDN/>
        <w:bidi w:val="0"/>
        <w:spacing w:line="440" w:lineRule="exact"/>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7"/>
        <w:keepNext w:val="0"/>
        <w:keepLines w:val="0"/>
        <w:pageBreakBefore w:val="0"/>
        <w:kinsoku/>
        <w:wordWrap/>
        <w:overflowPunct/>
        <w:topLinePunct w:val="0"/>
        <w:autoSpaceDE/>
        <w:autoSpaceDN/>
        <w:bidi w:val="0"/>
        <w:spacing w:line="440" w:lineRule="exact"/>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7"/>
        <w:keepNext w:val="0"/>
        <w:keepLines w:val="0"/>
        <w:pageBreakBefore w:val="0"/>
        <w:kinsoku/>
        <w:wordWrap/>
        <w:overflowPunct/>
        <w:topLinePunct w:val="0"/>
        <w:autoSpaceDE/>
        <w:autoSpaceDN/>
        <w:bidi w:val="0"/>
        <w:spacing w:line="440" w:lineRule="exact"/>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（5）除上述情况外，评标价＝投标报价；</w:t>
      </w:r>
    </w:p>
    <w:p>
      <w:pPr>
        <w:keepNext w:val="0"/>
        <w:keepLines w:val="0"/>
        <w:pageBreakBefore w:val="0"/>
        <w:kinsoku/>
        <w:wordWrap/>
        <w:overflowPunct/>
        <w:topLinePunct w:val="0"/>
        <w:autoSpaceDE/>
        <w:autoSpaceDN/>
        <w:bidi w:val="0"/>
        <w:spacing w:line="440"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（6）价格分计算公式：</w:t>
      </w:r>
    </w:p>
    <w:p>
      <w:pPr>
        <w:pStyle w:val="16"/>
        <w:keepNext w:val="0"/>
        <w:keepLines w:val="0"/>
        <w:pageBreakBefore w:val="0"/>
        <w:kinsoku/>
        <w:wordWrap/>
        <w:overflowPunct/>
        <w:topLinePunct w:val="0"/>
        <w:autoSpaceDE/>
        <w:autoSpaceDN/>
        <w:bidi w:val="0"/>
        <w:spacing w:line="440" w:lineRule="exact"/>
        <w:ind w:firstLine="464"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           　　           投标人最低评标价金额</w:t>
      </w:r>
    </w:p>
    <w:p>
      <w:pPr>
        <w:pStyle w:val="16"/>
        <w:keepNext w:val="0"/>
        <w:keepLines w:val="0"/>
        <w:pageBreakBefore w:val="0"/>
        <w:kinsoku/>
        <w:wordWrap/>
        <w:overflowPunct/>
        <w:topLinePunct w:val="0"/>
        <w:autoSpaceDE/>
        <w:autoSpaceDN/>
        <w:bidi w:val="0"/>
        <w:spacing w:line="440" w:lineRule="exact"/>
        <w:ind w:firstLine="1160" w:firstLineChars="500"/>
        <w:textAlignment w:val="auto"/>
        <w:rPr>
          <w:rFonts w:hint="default" w:cs="宋体" w:asciiTheme="majorEastAsia" w:hAnsiTheme="majorEastAsia" w:eastAsiaTheme="majorEastAsia"/>
          <w:sz w:val="24"/>
          <w:szCs w:val="24"/>
        </w:rPr>
      </w:pPr>
      <w:r>
        <w:rPr>
          <w:rFonts w:hint="default" w:cs="宋体" w:asciiTheme="majorEastAsia" w:hAnsiTheme="majorEastAsia" w:eastAsiaTheme="majorEastAsia"/>
          <w:sz w:val="24"/>
          <w:szCs w:val="24"/>
        </w:rPr>
        <w:pict>
          <v:line id="_x0000_s1026" o:spid="_x0000_s1026" o:spt="20" style="position:absolute;left:0pt;margin-left:167.7pt;margin-top:8.35pt;height:0pt;width:131.55pt;z-index:251660288;mso-width-relative:page;mso-height-relative:page;"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5tkr9cAAAAJAQAADwAAAAAAAAABACAA&#10;AAAiAAAAZHJzL2Rvd25yZXYueG1sUEsBAhQAFAAAAAgAh07iQM41A9nVAQAAmAMAAA4AAAAAAAAA&#10;AQAgAAAAJgEAAGRycy9lMm9Eb2MueG1sUEsFBgAAAAAGAAYAWQEAAG0FAAAAAA==&#10;">
            <v:path arrowok="t"/>
            <v:fill focussize="0,0"/>
            <v:stroke/>
            <v:imagedata o:title=""/>
            <o:lock v:ext="edit"/>
          </v:line>
        </w:pict>
      </w:r>
      <w:r>
        <w:rPr>
          <w:rFonts w:cs="宋体" w:asciiTheme="majorEastAsia" w:hAnsiTheme="majorEastAsia" w:eastAsiaTheme="majorEastAsia"/>
          <w:sz w:val="24"/>
          <w:szCs w:val="24"/>
        </w:rPr>
        <w:t>某投标人价格分 ＝                         ×30分</w:t>
      </w:r>
    </w:p>
    <w:p>
      <w:pPr>
        <w:pStyle w:val="16"/>
        <w:keepNext w:val="0"/>
        <w:keepLines w:val="0"/>
        <w:pageBreakBefore w:val="0"/>
        <w:kinsoku/>
        <w:wordWrap/>
        <w:overflowPunct/>
        <w:topLinePunct w:val="0"/>
        <w:autoSpaceDE/>
        <w:autoSpaceDN/>
        <w:bidi w:val="0"/>
        <w:spacing w:line="440" w:lineRule="exact"/>
        <w:ind w:firstLine="464" w:firstLineChars="200"/>
        <w:textAlignment w:val="auto"/>
        <w:rPr>
          <w:rFonts w:hint="default" w:cs="宋体" w:asciiTheme="majorEastAsia" w:hAnsiTheme="majorEastAsia" w:eastAsiaTheme="majorEastAsia"/>
          <w:kern w:val="0"/>
          <w:sz w:val="24"/>
          <w:szCs w:val="24"/>
        </w:rPr>
      </w:pPr>
      <w:r>
        <w:rPr>
          <w:rFonts w:cs="宋体" w:asciiTheme="majorEastAsia" w:hAnsiTheme="majorEastAsia" w:eastAsiaTheme="majorEastAsia"/>
          <w:sz w:val="24"/>
          <w:szCs w:val="24"/>
        </w:rPr>
        <w:t xml:space="preserve">                   　      某投标人评标价金额</w:t>
      </w:r>
    </w:p>
    <w:p>
      <w:pPr>
        <w:keepNext w:val="0"/>
        <w:keepLines w:val="0"/>
        <w:pageBreakBefore w:val="0"/>
        <w:numPr>
          <w:ilvl w:val="0"/>
          <w:numId w:val="4"/>
        </w:numPr>
        <w:kinsoku/>
        <w:wordWrap/>
        <w:overflowPunct/>
        <w:topLinePunct w:val="0"/>
        <w:autoSpaceDE/>
        <w:autoSpaceDN/>
        <w:bidi w:val="0"/>
        <w:spacing w:line="440" w:lineRule="exact"/>
        <w:ind w:firstLine="480" w:firstLineChars="200"/>
        <w:textAlignment w:val="auto"/>
        <w:rPr>
          <w:rFonts w:ascii="宋体" w:hAnsi="宋体"/>
          <w:b/>
          <w:sz w:val="24"/>
        </w:rPr>
      </w:pPr>
      <w:r>
        <w:rPr>
          <w:rFonts w:hint="eastAsia" w:ascii="宋体" w:hAnsi="宋体"/>
          <w:b/>
          <w:sz w:val="24"/>
        </w:rPr>
        <w:t>技术分……………………………………………………………………………………45分</w:t>
      </w:r>
    </w:p>
    <w:p>
      <w:pPr>
        <w:keepNext w:val="0"/>
        <w:keepLines w:val="0"/>
        <w:pageBreakBefore w:val="0"/>
        <w:kinsoku/>
        <w:wordWrap/>
        <w:overflowPunct/>
        <w:topLinePunct w:val="0"/>
        <w:autoSpaceDE/>
        <w:autoSpaceDN/>
        <w:bidi w:val="0"/>
        <w:spacing w:line="440" w:lineRule="exact"/>
        <w:ind w:firstLine="466" w:firstLineChars="200"/>
        <w:textAlignment w:val="auto"/>
        <w:rPr>
          <w:rFonts w:asciiTheme="majorEastAsia" w:hAnsiTheme="majorEastAsia" w:eastAsiaTheme="majorEastAsia"/>
          <w:b/>
          <w:spacing w:val="-4"/>
          <w:kern w:val="2"/>
          <w:sz w:val="24"/>
          <w:szCs w:val="24"/>
        </w:rPr>
      </w:pPr>
      <w:r>
        <w:rPr>
          <w:rFonts w:hint="eastAsia" w:asciiTheme="majorEastAsia" w:hAnsiTheme="majorEastAsia" w:eastAsiaTheme="majorEastAsia"/>
          <w:b/>
          <w:spacing w:val="-4"/>
          <w:kern w:val="2"/>
          <w:sz w:val="24"/>
          <w:szCs w:val="24"/>
        </w:rPr>
        <w:t>（一）需求理解与分析（满分10分）</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投标人对本项目背景的建设认知及对南宁市人社信息化建设数据中心、网络、安全、机房和应用系统建设现状，对现有系统运行架构和数据结构分析。</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一档（</w:t>
      </w:r>
      <w:r>
        <w:rPr>
          <w:rFonts w:asciiTheme="majorEastAsia" w:hAnsiTheme="majorEastAsia" w:eastAsiaTheme="majorEastAsia"/>
          <w:spacing w:val="-4"/>
          <w:kern w:val="2"/>
          <w:sz w:val="24"/>
          <w:szCs w:val="24"/>
        </w:rPr>
        <w:t>2</w:t>
      </w:r>
      <w:r>
        <w:rPr>
          <w:rFonts w:hint="eastAsia" w:asciiTheme="majorEastAsia" w:hAnsiTheme="majorEastAsia" w:eastAsiaTheme="majorEastAsia"/>
          <w:spacing w:val="-4"/>
          <w:kern w:val="2"/>
          <w:sz w:val="24"/>
          <w:szCs w:val="24"/>
        </w:rPr>
        <w:t>分）：具有南宁市就业创业多媒体服务平台建设技术方案，功能符合采购要求；对项目背景、服务目标、建设需求以及相关标准规范和政策法规的分析较简单；技术方案的总体服务内容不够全面，方案总体逻辑结构不够清晰，内容重复累赘；方案对采购需求的应答不完整。</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二档（</w:t>
      </w:r>
      <w:r>
        <w:rPr>
          <w:rFonts w:asciiTheme="majorEastAsia" w:hAnsiTheme="majorEastAsia" w:eastAsiaTheme="majorEastAsia"/>
          <w:spacing w:val="-4"/>
          <w:kern w:val="2"/>
          <w:sz w:val="24"/>
          <w:szCs w:val="24"/>
        </w:rPr>
        <w:t>6</w:t>
      </w:r>
      <w:r>
        <w:rPr>
          <w:rFonts w:hint="eastAsia" w:asciiTheme="majorEastAsia" w:hAnsiTheme="majorEastAsia" w:eastAsiaTheme="majorEastAsia"/>
          <w:spacing w:val="-4"/>
          <w:kern w:val="2"/>
          <w:sz w:val="24"/>
          <w:szCs w:val="24"/>
        </w:rPr>
        <w:t>分）：具有南宁市就业创业多媒体服务平台建设技术方案，方案设计完整清晰，对采购人需求理解，功能完善，方案对部分系统功能有针对性；对项目背景、服务目标、建设需求以及相关标准规范和政策法规等有深刻理解和分析；对项目的总体服务内容、建设内容有详细描述，技术理念先进、合理、可行；能提出具体技术解决方案；方案总体逻辑结构清楚，层次分明，建设思路清晰；方案全面、完整，能准确应答采购需求提出的全部项目诉求。</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三档(</w:t>
      </w:r>
      <w:r>
        <w:rPr>
          <w:rFonts w:asciiTheme="majorEastAsia" w:hAnsiTheme="majorEastAsia" w:eastAsiaTheme="majorEastAsia"/>
          <w:spacing w:val="-4"/>
          <w:kern w:val="2"/>
          <w:sz w:val="24"/>
          <w:szCs w:val="24"/>
        </w:rPr>
        <w:t>10</w:t>
      </w:r>
      <w:r>
        <w:rPr>
          <w:rFonts w:hint="eastAsia" w:asciiTheme="majorEastAsia" w:hAnsiTheme="majorEastAsia" w:eastAsiaTheme="majorEastAsia"/>
          <w:spacing w:val="-4"/>
          <w:kern w:val="2"/>
          <w:sz w:val="24"/>
          <w:szCs w:val="24"/>
        </w:rPr>
        <w:t>分)：具有南宁市就业创业多媒体服务平台建设技术方案,方案对项目背景、服务目标、建设需求以及相关标准规范和政策法规等有深刻理解和分析；对项目的服务内容和建设内容有详细描述，技术理念先进、合理、可行；能提出具体的解决方案；方案总体逻辑结构清楚，层次分明，建设思路清晰；方案能深入分析项目中的重点和难点问题，并结合本项目的特点，提出切合实际的针对性的技术解决方案；方案全面、完整，能准确应答采购需求提出的全部项目诉求。</w:t>
      </w:r>
    </w:p>
    <w:p>
      <w:pPr>
        <w:keepNext w:val="0"/>
        <w:keepLines w:val="0"/>
        <w:pageBreakBefore w:val="0"/>
        <w:kinsoku/>
        <w:wordWrap/>
        <w:overflowPunct/>
        <w:topLinePunct w:val="0"/>
        <w:autoSpaceDE/>
        <w:autoSpaceDN/>
        <w:bidi w:val="0"/>
        <w:spacing w:line="440" w:lineRule="exact"/>
        <w:ind w:firstLine="466" w:firstLineChars="200"/>
        <w:textAlignment w:val="auto"/>
        <w:rPr>
          <w:rFonts w:asciiTheme="majorEastAsia" w:hAnsiTheme="majorEastAsia" w:eastAsiaTheme="majorEastAsia"/>
          <w:b/>
          <w:spacing w:val="-4"/>
          <w:kern w:val="2"/>
          <w:sz w:val="24"/>
          <w:szCs w:val="24"/>
        </w:rPr>
      </w:pPr>
      <w:r>
        <w:rPr>
          <w:rFonts w:hint="eastAsia" w:asciiTheme="majorEastAsia" w:hAnsiTheme="majorEastAsia" w:eastAsiaTheme="majorEastAsia"/>
          <w:b/>
          <w:spacing w:val="-4"/>
          <w:kern w:val="2"/>
          <w:sz w:val="24"/>
          <w:szCs w:val="24"/>
        </w:rPr>
        <w:t>（二）项目软件平台部署方案（满分17分）</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一档（5分）：能提供南宁市就业创业多媒体服务平台软件部署方案，对平台部署所需要的硬件环境、网络环境、信息数据安全保障策略等方面的分析理解较简单，部署方案总体内容不够全面。</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二档（10分）：能提供南宁市就业创业多媒体服务平台软件部署方案，基本了解项目建设的背景，能详细介绍软件平台功能和部署实施，对平台部署的硬件资源、网络资源、信息数据安全保障策略等方面的分析理解较深入。</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三档（17分）：能提供南宁市就业创业多媒体服务平台软件部署方案，对项目建设背景有深入了解，软件平台功能介绍和选择有清晰的描述，对平台部署的硬件资源、网络资源、信息数据安全保障策略等方面的分析理解深入了解，实施思路清晰细致，方案理解和项目建设目标匹配合理。</w:t>
      </w:r>
    </w:p>
    <w:p>
      <w:pPr>
        <w:keepNext w:val="0"/>
        <w:keepLines w:val="0"/>
        <w:pageBreakBefore w:val="0"/>
        <w:kinsoku/>
        <w:wordWrap/>
        <w:overflowPunct/>
        <w:topLinePunct w:val="0"/>
        <w:autoSpaceDE/>
        <w:autoSpaceDN/>
        <w:bidi w:val="0"/>
        <w:spacing w:line="440" w:lineRule="exact"/>
        <w:ind w:firstLine="466" w:firstLineChars="200"/>
        <w:textAlignment w:val="auto"/>
        <w:rPr>
          <w:rFonts w:asciiTheme="majorEastAsia" w:hAnsiTheme="majorEastAsia" w:eastAsiaTheme="majorEastAsia"/>
          <w:b/>
          <w:spacing w:val="-4"/>
          <w:kern w:val="2"/>
          <w:sz w:val="24"/>
          <w:szCs w:val="24"/>
        </w:rPr>
      </w:pPr>
      <w:r>
        <w:rPr>
          <w:rFonts w:hint="eastAsia" w:asciiTheme="majorEastAsia" w:hAnsiTheme="majorEastAsia" w:eastAsiaTheme="majorEastAsia"/>
          <w:b/>
          <w:spacing w:val="-4"/>
          <w:kern w:val="2"/>
          <w:sz w:val="24"/>
          <w:szCs w:val="24"/>
        </w:rPr>
        <w:t>（三）项目软件平台和其他应用系统连接方案（满分15分）</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软件平台能否和其他应用系统有效连接，是本项目建设的目标和要求：</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一档（3分）：能提供与其他应用系统</w:t>
      </w:r>
      <w:r>
        <w:rPr>
          <w:rFonts w:hint="eastAsia" w:ascii="宋体" w:hAnsi="宋体" w:eastAsia="宋体"/>
          <w:sz w:val="24"/>
          <w:szCs w:val="24"/>
        </w:rPr>
        <w:t>连接方案，对连接需求、连接的标准规范等分析较简单，总体连接内容不够全部，思路不够清晰，对</w:t>
      </w:r>
      <w:r>
        <w:rPr>
          <w:rFonts w:hint="eastAsia" w:asciiTheme="majorEastAsia" w:hAnsiTheme="majorEastAsia" w:eastAsiaTheme="majorEastAsia"/>
          <w:spacing w:val="-4"/>
          <w:kern w:val="2"/>
          <w:sz w:val="24"/>
          <w:szCs w:val="24"/>
        </w:rPr>
        <w:t>软件对接的过程阐述简单</w:t>
      </w:r>
      <w:r>
        <w:rPr>
          <w:rFonts w:hint="eastAsia" w:ascii="宋体" w:hAnsi="宋体" w:eastAsia="宋体"/>
          <w:sz w:val="24"/>
          <w:szCs w:val="24"/>
        </w:rPr>
        <w:t>。</w:t>
      </w:r>
      <w:r>
        <w:rPr>
          <w:rFonts w:hint="eastAsia"/>
        </w:rPr>
        <w:t xml:space="preserve"> </w:t>
      </w:r>
    </w:p>
    <w:p>
      <w:pPr>
        <w:keepNext w:val="0"/>
        <w:keepLines w:val="0"/>
        <w:pageBreakBefore w:val="0"/>
        <w:kinsoku/>
        <w:wordWrap/>
        <w:overflowPunct/>
        <w:topLinePunct w:val="0"/>
        <w:autoSpaceDE/>
        <w:autoSpaceDN/>
        <w:bidi w:val="0"/>
        <w:spacing w:line="440" w:lineRule="exact"/>
        <w:ind w:firstLine="464" w:firstLineChars="200"/>
        <w:textAlignment w:val="auto"/>
      </w:pPr>
      <w:r>
        <w:rPr>
          <w:rFonts w:hint="eastAsia" w:asciiTheme="majorEastAsia" w:hAnsiTheme="majorEastAsia" w:eastAsiaTheme="majorEastAsia"/>
          <w:spacing w:val="-4"/>
          <w:kern w:val="2"/>
          <w:sz w:val="24"/>
          <w:szCs w:val="24"/>
        </w:rPr>
        <w:t>二档（8分）：能提供与其他应用系统</w:t>
      </w:r>
      <w:r>
        <w:rPr>
          <w:rFonts w:hint="eastAsia" w:ascii="宋体" w:hAnsi="宋体" w:eastAsia="宋体"/>
          <w:sz w:val="24"/>
          <w:szCs w:val="24"/>
        </w:rPr>
        <w:t>连接方案，对连接需求、连接的标准规范等分析</w:t>
      </w:r>
      <w:r>
        <w:rPr>
          <w:rFonts w:hint="eastAsia" w:asciiTheme="majorEastAsia" w:hAnsiTheme="majorEastAsia" w:eastAsiaTheme="majorEastAsia"/>
          <w:spacing w:val="-4"/>
          <w:kern w:val="2"/>
          <w:sz w:val="24"/>
          <w:szCs w:val="24"/>
        </w:rPr>
        <w:t>较深入</w:t>
      </w:r>
      <w:r>
        <w:rPr>
          <w:rFonts w:hint="eastAsia" w:ascii="宋体" w:hAnsi="宋体" w:eastAsia="宋体"/>
          <w:sz w:val="24"/>
          <w:szCs w:val="24"/>
        </w:rPr>
        <w:t>，思路基本清晰，</w:t>
      </w:r>
      <w:r>
        <w:rPr>
          <w:rFonts w:hint="eastAsia" w:asciiTheme="majorEastAsia" w:hAnsiTheme="majorEastAsia" w:eastAsiaTheme="majorEastAsia"/>
          <w:spacing w:val="-4"/>
          <w:kern w:val="2"/>
          <w:sz w:val="24"/>
          <w:szCs w:val="24"/>
        </w:rPr>
        <w:t>能提供详细的方案，详细阐述了软件对接的过程的要点，但是未能清晰反应技术实现。</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三档（15分）：能提供与其他应用系统</w:t>
      </w:r>
      <w:r>
        <w:rPr>
          <w:rFonts w:hint="eastAsia" w:ascii="宋体" w:hAnsi="宋体" w:eastAsia="宋体"/>
          <w:sz w:val="24"/>
          <w:szCs w:val="24"/>
        </w:rPr>
        <w:t>连接方案，对连接需求、连接的标准规范等分析</w:t>
      </w:r>
      <w:r>
        <w:rPr>
          <w:rFonts w:hint="eastAsia" w:asciiTheme="majorEastAsia" w:hAnsiTheme="majorEastAsia" w:eastAsiaTheme="majorEastAsia"/>
          <w:spacing w:val="-4"/>
          <w:kern w:val="2"/>
          <w:sz w:val="24"/>
          <w:szCs w:val="24"/>
        </w:rPr>
        <w:t>深入了解，思路清晰，能提供供详细全面的连接方案，详细阐述了软件对接的过程的要点，并能清晰反应技术实现：软件代码实现过程、数据库文件编写技术实现过程；</w:t>
      </w:r>
    </w:p>
    <w:p>
      <w:pPr>
        <w:keepNext w:val="0"/>
        <w:keepLines w:val="0"/>
        <w:pageBreakBefore w:val="0"/>
        <w:kinsoku/>
        <w:wordWrap/>
        <w:overflowPunct/>
        <w:topLinePunct w:val="0"/>
        <w:autoSpaceDE/>
        <w:autoSpaceDN/>
        <w:bidi w:val="0"/>
        <w:spacing w:line="440" w:lineRule="exact"/>
        <w:ind w:firstLine="466" w:firstLineChars="200"/>
        <w:textAlignment w:val="auto"/>
        <w:rPr>
          <w:rFonts w:asciiTheme="majorEastAsia" w:hAnsiTheme="majorEastAsia" w:eastAsiaTheme="majorEastAsia"/>
          <w:b/>
          <w:spacing w:val="-4"/>
          <w:kern w:val="2"/>
          <w:sz w:val="24"/>
          <w:szCs w:val="24"/>
        </w:rPr>
      </w:pPr>
      <w:r>
        <w:rPr>
          <w:rFonts w:hint="eastAsia" w:asciiTheme="majorEastAsia" w:hAnsiTheme="majorEastAsia" w:eastAsiaTheme="majorEastAsia"/>
          <w:b/>
          <w:spacing w:val="-4"/>
          <w:kern w:val="2"/>
          <w:sz w:val="24"/>
          <w:szCs w:val="24"/>
        </w:rPr>
        <w:t>（四）项目管理与实施（满分3分）</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投标人编制完整的项目管理方案，包括：进度控制、质量保证、配置管理、文档范本、风险控制等；施工组织计划及项目实施方案。</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一档（1分）：投标人编制简单的项目管理方案，基本满足采购文件要求；</w:t>
      </w:r>
    </w:p>
    <w:p>
      <w:pPr>
        <w:keepNext w:val="0"/>
        <w:keepLines w:val="0"/>
        <w:pageBreakBefore w:val="0"/>
        <w:kinsoku/>
        <w:wordWrap/>
        <w:overflowPunct/>
        <w:topLinePunct w:val="0"/>
        <w:autoSpaceDE/>
        <w:autoSpaceDN/>
        <w:bidi w:val="0"/>
        <w:spacing w:line="44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二档（2分）：投标人编制较全的项目管理方案，满足采购文件要求。方案中包含进度控制、质量保证、范围控制，项目进度计划及项目实施方案基本可行。</w:t>
      </w:r>
    </w:p>
    <w:p>
      <w:pPr>
        <w:keepNext w:val="0"/>
        <w:keepLines w:val="0"/>
        <w:pageBreakBefore w:val="0"/>
        <w:kinsoku/>
        <w:wordWrap/>
        <w:overflowPunct/>
        <w:topLinePunct w:val="0"/>
        <w:autoSpaceDE/>
        <w:autoSpaceDN/>
        <w:bidi w:val="0"/>
        <w:spacing w:line="420" w:lineRule="exact"/>
        <w:ind w:firstLine="464" w:firstLineChars="200"/>
        <w:textAlignment w:val="auto"/>
        <w:rPr>
          <w:rFonts w:asciiTheme="majorEastAsia" w:hAnsiTheme="majorEastAsia" w:eastAsiaTheme="majorEastAsia"/>
          <w:spacing w:val="-4"/>
          <w:kern w:val="2"/>
          <w:sz w:val="24"/>
          <w:szCs w:val="24"/>
        </w:rPr>
      </w:pPr>
      <w:r>
        <w:rPr>
          <w:rFonts w:hint="eastAsia" w:asciiTheme="majorEastAsia" w:hAnsiTheme="majorEastAsia" w:eastAsiaTheme="majorEastAsia"/>
          <w:spacing w:val="-4"/>
          <w:kern w:val="2"/>
          <w:sz w:val="24"/>
          <w:szCs w:val="24"/>
        </w:rPr>
        <w:t>三档（3分）：投标人编制完整的项目管理方案，包括但不限于：进度控制、质量保证、范围控制、配置管理、文档范本、风险控制等。项目进度计划及项目实施方案可行，并能提供项目开发和管理工具（包括但不限于：开发工具、版本管理工具、对象分析与建模工具、数据库建模工具、文档管理工具、测试管理工具、项目管理工具等）。</w:t>
      </w:r>
    </w:p>
    <w:p>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3、商务分…………………………………………………………………………………25分</w:t>
      </w:r>
    </w:p>
    <w:p>
      <w:pPr>
        <w:keepNext w:val="0"/>
        <w:keepLines w:val="0"/>
        <w:pageBreakBefore w:val="0"/>
        <w:kinsoku/>
        <w:wordWrap/>
        <w:overflowPunct/>
        <w:topLinePunct w:val="0"/>
        <w:autoSpaceDE/>
        <w:autoSpaceDN/>
        <w:bidi w:val="0"/>
        <w:spacing w:after="120" w:line="420" w:lineRule="exact"/>
        <w:ind w:firstLine="480" w:firstLineChars="200"/>
        <w:textAlignment w:val="auto"/>
        <w:rPr>
          <w:rFonts w:ascii="宋体" w:hAnsi="宋体" w:eastAsia="宋体"/>
          <w:sz w:val="24"/>
          <w:szCs w:val="24"/>
        </w:rPr>
      </w:pPr>
      <w:r>
        <w:rPr>
          <w:rFonts w:hint="eastAsia" w:ascii="宋体" w:hAnsi="宋体" w:eastAsia="宋体"/>
          <w:sz w:val="24"/>
          <w:szCs w:val="24"/>
        </w:rPr>
        <w:t>（1）投标人具有中国电子信息行业联合会颁发的《信息系统集成及服务资质证书》（提供证书清晰彩色复印件并加盖公章）的，一级得3分，二级及以下得1分（满分3分）；</w:t>
      </w:r>
    </w:p>
    <w:p>
      <w:pPr>
        <w:keepNext w:val="0"/>
        <w:keepLines w:val="0"/>
        <w:pageBreakBefore w:val="0"/>
        <w:kinsoku/>
        <w:wordWrap/>
        <w:overflowPunct/>
        <w:topLinePunct w:val="0"/>
        <w:autoSpaceDE/>
        <w:autoSpaceDN/>
        <w:bidi w:val="0"/>
        <w:spacing w:after="120" w:line="420" w:lineRule="exact"/>
        <w:ind w:firstLine="480" w:firstLineChars="200"/>
        <w:textAlignment w:val="auto"/>
        <w:rPr>
          <w:rFonts w:ascii="宋体" w:hAnsi="宋体" w:eastAsia="宋体"/>
          <w:sz w:val="24"/>
          <w:szCs w:val="24"/>
        </w:rPr>
      </w:pPr>
      <w:r>
        <w:rPr>
          <w:rFonts w:hint="eastAsia" w:ascii="宋体" w:hAnsi="宋体" w:eastAsia="宋体"/>
          <w:sz w:val="24"/>
          <w:szCs w:val="24"/>
        </w:rPr>
        <w:t>（2）投标人具有信息安全风险评估服务资质证书或信息安全应急处理服务资质证书（提供证书清晰彩色复印件并加盖公章）的，每个得1分（满分</w:t>
      </w:r>
      <w:r>
        <w:rPr>
          <w:rFonts w:ascii="宋体" w:hAnsi="宋体" w:eastAsia="宋体"/>
          <w:sz w:val="24"/>
          <w:szCs w:val="24"/>
        </w:rPr>
        <w:t>2</w:t>
      </w:r>
      <w:r>
        <w:rPr>
          <w:rFonts w:hint="eastAsia" w:ascii="宋体" w:hAnsi="宋体" w:eastAsia="宋体"/>
          <w:sz w:val="24"/>
          <w:szCs w:val="24"/>
        </w:rPr>
        <w:t>分）；</w:t>
      </w:r>
    </w:p>
    <w:p>
      <w:pPr>
        <w:keepNext w:val="0"/>
        <w:keepLines w:val="0"/>
        <w:pageBreakBefore w:val="0"/>
        <w:kinsoku/>
        <w:wordWrap/>
        <w:overflowPunct/>
        <w:topLinePunct w:val="0"/>
        <w:autoSpaceDE/>
        <w:autoSpaceDN/>
        <w:bidi w:val="0"/>
        <w:spacing w:after="120" w:line="420" w:lineRule="exact"/>
        <w:ind w:firstLine="480" w:firstLineChars="200"/>
        <w:textAlignment w:val="auto"/>
        <w:rPr>
          <w:rFonts w:ascii="宋体" w:hAnsi="宋体" w:eastAsia="宋体"/>
          <w:sz w:val="24"/>
          <w:szCs w:val="24"/>
        </w:rPr>
      </w:pPr>
      <w:r>
        <w:rPr>
          <w:rFonts w:hint="eastAsia" w:ascii="宋体" w:hAnsi="宋体" w:eastAsia="宋体"/>
          <w:sz w:val="24"/>
          <w:szCs w:val="24"/>
        </w:rPr>
        <w:t>（3）投标人具有ISO9001：有效期内的质量管理体系认证或职业健康安全管理体系认证（提供证书清晰彩色复印件并加盖公章）的，每个得1分（满分</w:t>
      </w:r>
      <w:r>
        <w:rPr>
          <w:rFonts w:ascii="宋体" w:hAnsi="宋体" w:eastAsia="宋体"/>
          <w:sz w:val="24"/>
          <w:szCs w:val="24"/>
        </w:rPr>
        <w:t>2</w:t>
      </w:r>
      <w:r>
        <w:rPr>
          <w:rFonts w:hint="eastAsia" w:ascii="宋体" w:hAnsi="宋体" w:eastAsia="宋体"/>
          <w:sz w:val="24"/>
          <w:szCs w:val="24"/>
        </w:rPr>
        <w:t>分）；</w:t>
      </w:r>
    </w:p>
    <w:p>
      <w:pPr>
        <w:keepNext w:val="0"/>
        <w:keepLines w:val="0"/>
        <w:pageBreakBefore w:val="0"/>
        <w:kinsoku/>
        <w:wordWrap/>
        <w:overflowPunct/>
        <w:topLinePunct w:val="0"/>
        <w:autoSpaceDE/>
        <w:autoSpaceDN/>
        <w:bidi w:val="0"/>
        <w:spacing w:after="120" w:line="420" w:lineRule="exact"/>
        <w:ind w:firstLine="480" w:firstLineChars="200"/>
        <w:textAlignment w:val="auto"/>
        <w:rPr>
          <w:rFonts w:ascii="宋体" w:hAnsi="宋体" w:eastAsia="宋体"/>
          <w:sz w:val="24"/>
          <w:szCs w:val="24"/>
        </w:rPr>
      </w:pPr>
      <w:r>
        <w:rPr>
          <w:rFonts w:hint="eastAsia" w:ascii="宋体" w:hAnsi="宋体" w:eastAsia="宋体"/>
          <w:sz w:val="24"/>
          <w:szCs w:val="24"/>
        </w:rPr>
        <w:t>（4）投标人自2017年以来（含2017年）（日期以合同签订日期为准）承建的同类项目信息化项目的案例。每提供1个符合要求的案例得2分，（满分10分）；（提供相关证明文件彩色复印件：可以是合同扫描件或中标（成交）通知书扫描件或用户证明这三种材料其中一项。）</w:t>
      </w:r>
    </w:p>
    <w:p>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）投标人具有</w:t>
      </w:r>
      <w:r>
        <w:rPr>
          <w:rFonts w:ascii="宋体" w:hAnsi="宋体" w:eastAsia="宋体"/>
          <w:sz w:val="24"/>
          <w:szCs w:val="24"/>
        </w:rPr>
        <w:t xml:space="preserve"> “软件企业认证”</w:t>
      </w:r>
      <w:r>
        <w:rPr>
          <w:rFonts w:hint="eastAsia" w:ascii="宋体" w:hAnsi="宋体" w:eastAsia="宋体"/>
          <w:sz w:val="24"/>
          <w:szCs w:val="24"/>
        </w:rPr>
        <w:t>证书得</w:t>
      </w:r>
      <w:r>
        <w:rPr>
          <w:rFonts w:ascii="宋体" w:hAnsi="宋体" w:eastAsia="宋体"/>
          <w:sz w:val="24"/>
          <w:szCs w:val="24"/>
        </w:rPr>
        <w:t>2</w:t>
      </w:r>
      <w:r>
        <w:rPr>
          <w:rFonts w:hint="eastAsia" w:ascii="宋体" w:hAnsi="宋体" w:eastAsia="宋体"/>
          <w:sz w:val="24"/>
          <w:szCs w:val="24"/>
        </w:rPr>
        <w:t>分，满分</w:t>
      </w:r>
      <w:r>
        <w:rPr>
          <w:rFonts w:ascii="宋体" w:hAnsi="宋体" w:eastAsia="宋体"/>
          <w:sz w:val="24"/>
          <w:szCs w:val="24"/>
        </w:rPr>
        <w:t>2</w:t>
      </w:r>
      <w:r>
        <w:rPr>
          <w:rFonts w:hint="eastAsia" w:ascii="宋体" w:hAnsi="宋体" w:eastAsia="宋体"/>
          <w:sz w:val="24"/>
          <w:szCs w:val="24"/>
        </w:rPr>
        <w:t>分。</w:t>
      </w:r>
    </w:p>
    <w:p>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）售后服务：有完善的售后服务实施方案，有可靠的服务响应体系，优于采购文件售后服务要求的服务响应时间、服务响应方式的得4分，每延长半年保质期加</w:t>
      </w:r>
      <w:r>
        <w:rPr>
          <w:rFonts w:ascii="宋体" w:hAnsi="宋体" w:eastAsia="宋体"/>
          <w:sz w:val="24"/>
          <w:szCs w:val="24"/>
        </w:rPr>
        <w:t>0.5</w:t>
      </w:r>
      <w:r>
        <w:rPr>
          <w:rFonts w:hint="eastAsia" w:ascii="宋体" w:hAnsi="宋体" w:eastAsia="宋体"/>
          <w:sz w:val="24"/>
          <w:szCs w:val="24"/>
        </w:rPr>
        <w:t>分，由评标委员会根据售后服务承诺内容评审（满分</w:t>
      </w:r>
      <w:r>
        <w:rPr>
          <w:rFonts w:ascii="宋体" w:hAnsi="宋体" w:eastAsia="宋体"/>
          <w:sz w:val="24"/>
          <w:szCs w:val="24"/>
        </w:rPr>
        <w:t>6</w:t>
      </w:r>
      <w:r>
        <w:rPr>
          <w:rFonts w:hint="eastAsia" w:ascii="宋体" w:hAnsi="宋体" w:eastAsia="宋体"/>
          <w:sz w:val="24"/>
          <w:szCs w:val="24"/>
        </w:rPr>
        <w:t>分）；</w:t>
      </w:r>
    </w:p>
    <w:p>
      <w:pPr>
        <w:keepNext w:val="0"/>
        <w:keepLines w:val="0"/>
        <w:pageBreakBefore w:val="0"/>
        <w:widowControl w:val="0"/>
        <w:kinsoku/>
        <w:wordWrap/>
        <w:overflowPunct/>
        <w:topLinePunct w:val="0"/>
        <w:autoSpaceDE/>
        <w:autoSpaceDN/>
        <w:bidi w:val="0"/>
        <w:adjustRightInd/>
        <w:snapToGrid/>
        <w:spacing w:after="120" w:line="420" w:lineRule="exact"/>
        <w:ind w:firstLine="480" w:firstLineChars="200"/>
        <w:jc w:val="both"/>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）诚信分，投标人在截标日前1年内在政府采购活动中存在违约违规情形的（以财政部门出具的书面材料为评分依据），每次扣除3分，最高扣分6分扣完为止。</w:t>
      </w:r>
    </w:p>
    <w:p>
      <w:pPr>
        <w:keepNext w:val="0"/>
        <w:keepLines w:val="0"/>
        <w:pageBreakBefore w:val="0"/>
        <w:tabs>
          <w:tab w:val="left" w:pos="6931"/>
        </w:tabs>
        <w:kinsoku/>
        <w:wordWrap/>
        <w:overflowPunct/>
        <w:topLinePunct w:val="0"/>
        <w:autoSpaceDE/>
        <w:autoSpaceDN/>
        <w:bidi w:val="0"/>
        <w:spacing w:line="420" w:lineRule="exact"/>
        <w:ind w:firstLine="361" w:firstLineChars="150"/>
        <w:textAlignment w:val="auto"/>
        <w:rPr>
          <w:rFonts w:ascii="宋体" w:hAnsi="宋体" w:eastAsia="宋体"/>
          <w:b/>
          <w:sz w:val="24"/>
          <w:szCs w:val="24"/>
        </w:rPr>
      </w:pPr>
      <w:r>
        <w:rPr>
          <w:rFonts w:hint="eastAsia" w:ascii="宋体" w:hAnsi="宋体" w:eastAsia="宋体"/>
          <w:b/>
          <w:sz w:val="24"/>
          <w:szCs w:val="24"/>
        </w:rPr>
        <w:t>（三）总得分＝1＋2＋3</w:t>
      </w:r>
    </w:p>
    <w:p>
      <w:pPr>
        <w:keepNext w:val="0"/>
        <w:keepLines w:val="0"/>
        <w:pageBreakBefore w:val="0"/>
        <w:tabs>
          <w:tab w:val="left" w:pos="6931"/>
        </w:tabs>
        <w:kinsoku/>
        <w:wordWrap/>
        <w:overflowPunct/>
        <w:topLinePunct w:val="0"/>
        <w:autoSpaceDE/>
        <w:autoSpaceDN/>
        <w:bidi w:val="0"/>
        <w:spacing w:line="420" w:lineRule="exact"/>
        <w:ind w:firstLine="361" w:firstLineChars="150"/>
        <w:textAlignment w:val="auto"/>
        <w:rPr>
          <w:rFonts w:ascii="宋体" w:hAnsi="宋体" w:eastAsia="宋体"/>
          <w:b/>
          <w:sz w:val="24"/>
          <w:szCs w:val="24"/>
        </w:rPr>
      </w:pPr>
      <w:r>
        <w:rPr>
          <w:rFonts w:hint="eastAsia" w:ascii="宋体" w:hAnsi="宋体" w:eastAsia="宋体"/>
          <w:b/>
          <w:sz w:val="24"/>
          <w:szCs w:val="24"/>
        </w:rPr>
        <w:t>（四）中标标准：</w:t>
      </w:r>
    </w:p>
    <w:p>
      <w:pPr>
        <w:keepNext w:val="0"/>
        <w:keepLines w:val="0"/>
        <w:pageBreakBefore w:val="0"/>
        <w:tabs>
          <w:tab w:val="left" w:pos="6931"/>
        </w:tabs>
        <w:kinsoku/>
        <w:wordWrap/>
        <w:overflowPunct/>
        <w:topLinePunct w:val="0"/>
        <w:autoSpaceDE/>
        <w:autoSpaceDN/>
        <w:bidi w:val="0"/>
        <w:spacing w:line="420" w:lineRule="exact"/>
        <w:ind w:firstLine="360" w:firstLineChars="150"/>
        <w:textAlignment w:val="auto"/>
        <w:rPr>
          <w:rFonts w:ascii="宋体" w:hAnsi="宋体" w:eastAsia="宋体"/>
          <w:sz w:val="24"/>
          <w:szCs w:val="24"/>
        </w:rPr>
      </w:pPr>
      <w:r>
        <w:rPr>
          <w:rFonts w:hint="eastAsia" w:ascii="宋体" w:hAnsi="宋体" w:eastAsia="宋体"/>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pPr>
        <w:pStyle w:val="15"/>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kern w:val="0"/>
          <w:sz w:val="24"/>
        </w:rPr>
      </w:pPr>
      <w:r>
        <w:rPr>
          <w:rFonts w:hint="eastAsia" w:ascii="宋体" w:hAnsi="宋体" w:cs="宋体"/>
          <w:kern w:val="0"/>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pStyle w:val="17"/>
        <w:spacing w:line="312" w:lineRule="auto"/>
        <w:jc w:val="center"/>
        <w:outlineLvl w:val="0"/>
        <w:rPr>
          <w:rFonts w:cs="宋体" w:asciiTheme="majorEastAsia" w:hAnsiTheme="majorEastAsia" w:eastAsiaTheme="majorEastAsia"/>
          <w:b/>
          <w:sz w:val="36"/>
        </w:rPr>
      </w:pPr>
      <w:r>
        <w:rPr>
          <w:rFonts w:asciiTheme="majorEastAsia" w:hAnsiTheme="majorEastAsia" w:eastAsiaTheme="majorEastAsia"/>
          <w:b/>
          <w:sz w:val="36"/>
        </w:rPr>
        <w:br w:type="page"/>
      </w:r>
      <w:bookmarkStart w:id="19" w:name="_Toc27800"/>
      <w:r>
        <w:rPr>
          <w:rFonts w:cs="宋体" w:asciiTheme="majorEastAsia" w:hAnsiTheme="majorEastAsia" w:eastAsiaTheme="majorEastAsia"/>
          <w:b/>
          <w:sz w:val="36"/>
        </w:rPr>
        <w:t>第四章  投标人须知</w:t>
      </w:r>
      <w:bookmarkEnd w:id="4"/>
      <w:bookmarkEnd w:id="5"/>
      <w:bookmarkEnd w:id="14"/>
      <w:bookmarkEnd w:id="15"/>
      <w:bookmarkEnd w:id="18"/>
      <w:bookmarkEnd w:id="19"/>
    </w:p>
    <w:p>
      <w:pPr>
        <w:pStyle w:val="17"/>
        <w:spacing w:line="720" w:lineRule="auto"/>
        <w:jc w:val="center"/>
        <w:rPr>
          <w:rFonts w:cs="宋体" w:asciiTheme="majorEastAsia" w:hAnsiTheme="majorEastAsia" w:eastAsiaTheme="majorEastAsia"/>
          <w:b/>
          <w:sz w:val="30"/>
          <w:szCs w:val="30"/>
        </w:rPr>
      </w:pPr>
      <w:r>
        <w:rPr>
          <w:rFonts w:cs="宋体" w:asciiTheme="majorEastAsia" w:hAnsiTheme="majorEastAsia" w:eastAsiaTheme="majorEastAsia"/>
          <w:b/>
          <w:sz w:val="30"/>
          <w:szCs w:val="30"/>
        </w:rPr>
        <w:t>投标人须知前附表</w:t>
      </w:r>
    </w:p>
    <w:p>
      <w:pPr>
        <w:pStyle w:val="17"/>
        <w:spacing w:line="460" w:lineRule="exact"/>
        <w:ind w:firstLine="420"/>
        <w:rPr>
          <w:rFonts w:cs="宋体" w:asciiTheme="majorEastAsia" w:hAnsiTheme="majorEastAsia" w:eastAsiaTheme="majorEastAsia"/>
          <w:b/>
          <w:sz w:val="24"/>
          <w:szCs w:val="24"/>
        </w:rPr>
      </w:pPr>
      <w:r>
        <w:rPr>
          <w:rFonts w:cs="宋体" w:asciiTheme="majorEastAsia" w:hAnsiTheme="majorEastAsia" w:eastAsiaTheme="majorEastAsia"/>
          <w:sz w:val="24"/>
          <w:szCs w:val="24"/>
        </w:rPr>
        <w:t>本表是关于本次采购项目的具体资料，是对后列条款的具体补充和修改。所有与本次采购有关的事宜，以本表规定的为准。</w:t>
      </w:r>
    </w:p>
    <w:tbl>
      <w:tblPr>
        <w:tblStyle w:val="26"/>
        <w:tblW w:w="97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条款号</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条款名称</w:t>
            </w:r>
          </w:p>
        </w:tc>
        <w:tc>
          <w:tcPr>
            <w:tcW w:w="6510" w:type="dxa"/>
            <w:tcBorders>
              <w:top w:val="single" w:color="auto" w:sz="4" w:space="0"/>
              <w:left w:val="single" w:color="auto" w:sz="4" w:space="0"/>
              <w:bottom w:val="single" w:color="auto" w:sz="4" w:space="0"/>
              <w:right w:val="single" w:color="auto" w:sz="4" w:space="0"/>
            </w:tcBorders>
          </w:tcPr>
          <w:p>
            <w:pPr>
              <w:pStyle w:val="17"/>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采购人</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名称： 南宁市社会保障卡管理办公室</w:t>
            </w:r>
          </w:p>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地址：</w:t>
            </w:r>
            <w:r>
              <w:rPr>
                <w:rFonts w:hint="eastAsia" w:hAnsi="宋体" w:eastAsiaTheme="majorEastAsia"/>
                <w:sz w:val="24"/>
                <w:szCs w:val="24"/>
              </w:rPr>
              <w:t>南宁市桂春路南二里4号</w:t>
            </w:r>
          </w:p>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联系人：黄其文</w:t>
            </w:r>
          </w:p>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电话： </w:t>
            </w:r>
            <w:r>
              <w:rPr>
                <w:rFonts w:hint="eastAsia" w:cs="宋体" w:asciiTheme="majorEastAsia" w:hAnsiTheme="majorEastAsia" w:eastAsiaTheme="majorEastAsia"/>
                <w:sz w:val="24"/>
                <w:szCs w:val="24"/>
              </w:rPr>
              <w:t>0771-5881530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项目联系人：</w:t>
            </w:r>
            <w:r>
              <w:rPr>
                <w:rFonts w:hint="eastAsia" w:cs="宋体" w:asciiTheme="majorEastAsia" w:hAnsiTheme="majorEastAsia" w:eastAsiaTheme="majorEastAsia"/>
                <w:sz w:val="24"/>
                <w:szCs w:val="24"/>
              </w:rPr>
              <w:t>罗工、黎工</w:t>
            </w:r>
          </w:p>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项目名称</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南宁市就业创业多媒体服务平台建设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1.4</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项目编号</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NNZC2020-G3-990158-GXYZ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采购预算</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人民币</w:t>
            </w:r>
            <w:r>
              <w:rPr>
                <w:rFonts w:hint="eastAsia" w:cs="宋体" w:asciiTheme="majorEastAsia" w:hAnsiTheme="majorEastAsia" w:eastAsiaTheme="majorEastAsia"/>
                <w:sz w:val="24"/>
                <w:szCs w:val="24"/>
              </w:rPr>
              <w:t>叁佰肆拾万</w:t>
            </w:r>
            <w:r>
              <w:rPr>
                <w:rFonts w:cs="宋体" w:asciiTheme="majorEastAsia" w:hAnsiTheme="majorEastAsia" w:eastAsiaTheme="majorEastAsia"/>
                <w:sz w:val="24"/>
                <w:szCs w:val="24"/>
              </w:rPr>
              <w:t>元整 (￥</w:t>
            </w:r>
            <w:r>
              <w:rPr>
                <w:rFonts w:hint="eastAsia" w:cs="宋体" w:asciiTheme="majorEastAsia" w:hAnsiTheme="majorEastAsia" w:eastAsiaTheme="majorEastAsia"/>
                <w:sz w:val="24"/>
                <w:szCs w:val="24"/>
              </w:rPr>
              <w:t>3400000.00</w:t>
            </w:r>
            <w:r>
              <w:rPr>
                <w:rFonts w:cs="宋体" w:asciiTheme="majorEastAsia" w:hAnsiTheme="majorEastAsia" w:eastAsiaTheme="maj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获取招标文件的方式</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1、本项目不发放纸质文件，投标人自行在南宁市公共资源交易平台(https://www.nnggzy.org.cn/gxnnzbw/)的信息公告处下载采购文件。</w:t>
            </w:r>
          </w:p>
          <w:p>
            <w:pPr>
              <w:pStyle w:val="17"/>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2、采购文件每套售价0元。</w:t>
            </w:r>
          </w:p>
          <w:p>
            <w:pPr>
              <w:pStyle w:val="17"/>
              <w:spacing w:line="400" w:lineRule="exact"/>
              <w:rPr>
                <w:rFonts w:cs="宋体" w:asciiTheme="majorEastAsia" w:hAnsiTheme="majorEastAsia" w:eastAsiaTheme="majorEastAsia"/>
                <w:sz w:val="24"/>
              </w:rPr>
            </w:pPr>
            <w:r>
              <w:rPr>
                <w:rFonts w:hint="eastAsia" w:cs="宋体" w:asciiTheme="majorEastAsia" w:hAnsiTheme="majorEastAsia" w:eastAsiaTheme="majorEastAsia"/>
                <w:sz w:val="24"/>
                <w:szCs w:val="24"/>
              </w:rPr>
              <w:t>3、本项目公开招标公告期限为公告发布之日起5个工作日（2020年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29</w:t>
            </w:r>
            <w:r>
              <w:rPr>
                <w:rFonts w:hint="eastAsia" w:cs="宋体" w:asciiTheme="majorEastAsia" w:hAnsiTheme="majorEastAsia" w:eastAsiaTheme="majorEastAsia"/>
                <w:sz w:val="24"/>
                <w:szCs w:val="24"/>
              </w:rPr>
              <w:t>日至2020年</w:t>
            </w: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12</w:t>
            </w:r>
            <w:r>
              <w:rPr>
                <w:rFonts w:hint="eastAsia" w:cs="宋体" w:asciiTheme="majorEastAsia" w:hAnsiTheme="majorEastAsia" w:eastAsiaTheme="majorEastAsia"/>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1.8</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预留采购份额</w:t>
            </w:r>
          </w:p>
        </w:tc>
        <w:tc>
          <w:tcPr>
            <w:tcW w:w="65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3.2</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投标人应具备的特定条件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23"/>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3"/>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3"/>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3、本项目的特定资格要求：无；</w:t>
            </w:r>
          </w:p>
          <w:p>
            <w:pPr>
              <w:pStyle w:val="23"/>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4、</w:t>
            </w:r>
            <w:r>
              <w:rPr>
                <w:rFonts w:hint="eastAsia"/>
              </w:rPr>
              <w:t>具有国内法人资格或法人授权委托的分公司，注册经营(业务)范围满足采购内容的供应商或法人授权委托的分公司</w:t>
            </w:r>
            <w:r>
              <w:rPr>
                <w:rFonts w:hint="eastAsia" w:asciiTheme="majorEastAsia" w:hAnsiTheme="majorEastAsia" w:eastAsiaTheme="majorEastAsia"/>
              </w:rPr>
              <w:t>；</w:t>
            </w:r>
          </w:p>
          <w:p>
            <w:pPr>
              <w:pStyle w:val="23"/>
              <w:wordWrap w:val="0"/>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3"/>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3.3</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lang w:eastAsia="en-US"/>
              </w:rPr>
              <w:t>不接受联合体</w:t>
            </w:r>
            <w:r>
              <w:rPr>
                <w:rFonts w:cs="宋体" w:asciiTheme="majorEastAsia" w:hAnsiTheme="majorEastAsia" w:eastAsiaTheme="majorEastAsia"/>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4.1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招标文件质疑提交的截止时间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公告期限届满之日起7个工作日内</w:t>
            </w:r>
            <w:r>
              <w:rPr>
                <w:rFonts w:hint="eastAsia" w:cs="宋体"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质疑提交地点、电话</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1、对</w:t>
            </w:r>
            <w:r>
              <w:rPr>
                <w:rFonts w:hint="eastAsia" w:cs="宋体" w:asciiTheme="majorEastAsia" w:hAnsiTheme="majorEastAsia" w:eastAsiaTheme="majorEastAsia"/>
                <w:bCs/>
                <w:sz w:val="24"/>
              </w:rPr>
              <w:t>资格</w:t>
            </w:r>
            <w:r>
              <w:rPr>
                <w:rFonts w:cs="宋体" w:asciiTheme="majorEastAsia" w:hAnsiTheme="majorEastAsia" w:eastAsiaTheme="majorEastAsia"/>
                <w:bCs/>
                <w:sz w:val="24"/>
              </w:rPr>
              <w:t>审查的质疑，由采购人负责受理和答复。（地址：</w:t>
            </w:r>
            <w:r>
              <w:rPr>
                <w:rFonts w:hint="eastAsia" w:hAnsi="宋体" w:eastAsiaTheme="majorEastAsia"/>
                <w:sz w:val="24"/>
                <w:szCs w:val="24"/>
              </w:rPr>
              <w:t>南宁市桂春路南二里4号</w:t>
            </w:r>
            <w:r>
              <w:rPr>
                <w:rFonts w:cs="宋体" w:asciiTheme="majorEastAsia" w:hAnsiTheme="majorEastAsia" w:eastAsiaTheme="majorEastAsia"/>
                <w:bCs/>
                <w:sz w:val="24"/>
              </w:rPr>
              <w:t>； 质疑咨询电话：</w:t>
            </w:r>
            <w:r>
              <w:rPr>
                <w:rFonts w:hint="eastAsia" w:cs="宋体" w:asciiTheme="majorEastAsia" w:hAnsiTheme="majorEastAsia" w:eastAsiaTheme="majorEastAsia"/>
                <w:sz w:val="24"/>
              </w:rPr>
              <w:t>0771-5881530</w:t>
            </w:r>
            <w:r>
              <w:rPr>
                <w:rFonts w:cs="宋体" w:asciiTheme="majorEastAsia" w:hAnsiTheme="majorEastAsia" w:eastAsiaTheme="majorEastAsia"/>
                <w:bCs/>
                <w:sz w:val="24"/>
              </w:rPr>
              <w:t>）</w:t>
            </w:r>
          </w:p>
          <w:p>
            <w:pPr>
              <w:pStyle w:val="17"/>
              <w:spacing w:line="400" w:lineRule="exact"/>
              <w:rPr>
                <w:rFonts w:cs="宋体" w:asciiTheme="majorEastAsia" w:hAnsiTheme="majorEastAsia" w:eastAsiaTheme="majorEastAsia"/>
                <w:bCs/>
                <w:sz w:val="24"/>
              </w:rPr>
            </w:pPr>
            <w:r>
              <w:rPr>
                <w:rFonts w:cs="宋体" w:asciiTheme="majorEastAsia" w:hAnsiTheme="majorEastAsia" w:eastAsiaTheme="majorEastAsia"/>
                <w:bCs/>
                <w:sz w:val="24"/>
              </w:rPr>
              <w:t>2、对资格审查以外的质疑，由广西邕政采购代理有限公司负责受理和答复。（地址：</w:t>
            </w:r>
            <w:r>
              <w:rPr>
                <w:rFonts w:cs="宋体" w:asciiTheme="majorEastAsia" w:hAnsiTheme="majorEastAsia" w:eastAsiaTheme="majorEastAsia"/>
                <w:sz w:val="24"/>
                <w:szCs w:val="24"/>
              </w:rPr>
              <w:t>南宁市青秀区思贤路45号创投中心16A层</w:t>
            </w:r>
            <w:r>
              <w:rPr>
                <w:rFonts w:cs="宋体" w:asciiTheme="majorEastAsia" w:hAnsiTheme="majorEastAsia" w:eastAsiaTheme="majorEastAsia"/>
                <w:bCs/>
                <w:sz w:val="24"/>
              </w:rPr>
              <w:t>； 质疑咨询电话：</w:t>
            </w:r>
            <w:r>
              <w:rPr>
                <w:rFonts w:cs="宋体" w:asciiTheme="majorEastAsia" w:hAnsiTheme="majorEastAsia" w:eastAsiaTheme="majorEastAsia"/>
                <w:sz w:val="24"/>
                <w:szCs w:val="24"/>
              </w:rPr>
              <w:t>0771-2442850</w:t>
            </w:r>
            <w:r>
              <w:rPr>
                <w:rFonts w:cs="宋体" w:asciiTheme="majorEastAsia" w:hAnsiTheme="majorEastAsia" w:eastAsia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7.1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投标人要求澄清的截止时间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8.8</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投标文件份数</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报价文件：正本1份，副本4份</w:t>
            </w:r>
          </w:p>
          <w:p>
            <w:pPr>
              <w:pStyle w:val="17"/>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资格文件：正本1份，副本4份</w:t>
            </w:r>
          </w:p>
          <w:p>
            <w:pPr>
              <w:pStyle w:val="17"/>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技术文件：正本1份，副本4份</w:t>
            </w:r>
          </w:p>
          <w:p>
            <w:pPr>
              <w:pStyle w:val="17"/>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11.4</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采购代理服务费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40" w:lineRule="exact"/>
              <w:jc w:val="left"/>
              <w:rPr>
                <w:rFonts w:hAnsi="宋体" w:cs="宋体"/>
                <w:sz w:val="24"/>
                <w:szCs w:val="24"/>
              </w:rPr>
            </w:pPr>
            <w:r>
              <w:rPr>
                <w:rFonts w:hint="eastAsia" w:hAnsi="宋体" w:cs="宋体"/>
                <w:sz w:val="24"/>
                <w:szCs w:val="24"/>
              </w:rPr>
              <w:t>本项目代理服务费按国家发展计划委员会《招标代理服务费管理暂行办法》（计价格</w:t>
            </w:r>
            <w:r>
              <w:rPr>
                <w:rFonts w:hAnsi="宋体" w:cs="宋体"/>
                <w:sz w:val="24"/>
                <w:szCs w:val="24"/>
              </w:rPr>
              <w:t>[2002]1980</w:t>
            </w:r>
            <w:r>
              <w:rPr>
                <w:rFonts w:hint="eastAsia" w:hAnsi="宋体" w:cs="宋体"/>
                <w:sz w:val="24"/>
                <w:szCs w:val="24"/>
              </w:rPr>
              <w:t>号）收费标准计取。由中标单位在领</w:t>
            </w:r>
            <w:r>
              <w:rPr>
                <w:rFonts w:hint="eastAsia" w:hAnsi="宋体" w:cs="宋体"/>
                <w:kern w:val="0"/>
                <w:sz w:val="24"/>
              </w:rPr>
              <w:t>中标</w:t>
            </w:r>
            <w:r>
              <w:rPr>
                <w:rFonts w:hint="eastAsia" w:hAnsi="宋体" w:cs="宋体"/>
                <w:sz w:val="24"/>
                <w:szCs w:val="24"/>
              </w:rPr>
              <w:t>通知书时一次性支付采购代理服务费。</w:t>
            </w:r>
          </w:p>
          <w:tbl>
            <w:tblPr>
              <w:tblStyle w:val="26"/>
              <w:tblW w:w="439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7"/>
                    <w:spacing w:line="440" w:lineRule="exact"/>
                    <w:jc w:val="center"/>
                    <w:rPr>
                      <w:rFonts w:hAnsi="宋体"/>
                      <w:sz w:val="24"/>
                      <w:szCs w:val="24"/>
                    </w:rPr>
                  </w:pPr>
                  <w:r>
                    <w:rPr>
                      <w:rFonts w:hAnsi="宋体"/>
                      <w:sz w:val="24"/>
                      <w:szCs w:val="24"/>
                    </w:rPr>
                    <w:t>某</w:t>
                  </w:r>
                  <w:r>
                    <w:rPr>
                      <w:rFonts w:hint="eastAsia" w:hAnsi="宋体" w:cs="宋体"/>
                      <w:kern w:val="0"/>
                      <w:sz w:val="24"/>
                    </w:rPr>
                    <w:t>成交</w:t>
                  </w:r>
                  <w:r>
                    <w:rPr>
                      <w:rFonts w:hAnsi="宋体"/>
                      <w:sz w:val="24"/>
                      <w:szCs w:val="24"/>
                    </w:rPr>
                    <w:t>金额（万元）</w:t>
                  </w:r>
                </w:p>
              </w:tc>
              <w:tc>
                <w:tcPr>
                  <w:tcW w:w="1560" w:type="dxa"/>
                  <w:vAlign w:val="center"/>
                </w:tcPr>
                <w:p>
                  <w:pPr>
                    <w:pStyle w:val="17"/>
                    <w:spacing w:line="440" w:lineRule="exact"/>
                    <w:jc w:val="center"/>
                    <w:rPr>
                      <w:rFonts w:hAnsi="宋体"/>
                      <w:sz w:val="24"/>
                      <w:szCs w:val="24"/>
                    </w:rPr>
                  </w:pPr>
                  <w:r>
                    <w:rPr>
                      <w:rFonts w:hAnsi="宋体"/>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7"/>
                    <w:spacing w:line="440" w:lineRule="exact"/>
                    <w:jc w:val="center"/>
                    <w:rPr>
                      <w:rFonts w:hAnsi="宋体"/>
                      <w:sz w:val="24"/>
                      <w:szCs w:val="24"/>
                    </w:rPr>
                  </w:pPr>
                  <w:r>
                    <w:rPr>
                      <w:rFonts w:hAnsi="宋体"/>
                      <w:sz w:val="24"/>
                      <w:szCs w:val="24"/>
                    </w:rPr>
                    <w:t>100以下</w:t>
                  </w:r>
                </w:p>
              </w:tc>
              <w:tc>
                <w:tcPr>
                  <w:tcW w:w="1560" w:type="dxa"/>
                </w:tcPr>
                <w:p>
                  <w:pPr>
                    <w:pStyle w:val="17"/>
                    <w:spacing w:line="440" w:lineRule="exact"/>
                    <w:jc w:val="center"/>
                    <w:rPr>
                      <w:rFonts w:hAnsi="宋体"/>
                      <w:sz w:val="24"/>
                      <w:szCs w:val="24"/>
                    </w:rPr>
                  </w:pPr>
                  <w:r>
                    <w:rPr>
                      <w:rFonts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7"/>
                    <w:spacing w:line="440" w:lineRule="exact"/>
                    <w:jc w:val="center"/>
                    <w:rPr>
                      <w:rFonts w:hAnsi="宋体"/>
                      <w:sz w:val="24"/>
                      <w:szCs w:val="24"/>
                    </w:rPr>
                  </w:pPr>
                  <w:r>
                    <w:rPr>
                      <w:rFonts w:hAnsi="宋体"/>
                      <w:sz w:val="24"/>
                      <w:szCs w:val="24"/>
                    </w:rPr>
                    <w:t>100-500</w:t>
                  </w:r>
                </w:p>
              </w:tc>
              <w:tc>
                <w:tcPr>
                  <w:tcW w:w="1560" w:type="dxa"/>
                </w:tcPr>
                <w:p>
                  <w:pPr>
                    <w:pStyle w:val="17"/>
                    <w:spacing w:line="440" w:lineRule="exact"/>
                    <w:jc w:val="center"/>
                    <w:rPr>
                      <w:rFonts w:hAnsi="宋体"/>
                      <w:sz w:val="24"/>
                      <w:szCs w:val="24"/>
                    </w:rPr>
                  </w:pPr>
                  <w:r>
                    <w:rPr>
                      <w:rFonts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7"/>
                    <w:spacing w:line="440" w:lineRule="exact"/>
                    <w:jc w:val="center"/>
                    <w:rPr>
                      <w:rFonts w:hAnsi="宋体" w:cs="宋体"/>
                      <w:sz w:val="24"/>
                      <w:szCs w:val="24"/>
                    </w:rPr>
                  </w:pPr>
                  <w:r>
                    <w:rPr>
                      <w:rFonts w:hAnsi="宋体" w:cs="宋体"/>
                      <w:sz w:val="24"/>
                      <w:szCs w:val="24"/>
                    </w:rPr>
                    <w:t>500-1000</w:t>
                  </w:r>
                </w:p>
              </w:tc>
              <w:tc>
                <w:tcPr>
                  <w:tcW w:w="1560" w:type="dxa"/>
                </w:tcPr>
                <w:p>
                  <w:pPr>
                    <w:pStyle w:val="17"/>
                    <w:spacing w:line="440" w:lineRule="exact"/>
                    <w:jc w:val="center"/>
                    <w:rPr>
                      <w:rFonts w:hAnsi="宋体" w:cs="宋体"/>
                      <w:sz w:val="24"/>
                      <w:szCs w:val="24"/>
                    </w:rPr>
                  </w:pPr>
                  <w:r>
                    <w:rPr>
                      <w:rFonts w:hAnsi="宋体" w:cs="宋体"/>
                      <w:sz w:val="24"/>
                      <w:szCs w:val="24"/>
                    </w:rPr>
                    <w:t>0.45%</w:t>
                  </w:r>
                </w:p>
              </w:tc>
            </w:tr>
          </w:tbl>
          <w:p>
            <w:pPr>
              <w:pStyle w:val="17"/>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7"/>
              <w:spacing w:line="440" w:lineRule="exact"/>
              <w:jc w:val="left"/>
              <w:rPr>
                <w:rFonts w:hAnsi="宋体" w:cs="宋体"/>
                <w:sz w:val="24"/>
                <w:szCs w:val="24"/>
              </w:rPr>
            </w:pPr>
            <w:r>
              <w:rPr>
                <w:rFonts w:hint="eastAsia" w:hAnsi="宋体" w:cs="宋体"/>
                <w:sz w:val="24"/>
                <w:szCs w:val="24"/>
              </w:rPr>
              <w:t>开户名称：广西邕政采购代理有限公司</w:t>
            </w:r>
          </w:p>
          <w:p>
            <w:pPr>
              <w:pStyle w:val="17"/>
              <w:spacing w:line="440" w:lineRule="exact"/>
              <w:jc w:val="left"/>
              <w:rPr>
                <w:rFonts w:hAnsi="宋体" w:cs="宋体"/>
                <w:sz w:val="24"/>
                <w:szCs w:val="24"/>
              </w:rPr>
            </w:pPr>
            <w:r>
              <w:rPr>
                <w:rFonts w:hint="eastAsia" w:hAnsi="宋体" w:cs="宋体"/>
                <w:sz w:val="24"/>
                <w:szCs w:val="24"/>
              </w:rPr>
              <w:t>开户银行：交通银行南宁东葛西支行</w:t>
            </w:r>
          </w:p>
          <w:p>
            <w:pPr>
              <w:pStyle w:val="17"/>
              <w:snapToGrid w:val="0"/>
              <w:spacing w:line="400" w:lineRule="exact"/>
              <w:jc w:val="left"/>
              <w:rPr>
                <w:rFonts w:cs="宋体" w:asciiTheme="majorEastAsia" w:hAnsiTheme="majorEastAsia" w:eastAsiaTheme="majorEastAsia"/>
                <w:sz w:val="24"/>
                <w:szCs w:val="24"/>
              </w:rPr>
            </w:pPr>
            <w:r>
              <w:rPr>
                <w:rFonts w:hint="eastAsia" w:hAnsi="宋体" w:cs="宋体"/>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rPr>
            </w:pPr>
            <w:r>
              <w:rPr>
                <w:rFonts w:cs="宋体" w:asciiTheme="majorEastAsia" w:hAnsiTheme="majorEastAsia" w:eastAsiaTheme="majorEastAsia"/>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投标截止时间</w:t>
            </w:r>
          </w:p>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lang w:val="en-US" w:eastAsia="zh-CN"/>
              </w:rPr>
              <w:t xml:space="preserve"> 10 </w:t>
            </w:r>
            <w:r>
              <w:rPr>
                <w:rFonts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lang w:val="en-US" w:eastAsia="zh-CN"/>
              </w:rPr>
              <w:t xml:space="preserve"> 21 </w:t>
            </w:r>
            <w:r>
              <w:rPr>
                <w:rFonts w:cs="宋体" w:asciiTheme="majorEastAsia" w:hAnsiTheme="majorEastAsia" w:eastAsiaTheme="majorEastAsia"/>
                <w:sz w:val="24"/>
                <w:szCs w:val="24"/>
              </w:rPr>
              <w:t>日</w:t>
            </w:r>
            <w:r>
              <w:rPr>
                <w:rFonts w:hint="eastAsia" w:cs="宋体" w:asciiTheme="majorEastAsia" w:hAnsiTheme="majorEastAsia" w:eastAsiaTheme="majorEastAsia"/>
                <w:sz w:val="24"/>
                <w:szCs w:val="24"/>
                <w:u w:val="single"/>
                <w:lang w:val="en-US" w:eastAsia="zh-CN"/>
              </w:rPr>
              <w:t xml:space="preserve"> 09 </w:t>
            </w:r>
            <w:r>
              <w:rPr>
                <w:rFonts w:cs="宋体" w:asciiTheme="majorEastAsia" w:hAnsiTheme="majorEastAsia" w:eastAsiaTheme="majorEastAsia"/>
                <w:sz w:val="24"/>
                <w:szCs w:val="24"/>
              </w:rPr>
              <w:t>时</w:t>
            </w:r>
            <w:r>
              <w:rPr>
                <w:rFonts w:hint="eastAsia" w:cs="宋体" w:asciiTheme="majorEastAsia" w:hAnsiTheme="majorEastAsia" w:eastAsiaTheme="majorEastAsia"/>
                <w:sz w:val="24"/>
                <w:szCs w:val="24"/>
                <w:u w:val="single"/>
                <w:lang w:val="en-US" w:eastAsia="zh-CN"/>
              </w:rPr>
              <w:t xml:space="preserve"> 30 </w:t>
            </w:r>
            <w:r>
              <w:rPr>
                <w:rFonts w:cs="宋体" w:asciiTheme="majorEastAsia" w:hAnsiTheme="majorEastAsia" w:eastAsiaTheme="maj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15.2</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递交投标文件地点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16.1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17.3</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23.1</w:t>
            </w:r>
          </w:p>
        </w:tc>
        <w:tc>
          <w:tcPr>
            <w:tcW w:w="24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中标通知书的发放</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51" w:type="dxa"/>
            <w:tcBorders>
              <w:top w:val="single" w:color="auto" w:sz="4" w:space="0"/>
              <w:left w:val="single" w:color="auto" w:sz="4" w:space="0"/>
              <w:bottom w:val="single" w:color="auto" w:sz="4" w:space="0"/>
              <w:right w:val="single" w:color="auto" w:sz="4" w:space="0"/>
            </w:tcBorders>
            <w:vAlign w:val="center"/>
          </w:tcPr>
          <w:p>
            <w:pPr>
              <w:pStyle w:val="17"/>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30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sz w:val="24"/>
              </w:rPr>
            </w:pPr>
            <w:r>
              <w:rPr>
                <w:rFonts w:hint="eastAsia" w:asciiTheme="majorEastAsia" w:hAnsiTheme="majorEastAsia" w:eastAsiaTheme="majorEastAsia"/>
                <w:b/>
                <w:sz w:val="24"/>
              </w:rPr>
              <w:t>需要补充的其他内容</w:t>
            </w:r>
          </w:p>
        </w:tc>
        <w:tc>
          <w:tcPr>
            <w:tcW w:w="6510"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cs="宋体" w:asciiTheme="majorEastAsia" w:hAnsiTheme="majorEastAsia" w:eastAsiaTheme="majorEastAsia"/>
                <w:b/>
                <w:sz w:val="24"/>
                <w:szCs w:val="24"/>
              </w:rPr>
            </w:pPr>
            <w:r>
              <w:rPr>
                <w:rFonts w:cs="宋体" w:asciiTheme="majorEastAsia" w:hAnsiTheme="majorEastAsia" w:eastAsiaTheme="majorEastAsia"/>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center"/>
        <w:rPr>
          <w:rFonts w:asciiTheme="majorEastAsia" w:hAnsiTheme="majorEastAsia" w:eastAsiaTheme="majorEastAsia"/>
          <w:b/>
          <w:kern w:val="2"/>
          <w:sz w:val="30"/>
          <w:szCs w:val="30"/>
        </w:rPr>
      </w:pPr>
      <w:bookmarkStart w:id="20" w:name="_Toc508092929"/>
      <w:bookmarkStart w:id="21" w:name="_Toc448343856"/>
      <w:bookmarkStart w:id="22" w:name="_Toc213326416"/>
      <w:r>
        <w:rPr>
          <w:rFonts w:asciiTheme="majorEastAsia" w:hAnsiTheme="majorEastAsia" w:eastAsiaTheme="majorEastAsia"/>
          <w:b/>
          <w:sz w:val="30"/>
          <w:szCs w:val="30"/>
        </w:rPr>
        <w:br w:type="page"/>
      </w:r>
      <w:bookmarkEnd w:id="20"/>
      <w:bookmarkEnd w:id="21"/>
      <w:bookmarkEnd w:id="22"/>
    </w:p>
    <w:p>
      <w:pPr>
        <w:pStyle w:val="17"/>
        <w:spacing w:line="360" w:lineRule="auto"/>
        <w:jc w:val="center"/>
        <w:outlineLvl w:val="1"/>
        <w:rPr>
          <w:rFonts w:cs="宋体" w:asciiTheme="majorEastAsia" w:hAnsiTheme="majorEastAsia" w:eastAsiaTheme="majorEastAsia"/>
          <w:b/>
          <w:sz w:val="30"/>
          <w:szCs w:val="30"/>
        </w:rPr>
      </w:pPr>
      <w:bookmarkStart w:id="23" w:name="_Toc5564"/>
      <w:r>
        <w:rPr>
          <w:rFonts w:cs="宋体" w:asciiTheme="majorEastAsia" w:hAnsiTheme="majorEastAsia" w:eastAsiaTheme="majorEastAsia"/>
          <w:b/>
          <w:sz w:val="30"/>
          <w:szCs w:val="30"/>
        </w:rPr>
        <w:t>一    总则</w:t>
      </w:r>
      <w:bookmarkEnd w:id="23"/>
    </w:p>
    <w:p>
      <w:pPr>
        <w:pStyle w:val="17"/>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  项目概况</w:t>
      </w:r>
    </w:p>
    <w:p>
      <w:pPr>
        <w:pStyle w:val="17"/>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1.1  采购人：</w:t>
      </w:r>
      <w:r>
        <w:rPr>
          <w:rFonts w:cs="宋体" w:asciiTheme="majorEastAsia" w:hAnsiTheme="majorEastAsia" w:eastAsiaTheme="majorEastAsia"/>
          <w:bCs/>
          <w:sz w:val="24"/>
          <w:szCs w:val="24"/>
        </w:rPr>
        <w:t>见投标人须知前附表。</w:t>
      </w:r>
    </w:p>
    <w:p>
      <w:pPr>
        <w:pStyle w:val="17"/>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1.2  采购代理机构：</w:t>
      </w:r>
      <w:r>
        <w:rPr>
          <w:rFonts w:cs="宋体" w:asciiTheme="majorEastAsia" w:hAnsiTheme="majorEastAsia" w:eastAsiaTheme="majorEastAsia"/>
          <w:bCs/>
          <w:sz w:val="24"/>
          <w:szCs w:val="24"/>
        </w:rPr>
        <w:t>见投标人须知前附表。</w:t>
      </w:r>
    </w:p>
    <w:p>
      <w:pPr>
        <w:pStyle w:val="17"/>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项目名称：见投标人须知前附表。</w:t>
      </w:r>
    </w:p>
    <w:p>
      <w:pPr>
        <w:pStyle w:val="17"/>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项目编号：见投标人须知前附表</w:t>
      </w:r>
    </w:p>
    <w:p>
      <w:pPr>
        <w:pStyle w:val="17"/>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采购预算：见投标人须知前附表。</w:t>
      </w:r>
    </w:p>
    <w:p>
      <w:pPr>
        <w:pStyle w:val="17"/>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资金来源：财政性资金。</w:t>
      </w:r>
    </w:p>
    <w:p>
      <w:pPr>
        <w:pStyle w:val="17"/>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1.7  获取招标文件的方式：见投标人须知前附表。</w:t>
      </w:r>
    </w:p>
    <w:p>
      <w:pPr>
        <w:pStyle w:val="17"/>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1.8  预留采购份额：见投标人须知前附表。</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  政府采购信息发布媒体：</w:t>
      </w:r>
    </w:p>
    <w:p>
      <w:pPr>
        <w:pStyle w:val="17"/>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  本项目公开招标公告期限为公告发布之日起5个工作日。</w:t>
      </w:r>
    </w:p>
    <w:p>
      <w:pPr>
        <w:pStyle w:val="17"/>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  投标人资格要求：</w:t>
      </w:r>
    </w:p>
    <w:p>
      <w:pPr>
        <w:pStyle w:val="17"/>
        <w:spacing w:line="360" w:lineRule="auto"/>
        <w:ind w:firstLine="480" w:firstLineChars="200"/>
        <w:rPr>
          <w:rFonts w:cs="宋体" w:asciiTheme="majorEastAsia" w:hAnsiTheme="majorEastAsia" w:eastAsiaTheme="majorEastAsia"/>
          <w:bCs/>
        </w:rPr>
      </w:pPr>
      <w:r>
        <w:rPr>
          <w:rFonts w:cs="宋体" w:asciiTheme="majorEastAsia" w:hAnsiTheme="majorEastAsia" w:eastAsiaTheme="majorEastAsia"/>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（1）具有独立承担民事责任的能力；</w:t>
      </w:r>
    </w:p>
    <w:p>
      <w:pPr>
        <w:pStyle w:val="17"/>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（2）具有良好的商业信誉和健全的财务会计制度；</w:t>
      </w:r>
    </w:p>
    <w:p>
      <w:pPr>
        <w:pStyle w:val="17"/>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（3）具有履行合同所必需的设备和专业技术能力；</w:t>
      </w:r>
    </w:p>
    <w:p>
      <w:pPr>
        <w:pStyle w:val="17"/>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（4）有依法缴纳税收和社会保障资金的良好记录；</w:t>
      </w:r>
    </w:p>
    <w:p>
      <w:pPr>
        <w:pStyle w:val="17"/>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（5）参加政府采购活动前三年内，在经营活动中没有重大违法记录；</w:t>
      </w:r>
    </w:p>
    <w:p>
      <w:pPr>
        <w:pStyle w:val="17"/>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（6）法律、行政法规规定的其他条件。</w:t>
      </w:r>
    </w:p>
    <w:p>
      <w:pPr>
        <w:pStyle w:val="17"/>
        <w:spacing w:line="360" w:lineRule="auto"/>
        <w:ind w:firstLine="360" w:firstLineChars="15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3.2  针对本项目，投标人应具备的特定条件：见投标人须知前附表。</w:t>
      </w:r>
    </w:p>
    <w:p>
      <w:pPr>
        <w:pStyle w:val="17"/>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7"/>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3.4  投标人不得直接或间接地与为本次采购的项目内容进行设计、编制规范和其他文件的咨询公司、采购代理机构或其附属机构有任何关联。 </w:t>
      </w:r>
    </w:p>
    <w:p>
      <w:pPr>
        <w:pStyle w:val="17"/>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4.1 投标人认为招标文件、采购过程或中标结果使自己的合法权益受到损害的，应当在知道或者应知其权益受到损害之日起七个工作日内，以书面形式向采购人、采购代理机构提出质疑。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4.2提出质疑的投标人应当是参与所质疑项目采购活动的供应商，质疑函应按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34"/>
          <w:rFonts w:hint="eastAsia" w:asciiTheme="majorEastAsia" w:hAnsiTheme="majorEastAsia" w:eastAsiaTheme="majorEastAsia"/>
          <w:bCs/>
          <w:color w:val="auto"/>
          <w:kern w:val="2"/>
          <w:sz w:val="24"/>
          <w:szCs w:val="24"/>
        </w:rPr>
        <w:t>财政部发布《政府采购供应商质疑函范本》</w:t>
      </w:r>
      <w:r>
        <w:rPr>
          <w:rStyle w:val="34"/>
          <w:rFonts w:hint="eastAsia" w:asciiTheme="majorEastAsia" w:hAnsiTheme="majorEastAsia" w:eastAsiaTheme="majorEastAsia"/>
          <w:bCs/>
          <w:color w:val="auto"/>
          <w:kern w:val="2"/>
          <w:sz w:val="24"/>
          <w:szCs w:val="24"/>
        </w:rPr>
        <w:fldChar w:fldCharType="end"/>
      </w:r>
      <w:r>
        <w:rPr>
          <w:rFonts w:hint="eastAsia" w:asciiTheme="majorEastAsia" w:hAnsiTheme="majorEastAsia" w:eastAsiaTheme="majorEastAsia"/>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（2）质疑项目的名称、编号；</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（3）具体、明确的质疑事项和质疑事项相关的请求；</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（4）事实依据；</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（5）必要的法律依据；</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（6）提起质疑的日期；</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4.6  质疑供应商提起质疑应当符合下列条件：</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（2）质疑函内容符合本章第4.4项的规定；</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（3）在质疑有效期限内提起质疑；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（8）财政部门规定的其他条件。</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4.7  采购人或采购人委托的采购代理机构自受理质疑之日起七个工作日内，对质疑事项作出答复，并以书面形式通知质疑供应商及其他有关供应商。</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  投诉</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（1）投诉人和被投诉人的名称、地址、电话等； </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（2）具体的投诉事项及事实依据；</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（3）质疑和质疑答复情况及相关证明材料； </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（4）提起投诉的日期。</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投诉书应当署名。投诉人为自然人的，应当由本人签字；投诉人为法人或者其他组织的，应当由法定代表人或者主要负责人签字盖章并加盖公章。</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5.3  投诉人可以委托代理人办理投诉事务。代理人办理投诉事务时，除提交投诉书外，还应当提交投诉人的授权委托书，授权委托书应当载明委托代理的具体权限和事项。</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5.4  投诉人提起投诉应当符合下列条件：</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（1）投诉人是参与所投诉政府采购活动的供应商；</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（2）提起投诉前已依法进行质疑；</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（3）投诉书内容符合本章第5.2项的规定；</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（4）在投诉有效期限内提起投诉；</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（5）属于南宁市政府采购监督管理部门管辖；</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（6）同一投诉事项未经南宁市政府采购监督管理部门投诉处理；</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（7）国务院财政部门规定的其他条件。</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5.6  南宁市政府采购监督管理部门在处理投诉事项期间，可以视具体情况暂停采购活动。</w:t>
      </w:r>
    </w:p>
    <w:p>
      <w:pPr>
        <w:pStyle w:val="17"/>
        <w:spacing w:line="360" w:lineRule="auto"/>
        <w:jc w:val="center"/>
        <w:outlineLvl w:val="1"/>
        <w:rPr>
          <w:rFonts w:cs="宋体" w:asciiTheme="majorEastAsia" w:hAnsiTheme="majorEastAsia" w:eastAsiaTheme="majorEastAsia"/>
          <w:b/>
          <w:sz w:val="30"/>
          <w:szCs w:val="30"/>
        </w:rPr>
      </w:pPr>
      <w:bookmarkStart w:id="24" w:name="_Toc508092930"/>
      <w:bookmarkStart w:id="25" w:name="_Toc448343857"/>
      <w:bookmarkStart w:id="26" w:name="_Toc213326417"/>
      <w:bookmarkStart w:id="27" w:name="_Toc19901"/>
      <w:r>
        <w:rPr>
          <w:rFonts w:cs="宋体" w:asciiTheme="majorEastAsia" w:hAnsiTheme="majorEastAsia" w:eastAsiaTheme="majorEastAsia"/>
          <w:b/>
          <w:sz w:val="30"/>
          <w:szCs w:val="30"/>
        </w:rPr>
        <w:t>二    公开招标文件</w:t>
      </w:r>
      <w:bookmarkEnd w:id="24"/>
      <w:bookmarkEnd w:id="25"/>
      <w:bookmarkEnd w:id="26"/>
      <w:bookmarkEnd w:id="27"/>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  公开招标文件的组成</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本</w:t>
      </w:r>
      <w:r>
        <w:rPr>
          <w:rFonts w:cs="宋体" w:asciiTheme="majorEastAsia" w:hAnsiTheme="majorEastAsia" w:eastAsiaTheme="majorEastAsia"/>
          <w:bCs/>
          <w:sz w:val="24"/>
          <w:szCs w:val="24"/>
        </w:rPr>
        <w:t>公开招标</w:t>
      </w:r>
      <w:r>
        <w:rPr>
          <w:rFonts w:cs="宋体" w:asciiTheme="majorEastAsia" w:hAnsiTheme="majorEastAsia" w:eastAsiaTheme="majorEastAsia"/>
          <w:sz w:val="24"/>
          <w:szCs w:val="24"/>
        </w:rPr>
        <w:t>文件包括六个章节，各章的内容如下：</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第一章  公告</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第二章  服务需求一览表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第三章  评标方法</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第四章  投标人须知</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第五章  投标文件格式</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第六章  合同条款及格式</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7.  招标文件的澄清和修改</w:t>
      </w:r>
    </w:p>
    <w:p>
      <w:pPr>
        <w:spacing w:after="165" w:line="360" w:lineRule="auto"/>
        <w:ind w:left="2" w:firstLine="480"/>
        <w:rPr>
          <w:rFonts w:asciiTheme="majorEastAsia" w:hAnsiTheme="majorEastAsia" w:eastAsiaTheme="majorEastAsia"/>
          <w:sz w:val="24"/>
        </w:rPr>
      </w:pPr>
      <w:r>
        <w:rPr>
          <w:rFonts w:hint="eastAsia" w:asciiTheme="majorEastAsia" w:hAnsiTheme="majorEastAsia" w:eastAsiaTheme="majorEastAsia"/>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sz w:val="24"/>
        </w:rPr>
      </w:pPr>
      <w:r>
        <w:rPr>
          <w:rFonts w:hint="eastAsia" w:asciiTheme="majorEastAsia" w:hAnsiTheme="majorEastAsia" w:eastAsiaTheme="majorEastAsia"/>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7"/>
        <w:spacing w:line="360" w:lineRule="auto"/>
        <w:ind w:left="2" w:leftChars="1"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7"/>
        <w:spacing w:line="360" w:lineRule="auto"/>
        <w:ind w:left="2" w:leftChars="1" w:firstLine="482" w:firstLineChars="200"/>
        <w:rPr>
          <w:rFonts w:cs="宋体" w:asciiTheme="majorEastAsia" w:hAnsiTheme="majorEastAsia" w:eastAsiaTheme="majorEastAsia"/>
          <w:b/>
          <w:bCs/>
        </w:rPr>
      </w:pPr>
      <w:r>
        <w:rPr>
          <w:rFonts w:cs="宋体" w:asciiTheme="majorEastAsia" w:hAnsiTheme="majorEastAsia" w:eastAsiaTheme="majorEastAsia"/>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7"/>
        <w:spacing w:line="360" w:lineRule="auto"/>
        <w:jc w:val="center"/>
        <w:rPr>
          <w:rFonts w:cs="宋体" w:asciiTheme="majorEastAsia" w:hAnsiTheme="majorEastAsia" w:eastAsiaTheme="majorEastAsia"/>
          <w:b/>
          <w:sz w:val="30"/>
          <w:szCs w:val="30"/>
        </w:rPr>
      </w:pPr>
      <w:bookmarkStart w:id="28" w:name="_Toc448343858"/>
      <w:bookmarkStart w:id="29" w:name="_Toc213326418"/>
    </w:p>
    <w:p>
      <w:pPr>
        <w:pStyle w:val="17"/>
        <w:spacing w:line="360" w:lineRule="auto"/>
        <w:jc w:val="center"/>
        <w:outlineLvl w:val="1"/>
        <w:rPr>
          <w:rFonts w:cs="宋体" w:asciiTheme="majorEastAsia" w:hAnsiTheme="majorEastAsia" w:eastAsiaTheme="majorEastAsia"/>
          <w:b/>
          <w:sz w:val="30"/>
          <w:szCs w:val="30"/>
        </w:rPr>
      </w:pPr>
      <w:bookmarkStart w:id="30" w:name="_Toc508092931"/>
      <w:bookmarkStart w:id="31" w:name="_Toc11232"/>
      <w:r>
        <w:rPr>
          <w:rFonts w:cs="宋体" w:asciiTheme="majorEastAsia" w:hAnsiTheme="majorEastAsia" w:eastAsiaTheme="majorEastAsia"/>
          <w:b/>
          <w:sz w:val="30"/>
          <w:szCs w:val="30"/>
        </w:rPr>
        <w:t>三    投标文件</w:t>
      </w:r>
      <w:bookmarkEnd w:id="28"/>
      <w:bookmarkEnd w:id="29"/>
      <w:bookmarkEnd w:id="30"/>
      <w:bookmarkEnd w:id="31"/>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8.  投标文件的编制</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8.1  投标人应仔细阅读招标文件，在充分了解招标的内容、服务内容及要求和商务条款以及实质性要求和条件后，编写投标文件。</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sz w:val="24"/>
          <w:szCs w:val="24"/>
        </w:rPr>
        <w:t>作出满足或者优于原要求和条件的承诺</w:t>
      </w:r>
      <w:r>
        <w:rPr>
          <w:rFonts w:cs="宋体" w:asciiTheme="majorEastAsia" w:hAnsiTheme="majorEastAsia" w:eastAsiaTheme="majorEastAsia"/>
          <w:sz w:val="24"/>
          <w:szCs w:val="24"/>
        </w:rPr>
        <w:t>。</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8.3  招标文件中标注★号的内容为实质性要求和条件。未标注★号的内容在评标时不得作为判定投标无效的依据。</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8.5  第五章“投标文件格式”中规定了投标文件格式的，应按相应格式要求编写。</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7"/>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8.7  投标文件应编制目录，且页码清晰准确。</w:t>
      </w:r>
    </w:p>
    <w:p>
      <w:pPr>
        <w:pStyle w:val="17"/>
        <w:spacing w:line="360" w:lineRule="auto"/>
        <w:ind w:left="2" w:leftChars="1"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9.  投标语言文字及计量单位</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9.1  投标人的投标文件以及投标人与采购人、采购代理机构就有关投标的所有往来函电统一使用中文（特别规定除外）。</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9.2  对不同文字文本投标文件的解释发生异议的，以中文文本为准。</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9.3  投标文件使用的计量单位除招标文件中有特殊规定外，一律使用中华人民共和国法定计量单位。</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10.  投标文件的组成</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10.1 投标人需编制的投标文件包括报价文件、资格文件、技术文件和商务文件四部分，投标人应按下列说明编写和提交。应递交的有关文件如未特别注明为原件的，可提交复印件。</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10.1.1  报价文件，包括：</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（1）投标函：按第五章“投标文件格式”提供的“投标函（格式）”的要求填写；</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报价表：按第五章“投标文件格式”提供的“</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报价表（格式）”的要求填写;</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（3）中小企业声明函：按第五章“投标文件格式”提供的“中小企业声明函（格式）”的要求填写；</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（4）监狱企业证明：提供由省级以上监狱管理局、戒毒管理局（含新疆生产建设兵团）出具的属于监狱企业的证明文件。</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（5）残疾人福利性单位声明函：按第五章“投标文件格式”提供的“残疾人福利性单位声明函（格式）”的要求填写。</w:t>
      </w:r>
    </w:p>
    <w:p>
      <w:pPr>
        <w:pStyle w:val="17"/>
        <w:spacing w:line="360" w:lineRule="auto"/>
        <w:ind w:firstLine="420"/>
        <w:rPr>
          <w:rFonts w:cs="宋体" w:asciiTheme="majorEastAsia" w:hAnsiTheme="majorEastAsia" w:eastAsiaTheme="majorEastAsia"/>
          <w:b/>
          <w:sz w:val="24"/>
          <w:szCs w:val="24"/>
        </w:rPr>
      </w:pPr>
      <w:r>
        <w:rPr>
          <w:rFonts w:cs="宋体" w:asciiTheme="majorEastAsia" w:hAnsiTheme="majorEastAsia" w:eastAsiaTheme="majorEastAsia"/>
          <w:b/>
          <w:sz w:val="24"/>
          <w:szCs w:val="24"/>
        </w:rPr>
        <w:t>其中，报价文件组成要求的第（1）～（2）项必须提交；第（3）～（5）项如有请提交。</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10.1.2 资格文件组成要求，包括：</w:t>
      </w:r>
    </w:p>
    <w:p>
      <w:pPr>
        <w:spacing w:line="360" w:lineRule="auto"/>
        <w:ind w:firstLine="480" w:firstLineChars="200"/>
        <w:rPr>
          <w:rFonts w:asciiTheme="majorEastAsia" w:hAnsiTheme="majorEastAsia" w:eastAsiaTheme="majorEastAsia"/>
          <w:b/>
          <w:sz w:val="24"/>
        </w:rPr>
      </w:pPr>
      <w:r>
        <w:rPr>
          <w:rFonts w:hint="eastAsia" w:asciiTheme="majorEastAsia" w:hAnsiTheme="majorEastAsia" w:eastAsiaTheme="majorEastAsia"/>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sz w:val="24"/>
        </w:rPr>
        <w:t>（注：采购人或采购代理机构在对投标人资格审查时进行信用查询，查询结果与投标文件不一致时，以采购人或采购代理机构查询结果为准。）</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kern w:val="2"/>
          <w:sz w:val="24"/>
          <w:szCs w:val="24"/>
        </w:rPr>
      </w:pPr>
      <w:r>
        <w:rPr>
          <w:rFonts w:hint="eastAsia" w:asciiTheme="majorEastAsia" w:hAnsiTheme="majorEastAsia" w:eastAsiaTheme="majorEastAsia"/>
          <w:kern w:val="2"/>
          <w:sz w:val="24"/>
          <w:szCs w:val="24"/>
        </w:rPr>
        <w:t>（4）投标人直接控股、管理关系信息表，按第</w:t>
      </w:r>
      <w:r>
        <w:rPr>
          <w:rFonts w:asciiTheme="majorEastAsia" w:hAnsiTheme="majorEastAsia" w:eastAsiaTheme="majorEastAsia"/>
          <w:kern w:val="2"/>
          <w:sz w:val="24"/>
          <w:szCs w:val="24"/>
        </w:rPr>
        <w:t>五</w:t>
      </w:r>
      <w:r>
        <w:rPr>
          <w:rFonts w:hint="eastAsia" w:asciiTheme="majorEastAsia" w:hAnsiTheme="majorEastAsia" w:eastAsiaTheme="majorEastAsia"/>
          <w:kern w:val="2"/>
          <w:sz w:val="24"/>
          <w:szCs w:val="24"/>
        </w:rPr>
        <w:t>章“投标文件格式”提供的“投标人直接控股、管理关系信息表（格式）”的要求填写；</w:t>
      </w:r>
    </w:p>
    <w:p>
      <w:pPr>
        <w:pStyle w:val="17"/>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其中，资格文件组成要求的第（1）～（</w:t>
      </w:r>
      <w:r>
        <w:rPr>
          <w:rFonts w:hint="eastAsia" w:cs="宋体" w:asciiTheme="majorEastAsia" w:hAnsiTheme="majorEastAsia" w:eastAsiaTheme="majorEastAsia"/>
          <w:b/>
          <w:bCs/>
          <w:sz w:val="24"/>
          <w:szCs w:val="24"/>
        </w:rPr>
        <w:t>4</w:t>
      </w:r>
      <w:r>
        <w:rPr>
          <w:rFonts w:cs="宋体" w:asciiTheme="majorEastAsia" w:hAnsiTheme="majorEastAsia" w:eastAsiaTheme="majorEastAsia"/>
          <w:b/>
          <w:bCs/>
          <w:sz w:val="24"/>
          <w:szCs w:val="24"/>
        </w:rPr>
        <w:t>）项必须提交。</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10.1.3 技术文件组成要求，包括：</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（1）投标服务技术资料表：按第五章“投标文件格式”提供的“投标服务技术资料表（格式）”的要求填写；</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（2）其它：针对本项目所投标服务的主要技术指标、参数及性能的详细说明，相关的图纸、图片，产品有效检测和鉴定证明复印件，等等。</w:t>
      </w:r>
    </w:p>
    <w:p>
      <w:pPr>
        <w:pStyle w:val="17"/>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sz w:val="24"/>
        </w:rPr>
      </w:pPr>
      <w:r>
        <w:rPr>
          <w:rFonts w:hint="eastAsia" w:asciiTheme="majorEastAsia" w:hAnsiTheme="majorEastAsia" w:eastAsiaTheme="majorEastAsia"/>
          <w:sz w:val="24"/>
        </w:rPr>
        <w:t>10.1.4 商务文件组成要求，包括：</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（1）售后服务承诺书：按第五章“投标文件格式”提供的“售后服务承诺书（格式）” 的要求填写；</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（2）商务条款偏离表：按第五章“投标文件格式”提供的“商务条款偏离表（格式）” 的要求填写；</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（5）法定代表人授权委托书：按第五章“投标文件格式”提供的“法定代表人授权委托书（格式）”的要求填写；</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（7）财务会计报表复印件：投标人近三年的经会计师事务所或审计机构审计的财务会计报表，包括资产负债表、现金流量表、利润表、财务情况说明书和审计报告；</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b/>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10.2 投标人应编制目录，按上述顺序将报价文件、资格文件、商务文件、技术文件</w:t>
      </w:r>
      <w:r>
        <w:rPr>
          <w:rFonts w:hint="eastAsia" w:asciiTheme="majorEastAsia" w:hAnsiTheme="majorEastAsia" w:eastAsiaTheme="majorEastAsia"/>
          <w:b/>
          <w:bCs/>
          <w:sz w:val="24"/>
        </w:rPr>
        <w:t>分别装订成册。特别注意投标报价不得出现在资格文件、技术文件和商务文件中。</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11.  投标报价</w:t>
      </w:r>
    </w:p>
    <w:p>
      <w:pPr>
        <w:pStyle w:val="17"/>
        <w:spacing w:line="360" w:lineRule="auto"/>
        <w:ind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11.1  投标人应以人民币并按分项报价。</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投标人可就第二章“服务需求一览表”中的</w:t>
      </w:r>
      <w:r>
        <w:rPr>
          <w:rFonts w:cs="宋体" w:asciiTheme="majorEastAsia" w:hAnsiTheme="majorEastAsia" w:eastAsiaTheme="majorEastAsia"/>
          <w:b/>
          <w:sz w:val="24"/>
          <w:szCs w:val="24"/>
        </w:rPr>
        <w:t>某一个分标内容报出完整且唯一报价，也可就某几个或所有分标内容分别报出完整且唯一报价，附带有条件的报价将不予接受。</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投标报价为在采购人指定地点提交服务成果所需的全部费用，其组成部分详见第二章“服务需求一览表”。采购人不再向中标供应商支付其投标报价之外的任何费用。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11.4  本项目的采购代理服务费按物价部门核准的收费标准执行，见投标人须知前附表。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11.5  不论投标结果如何，投标人均应自行承担与编制和递交投标文件有关的全部费用。</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12.  投标有效期</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12.1  在投标人须知前附表规定的投标有效期内，投标人不得要求撤销或修改其投标文件。</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投标保证金</w:t>
      </w:r>
    </w:p>
    <w:p>
      <w:pPr>
        <w:pStyle w:val="17"/>
        <w:spacing w:line="360" w:lineRule="auto"/>
        <w:ind w:firstLine="480" w:firstLineChars="200"/>
        <w:rPr>
          <w:rFonts w:cs="宋体" w:asciiTheme="majorEastAsia" w:hAnsiTheme="majorEastAsia" w:eastAsiaTheme="majorEastAsia"/>
          <w:bCs/>
          <w:sz w:val="24"/>
          <w:szCs w:val="24"/>
        </w:rPr>
      </w:pPr>
      <w:bookmarkStart w:id="32" w:name="_Toc448343859"/>
      <w:bookmarkStart w:id="33" w:name="_Toc508092932"/>
      <w:bookmarkStart w:id="34" w:name="_Toc213326419"/>
      <w:r>
        <w:rPr>
          <w:rFonts w:cs="宋体" w:asciiTheme="majorEastAsia" w:hAnsiTheme="majorEastAsia" w:eastAsiaTheme="majorEastAsia"/>
          <w:bCs/>
          <w:sz w:val="24"/>
          <w:szCs w:val="24"/>
        </w:rPr>
        <w:t>本项目不收取投标保证金。</w:t>
      </w:r>
    </w:p>
    <w:p>
      <w:pPr>
        <w:pStyle w:val="17"/>
        <w:spacing w:line="360" w:lineRule="auto"/>
        <w:jc w:val="center"/>
        <w:outlineLvl w:val="1"/>
        <w:rPr>
          <w:rFonts w:cs="宋体" w:asciiTheme="majorEastAsia" w:hAnsiTheme="majorEastAsia" w:eastAsiaTheme="majorEastAsia"/>
          <w:b/>
          <w:sz w:val="30"/>
          <w:szCs w:val="30"/>
        </w:rPr>
      </w:pPr>
      <w:bookmarkStart w:id="35" w:name="_Toc23984"/>
      <w:r>
        <w:rPr>
          <w:rFonts w:cs="宋体" w:asciiTheme="majorEastAsia" w:hAnsiTheme="majorEastAsia" w:eastAsiaTheme="majorEastAsia"/>
          <w:b/>
          <w:sz w:val="30"/>
          <w:szCs w:val="30"/>
        </w:rPr>
        <w:t>四    投标</w:t>
      </w:r>
      <w:bookmarkEnd w:id="32"/>
      <w:bookmarkEnd w:id="33"/>
      <w:bookmarkEnd w:id="34"/>
      <w:bookmarkEnd w:id="35"/>
    </w:p>
    <w:p>
      <w:pPr>
        <w:pStyle w:val="17"/>
        <w:spacing w:line="360" w:lineRule="auto"/>
        <w:ind w:firstLine="240" w:firstLineChars="1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投标文件的密封</w:t>
      </w:r>
    </w:p>
    <w:p>
      <w:pPr>
        <w:pStyle w:val="17"/>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14.1  投标人应将所有投标文件密封在一个外层包封中，在外层包封上标明“投标文件”。</w:t>
      </w:r>
    </w:p>
    <w:p>
      <w:pPr>
        <w:pStyle w:val="17"/>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14.2 外层包封应写明项目名称、项目编号、采购人单位名称、投标人名称，并注明开标时间以前不得开封。</w:t>
      </w:r>
    </w:p>
    <w:p>
      <w:pPr>
        <w:pStyle w:val="17"/>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14.3 如果外包封没有按照上述规定密封，招标代理单位将不承担投标文件错放或提前开封的责任。由此造成的提前开封的投标文件将予以拒绝，并退还给投标人。</w:t>
      </w:r>
    </w:p>
    <w:p>
      <w:pPr>
        <w:pStyle w:val="17"/>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14.4 外层包封封口处应加盖密封章或单位公章，若封口处没有加盖密封章或公章或破损严重，招标代理单位将其拒收。</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投标文件的递交</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15.1  投标人投标截止时间：见投标人须知前附表。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15.2  投标人递交投标文件地点：见投标人须知前附表。</w:t>
      </w:r>
    </w:p>
    <w:p>
      <w:pPr>
        <w:pStyle w:val="17"/>
        <w:spacing w:line="360" w:lineRule="auto"/>
        <w:jc w:val="center"/>
        <w:rPr>
          <w:rFonts w:cs="宋体" w:asciiTheme="majorEastAsia" w:hAnsiTheme="majorEastAsia" w:eastAsiaTheme="majorEastAsia"/>
          <w:sz w:val="24"/>
          <w:szCs w:val="24"/>
        </w:rPr>
      </w:pPr>
      <w:bookmarkStart w:id="36" w:name="_Toc508092933"/>
    </w:p>
    <w:p>
      <w:pPr>
        <w:pStyle w:val="17"/>
        <w:spacing w:line="360" w:lineRule="auto"/>
        <w:jc w:val="center"/>
        <w:outlineLvl w:val="1"/>
        <w:rPr>
          <w:rFonts w:cs="宋体" w:asciiTheme="majorEastAsia" w:hAnsiTheme="majorEastAsia" w:eastAsiaTheme="majorEastAsia"/>
          <w:b/>
          <w:sz w:val="30"/>
          <w:szCs w:val="30"/>
        </w:rPr>
      </w:pPr>
      <w:bookmarkStart w:id="37" w:name="_Toc1928"/>
      <w:r>
        <w:rPr>
          <w:rFonts w:cs="宋体" w:asciiTheme="majorEastAsia" w:hAnsiTheme="majorEastAsia" w:eastAsiaTheme="majorEastAsia"/>
          <w:b/>
          <w:sz w:val="30"/>
          <w:szCs w:val="30"/>
        </w:rPr>
        <w:t>五    开标、资格审查与评标</w:t>
      </w:r>
      <w:bookmarkEnd w:id="36"/>
      <w:bookmarkEnd w:id="37"/>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开标</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sz w:val="24"/>
          <w:szCs w:val="24"/>
        </w:rPr>
        <w:t>投标人的法定代表人或其委托代理人应准时参加并签到。如未按时签到，由此产生的后果由投标人自行负责。</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16.1.1 截标后由采购人或采购代理机构对投标人进行信用查询。</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查询渠道：“信用中国”网站（www.creditchina.gov.cn）、中国政府采购网（www.ccgp.gov.cn） </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查询截止时点：投标截止时间   </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查询记录和证据留存方式：在查询网站中直接打印查询记录，打印材料作为评审资料保存。</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16.2  开标程序：</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（1）开标会由采购代理机构主持，主持人宣布开标会议开始；</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（2）公布在投标截止时间前递交投标文件的投标人名称，并点名确认投标人是否派人到场；</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（3）宣布开标人、唱标人、记录人、监标人（由第三方监督单位担任）等有关人员姓名；</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（4）投标人代表按本章第14.1项的规定交叉检查投标文件的密封情况，并签字确认；</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（6）相关人员在开标记录上签字确认；</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（7）宣布评标期间的有关事项；</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（8）开标结束。</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16.3资格审查</w:t>
      </w:r>
    </w:p>
    <w:p>
      <w:pPr>
        <w:pStyle w:val="17"/>
        <w:spacing w:line="360" w:lineRule="auto"/>
        <w:ind w:firstLine="36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采购人依据法律法规和招标文件的规定，对投标文件中的资格文件进行审查，以确定投标供应商是否具备投标资格。合格投标人不足3家的，不得评标。</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17.  评标</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17.2  评标原则：评标活动遵循公平、公正、科学和择优的原则。</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17.4  </w:t>
      </w:r>
      <w:r>
        <w:rPr>
          <w:rFonts w:cs="宋体" w:asciiTheme="majorEastAsia" w:hAnsiTheme="majorEastAsia" w:eastAsiaTheme="majorEastAsia"/>
          <w:bCs/>
          <w:sz w:val="24"/>
          <w:szCs w:val="24"/>
        </w:rPr>
        <w:t>评标程序：</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17.4.1  采购代理机构项目负责人宣读评标现场纪律要求，集中管理通讯工具，询问在场人员是否申请回避；</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sz w:val="24"/>
        </w:rPr>
      </w:pPr>
      <w:r>
        <w:rPr>
          <w:rFonts w:hint="eastAsia" w:asciiTheme="majorEastAsia" w:hAnsiTheme="majorEastAsia" w:eastAsiaTheme="majorEastAsia"/>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(1)有下列情形之一的视为投标人相互串通投标，投标文件将被视为无效。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①不同投标人的投标文件由同一单位或者个人编制；</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②不同投标人委托同一单位或者个人办理投标事宜;</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③不同的投标人的投标文件载明的项目管理员为同一个人;</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④不同投标人的投标文件异常一致或投标报价呈规律性差异;</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⑤不同投标人的投标文件相互混装;</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（2）关联供应商不得参加同一合同项下政府采购活动，否则投标文件将被视为无效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②生产厂商授权给供应商后自己不得参加同一合同项下的政府采购活动；生产厂商对同一品牌的货物，仅能委托一个代理商参加投标。</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7"/>
        <w:spacing w:line="360" w:lineRule="auto"/>
        <w:ind w:firstLine="720" w:firstLineChars="300"/>
        <w:rPr>
          <w:rFonts w:cs="宋体" w:asciiTheme="majorEastAsia" w:hAnsiTheme="majorEastAsia" w:eastAsiaTheme="majorEastAsia"/>
          <w:sz w:val="24"/>
          <w:szCs w:val="24"/>
        </w:rPr>
      </w:pPr>
      <w:r>
        <w:rPr>
          <w:rFonts w:cs="宋体" w:asciiTheme="majorEastAsia" w:hAnsiTheme="majorEastAsia" w:eastAsiaTheme="major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7"/>
        <w:spacing w:line="360" w:lineRule="auto"/>
        <w:ind w:firstLine="600" w:firstLineChars="250"/>
        <w:rPr>
          <w:rFonts w:cs="宋体" w:asciiTheme="majorEastAsia" w:hAnsiTheme="majorEastAsia" w:eastAsiaTheme="majorEastAsia"/>
          <w:sz w:val="24"/>
          <w:szCs w:val="24"/>
        </w:rPr>
      </w:pPr>
      <w:r>
        <w:rPr>
          <w:rFonts w:cs="宋体" w:asciiTheme="majorEastAsia" w:hAnsiTheme="majorEastAsia" w:eastAsiaTheme="major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17.4.3.5编写评标报告，并确定中标供应商名单。</w:t>
      </w:r>
    </w:p>
    <w:p>
      <w:pPr>
        <w:pStyle w:val="17"/>
        <w:spacing w:line="360" w:lineRule="auto"/>
        <w:ind w:firstLine="720" w:firstLineChars="3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17.4.4  采购代理机构对评标过程和评分、评标结论进行核对和复核，如有错漏，请当事评委进行校正，按校正后的结果确定中标供应商。</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17.5  在确定中标供应商前，采购人或采购代理机构不得与投标供应商就投标价格、投标方案等实质性内容进行谈判。</w:t>
      </w:r>
    </w:p>
    <w:p>
      <w:pPr>
        <w:pStyle w:val="17"/>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18.  投标文件的修正</w:t>
      </w:r>
    </w:p>
    <w:p>
      <w:pPr>
        <w:pStyle w:val="17"/>
        <w:spacing w:line="360" w:lineRule="auto"/>
        <w:ind w:firstLine="410" w:firstLineChars="171"/>
        <w:rPr>
          <w:rFonts w:cs="宋体" w:asciiTheme="majorEastAsia" w:hAnsiTheme="majorEastAsia" w:eastAsiaTheme="majorEastAsia"/>
          <w:sz w:val="24"/>
          <w:szCs w:val="24"/>
        </w:rPr>
      </w:pPr>
      <w:r>
        <w:rPr>
          <w:rFonts w:cs="宋体" w:asciiTheme="majorEastAsia" w:hAnsiTheme="majorEastAsia" w:eastAsiaTheme="majorEastAsia"/>
          <w:sz w:val="24"/>
          <w:szCs w:val="24"/>
        </w:rPr>
        <w:t>18.1  如果出现计算或表达上的错误，修正的原则如下：</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（1）投标文件中开标一览表（报价表）内容与投标文件中相应内容不一致的，以开标一览表（报价表）为准；</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（2）大写金额和小写金额不一致的，以大写金额为准；</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（3）单价金额小数点或者百分比有明显错位的，以开标一览表的总价为准，并修改单价；</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（4）总价金额与按单价汇总金额不一致的，以单价金额计算结果为准。</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18.2同时出现两种以上不一致的，按照本条款规定的顺序修正。修正后的报价按照本章17.4.3.2的规定经投标人确认后产生约束力，投标人不确认的，其投标无效。</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19.  拒绝接收</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19.1 投标人未在本章第15.1项规定的时间之前将投标文件送达至本章第15.2项指定地点的，采购代理机构应当拒绝接收该投标人的投标文件。</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20.  无效投标</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★20.1  属下列情形之一的，投标人的投标无效：</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（1）投标人或投标文件不符合本章第3项规定的；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（2）投标文件未按本章第8.8项的规定标识或未按规定的正、副本数量递交的； </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（3）投标文件未按本章第10.1项的规定编写和提交的（包括缺少应提交的文件或格式不符合第五章“投标文件格式”的要求）；</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（4）投标文件不符合本章第10.2项规定的；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（5）投标人报价不符合本章第11项规定或超过采购预算的或超过分项最高限价的或评标委员会认定低于成本报价的；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（6）投标文件不符合本章第14.1项规定的；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（7）投标人出现本章第17.4.3.1项所述的投标文件将被视为无效的情形的；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（8）投标人出现本章第18.2项所述情形的；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（9）投标文件未对招标文件提出的要求和条件作出实质性响应的；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（10）投标文件附有采购需求以外的条件使评标委员会认为不能接受的；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（11）投标人在投标过程中提供虚假材料的；</w:t>
      </w:r>
    </w:p>
    <w:p>
      <w:pPr>
        <w:pStyle w:val="17"/>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（12）投标文件含有违反国家法律、法规的内容。</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21.  废标</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21.1  在招标过程中，出现下列情形之一的，予以废标：</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（1）符合专业条件的供应商或者对招标文件作实质响应的供应商不足三家的；</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（2）投标人的报价均超过了采购预算，采购人不能支付的；</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（3）因重大变故，采购任务取消的。</w:t>
      </w:r>
    </w:p>
    <w:p>
      <w:pPr>
        <w:pStyle w:val="17"/>
        <w:spacing w:line="360" w:lineRule="auto"/>
        <w:ind w:firstLine="480" w:firstLineChars="200"/>
        <w:jc w:val="left"/>
        <w:rPr>
          <w:rFonts w:cs="宋体" w:asciiTheme="majorEastAsia" w:hAnsiTheme="majorEastAsia" w:eastAsiaTheme="majorEastAsia"/>
          <w:b/>
          <w:bCs/>
        </w:rPr>
      </w:pPr>
      <w:r>
        <w:rPr>
          <w:rFonts w:cs="宋体" w:asciiTheme="majorEastAsia" w:hAnsiTheme="majorEastAsia" w:eastAsiaTheme="majorEastAsia"/>
          <w:sz w:val="24"/>
          <w:szCs w:val="24"/>
        </w:rPr>
        <w:t>21.2  废标后，采购代理机构将在本章第2.1项规定的政府采购信息发布媒体上公告废标理由，不再另行通知。</w:t>
      </w:r>
    </w:p>
    <w:p>
      <w:pPr>
        <w:pStyle w:val="17"/>
        <w:spacing w:line="360" w:lineRule="auto"/>
        <w:jc w:val="center"/>
        <w:outlineLvl w:val="1"/>
        <w:rPr>
          <w:rFonts w:cs="宋体" w:asciiTheme="majorEastAsia" w:hAnsiTheme="majorEastAsia" w:eastAsiaTheme="majorEastAsia"/>
          <w:b/>
          <w:sz w:val="30"/>
          <w:szCs w:val="30"/>
        </w:rPr>
      </w:pPr>
      <w:bookmarkStart w:id="38" w:name="_Toc448343861"/>
      <w:bookmarkStart w:id="39" w:name="_Toc8281"/>
      <w:bookmarkStart w:id="40" w:name="_Toc508092934"/>
      <w:bookmarkStart w:id="41" w:name="_Toc213326421"/>
      <w:r>
        <w:rPr>
          <w:rFonts w:cs="宋体" w:asciiTheme="majorEastAsia" w:hAnsiTheme="majorEastAsia" w:eastAsiaTheme="majorEastAsia"/>
          <w:b/>
          <w:sz w:val="30"/>
          <w:szCs w:val="30"/>
        </w:rPr>
        <w:t>六    合同授予</w:t>
      </w:r>
      <w:bookmarkEnd w:id="38"/>
      <w:bookmarkEnd w:id="39"/>
      <w:bookmarkEnd w:id="40"/>
      <w:bookmarkEnd w:id="41"/>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22.  中标供应商的确定</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23.  中标公告及中标通知书</w:t>
      </w:r>
    </w:p>
    <w:p>
      <w:pPr>
        <w:pStyle w:val="17"/>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23.2  中标通知书对采购人和中标供应商具有同等法律效力。中标通知书发出后，采购人改变中标结果，或者中标供应商放弃中标，应当承担相应的法律责任。</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24.  投标文件的退回</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24.1  采购人及采购代理机构无义务向未中标供应商解释其未中标原因和退回投标文件。</w:t>
      </w:r>
    </w:p>
    <w:p>
      <w:pPr>
        <w:pStyle w:val="17"/>
        <w:tabs>
          <w:tab w:val="left" w:pos="630"/>
        </w:tabs>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25.  签订合同</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25.3 如采购人无正当理由拒签合同的，采购人给中标供应商造成损失的，中标供应商可追究采购人承担相应的法律责任。</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25.4  采购人在签订合同之前有权要求中标供应商提供本项目必需的相关资料原件进行核查，中标供应商不得拒绝。如中标供应商拒绝提供，则自行承担由此产生的后果。</w:t>
      </w:r>
    </w:p>
    <w:p>
      <w:pPr>
        <w:pStyle w:val="17"/>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25.9　采购人或中标供应商在合同履行过程中存在违反政府采购合同行为的，权益受损当事人应当将有关违约的情况以及拟采取的措施，及时书面报告采购代理机构。</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26.  履约保证金及质量保证金</w:t>
      </w:r>
    </w:p>
    <w:p>
      <w:pPr>
        <w:pStyle w:val="17"/>
        <w:spacing w:line="360" w:lineRule="auto"/>
        <w:ind w:firstLine="420"/>
        <w:rPr>
          <w:rFonts w:cs="宋体" w:asciiTheme="majorEastAsia" w:hAnsiTheme="majorEastAsia" w:eastAsiaTheme="majorEastAsia"/>
        </w:rPr>
      </w:pPr>
      <w:r>
        <w:rPr>
          <w:rFonts w:cs="宋体" w:asciiTheme="majorEastAsia" w:hAnsiTheme="majorEastAsia" w:eastAsiaTheme="majorEastAsia"/>
          <w:sz w:val="24"/>
          <w:szCs w:val="24"/>
        </w:rPr>
        <w:t>本项目不收取履约保证金及质量保证金。</w:t>
      </w:r>
    </w:p>
    <w:p>
      <w:pPr>
        <w:pStyle w:val="17"/>
        <w:spacing w:line="360" w:lineRule="auto"/>
        <w:jc w:val="center"/>
        <w:outlineLvl w:val="1"/>
        <w:rPr>
          <w:rFonts w:cs="宋体" w:asciiTheme="majorEastAsia" w:hAnsiTheme="majorEastAsia" w:eastAsiaTheme="majorEastAsia"/>
          <w:b/>
          <w:sz w:val="30"/>
          <w:szCs w:val="30"/>
        </w:rPr>
      </w:pPr>
      <w:bookmarkStart w:id="42" w:name="_Toc22087"/>
      <w:bookmarkStart w:id="43" w:name="_Toc213326422"/>
      <w:bookmarkStart w:id="44" w:name="_Toc448343862"/>
      <w:bookmarkStart w:id="45" w:name="_Toc508092935"/>
      <w:r>
        <w:rPr>
          <w:rFonts w:cs="宋体" w:asciiTheme="majorEastAsia" w:hAnsiTheme="majorEastAsia" w:eastAsiaTheme="majorEastAsia"/>
          <w:b/>
          <w:sz w:val="30"/>
          <w:szCs w:val="30"/>
        </w:rPr>
        <w:t>七    其他事项</w:t>
      </w:r>
      <w:bookmarkEnd w:id="42"/>
      <w:bookmarkEnd w:id="43"/>
      <w:bookmarkEnd w:id="44"/>
      <w:bookmarkEnd w:id="45"/>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27.  解释权</w:t>
      </w:r>
    </w:p>
    <w:p>
      <w:pPr>
        <w:spacing w:line="360" w:lineRule="auto"/>
        <w:ind w:firstLine="360"/>
        <w:rPr>
          <w:rFonts w:asciiTheme="majorEastAsia" w:hAnsiTheme="majorEastAsia" w:eastAsiaTheme="majorEastAsia"/>
          <w:sz w:val="24"/>
        </w:rPr>
      </w:pPr>
      <w:r>
        <w:rPr>
          <w:rFonts w:hint="eastAsia" w:asciiTheme="majorEastAsia" w:hAnsiTheme="majorEastAsia" w:eastAsiaTheme="majorEastAsia"/>
          <w:sz w:val="24"/>
        </w:rPr>
        <w:t>27.1  本招标文件根据《中华人民共和国政府采购法》、《政府采购货物和服务招标投标管理办法》及相关法律法规编制，解释权属采购代理机构。</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28.   其他</w:t>
      </w:r>
    </w:p>
    <w:p>
      <w:pPr>
        <w:pStyle w:val="17"/>
        <w:spacing w:line="360" w:lineRule="auto"/>
        <w:ind w:firstLine="720" w:firstLineChars="3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只要投标人参与投标并递交投标文件即视为已经理解并毫无保留地同意了本招标文件的所有条文。</w:t>
      </w:r>
    </w:p>
    <w:p>
      <w:pPr>
        <w:pStyle w:val="17"/>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29.   投标文件的退回</w:t>
      </w:r>
    </w:p>
    <w:p>
      <w:pPr>
        <w:pStyle w:val="17"/>
        <w:spacing w:line="360" w:lineRule="auto"/>
        <w:ind w:firstLine="600" w:firstLineChars="25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所有投标文件均不予退回</w:t>
      </w:r>
    </w:p>
    <w:p>
      <w:pPr>
        <w:widowControl w:val="0"/>
        <w:numPr>
          <w:ilvl w:val="0"/>
          <w:numId w:val="5"/>
        </w:numPr>
        <w:adjustRightInd/>
        <w:snapToGrid/>
        <w:spacing w:after="0"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需要补充的其他内容</w:t>
      </w:r>
    </w:p>
    <w:p>
      <w:pPr>
        <w:pStyle w:val="17"/>
        <w:spacing w:line="360" w:lineRule="auto"/>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    30.1  需要补充的其他内容：见投标人须知前附表。</w:t>
      </w:r>
    </w:p>
    <w:p>
      <w:pPr>
        <w:spacing w:line="360" w:lineRule="auto"/>
        <w:rPr>
          <w:rFonts w:asciiTheme="majorEastAsia" w:hAnsiTheme="majorEastAsia" w:eastAsiaTheme="majorEastAsia"/>
          <w:b/>
          <w:sz w:val="36"/>
          <w:szCs w:val="20"/>
        </w:rPr>
      </w:pPr>
      <w:bookmarkStart w:id="46" w:name="_Toc213326423"/>
      <w:bookmarkStart w:id="47" w:name="_Toc508092936"/>
      <w:r>
        <w:rPr>
          <w:rFonts w:asciiTheme="majorEastAsia" w:hAnsiTheme="majorEastAsia" w:eastAsiaTheme="majorEastAsia"/>
          <w:b/>
          <w:sz w:val="36"/>
        </w:rPr>
        <w:br w:type="page"/>
      </w:r>
    </w:p>
    <w:p>
      <w:pPr>
        <w:pStyle w:val="17"/>
        <w:jc w:val="center"/>
        <w:outlineLvl w:val="0"/>
        <w:rPr>
          <w:rFonts w:cs="宋体" w:asciiTheme="majorEastAsia" w:hAnsiTheme="majorEastAsia" w:eastAsiaTheme="majorEastAsia"/>
        </w:rPr>
      </w:pPr>
      <w:bookmarkStart w:id="48" w:name="_Toc10506"/>
      <w:r>
        <w:rPr>
          <w:rFonts w:cs="宋体" w:asciiTheme="majorEastAsia" w:hAnsiTheme="majorEastAsia" w:eastAsiaTheme="majorEastAsia"/>
          <w:b/>
          <w:sz w:val="36"/>
        </w:rPr>
        <w:t>第五章  投标文件格式</w:t>
      </w:r>
      <w:bookmarkEnd w:id="46"/>
      <w:bookmarkEnd w:id="47"/>
      <w:bookmarkEnd w:id="48"/>
    </w:p>
    <w:p>
      <w:pPr>
        <w:pStyle w:val="17"/>
        <w:jc w:val="left"/>
        <w:rPr>
          <w:rFonts w:cs="宋体" w:asciiTheme="majorEastAsia" w:hAnsiTheme="majorEastAsia" w:eastAsiaTheme="majorEastAsia"/>
          <w:b/>
        </w:rPr>
      </w:pPr>
      <w:bookmarkStart w:id="49" w:name="_Toc31888"/>
      <w:bookmarkStart w:id="50" w:name="_Toc2682"/>
      <w:bookmarkStart w:id="51" w:name="_Toc508092937"/>
      <w:r>
        <w:rPr>
          <w:rFonts w:cs="宋体" w:asciiTheme="majorEastAsia" w:hAnsiTheme="majorEastAsia" w:eastAsiaTheme="majorEastAsia"/>
          <w:b/>
        </w:rPr>
        <w:t>格式1：</w:t>
      </w:r>
      <w:bookmarkEnd w:id="49"/>
      <w:bookmarkEnd w:id="50"/>
      <w:bookmarkEnd w:id="51"/>
    </w:p>
    <w:p>
      <w:pPr>
        <w:pStyle w:val="17"/>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投标函（格式）</w:t>
      </w:r>
    </w:p>
    <w:p>
      <w:pPr>
        <w:pStyle w:val="17"/>
        <w:spacing w:line="440" w:lineRule="exact"/>
        <w:ind w:firstLine="435"/>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7"/>
        <w:spacing w:line="440" w:lineRule="exact"/>
        <w:ind w:firstLine="435"/>
        <w:rPr>
          <w:rFonts w:cs="宋体" w:asciiTheme="majorEastAsia" w:hAnsiTheme="majorEastAsia" w:eastAsiaTheme="majorEastAsia"/>
          <w:sz w:val="24"/>
          <w:szCs w:val="24"/>
        </w:rPr>
      </w:pP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我方已仔细阅读了贵方组织的</w:t>
      </w:r>
      <w:r>
        <w:rPr>
          <w:rFonts w:cs="宋体" w:asciiTheme="majorEastAsia" w:hAnsiTheme="majorEastAsia" w:eastAsiaTheme="majorEastAsia"/>
          <w:sz w:val="24"/>
          <w:szCs w:val="24"/>
          <w:u w:val="single"/>
        </w:rPr>
        <w:t xml:space="preserve">        （项目名称）       </w:t>
      </w:r>
      <w:r>
        <w:rPr>
          <w:rFonts w:cs="宋体" w:asciiTheme="majorEastAsia" w:hAnsiTheme="majorEastAsia" w:eastAsiaTheme="majorEastAsia"/>
          <w:sz w:val="24"/>
          <w:szCs w:val="24"/>
        </w:rPr>
        <w:t xml:space="preserve">项目（项目编号：）的招标文件的全部内容，现正式递交下述文件参加贵方组织的本次政府采购活动： </w:t>
      </w:r>
    </w:p>
    <w:p>
      <w:pPr>
        <w:pStyle w:val="17"/>
        <w:numPr>
          <w:ilvl w:val="0"/>
          <w:numId w:val="6"/>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份（包含按投标人须知第10.1.1项要求提交的全部文件）；</w:t>
      </w:r>
    </w:p>
    <w:p>
      <w:pPr>
        <w:pStyle w:val="17"/>
        <w:numPr>
          <w:ilvl w:val="0"/>
          <w:numId w:val="6"/>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份（包含按投标人须知第10.1.2项要求提交的全部文件）；</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二、技术文件正本一份，副本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份（包含按投标人须知第10.1.3项要求提交的全部文件）；</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三、商务文件正本一份，副本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份（包含按投标人须知第10.1.4项要求提交的全部文件）。</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据此函，签字人兹宣布：</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1、我方愿意以（大写）人民币（￥元)的投标总报价，</w:t>
      </w:r>
      <w:r>
        <w:rPr>
          <w:rFonts w:cs="宋体" w:asciiTheme="majorEastAsia" w:hAnsiTheme="majorEastAsia" w:eastAsiaTheme="majorEastAsia"/>
          <w:sz w:val="24"/>
        </w:rPr>
        <w:t>提交服务</w:t>
      </w:r>
      <w:r>
        <w:rPr>
          <w:rFonts w:hint="eastAsia" w:cs="宋体" w:asciiTheme="majorEastAsia" w:hAnsiTheme="majorEastAsia" w:eastAsiaTheme="majorEastAsia"/>
          <w:sz w:val="24"/>
        </w:rPr>
        <w:t>时间</w:t>
      </w:r>
      <w:r>
        <w:rPr>
          <w:rFonts w:cs="宋体" w:asciiTheme="majorEastAsia" w:hAnsiTheme="majorEastAsia" w:eastAsiaTheme="majorEastAsia"/>
          <w:sz w:val="24"/>
          <w:szCs w:val="24"/>
        </w:rPr>
        <w:t>：，提供本项目招标文件第二章“服务需求一览表”中的采购内容。</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2、我方同意自本项目招标文件“投标人须知”第15.1项规定的投标截止时间（开标时间）起遵循本投标函，并承诺在“投标人须知”第12.1项规定的投标有效期内不修改、撤销投标文件。</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3、我方在此声明，所递交的投标文件及有关资料内容完整、真实和准确。</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7"/>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具有独立承担民事责任的能力；</w:t>
      </w:r>
    </w:p>
    <w:p>
      <w:pPr>
        <w:pStyle w:val="17"/>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具有良好的商业信誉和健全的财务会计制度；</w:t>
      </w:r>
    </w:p>
    <w:p>
      <w:pPr>
        <w:pStyle w:val="17"/>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具有履行合同所必需的设备和专业技术能力；</w:t>
      </w:r>
    </w:p>
    <w:p>
      <w:pPr>
        <w:pStyle w:val="17"/>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有依法缴纳税收和社会保障资金的良好记录；</w:t>
      </w:r>
    </w:p>
    <w:p>
      <w:pPr>
        <w:pStyle w:val="17"/>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参加政府采购活动前三年内，在经营活动中没有重大违法记录；</w:t>
      </w:r>
    </w:p>
    <w:p>
      <w:pPr>
        <w:pStyle w:val="17"/>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法律、行政法规规定的其他条件。</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5、如本项目采购内容涉及须符合国家强制规定的，我方承诺我方本次投标（包括资格条件和所投产品）均符合国家有关强制规定。</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7、我方已详细审核招标文件，我方知道必须放弃提出含糊不清或误解问题的权利。</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8、我方同意应贵方要求提供与本投标有关的任何数据或资料。若贵方需要，我方愿意提供我方作出的一切承诺的证明材料。</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9、我方完全理解贵方不一定接受投标报价最低的投标人为中标供应商的行为。</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8"/>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提供虚假材料谋取中标、中标的；</w:t>
      </w:r>
    </w:p>
    <w:p>
      <w:pPr>
        <w:pStyle w:val="17"/>
        <w:numPr>
          <w:ilvl w:val="0"/>
          <w:numId w:val="8"/>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采取不正当手段诋毁、排挤其他供应商的；</w:t>
      </w:r>
    </w:p>
    <w:p>
      <w:pPr>
        <w:pStyle w:val="17"/>
        <w:numPr>
          <w:ilvl w:val="0"/>
          <w:numId w:val="8"/>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与采购人、其他供应商或者采购代理机构恶意串通的；</w:t>
      </w:r>
    </w:p>
    <w:p>
      <w:pPr>
        <w:pStyle w:val="17"/>
        <w:numPr>
          <w:ilvl w:val="0"/>
          <w:numId w:val="8"/>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向采购人、采购代理机构行贿或者提供其他不正当利益的；</w:t>
      </w:r>
    </w:p>
    <w:p>
      <w:pPr>
        <w:pStyle w:val="17"/>
        <w:numPr>
          <w:ilvl w:val="0"/>
          <w:numId w:val="8"/>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在招标采购过程中与采购人进行协商谈判的；</w:t>
      </w:r>
    </w:p>
    <w:p>
      <w:pPr>
        <w:pStyle w:val="17"/>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  拒绝有关部门监督检查或提供虚假情况的。</w:t>
      </w:r>
    </w:p>
    <w:p>
      <w:pPr>
        <w:pStyle w:val="17"/>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11、我方及由本人担任法定代表人的其他机构最近三年内被处罚的违法行为有：</w:t>
      </w:r>
      <w:r>
        <w:rPr>
          <w:rFonts w:cs="宋体" w:asciiTheme="majorEastAsia" w:hAnsiTheme="majorEastAsia" w:eastAsiaTheme="majorEastAsia"/>
          <w:sz w:val="24"/>
          <w:szCs w:val="24"/>
          <w:u w:val="single"/>
        </w:rPr>
        <w:t>_________________________________________________________________________</w:t>
      </w:r>
      <w:r>
        <w:rPr>
          <w:rFonts w:cs="宋体" w:asciiTheme="majorEastAsia" w:hAnsiTheme="majorEastAsia" w:eastAsiaTheme="majorEastAsia"/>
          <w:sz w:val="24"/>
          <w:szCs w:val="24"/>
        </w:rPr>
        <w:t>。</w:t>
      </w:r>
    </w:p>
    <w:p>
      <w:pPr>
        <w:pStyle w:val="17"/>
        <w:spacing w:line="440" w:lineRule="exact"/>
        <w:ind w:left="420"/>
        <w:rPr>
          <w:rFonts w:cs="宋体" w:asciiTheme="majorEastAsia" w:hAnsiTheme="majorEastAsia" w:eastAsiaTheme="majorEastAsia"/>
          <w:sz w:val="24"/>
          <w:szCs w:val="24"/>
        </w:rPr>
      </w:pPr>
      <w:r>
        <w:rPr>
          <w:rFonts w:cs="宋体" w:asciiTheme="majorEastAsia" w:hAnsiTheme="majorEastAsia" w:eastAsiaTheme="majorEastAsia"/>
          <w:sz w:val="24"/>
          <w:szCs w:val="24"/>
        </w:rPr>
        <w:t>12、以上事项如有虚假或隐瞒，我方愿意承担一切后果，并不再寻求任何旨在减轻或免除法律责任的辩解。</w:t>
      </w:r>
    </w:p>
    <w:p>
      <w:pPr>
        <w:pStyle w:val="17"/>
        <w:spacing w:line="440" w:lineRule="exact"/>
        <w:ind w:left="420"/>
        <w:rPr>
          <w:rFonts w:cs="宋体" w:asciiTheme="majorEastAsia" w:hAnsiTheme="majorEastAsia" w:eastAsiaTheme="majorEastAsia"/>
          <w:sz w:val="24"/>
          <w:szCs w:val="24"/>
        </w:rPr>
      </w:pPr>
    </w:p>
    <w:p>
      <w:pPr>
        <w:pStyle w:val="17"/>
        <w:spacing w:line="360" w:lineRule="auto"/>
        <w:ind w:firstLine="360" w:firstLineChars="15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法定代表人或其委托代理人：（签字或盖章）</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hint="eastAsia" w:cs="宋体" w:asciiTheme="majorEastAsia" w:hAnsiTheme="majorEastAsia" w:eastAsiaTheme="majorEastAsia"/>
          <w:sz w:val="24"/>
          <w:szCs w:val="24"/>
        </w:rPr>
        <w:t>__________________________________________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电话：</w:t>
      </w:r>
      <w:r>
        <w:rPr>
          <w:rFonts w:hint="eastAsia" w:cs="宋体" w:asciiTheme="majorEastAsia" w:hAnsiTheme="majorEastAsia" w:eastAsiaTheme="majorEastAsia"/>
          <w:sz w:val="24"/>
          <w:szCs w:val="24"/>
        </w:rPr>
        <w:t>__________________________________________</w:t>
      </w: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hint="eastAsia" w:cs="宋体" w:asciiTheme="majorEastAsia" w:hAnsiTheme="majorEastAsia" w:eastAsiaTheme="majorEastAsia"/>
          <w:sz w:val="24"/>
          <w:szCs w:val="24"/>
        </w:rPr>
        <w:t>__________________________________________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邮政编码：</w:t>
      </w:r>
      <w:r>
        <w:rPr>
          <w:rFonts w:hint="eastAsia" w:cs="宋体" w:asciiTheme="majorEastAsia" w:hAnsiTheme="majorEastAsia" w:eastAsiaTheme="majorEastAsia"/>
          <w:sz w:val="24"/>
          <w:szCs w:val="24"/>
        </w:rPr>
        <w:t>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开户名称：</w:t>
      </w:r>
      <w:r>
        <w:rPr>
          <w:rFonts w:hint="eastAsia" w:cs="宋体" w:asciiTheme="majorEastAsia" w:hAnsiTheme="majorEastAsia" w:eastAsiaTheme="majorEastAsia"/>
          <w:sz w:val="24"/>
          <w:szCs w:val="24"/>
        </w:rPr>
        <w:t>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银行账号：</w:t>
      </w:r>
      <w:r>
        <w:rPr>
          <w:rFonts w:hint="eastAsia" w:cs="宋体" w:asciiTheme="majorEastAsia" w:hAnsiTheme="majorEastAsia" w:eastAsiaTheme="majorEastAsia"/>
          <w:sz w:val="24"/>
          <w:szCs w:val="24"/>
        </w:rPr>
        <w:t>______________________________________</w:t>
      </w:r>
    </w:p>
    <w:p>
      <w:pPr>
        <w:pStyle w:val="17"/>
        <w:spacing w:line="360" w:lineRule="auto"/>
        <w:ind w:firstLine="465"/>
        <w:rPr>
          <w:rFonts w:cs="宋体" w:asciiTheme="majorEastAsia" w:hAnsiTheme="majorEastAsia" w:eastAsiaTheme="majorEastAsia"/>
          <w:bCs/>
          <w:sz w:val="24"/>
        </w:rPr>
      </w:pPr>
      <w:r>
        <w:rPr>
          <w:rFonts w:cs="宋体" w:asciiTheme="majorEastAsia" w:hAnsiTheme="majorEastAsia" w:eastAsiaTheme="majorEastAsia"/>
          <w:bCs/>
          <w:sz w:val="24"/>
        </w:rPr>
        <w:t>年月日</w:t>
      </w: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ind w:firstLine="465"/>
        <w:rPr>
          <w:rFonts w:cs="宋体" w:asciiTheme="majorEastAsia" w:hAnsiTheme="majorEastAsia" w:eastAsiaTheme="majorEastAsia"/>
          <w:bCs/>
          <w:sz w:val="24"/>
        </w:rPr>
      </w:pPr>
    </w:p>
    <w:p>
      <w:pPr>
        <w:pStyle w:val="17"/>
        <w:spacing w:line="360" w:lineRule="auto"/>
        <w:rPr>
          <w:rFonts w:cs="宋体" w:asciiTheme="majorEastAsia" w:hAnsiTheme="majorEastAsia" w:eastAsiaTheme="majorEastAsia"/>
          <w:b/>
        </w:rPr>
        <w:sectPr>
          <w:pgSz w:w="11906" w:h="16838"/>
          <w:pgMar w:top="1440" w:right="1080" w:bottom="1440" w:left="1080" w:header="851" w:footer="907" w:gutter="0"/>
          <w:cols w:space="720" w:num="1"/>
          <w:docGrid w:type="lines" w:linePitch="312" w:charSpace="0"/>
        </w:sectPr>
      </w:pPr>
    </w:p>
    <w:p>
      <w:pPr>
        <w:pStyle w:val="17"/>
        <w:spacing w:line="360" w:lineRule="auto"/>
        <w:rPr>
          <w:rFonts w:cs="宋体" w:asciiTheme="majorEastAsia" w:hAnsiTheme="majorEastAsia" w:eastAsiaTheme="majorEastAsia"/>
          <w:u w:val="single"/>
        </w:rPr>
      </w:pPr>
      <w:r>
        <w:rPr>
          <w:rFonts w:cs="宋体" w:asciiTheme="majorEastAsia" w:hAnsiTheme="majorEastAsia" w:eastAsiaTheme="majorEastAsia"/>
          <w:b/>
        </w:rPr>
        <w:t>格式2：</w:t>
      </w:r>
    </w:p>
    <w:p>
      <w:pPr>
        <w:pStyle w:val="17"/>
        <w:jc w:val="center"/>
        <w:rPr>
          <w:rFonts w:cs="宋体" w:asciiTheme="majorEastAsia" w:hAnsiTheme="majorEastAsia" w:eastAsiaTheme="majorEastAsia"/>
          <w:b/>
          <w:sz w:val="32"/>
        </w:rPr>
      </w:pPr>
      <w:r>
        <w:rPr>
          <w:rFonts w:cs="宋体" w:asciiTheme="majorEastAsia" w:hAnsiTheme="majorEastAsia" w:eastAsiaTheme="majorEastAsia"/>
          <w:b/>
          <w:sz w:val="32"/>
        </w:rPr>
        <w:t>投标报价表（格式）</w:t>
      </w:r>
    </w:p>
    <w:p>
      <w:pPr>
        <w:pStyle w:val="17"/>
        <w:jc w:val="center"/>
        <w:rPr>
          <w:rFonts w:cs="宋体" w:asciiTheme="majorEastAsia" w:hAnsiTheme="majorEastAsia" w:eastAsiaTheme="majorEastAsia"/>
          <w:b/>
          <w:sz w:val="32"/>
        </w:rPr>
      </w:pPr>
    </w:p>
    <w:tbl>
      <w:tblPr>
        <w:tblStyle w:val="26"/>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序号</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06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w:t>
            </w:r>
          </w:p>
        </w:tc>
        <w:tc>
          <w:tcPr>
            <w:tcW w:w="10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  ①</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单价</w:t>
            </w:r>
            <w:r>
              <w:rPr>
                <w:rFonts w:asciiTheme="majorEastAsia" w:hAnsiTheme="majorEastAsia" w:eastAsiaTheme="majorEastAsia"/>
                <w:sz w:val="24"/>
              </w:rPr>
              <w:t>(</w:t>
            </w:r>
            <w:r>
              <w:rPr>
                <w:rFonts w:hint="eastAsia" w:asciiTheme="majorEastAsia" w:hAnsiTheme="majorEastAsia" w:eastAsiaTheme="majorEastAsia"/>
                <w:sz w:val="24"/>
              </w:rPr>
              <w:t>元</w:t>
            </w:r>
            <w:r>
              <w:rPr>
                <w:rFonts w:asciiTheme="majorEastAsia" w:hAnsiTheme="majorEastAsia" w:eastAsiaTheme="majorEastAsia"/>
                <w:sz w:val="24"/>
              </w:rPr>
              <w:t>)</w:t>
            </w:r>
          </w:p>
          <w:p>
            <w:pPr>
              <w:ind w:firstLine="360" w:firstLineChars="150"/>
              <w:rPr>
                <w:rFonts w:asciiTheme="majorEastAsia" w:hAnsiTheme="majorEastAsia" w:eastAsiaTheme="majorEastAsia"/>
                <w:sz w:val="24"/>
              </w:rPr>
            </w:pPr>
            <w:r>
              <w:rPr>
                <w:rFonts w:hint="eastAsia" w:asciiTheme="majorEastAsia" w:hAnsiTheme="majorEastAsia" w:eastAsiaTheme="majorEastAsia"/>
                <w:sz w:val="24"/>
              </w:rPr>
              <w:t>②</w:t>
            </w:r>
          </w:p>
        </w:tc>
        <w:tc>
          <w:tcPr>
            <w:tcW w:w="1805"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单项合价（元）</w:t>
            </w:r>
          </w:p>
          <w:p>
            <w:pPr>
              <w:jc w:val="center"/>
              <w:rPr>
                <w:rFonts w:asciiTheme="majorEastAsia" w:hAnsiTheme="majorEastAsia" w:eastAsiaTheme="majorEastAsia"/>
                <w:sz w:val="24"/>
              </w:rPr>
            </w:pPr>
            <w:r>
              <w:rPr>
                <w:rFonts w:hint="eastAsia" w:asciiTheme="majorEastAsia" w:hAnsiTheme="majorEastAsia" w:eastAsiaTheme="majorEastAsia"/>
                <w:sz w:val="24"/>
              </w:rPr>
              <w:t>③＝①×②</w:t>
            </w:r>
          </w:p>
        </w:tc>
        <w:tc>
          <w:tcPr>
            <w:tcW w:w="957"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注：表格内容均需按要求填写并盖章，不得留空，</w:t>
      </w:r>
      <w:r>
        <w:rPr>
          <w:rFonts w:hint="eastAsia" w:asciiTheme="majorEastAsia" w:hAnsiTheme="majorEastAsia" w:eastAsiaTheme="majorEastAsia"/>
          <w:bCs/>
          <w:sz w:val="24"/>
        </w:rPr>
        <w:t>否则按投标无效处理</w:t>
      </w:r>
      <w:r>
        <w:rPr>
          <w:rFonts w:hint="eastAsia" w:asciiTheme="majorEastAsia" w:hAnsiTheme="majorEastAsia" w:eastAsiaTheme="majorEastAsia"/>
          <w:sz w:val="24"/>
        </w:rPr>
        <w:t>。</w:t>
      </w: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rPr>
        <w:br w:type="page"/>
      </w:r>
      <w:r>
        <w:rPr>
          <w:rFonts w:hint="eastAsia" w:asciiTheme="majorEastAsia" w:hAnsiTheme="majorEastAsia" w:eastAsiaTheme="majorEastAsia"/>
          <w:b/>
        </w:rPr>
        <w:t>格式3：</w:t>
      </w:r>
    </w:p>
    <w:p>
      <w:pPr>
        <w:pStyle w:val="17"/>
        <w:jc w:val="center"/>
        <w:rPr>
          <w:rFonts w:asciiTheme="majorEastAsia" w:hAnsiTheme="majorEastAsia" w:eastAsiaTheme="majorEastAsia"/>
          <w:b/>
          <w:sz w:val="30"/>
          <w:szCs w:val="30"/>
        </w:rPr>
      </w:pPr>
      <w:r>
        <w:rPr>
          <w:rFonts w:asciiTheme="majorEastAsia" w:hAnsiTheme="majorEastAsia" w:eastAsiaTheme="majorEastAsia"/>
          <w:b/>
          <w:sz w:val="30"/>
          <w:szCs w:val="30"/>
        </w:rPr>
        <w:t>中小企业声明函（格式）</w:t>
      </w:r>
    </w:p>
    <w:p>
      <w:pPr>
        <w:pStyle w:val="16"/>
        <w:spacing w:line="240" w:lineRule="auto"/>
        <w:ind w:firstLine="0"/>
        <w:rPr>
          <w:rFonts w:hint="default" w:asciiTheme="majorEastAsia" w:hAnsiTheme="majorEastAsia" w:eastAsiaTheme="majorEastAsia"/>
          <w:sz w:val="24"/>
          <w:szCs w:val="24"/>
        </w:rPr>
      </w:pPr>
      <w:r>
        <w:rPr>
          <w:rFonts w:asciiTheme="majorEastAsia" w:hAnsiTheme="majorEastAsia" w:eastAsiaTheme="majorEastAsia"/>
          <w:sz w:val="24"/>
          <w:szCs w:val="24"/>
        </w:rPr>
        <w:t>说明：</w:t>
      </w:r>
    </w:p>
    <w:p>
      <w:pPr>
        <w:pStyle w:val="16"/>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1、本声明函主要供参加政府采购活动的中小企业填写，非中小企业无需填写。</w:t>
      </w:r>
    </w:p>
    <w:p>
      <w:pPr>
        <w:pStyle w:val="16"/>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2、小型、微型企业提供中型企业制造的货物的，视同为中型企业。</w:t>
      </w:r>
    </w:p>
    <w:p>
      <w:pPr>
        <w:pStyle w:val="16"/>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6"/>
        <w:spacing w:line="360" w:lineRule="auto"/>
        <w:ind w:firstLine="464" w:firstLineChars="200"/>
        <w:rPr>
          <w:rFonts w:hint="default" w:asciiTheme="majorEastAsia" w:hAnsiTheme="majorEastAsia" w:eastAsiaTheme="majorEastAsia"/>
          <w:sz w:val="24"/>
          <w:szCs w:val="24"/>
        </w:rPr>
      </w:pPr>
    </w:p>
    <w:p>
      <w:pPr>
        <w:pStyle w:val="17"/>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本公司郑重声明，根据《政府采购促进中小企业发展暂行办法》（财库〔2011〕181号）的规定，本公司为______（请填写：中型、小型、微型）企业。即，本公司同时满足以下条件：</w:t>
      </w:r>
    </w:p>
    <w:p>
      <w:pPr>
        <w:pStyle w:val="17"/>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7"/>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7"/>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本公司对上述声明的真实性负责。如有虚假，将依法承担相应责任。</w:t>
      </w:r>
    </w:p>
    <w:p>
      <w:pPr>
        <w:pStyle w:val="17"/>
        <w:spacing w:line="360" w:lineRule="auto"/>
        <w:ind w:firstLine="480" w:firstLineChars="200"/>
        <w:rPr>
          <w:rFonts w:asciiTheme="majorEastAsia" w:hAnsiTheme="majorEastAsia" w:eastAsiaTheme="majorEastAsia"/>
          <w:sz w:val="24"/>
          <w:szCs w:val="24"/>
        </w:rPr>
      </w:pPr>
    </w:p>
    <w:p>
      <w:pPr>
        <w:pStyle w:val="17"/>
        <w:spacing w:line="360" w:lineRule="auto"/>
        <w:ind w:firstLine="480" w:firstLineChars="200"/>
        <w:rPr>
          <w:rFonts w:asciiTheme="majorEastAsia" w:hAnsiTheme="majorEastAsia" w:eastAsiaTheme="majorEastAsia"/>
          <w:sz w:val="24"/>
          <w:szCs w:val="24"/>
        </w:rPr>
      </w:pPr>
    </w:p>
    <w:p>
      <w:pPr>
        <w:pStyle w:val="17"/>
        <w:spacing w:line="360" w:lineRule="auto"/>
        <w:ind w:firstLine="480" w:firstLineChars="200"/>
        <w:rPr>
          <w:rFonts w:asciiTheme="majorEastAsia" w:hAnsiTheme="majorEastAsia" w:eastAsiaTheme="majorEastAsia"/>
          <w:sz w:val="24"/>
          <w:szCs w:val="24"/>
        </w:rPr>
      </w:pPr>
    </w:p>
    <w:p>
      <w:pPr>
        <w:pStyle w:val="17"/>
        <w:spacing w:line="6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投标人（盖单位公章）：</w:t>
      </w:r>
    </w:p>
    <w:p>
      <w:pPr>
        <w:pStyle w:val="17"/>
        <w:spacing w:line="600" w:lineRule="exact"/>
        <w:rPr>
          <w:rFonts w:asciiTheme="majorEastAsia" w:hAnsiTheme="majorEastAsia" w:eastAsiaTheme="majorEastAsia"/>
          <w:sz w:val="24"/>
          <w:szCs w:val="24"/>
          <w:u w:val="single"/>
        </w:rPr>
      </w:pPr>
    </w:p>
    <w:p>
      <w:pPr>
        <w:pStyle w:val="17"/>
        <w:spacing w:line="5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法定代表人或其委托代理人（签字或盖章）：</w:t>
      </w:r>
    </w:p>
    <w:p>
      <w:pPr>
        <w:pStyle w:val="17"/>
        <w:spacing w:line="360" w:lineRule="auto"/>
        <w:rPr>
          <w:rFonts w:asciiTheme="majorEastAsia" w:hAnsiTheme="majorEastAsia" w:eastAsiaTheme="majorEastAsia"/>
          <w:szCs w:val="21"/>
        </w:rPr>
      </w:pPr>
    </w:p>
    <w:p>
      <w:pPr>
        <w:spacing w:line="588" w:lineRule="exact"/>
        <w:rPr>
          <w:rFonts w:asciiTheme="majorEastAsia" w:hAnsiTheme="majorEastAsia" w:eastAsiaTheme="majorEastAsia"/>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格式4：</w:t>
      </w:r>
    </w:p>
    <w:p>
      <w:pPr>
        <w:spacing w:line="588" w:lineRule="exact"/>
        <w:jc w:val="center"/>
        <w:rPr>
          <w:rFonts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残疾人福利性单位声明函</w:t>
      </w:r>
    </w:p>
    <w:p>
      <w:pPr>
        <w:spacing w:line="588" w:lineRule="exact"/>
        <w:rPr>
          <w:rFonts w:asciiTheme="majorEastAsia" w:hAnsiTheme="majorEastAsia" w:eastAsiaTheme="majorEastAsia"/>
          <w:b/>
          <w:spacing w:val="6"/>
          <w:sz w:val="30"/>
          <w:szCs w:val="30"/>
        </w:rPr>
      </w:pP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本单位对上述声明的真实性负责。如有虚假，将依法承担相应责任。</w:t>
      </w:r>
    </w:p>
    <w:p>
      <w:pPr>
        <w:pStyle w:val="17"/>
        <w:spacing w:line="360" w:lineRule="auto"/>
        <w:ind w:firstLine="480" w:firstLineChars="200"/>
        <w:rPr>
          <w:rFonts w:cs="宋体" w:asciiTheme="majorEastAsia" w:hAnsiTheme="majorEastAsia" w:eastAsiaTheme="majorEastAsia"/>
          <w:sz w:val="24"/>
          <w:szCs w:val="24"/>
        </w:rPr>
      </w:pPr>
    </w:p>
    <w:p>
      <w:pPr>
        <w:pStyle w:val="17"/>
        <w:spacing w:line="360" w:lineRule="auto"/>
        <w:ind w:firstLine="480" w:firstLineChars="200"/>
        <w:rPr>
          <w:rFonts w:cs="宋体" w:asciiTheme="majorEastAsia" w:hAnsiTheme="majorEastAsia" w:eastAsiaTheme="majorEastAsia"/>
          <w:sz w:val="24"/>
          <w:szCs w:val="24"/>
        </w:rPr>
      </w:pP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单位名称（盖章）：</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日  期：</w:t>
      </w:r>
    </w:p>
    <w:p>
      <w:pPr>
        <w:pStyle w:val="17"/>
        <w:ind w:firstLine="480" w:firstLineChars="200"/>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格式5：</w:t>
      </w:r>
    </w:p>
    <w:p>
      <w:pPr>
        <w:pStyle w:val="17"/>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资格声明函（格式）</w:t>
      </w: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致：</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（采购代理机构名称）</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我方愿意参加贵方组织的</w:t>
      </w:r>
      <w:r>
        <w:rPr>
          <w:rFonts w:asciiTheme="majorEastAsia" w:hAnsiTheme="majorEastAsia" w:eastAsiaTheme="majorEastAsia"/>
          <w:sz w:val="24"/>
          <w:u w:val="single"/>
        </w:rPr>
        <w:t> (</w:t>
      </w:r>
      <w:r>
        <w:rPr>
          <w:rFonts w:hint="eastAsia" w:asciiTheme="majorEastAsia" w:hAnsiTheme="majorEastAsia" w:eastAsiaTheme="majorEastAsia"/>
          <w:sz w:val="24"/>
          <w:u w:val="single"/>
        </w:rPr>
        <w:t>项目名称</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（项目编号：）项目的投标，为便于贵方公正、择优地确定中标供应商及其投标服务成果和服务，我方就本次投标有关事项郑重声明如下：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）具有独立承担民事责任的能力；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）具有良好的商业信誉和健全的财务会计制度；</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）具有履行合同所必需的设备和专业技术能力；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）有依法缴纳税收和社会保障资金的良好记录；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）参加政府采购活动前三年内，在经营活动中没有重大违法记录；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）法律、行政法规规定的其他条件。</w:t>
      </w:r>
    </w:p>
    <w:p>
      <w:pPr>
        <w:spacing w:line="380" w:lineRule="exact"/>
        <w:ind w:firstLine="482"/>
        <w:rPr>
          <w:rFonts w:asciiTheme="majorEastAsia" w:hAnsiTheme="majorEastAsia" w:eastAsiaTheme="majorEastAsia"/>
          <w:sz w:val="24"/>
        </w:rPr>
      </w:pPr>
      <w:r>
        <w:rPr>
          <w:rFonts w:hint="eastAsia" w:asciiTheme="majorEastAsia" w:hAnsiTheme="majorEastAsia" w:eastAsiaTheme="majorEastAsia"/>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sz w:val="24"/>
        </w:rPr>
      </w:pP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法定代表人或委托代理人签字：</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投标人（盖章）：</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年月日</w:t>
      </w:r>
    </w:p>
    <w:p>
      <w:pPr>
        <w:rPr>
          <w:rFonts w:asciiTheme="majorEastAsia" w:hAnsiTheme="majorEastAsia" w:eastAsiaTheme="majorEastAsia"/>
          <w:b/>
          <w:szCs w:val="20"/>
        </w:rPr>
      </w:pPr>
      <w:r>
        <w:rPr>
          <w:rFonts w:asciiTheme="majorEastAsia" w:hAnsiTheme="majorEastAsia" w:eastAsiaTheme="majorEastAsia"/>
          <w:b/>
        </w:rPr>
        <w:br w:type="page"/>
      </w:r>
    </w:p>
    <w:p>
      <w:pPr>
        <w:pStyle w:val="17"/>
        <w:rPr>
          <w:rFonts w:cs="宋体" w:asciiTheme="majorEastAsia" w:hAnsiTheme="majorEastAsia" w:eastAsiaTheme="majorEastAsia"/>
          <w:sz w:val="24"/>
          <w:szCs w:val="24"/>
        </w:rPr>
      </w:pPr>
      <w:r>
        <w:rPr>
          <w:rFonts w:cs="宋体" w:asciiTheme="majorEastAsia" w:hAnsiTheme="majorEastAsia" w:eastAsiaTheme="majorEastAsia"/>
          <w:b/>
        </w:rPr>
        <w:t>格式6：</w:t>
      </w:r>
    </w:p>
    <w:p>
      <w:pPr>
        <w:pStyle w:val="17"/>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投标服务技术资料表（格式）</w:t>
      </w:r>
    </w:p>
    <w:p>
      <w:pPr>
        <w:pStyle w:val="17"/>
        <w:spacing w:line="440" w:lineRule="exact"/>
        <w:ind w:firstLine="480" w:firstLineChars="200"/>
        <w:rPr>
          <w:rFonts w:asciiTheme="majorEastAsia" w:hAnsiTheme="majorEastAsia" w:eastAsiaTheme="majorEastAsia"/>
          <w:sz w:val="24"/>
          <w:szCs w:val="24"/>
        </w:rPr>
      </w:pPr>
    </w:p>
    <w:p>
      <w:pPr>
        <w:pStyle w:val="17"/>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7"/>
        <w:rPr>
          <w:rFonts w:asciiTheme="majorEastAsia" w:hAnsiTheme="majorEastAsia" w:eastAsiaTheme="majorEastAsia"/>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sz w:val="24"/>
              </w:rPr>
            </w:pPr>
            <w:r>
              <w:rPr>
                <w:rFonts w:hint="eastAsia" w:asciiTheme="majorEastAsia" w:hAnsiTheme="majorEastAsia" w:eastAsiaTheme="majorEastAsia"/>
                <w:sz w:val="24"/>
              </w:rPr>
              <w:t>项号</w:t>
            </w:r>
          </w:p>
        </w:tc>
        <w:tc>
          <w:tcPr>
            <w:tcW w:w="3570"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招标文件需求</w:t>
            </w:r>
          </w:p>
        </w:tc>
        <w:tc>
          <w:tcPr>
            <w:tcW w:w="481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投标文件承诺</w:t>
            </w:r>
          </w:p>
        </w:tc>
        <w:tc>
          <w:tcPr>
            <w:tcW w:w="1539"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sz w:val="24"/>
              </w:rPr>
            </w:pP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31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服务内容及要求</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32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所提供服务的内容</w:t>
            </w:r>
          </w:p>
        </w:tc>
        <w:tc>
          <w:tcPr>
            <w:tcW w:w="1539" w:type="dxa"/>
            <w:vMerge w:val="continue"/>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310" w:type="dxa"/>
            <w:vAlign w:val="center"/>
          </w:tcPr>
          <w:p>
            <w:pPr>
              <w:rPr>
                <w:rFonts w:asciiTheme="majorEastAsia" w:hAnsiTheme="majorEastAsia" w:eastAsiaTheme="majorEastAsia"/>
                <w:sz w:val="24"/>
              </w:rPr>
            </w:pPr>
          </w:p>
        </w:tc>
        <w:tc>
          <w:tcPr>
            <w:tcW w:w="1516" w:type="dxa"/>
            <w:vAlign w:val="center"/>
          </w:tcPr>
          <w:p>
            <w:pPr>
              <w:rPr>
                <w:rFonts w:asciiTheme="majorEastAsia" w:hAnsiTheme="majorEastAsia" w:eastAsiaTheme="majorEastAsia"/>
                <w:sz w:val="24"/>
              </w:rPr>
            </w:pPr>
          </w:p>
        </w:tc>
        <w:tc>
          <w:tcPr>
            <w:tcW w:w="3297" w:type="dxa"/>
            <w:vAlign w:val="center"/>
          </w:tcPr>
          <w:p>
            <w:pPr>
              <w:rPr>
                <w:rFonts w:asciiTheme="majorEastAsia" w:hAnsiTheme="majorEastAsia" w:eastAsiaTheme="majorEastAsia"/>
                <w:sz w:val="24"/>
              </w:rPr>
            </w:pPr>
          </w:p>
        </w:tc>
        <w:tc>
          <w:tcPr>
            <w:tcW w:w="1539"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7"/>
        <w:spacing w:line="500" w:lineRule="exact"/>
        <w:rPr>
          <w:rFonts w:asciiTheme="majorEastAsia" w:hAnsiTheme="majorEastAsia" w:eastAsiaTheme="majorEastAsia"/>
          <w:sz w:val="24"/>
          <w:szCs w:val="24"/>
        </w:rPr>
      </w:pPr>
      <w:r>
        <w:rPr>
          <w:rFonts w:asciiTheme="majorEastAsia" w:hAnsiTheme="majorEastAsia" w:eastAsiaTheme="majorEastAsia"/>
          <w:sz w:val="24"/>
          <w:szCs w:val="24"/>
        </w:rPr>
        <w:t>注：</w:t>
      </w:r>
      <w:r>
        <w:rPr>
          <w:rFonts w:cs="宋体" w:asciiTheme="majorEastAsia" w:hAnsiTheme="majorEastAsia" w:eastAsiaTheme="majorEastAsia"/>
          <w:sz w:val="24"/>
          <w:szCs w:val="24"/>
        </w:rPr>
        <w:t>⑴</w:t>
      </w:r>
      <w:r>
        <w:rPr>
          <w:rFonts w:asciiTheme="majorEastAsia" w:hAnsiTheme="majorEastAsia" w:eastAsiaTheme="majorEastAsia"/>
          <w:sz w:val="24"/>
          <w:szCs w:val="24"/>
        </w:rPr>
        <w:t>表格内容均需按要求填写并盖章，不得留空，</w:t>
      </w:r>
      <w:r>
        <w:rPr>
          <w:rFonts w:asciiTheme="majorEastAsia" w:hAnsiTheme="majorEastAsia" w:eastAsiaTheme="majorEastAsia"/>
          <w:bCs/>
          <w:sz w:val="24"/>
          <w:szCs w:val="24"/>
        </w:rPr>
        <w:t>否则按投标无效处理</w:t>
      </w:r>
      <w:r>
        <w:rPr>
          <w:rFonts w:asciiTheme="majorEastAsia" w:hAnsiTheme="majorEastAsia" w:eastAsiaTheme="majorEastAsia"/>
          <w:sz w:val="24"/>
          <w:szCs w:val="24"/>
        </w:rPr>
        <w:t>。</w:t>
      </w:r>
    </w:p>
    <w:p>
      <w:pPr>
        <w:pStyle w:val="17"/>
        <w:spacing w:line="500" w:lineRule="exact"/>
        <w:ind w:left="742" w:leftChars="228" w:hanging="240" w:hangingChars="100"/>
        <w:rPr>
          <w:rFonts w:asciiTheme="majorEastAsia" w:hAnsiTheme="majorEastAsia" w:eastAsiaTheme="majorEastAsia"/>
          <w:bCs/>
          <w:sz w:val="24"/>
          <w:szCs w:val="24"/>
        </w:rPr>
      </w:pPr>
      <w:r>
        <w:rPr>
          <w:rFonts w:cs="宋体" w:asciiTheme="majorEastAsia" w:hAnsiTheme="majorEastAsia" w:eastAsiaTheme="majorEastAsia"/>
          <w:bCs/>
          <w:sz w:val="24"/>
          <w:szCs w:val="24"/>
        </w:rPr>
        <w:t>⑵</w:t>
      </w:r>
      <w:r>
        <w:rPr>
          <w:rFonts w:asciiTheme="majorEastAsia" w:hAnsiTheme="majorEastAsia" w:eastAsiaTheme="majorEastAsia"/>
          <w:bCs/>
          <w:sz w:val="24"/>
          <w:szCs w:val="24"/>
        </w:rPr>
        <w:t>当投标文件的服务内容低于招标文件要求时，投标人应当如实写明“负偏离”，否则视为虚假应标。</w:t>
      </w:r>
    </w:p>
    <w:p>
      <w:pPr>
        <w:pStyle w:val="17"/>
        <w:rPr>
          <w:rFonts w:asciiTheme="majorEastAsia" w:hAnsiTheme="majorEastAsia" w:eastAsiaTheme="majorEastAsia"/>
        </w:rPr>
      </w:pPr>
    </w:p>
    <w:p>
      <w:pPr>
        <w:pStyle w:val="17"/>
        <w:rPr>
          <w:rFonts w:asciiTheme="majorEastAsia" w:hAnsiTheme="majorEastAsia" w:eastAsiaTheme="majorEastAsia"/>
        </w:rPr>
      </w:pPr>
    </w:p>
    <w:p>
      <w:pPr>
        <w:pStyle w:val="17"/>
        <w:rPr>
          <w:rFonts w:cs="宋体" w:asciiTheme="majorEastAsia" w:hAnsiTheme="majorEastAsia" w:eastAsiaTheme="majorEastAsia"/>
        </w:rPr>
      </w:pPr>
      <w:r>
        <w:rPr>
          <w:rFonts w:cs="宋体" w:asciiTheme="majorEastAsia" w:hAnsiTheme="majorEastAsia" w:eastAsiaTheme="majorEastAsia"/>
        </w:rPr>
        <w:br w:type="page"/>
      </w:r>
      <w:r>
        <w:rPr>
          <w:rFonts w:cs="宋体" w:asciiTheme="majorEastAsia" w:hAnsiTheme="majorEastAsia" w:eastAsiaTheme="majorEastAsia"/>
          <w:b/>
        </w:rPr>
        <w:t>格式7：</w:t>
      </w:r>
    </w:p>
    <w:p>
      <w:pPr>
        <w:pStyle w:val="17"/>
        <w:spacing w:line="600" w:lineRule="exact"/>
        <w:ind w:firstLine="151" w:firstLineChars="50"/>
        <w:jc w:val="center"/>
        <w:rPr>
          <w:rFonts w:cs="宋体" w:asciiTheme="majorEastAsia" w:hAnsiTheme="majorEastAsia" w:eastAsiaTheme="majorEastAsia"/>
        </w:rPr>
      </w:pPr>
      <w:r>
        <w:rPr>
          <w:rFonts w:cs="宋体" w:asciiTheme="majorEastAsia" w:hAnsiTheme="majorEastAsia" w:eastAsiaTheme="majorEastAsia"/>
          <w:b/>
          <w:bCs/>
          <w:sz w:val="30"/>
          <w:szCs w:val="30"/>
        </w:rPr>
        <w:t>售后服务承诺书（格式）</w:t>
      </w:r>
    </w:p>
    <w:p>
      <w:pPr>
        <w:pStyle w:val="17"/>
        <w:spacing w:line="440" w:lineRule="exact"/>
        <w:ind w:firstLine="415" w:firstLineChars="198"/>
        <w:rPr>
          <w:rFonts w:cs="宋体" w:asciiTheme="majorEastAsia" w:hAnsiTheme="majorEastAsia" w:eastAsiaTheme="majorEastAsia"/>
        </w:rPr>
      </w:pPr>
    </w:p>
    <w:p>
      <w:pPr>
        <w:pStyle w:val="17"/>
        <w:spacing w:line="440" w:lineRule="exact"/>
        <w:ind w:firstLine="475" w:firstLineChars="198"/>
        <w:rPr>
          <w:rFonts w:cs="宋体" w:asciiTheme="majorEastAsia" w:hAnsiTheme="majorEastAsia" w:eastAsiaTheme="majorEastAsia"/>
          <w:sz w:val="24"/>
          <w:szCs w:val="24"/>
        </w:rPr>
      </w:pPr>
      <w:r>
        <w:rPr>
          <w:rFonts w:cs="宋体" w:asciiTheme="majorEastAsia" w:hAnsiTheme="majorEastAsia" w:eastAsiaTheme="majorEastAsia"/>
          <w:sz w:val="24"/>
          <w:szCs w:val="24"/>
        </w:rPr>
        <w:t>由投标人按本项目招标文件第二章“服务需求一览表”中商务条款部分的售后服务要求自行填写。</w:t>
      </w:r>
    </w:p>
    <w:p>
      <w:pPr>
        <w:pStyle w:val="17"/>
        <w:spacing w:line="440" w:lineRule="exact"/>
        <w:ind w:firstLine="480" w:firstLineChars="200"/>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rPr>
          <w:rFonts w:cs="宋体" w:asciiTheme="majorEastAsia" w:hAnsiTheme="majorEastAsia" w:eastAsiaTheme="majorEastAsia"/>
          <w:sz w:val="24"/>
          <w:szCs w:val="24"/>
        </w:rPr>
      </w:pPr>
    </w:p>
    <w:p>
      <w:pPr>
        <w:pStyle w:val="17"/>
        <w:spacing w:line="600" w:lineRule="exact"/>
        <w:ind w:firstLine="480" w:firstLineChars="200"/>
        <w:rPr>
          <w:rFonts w:cs="宋体" w:asciiTheme="majorEastAsia" w:hAnsiTheme="majorEastAsia" w:eastAsiaTheme="majorEastAsia"/>
          <w:sz w:val="24"/>
          <w:szCs w:val="24"/>
        </w:rPr>
      </w:pPr>
    </w:p>
    <w:p>
      <w:pPr>
        <w:pStyle w:val="17"/>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p>
    <w:p>
      <w:pPr>
        <w:pStyle w:val="17"/>
        <w:spacing w:line="600" w:lineRule="exact"/>
        <w:rPr>
          <w:rFonts w:cs="宋体" w:asciiTheme="majorEastAsia" w:hAnsiTheme="majorEastAsia" w:eastAsiaTheme="majorEastAsia"/>
          <w:sz w:val="24"/>
          <w:szCs w:val="24"/>
          <w:u w:val="single"/>
        </w:rPr>
      </w:pPr>
    </w:p>
    <w:p>
      <w:pPr>
        <w:pStyle w:val="17"/>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法定代表人或其委托代理人（签字或盖章）：</w:t>
      </w:r>
    </w:p>
    <w:p>
      <w:pPr>
        <w:pStyle w:val="17"/>
        <w:spacing w:line="600" w:lineRule="exact"/>
        <w:rPr>
          <w:rFonts w:cs="宋体" w:asciiTheme="majorEastAsia" w:hAnsiTheme="majorEastAsia" w:eastAsiaTheme="majorEastAsia"/>
          <w:sz w:val="24"/>
          <w:szCs w:val="24"/>
          <w:u w:val="single"/>
        </w:rPr>
      </w:pPr>
    </w:p>
    <w:p>
      <w:pPr>
        <w:pStyle w:val="17"/>
        <w:spacing w:line="600" w:lineRule="exact"/>
        <w:rPr>
          <w:rFonts w:cs="宋体" w:asciiTheme="majorEastAsia" w:hAnsiTheme="majorEastAsia" w:eastAsiaTheme="majorEastAsia"/>
          <w:sz w:val="24"/>
          <w:szCs w:val="24"/>
          <w:u w:val="single"/>
        </w:rPr>
      </w:pPr>
    </w:p>
    <w:p>
      <w:pPr>
        <w:pStyle w:val="17"/>
        <w:spacing w:line="600" w:lineRule="exact"/>
        <w:rPr>
          <w:rFonts w:cs="宋体" w:asciiTheme="majorEastAsia" w:hAnsiTheme="majorEastAsia" w:eastAsiaTheme="majorEastAsia"/>
          <w:sz w:val="24"/>
          <w:szCs w:val="24"/>
          <w:u w:val="single"/>
        </w:rPr>
      </w:pPr>
    </w:p>
    <w:p>
      <w:pPr>
        <w:pStyle w:val="17"/>
        <w:spacing w:line="600" w:lineRule="exact"/>
        <w:rPr>
          <w:rFonts w:cs="宋体" w:asciiTheme="majorEastAsia" w:hAnsiTheme="majorEastAsia" w:eastAsiaTheme="majorEastAsia"/>
          <w:sz w:val="24"/>
          <w:szCs w:val="24"/>
          <w:u w:val="single"/>
        </w:rPr>
      </w:pPr>
    </w:p>
    <w:p>
      <w:pPr>
        <w:pStyle w:val="17"/>
        <w:spacing w:line="600" w:lineRule="exact"/>
        <w:rPr>
          <w:rFonts w:cs="宋体" w:asciiTheme="majorEastAsia" w:hAnsiTheme="majorEastAsia" w:eastAsiaTheme="majorEastAsia"/>
          <w:sz w:val="24"/>
          <w:szCs w:val="24"/>
          <w:u w:val="single"/>
        </w:rPr>
      </w:pPr>
    </w:p>
    <w:p>
      <w:pPr>
        <w:adjustRightInd/>
        <w:snapToGrid/>
        <w:spacing w:line="220" w:lineRule="atLeast"/>
        <w:rPr>
          <w:rFonts w:asciiTheme="majorEastAsia" w:hAnsiTheme="majorEastAsia" w:eastAsiaTheme="majorEastAsia"/>
          <w:b/>
          <w:kern w:val="2"/>
          <w:sz w:val="21"/>
          <w:szCs w:val="20"/>
        </w:rPr>
      </w:pPr>
      <w:r>
        <w:rPr>
          <w:rFonts w:asciiTheme="majorEastAsia" w:hAnsiTheme="majorEastAsia" w:eastAsiaTheme="majorEastAsia"/>
          <w:b/>
        </w:rPr>
        <w:br w:type="page"/>
      </w:r>
    </w:p>
    <w:p>
      <w:pPr>
        <w:pStyle w:val="17"/>
        <w:spacing w:line="600" w:lineRule="exact"/>
        <w:rPr>
          <w:rFonts w:cs="宋体" w:asciiTheme="majorEastAsia" w:hAnsiTheme="majorEastAsia" w:eastAsiaTheme="majorEastAsia"/>
          <w:u w:val="single"/>
        </w:rPr>
      </w:pPr>
      <w:r>
        <w:rPr>
          <w:rFonts w:cs="宋体" w:asciiTheme="majorEastAsia" w:hAnsiTheme="majorEastAsia" w:eastAsiaTheme="majorEastAsia"/>
          <w:b/>
        </w:rPr>
        <w:t>格式8：</w:t>
      </w:r>
    </w:p>
    <w:p>
      <w:pPr>
        <w:pStyle w:val="17"/>
        <w:spacing w:line="500" w:lineRule="exact"/>
        <w:jc w:val="center"/>
        <w:rPr>
          <w:rFonts w:asciiTheme="majorEastAsia" w:hAnsiTheme="majorEastAsia" w:eastAsiaTheme="majorEastAsia"/>
        </w:rPr>
      </w:pPr>
      <w:r>
        <w:rPr>
          <w:rFonts w:asciiTheme="majorEastAsia" w:hAnsiTheme="majorEastAsia" w:eastAsiaTheme="majorEastAsia"/>
          <w:b/>
          <w:bCs/>
          <w:sz w:val="30"/>
          <w:szCs w:val="30"/>
        </w:rPr>
        <w:t>商务条款偏离表（格式）</w:t>
      </w:r>
    </w:p>
    <w:p>
      <w:pPr>
        <w:pStyle w:val="17"/>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项号</w:t>
            </w:r>
          </w:p>
        </w:tc>
        <w:tc>
          <w:tcPr>
            <w:tcW w:w="340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招标文件的商务需求</w:t>
            </w:r>
          </w:p>
        </w:tc>
        <w:tc>
          <w:tcPr>
            <w:tcW w:w="286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投标文件承诺的商务条款</w:t>
            </w:r>
          </w:p>
        </w:tc>
        <w:tc>
          <w:tcPr>
            <w:tcW w:w="2241"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一</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二</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sz w:val="24"/>
              </w:rPr>
            </w:pPr>
            <w:r>
              <w:rPr>
                <w:rFonts w:asciiTheme="majorEastAsia" w:hAnsiTheme="majorEastAsia" w:eastAsiaTheme="majorEastAsia"/>
                <w:sz w:val="24"/>
              </w:rPr>
              <w:t>...</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注：⑴表格内容均需按要求填写并盖章，不得留空，否则按投标无效处理。</w:t>
      </w:r>
    </w:p>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7"/>
        <w:spacing w:line="400" w:lineRule="exact"/>
        <w:rPr>
          <w:rFonts w:asciiTheme="majorEastAsia" w:hAnsiTheme="majorEastAsia" w:eastAsiaTheme="majorEastAsia"/>
          <w:sz w:val="24"/>
          <w:szCs w:val="24"/>
        </w:rPr>
      </w:pPr>
      <w:r>
        <w:rPr>
          <w:rFonts w:asciiTheme="majorEastAsia" w:hAnsiTheme="majorEastAsia" w:eastAsiaTheme="majorEastAsia"/>
          <w:sz w:val="24"/>
          <w:szCs w:val="24"/>
        </w:rPr>
        <w:t>⑶当投标文件的商务内容低于招标文件要求时，投标人应当如实写明“负偏离”，否则视为虚假应标。</w:t>
      </w:r>
    </w:p>
    <w:p>
      <w:pPr>
        <w:pStyle w:val="17"/>
        <w:spacing w:line="400" w:lineRule="exact"/>
        <w:rPr>
          <w:rFonts w:cs="宋体" w:asciiTheme="majorEastAsia" w:hAnsiTheme="majorEastAsia" w:eastAsiaTheme="majorEastAsia"/>
        </w:rPr>
      </w:pPr>
      <w:r>
        <w:rPr>
          <w:rFonts w:cs="宋体" w:asciiTheme="majorEastAsia" w:hAnsiTheme="majorEastAsia" w:eastAsiaTheme="majorEastAsia"/>
          <w:b/>
        </w:rPr>
        <w:br w:type="page"/>
      </w:r>
      <w:r>
        <w:rPr>
          <w:rFonts w:cs="宋体" w:asciiTheme="majorEastAsia" w:hAnsiTheme="majorEastAsia" w:eastAsiaTheme="majorEastAsia"/>
          <w:b/>
        </w:rPr>
        <w:t>格式9：</w:t>
      </w:r>
    </w:p>
    <w:p>
      <w:pPr>
        <w:pStyle w:val="17"/>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法定代表人授权委托书（格式）</w:t>
      </w:r>
    </w:p>
    <w:p>
      <w:pPr>
        <w:pStyle w:val="17"/>
        <w:spacing w:line="440" w:lineRule="exact"/>
        <w:ind w:firstLine="420" w:firstLineChars="200"/>
        <w:rPr>
          <w:rFonts w:cs="宋体" w:asciiTheme="majorEastAsia" w:hAnsiTheme="majorEastAsia" w:eastAsiaTheme="majorEastAsia"/>
          <w:u w:val="single"/>
        </w:rPr>
      </w:pPr>
    </w:p>
    <w:p>
      <w:pPr>
        <w:pStyle w:val="17"/>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7"/>
        <w:spacing w:line="440" w:lineRule="exact"/>
        <w:ind w:firstLine="480" w:firstLineChars="200"/>
        <w:rPr>
          <w:rFonts w:cs="宋体" w:asciiTheme="majorEastAsia" w:hAnsiTheme="majorEastAsia" w:eastAsiaTheme="majorEastAsia"/>
          <w:sz w:val="24"/>
          <w:szCs w:val="24"/>
        </w:rPr>
      </w:pPr>
    </w:p>
    <w:p>
      <w:pPr>
        <w:pStyle w:val="17"/>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人（姓名）系（投标人名称）的法定代表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17"/>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本授权书于年月日签字生效，委托期限：。</w:t>
      </w:r>
    </w:p>
    <w:p>
      <w:pPr>
        <w:pStyle w:val="17"/>
        <w:spacing w:line="360" w:lineRule="auto"/>
        <w:ind w:firstLine="420"/>
        <w:rPr>
          <w:rFonts w:cs="宋体" w:asciiTheme="majorEastAsia" w:hAnsiTheme="majorEastAsia" w:eastAsiaTheme="majorEastAsia"/>
          <w:sz w:val="24"/>
          <w:szCs w:val="24"/>
        </w:rPr>
      </w:pPr>
    </w:p>
    <w:p>
      <w:pPr>
        <w:pStyle w:val="17"/>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代理人无转委托权。</w:t>
      </w:r>
    </w:p>
    <w:p>
      <w:pPr>
        <w:pStyle w:val="17"/>
        <w:spacing w:line="360" w:lineRule="auto"/>
        <w:ind w:firstLine="420"/>
        <w:rPr>
          <w:rFonts w:cs="宋体" w:asciiTheme="majorEastAsia" w:hAnsiTheme="majorEastAsia" w:eastAsiaTheme="majorEastAsia"/>
          <w:sz w:val="24"/>
          <w:szCs w:val="24"/>
        </w:rPr>
      </w:pP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rPr>
        <w:t>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社会统一信用代码:</w:t>
      </w:r>
      <w:r>
        <w:rPr>
          <w:rFonts w:hint="eastAsia" w:cs="宋体" w:asciiTheme="majorEastAsia" w:hAnsiTheme="majorEastAsia" w:eastAsiaTheme="majorEastAsia"/>
          <w:sz w:val="24"/>
          <w:szCs w:val="24"/>
        </w:rPr>
        <w:t>_________________________________________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法定代表人（签字或盖章）：</w:t>
      </w:r>
      <w:r>
        <w:rPr>
          <w:rFonts w:hint="eastAsia" w:cs="宋体" w:asciiTheme="majorEastAsia" w:hAnsiTheme="majorEastAsia" w:eastAsiaTheme="majorEastAsia"/>
          <w:sz w:val="24"/>
          <w:szCs w:val="24"/>
        </w:rPr>
        <w:t>___________________________________</w:t>
      </w:r>
    </w:p>
    <w:p>
      <w:pPr>
        <w:pStyle w:val="17"/>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法定代表人身份证号码：</w:t>
      </w:r>
      <w:r>
        <w:rPr>
          <w:rFonts w:hint="eastAsia" w:cs="宋体" w:asciiTheme="majorEastAsia" w:hAnsiTheme="majorEastAsia" w:eastAsiaTheme="majorEastAsia"/>
          <w:sz w:val="24"/>
          <w:szCs w:val="24"/>
        </w:rPr>
        <w:t>______________________________________</w:t>
      </w:r>
    </w:p>
    <w:p>
      <w:pPr>
        <w:pStyle w:val="17"/>
        <w:spacing w:line="360" w:lineRule="auto"/>
        <w:ind w:firstLine="360" w:firstLineChars="150"/>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委托代理人（签字或盖章）：</w:t>
      </w:r>
      <w:r>
        <w:rPr>
          <w:rFonts w:hint="eastAsia" w:cs="宋体" w:asciiTheme="majorEastAsia" w:hAnsiTheme="majorEastAsia" w:eastAsiaTheme="majorEastAsia"/>
          <w:sz w:val="24"/>
          <w:szCs w:val="24"/>
        </w:rPr>
        <w:t>___________________________________</w:t>
      </w:r>
    </w:p>
    <w:p>
      <w:pPr>
        <w:pStyle w:val="17"/>
        <w:spacing w:line="360" w:lineRule="auto"/>
        <w:ind w:firstLine="420"/>
        <w:rPr>
          <w:rFonts w:cs="宋体" w:asciiTheme="majorEastAsia" w:hAnsiTheme="majorEastAsia" w:eastAsiaTheme="majorEastAsia"/>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sz w:val="24"/>
          <w:szCs w:val="24"/>
        </w:rPr>
        <w:t>委托代理人身份证号码：</w:t>
      </w:r>
      <w:r>
        <w:rPr>
          <w:rFonts w:hint="eastAsia" w:cs="宋体" w:asciiTheme="majorEastAsia" w:hAnsiTheme="majorEastAsia" w:eastAsiaTheme="majorEastAsia"/>
          <w:sz w:val="24"/>
          <w:szCs w:val="24"/>
        </w:rPr>
        <w:t>______________________________________</w:t>
      </w:r>
    </w:p>
    <w:p>
      <w:pPr>
        <w:pStyle w:val="17"/>
        <w:spacing w:line="360" w:lineRule="auto"/>
        <w:ind w:firstLine="420"/>
        <w:rPr>
          <w:rFonts w:cs="宋体" w:asciiTheme="majorEastAsia" w:hAnsiTheme="majorEastAsia" w:eastAsiaTheme="majorEastAsia"/>
          <w:sz w:val="24"/>
          <w:szCs w:val="24"/>
        </w:rPr>
      </w:pPr>
      <w:r>
        <w:rPr>
          <w:rFonts w:hint="eastAsia" w:cs="宋体" w:asciiTheme="majorEastAsia" w:hAnsiTheme="majorEastAsia" w:eastAsiaTheme="majorEastAsia"/>
          <w:b/>
          <w:bCs/>
        </w:rPr>
        <w:t>格式</w:t>
      </w:r>
      <w:r>
        <w:rPr>
          <w:rFonts w:cs="宋体" w:asciiTheme="majorEastAsia" w:hAnsiTheme="majorEastAsia" w:eastAsiaTheme="majorEastAsia"/>
          <w:b/>
          <w:bCs/>
        </w:rPr>
        <w:t>1</w:t>
      </w:r>
      <w:r>
        <w:rPr>
          <w:rFonts w:hint="eastAsia" w:cs="宋体" w:asciiTheme="majorEastAsia" w:hAnsiTheme="majorEastAsia" w:eastAsiaTheme="majorEastAsia"/>
          <w:b/>
          <w:bCs/>
        </w:rPr>
        <w:t>0：</w:t>
      </w:r>
    </w:p>
    <w:p>
      <w:pPr>
        <w:pStyle w:val="17"/>
        <w:spacing w:line="500" w:lineRule="exact"/>
        <w:jc w:val="center"/>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投标人直接控股、管理关系信息表（格式）</w:t>
      </w:r>
    </w:p>
    <w:p>
      <w:pPr>
        <w:spacing w:before="50" w:after="156" w:afterLines="50"/>
        <w:jc w:val="center"/>
        <w:rPr>
          <w:rFonts w:asciiTheme="majorEastAsia" w:hAnsiTheme="majorEastAsia" w:eastAsiaTheme="majorEastAsia"/>
          <w:b/>
          <w:sz w:val="28"/>
          <w:szCs w:val="28"/>
        </w:rPr>
      </w:pPr>
    </w:p>
    <w:p>
      <w:pPr>
        <w:spacing w:before="50" w:after="156" w:afterLines="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7"/>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p>
    <w:p>
      <w:pPr>
        <w:pStyle w:val="17"/>
        <w:spacing w:line="600" w:lineRule="exact"/>
        <w:rPr>
          <w:rFonts w:cs="宋体" w:asciiTheme="majorEastAsia" w:hAnsiTheme="majorEastAsia" w:eastAsiaTheme="majorEastAsia"/>
          <w:sz w:val="24"/>
          <w:szCs w:val="24"/>
        </w:rPr>
      </w:pPr>
    </w:p>
    <w:p>
      <w:pPr>
        <w:pStyle w:val="17"/>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jc w:val="center"/>
        <w:rPr>
          <w:rFonts w:asciiTheme="majorEastAsia" w:hAnsiTheme="majorEastAsia" w:eastAsiaTheme="majorEastAsia"/>
          <w:sz w:val="24"/>
          <w:szCs w:val="24"/>
        </w:rPr>
      </w:pPr>
      <w:r>
        <w:rPr>
          <w:rFonts w:hint="eastAsia" w:asciiTheme="majorEastAsia" w:hAnsiTheme="majorEastAsia" w:eastAsiaTheme="majorEastAsia"/>
          <w:b/>
          <w:sz w:val="24"/>
          <w:szCs w:val="24"/>
        </w:rPr>
        <w:br w:type="page"/>
      </w:r>
      <w:r>
        <w:rPr>
          <w:rFonts w:hint="eastAsia" w:asciiTheme="majorEastAsia" w:hAnsiTheme="majorEastAsia" w:eastAsiaTheme="majorEastAsia"/>
          <w:b/>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2.本表所指的管理关系仅限于直接管理关系，不包括间接的管理关系。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7"/>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p>
    <w:p>
      <w:pPr>
        <w:pStyle w:val="17"/>
        <w:spacing w:line="600" w:lineRule="exact"/>
        <w:rPr>
          <w:rFonts w:cs="宋体" w:asciiTheme="majorEastAsia" w:hAnsiTheme="majorEastAsia" w:eastAsiaTheme="majorEastAsia"/>
          <w:sz w:val="24"/>
          <w:szCs w:val="24"/>
        </w:rPr>
      </w:pPr>
    </w:p>
    <w:p>
      <w:pPr>
        <w:pStyle w:val="17"/>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pStyle w:val="17"/>
        <w:spacing w:line="360" w:lineRule="auto"/>
        <w:ind w:firstLine="420"/>
        <w:jc w:val="center"/>
        <w:rPr>
          <w:rFonts w:cs="宋体" w:asciiTheme="majorEastAsia" w:hAnsiTheme="majorEastAsia" w:eastAsiaTheme="majorEastAsia"/>
          <w:sz w:val="24"/>
          <w:szCs w:val="24"/>
        </w:rPr>
      </w:pPr>
    </w:p>
    <w:p>
      <w:pPr>
        <w:pStyle w:val="17"/>
        <w:spacing w:line="360" w:lineRule="auto"/>
        <w:outlineLvl w:val="0"/>
        <w:rPr>
          <w:rFonts w:cs="宋体" w:asciiTheme="majorEastAsia" w:hAnsiTheme="majorEastAsia" w:eastAsiaTheme="majorEastAsia"/>
          <w:b/>
          <w:sz w:val="36"/>
          <w:szCs w:val="36"/>
        </w:rPr>
      </w:pPr>
      <w:bookmarkStart w:id="52" w:name="_Toc213326424"/>
      <w:r>
        <w:rPr>
          <w:rFonts w:cs="宋体" w:asciiTheme="majorEastAsia" w:hAnsiTheme="majorEastAsia" w:eastAsiaTheme="majorEastAsia"/>
          <w:b/>
          <w:sz w:val="36"/>
          <w:szCs w:val="36"/>
        </w:rPr>
        <w:br w:type="page"/>
      </w:r>
    </w:p>
    <w:p>
      <w:pPr>
        <w:pStyle w:val="17"/>
        <w:spacing w:line="360" w:lineRule="auto"/>
        <w:jc w:val="center"/>
        <w:outlineLvl w:val="0"/>
        <w:rPr>
          <w:rFonts w:cs="宋体" w:asciiTheme="majorEastAsia" w:hAnsiTheme="majorEastAsia" w:eastAsiaTheme="majorEastAsia"/>
          <w:sz w:val="44"/>
        </w:rPr>
      </w:pPr>
      <w:bookmarkStart w:id="53" w:name="_Toc12816"/>
      <w:r>
        <w:rPr>
          <w:rFonts w:cs="宋体" w:asciiTheme="majorEastAsia" w:hAnsiTheme="majorEastAsia" w:eastAsiaTheme="majorEastAsia"/>
          <w:b/>
          <w:sz w:val="36"/>
          <w:szCs w:val="36"/>
        </w:rPr>
        <w:t>第六章  合同条款及格式</w:t>
      </w:r>
      <w:bookmarkEnd w:id="52"/>
      <w:bookmarkEnd w:id="53"/>
    </w:p>
    <w:p>
      <w:pPr>
        <w:spacing w:line="360" w:lineRule="auto"/>
        <w:ind w:firstLine="880" w:firstLineChars="200"/>
        <w:rPr>
          <w:rFonts w:asciiTheme="majorEastAsia" w:hAnsiTheme="majorEastAsia" w:eastAsiaTheme="majorEastAsia"/>
          <w:sz w:val="44"/>
        </w:rPr>
      </w:pPr>
    </w:p>
    <w:p>
      <w:pPr>
        <w:spacing w:line="360" w:lineRule="auto"/>
        <w:jc w:val="center"/>
        <w:rPr>
          <w:rFonts w:asciiTheme="majorEastAsia" w:hAnsiTheme="majorEastAsia" w:eastAsiaTheme="majorEastAsia"/>
          <w:b/>
          <w:bCs/>
          <w:sz w:val="52"/>
        </w:rPr>
      </w:pPr>
      <w:r>
        <w:rPr>
          <w:rFonts w:hint="eastAsia" w:asciiTheme="majorEastAsia" w:hAnsiTheme="majorEastAsia" w:eastAsiaTheme="majorEastAsia"/>
          <w:b/>
          <w:bCs/>
          <w:sz w:val="52"/>
        </w:rPr>
        <w:t>南 宁 市 政 府 采 购</w:t>
      </w:r>
    </w:p>
    <w:p>
      <w:pPr>
        <w:spacing w:line="360" w:lineRule="auto"/>
        <w:ind w:firstLine="440" w:firstLineChars="200"/>
        <w:rPr>
          <w:rFonts w:asciiTheme="majorEastAsia" w:hAnsiTheme="majorEastAsia" w:eastAsiaTheme="majorEastAsia"/>
        </w:rPr>
      </w:pPr>
    </w:p>
    <w:p>
      <w:pPr>
        <w:spacing w:line="360" w:lineRule="auto"/>
        <w:ind w:firstLine="440" w:firstLineChars="200"/>
        <w:rPr>
          <w:rFonts w:asciiTheme="majorEastAsia" w:hAnsiTheme="majorEastAsia" w:eastAsiaTheme="majorEastAsia"/>
        </w:rPr>
      </w:pPr>
    </w:p>
    <w:p>
      <w:pPr>
        <w:pStyle w:val="17"/>
        <w:spacing w:line="360" w:lineRule="auto"/>
        <w:ind w:hanging="13"/>
        <w:jc w:val="center"/>
        <w:rPr>
          <w:rFonts w:cs="宋体" w:asciiTheme="majorEastAsia" w:hAnsiTheme="majorEastAsia" w:eastAsiaTheme="majorEastAsia"/>
          <w:b/>
          <w:bCs/>
          <w:sz w:val="44"/>
        </w:rPr>
      </w:pPr>
      <w:r>
        <w:rPr>
          <w:rFonts w:hint="eastAsia" w:cs="宋体" w:asciiTheme="majorEastAsia" w:hAnsiTheme="majorEastAsia" w:eastAsiaTheme="majorEastAsia"/>
          <w:b/>
          <w:bCs/>
          <w:sz w:val="44"/>
          <w:szCs w:val="44"/>
          <w:u w:val="single"/>
        </w:rPr>
        <w:t>南宁市就业创业多媒体服务平台建设</w:t>
      </w:r>
      <w:r>
        <w:rPr>
          <w:rFonts w:cs="宋体" w:asciiTheme="majorEastAsia" w:hAnsiTheme="majorEastAsia" w:eastAsiaTheme="majorEastAsia"/>
          <w:b/>
          <w:bCs/>
          <w:sz w:val="44"/>
        </w:rPr>
        <w:t>合 同</w:t>
      </w:r>
    </w:p>
    <w:p>
      <w:pPr>
        <w:spacing w:line="360" w:lineRule="auto"/>
        <w:rPr>
          <w:rFonts w:asciiTheme="majorEastAsia" w:hAnsiTheme="majorEastAsia" w:eastAsiaTheme="majorEastAsia"/>
          <w:b/>
          <w:bCs/>
          <w:sz w:val="44"/>
        </w:rPr>
      </w:pPr>
    </w:p>
    <w:p>
      <w:pPr>
        <w:spacing w:line="360" w:lineRule="auto"/>
        <w:ind w:firstLine="2870" w:firstLineChars="794"/>
        <w:rPr>
          <w:rFonts w:asciiTheme="majorEastAsia" w:hAnsiTheme="majorEastAsia" w:eastAsiaTheme="majorEastAsia"/>
          <w:b/>
          <w:bCs/>
          <w:sz w:val="36"/>
          <w:szCs w:val="36"/>
        </w:rPr>
      </w:pPr>
    </w:p>
    <w:p>
      <w:pPr>
        <w:ind w:firstLine="1995" w:firstLineChars="552"/>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项目编号：NNZC2020-G3-990158-GXYZ</w:t>
      </w:r>
    </w:p>
    <w:p>
      <w:pPr>
        <w:ind w:firstLine="1995" w:firstLineChars="552"/>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审批编号：</w:t>
      </w:r>
      <w:r>
        <w:rPr>
          <w:rFonts w:hint="eastAsia" w:asciiTheme="majorEastAsia" w:hAnsiTheme="majorEastAsia" w:eastAsiaTheme="majorEastAsia"/>
          <w:b/>
          <w:sz w:val="36"/>
          <w:szCs w:val="36"/>
        </w:rPr>
        <w:fldChar w:fldCharType="begin"/>
      </w:r>
      <w:r>
        <w:rPr>
          <w:rFonts w:hint="eastAsia" w:asciiTheme="majorEastAsia" w:hAnsiTheme="majorEastAsia" w:eastAsiaTheme="majorEastAsia"/>
          <w:b/>
          <w:sz w:val="36"/>
          <w:szCs w:val="36"/>
        </w:rPr>
        <w:instrText xml:space="preserve"> HYPERLINK "https://pay.zcygov.cn/purchaseplan_front/" \l "/plan/list/detail?id=1000000000003408900&amp;encrypt=a17c287644305fb14b8899645f15f25c" \t "https://bidding.zcygov.cn/xmgl/projectQuery/_blank" </w:instrText>
      </w:r>
      <w:r>
        <w:rPr>
          <w:rFonts w:hint="eastAsia" w:asciiTheme="majorEastAsia" w:hAnsiTheme="majorEastAsia" w:eastAsiaTheme="majorEastAsia"/>
          <w:b/>
          <w:sz w:val="36"/>
          <w:szCs w:val="36"/>
        </w:rPr>
        <w:fldChar w:fldCharType="separate"/>
      </w:r>
      <w:r>
        <w:rPr>
          <w:rFonts w:hint="eastAsia" w:asciiTheme="majorEastAsia" w:hAnsiTheme="majorEastAsia" w:eastAsiaTheme="majorEastAsia"/>
          <w:b/>
          <w:sz w:val="36"/>
          <w:szCs w:val="36"/>
          <w:lang w:eastAsia="zh-CN"/>
        </w:rPr>
        <w:t>[2020]NCCSH197-001</w:t>
      </w:r>
      <w:r>
        <w:rPr>
          <w:rFonts w:hint="eastAsia" w:asciiTheme="majorEastAsia" w:hAnsiTheme="majorEastAsia" w:eastAsiaTheme="majorEastAsia"/>
          <w:b/>
          <w:sz w:val="36"/>
          <w:szCs w:val="36"/>
        </w:rPr>
        <w:fldChar w:fldCharType="end"/>
      </w:r>
      <w:r>
        <w:rPr>
          <w:rFonts w:hint="eastAsia" w:asciiTheme="majorEastAsia" w:hAnsiTheme="majorEastAsia" w:eastAsiaTheme="majorEastAsia"/>
          <w:b/>
          <w:sz w:val="36"/>
          <w:szCs w:val="36"/>
        </w:rPr>
        <w:t xml:space="preserve"> </w:t>
      </w: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r>
        <w:rPr>
          <w:rFonts w:hint="eastAsia" w:asciiTheme="majorEastAsia" w:hAnsiTheme="majorEastAsia" w:eastAsiaTheme="majorEastAsia"/>
          <w:b/>
          <w:sz w:val="36"/>
          <w:szCs w:val="36"/>
        </w:rPr>
        <w:t>采购人：</w:t>
      </w:r>
      <w:r>
        <w:rPr>
          <w:rFonts w:hint="eastAsia" w:asciiTheme="majorEastAsia" w:hAnsiTheme="majorEastAsia" w:eastAsiaTheme="majorEastAsia"/>
          <w:b/>
          <w:sz w:val="36"/>
          <w:szCs w:val="36"/>
          <w:u w:val="single"/>
        </w:rPr>
        <w:t>南宁市社会保障卡管理办公室</w:t>
      </w:r>
    </w:p>
    <w:p>
      <w:pPr>
        <w:tabs>
          <w:tab w:val="left" w:pos="7380"/>
        </w:tabs>
        <w:spacing w:line="360" w:lineRule="auto"/>
        <w:ind w:firstLine="1988" w:firstLineChars="550"/>
        <w:rPr>
          <w:rFonts w:asciiTheme="majorEastAsia" w:hAnsiTheme="majorEastAsia" w:eastAsiaTheme="majorEastAsia"/>
          <w:b/>
          <w:bCs/>
          <w:sz w:val="44"/>
        </w:rPr>
      </w:pPr>
      <w:r>
        <w:rPr>
          <w:rFonts w:hint="eastAsia" w:asciiTheme="majorEastAsia" w:hAnsiTheme="majorEastAsia" w:eastAsiaTheme="majorEastAsia"/>
          <w:b/>
          <w:sz w:val="36"/>
          <w:szCs w:val="36"/>
        </w:rPr>
        <w:t>中标供应商：</w:t>
      </w:r>
      <w:r>
        <w:rPr>
          <w:rFonts w:hint="eastAsia" w:asciiTheme="majorEastAsia" w:hAnsiTheme="majorEastAsia" w:eastAsiaTheme="majorEastAsia"/>
          <w:b/>
          <w:sz w:val="24"/>
          <w:szCs w:val="24"/>
        </w:rPr>
        <w:t>____________________________</w:t>
      </w:r>
    </w:p>
    <w:p>
      <w:pPr>
        <w:tabs>
          <w:tab w:val="left" w:pos="7380"/>
        </w:tabs>
        <w:spacing w:line="360" w:lineRule="auto"/>
        <w:jc w:val="center"/>
        <w:rPr>
          <w:rFonts w:asciiTheme="majorEastAsia" w:hAnsiTheme="majorEastAsia" w:eastAsiaTheme="majorEastAsia"/>
          <w:b/>
          <w:bCs/>
          <w:sz w:val="44"/>
        </w:rPr>
      </w:pPr>
      <w:r>
        <w:rPr>
          <w:rFonts w:hint="eastAsia" w:asciiTheme="majorEastAsia" w:hAnsiTheme="majorEastAsia" w:eastAsiaTheme="majorEastAsia"/>
          <w:b/>
          <w:bCs/>
          <w:sz w:val="44"/>
        </w:rPr>
        <w:br w:type="page"/>
      </w:r>
      <w:r>
        <w:rPr>
          <w:rFonts w:hint="eastAsia" w:asciiTheme="majorEastAsia" w:hAnsiTheme="majorEastAsia" w:eastAsiaTheme="majorEastAsia"/>
          <w:b/>
          <w:sz w:val="36"/>
          <w:szCs w:val="36"/>
        </w:rPr>
        <w:t>目  录</w:t>
      </w:r>
    </w:p>
    <w:p>
      <w:pPr>
        <w:tabs>
          <w:tab w:val="left" w:pos="1170"/>
        </w:tabs>
        <w:spacing w:line="360" w:lineRule="auto"/>
        <w:ind w:left="376" w:leftChars="171" w:firstLine="198" w:firstLineChars="71"/>
        <w:rPr>
          <w:rFonts w:asciiTheme="majorEastAsia" w:hAnsiTheme="majorEastAsia" w:eastAsiaTheme="majorEastAsia"/>
          <w:sz w:val="28"/>
        </w:rPr>
      </w:pPr>
      <w:r>
        <w:rPr>
          <w:rFonts w:hint="eastAsia" w:asciiTheme="majorEastAsia" w:hAnsiTheme="majorEastAsia" w:eastAsiaTheme="majorEastAsia"/>
          <w:sz w:val="28"/>
        </w:rPr>
        <w:tab/>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一、南宁市政府采购合同书</w:t>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二、合同附件</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1、中标通知书</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2、招标文件服务需求一览表</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3、招标文件的更改通知（如有）</w:t>
      </w:r>
    </w:p>
    <w:p>
      <w:pPr>
        <w:pStyle w:val="17"/>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4、投标函</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5、投标报价表</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6、投标服务技术资料表</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7、商务条款偏离表</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8、中标供应商澄清函（如有请提供）</w:t>
      </w:r>
    </w:p>
    <w:p>
      <w:pPr>
        <w:pStyle w:val="17"/>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9、其他与本合同相关的资料（如有请提供）</w:t>
      </w:r>
    </w:p>
    <w:p>
      <w:pP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sz w:val="30"/>
          <w:szCs w:val="30"/>
        </w:rPr>
        <w:t>南宁市政府采购合同书</w:t>
      </w:r>
    </w:p>
    <w:p>
      <w:pPr>
        <w:pStyle w:val="17"/>
        <w:spacing w:line="360" w:lineRule="auto"/>
        <w:rPr>
          <w:rFonts w:cs="宋体" w:asciiTheme="majorEastAsia" w:hAnsiTheme="majorEastAsia" w:eastAsiaTheme="majorEastAsia"/>
          <w:sz w:val="24"/>
          <w:szCs w:val="24"/>
        </w:rPr>
      </w:pPr>
    </w:p>
    <w:p>
      <w:pPr>
        <w:pStyle w:val="17"/>
        <w:spacing w:line="360" w:lineRule="auto"/>
        <w:ind w:left="1200" w:hanging="1200" w:hangingChars="500"/>
        <w:rPr>
          <w:rFonts w:cs="宋体" w:asciiTheme="majorEastAsia" w:hAnsiTheme="majorEastAsia" w:eastAsiaTheme="majorEastAsia"/>
          <w:b/>
          <w:sz w:val="44"/>
          <w:szCs w:val="44"/>
          <w:u w:val="single"/>
        </w:rPr>
      </w:pP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u w:val="single"/>
        </w:rPr>
        <w:t>南宁市就业创业多媒体服务平台建设</w:t>
      </w:r>
    </w:p>
    <w:p>
      <w:pPr>
        <w:pStyle w:val="17"/>
        <w:spacing w:line="360" w:lineRule="auto"/>
        <w:rPr>
          <w:rFonts w:hint="eastAsia" w:cs="宋体" w:asciiTheme="majorEastAsia" w:hAnsiTheme="majorEastAsia" w:eastAsiaTheme="majorEastAsia"/>
          <w:sz w:val="24"/>
          <w:szCs w:val="24"/>
          <w:u w:val="single"/>
        </w:rPr>
      </w:pPr>
      <w:r>
        <w:rPr>
          <w:rFonts w:cs="宋体" w:asciiTheme="majorEastAsia" w:hAnsiTheme="majorEastAsia" w:eastAsiaTheme="majorEastAsia"/>
          <w:sz w:val="24"/>
          <w:szCs w:val="24"/>
        </w:rPr>
        <w:t>项目编号：</w:t>
      </w:r>
      <w:r>
        <w:rPr>
          <w:rFonts w:hint="eastAsia" w:cs="宋体" w:asciiTheme="majorEastAsia" w:hAnsiTheme="majorEastAsia" w:eastAsiaTheme="majorEastAsia"/>
          <w:sz w:val="24"/>
          <w:szCs w:val="24"/>
          <w:u w:val="single"/>
        </w:rPr>
        <w:t>NNZC2020-G3-990158-GXYZ</w:t>
      </w:r>
    </w:p>
    <w:p>
      <w:pPr>
        <w:pStyle w:val="17"/>
        <w:spacing w:line="360" w:lineRule="auto"/>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分标：</w:t>
      </w:r>
      <w:r>
        <w:rPr>
          <w:rFonts w:cs="宋体" w:asciiTheme="majorEastAsia" w:hAnsiTheme="majorEastAsia" w:eastAsiaTheme="majorEastAsia"/>
          <w:sz w:val="24"/>
          <w:szCs w:val="24"/>
          <w:u w:val="single"/>
        </w:rPr>
        <w:t xml:space="preserve"> / </w:t>
      </w:r>
    </w:p>
    <w:p>
      <w:pPr>
        <w:pStyle w:val="17"/>
        <w:spacing w:line="360" w:lineRule="auto"/>
        <w:rPr>
          <w:rFonts w:cs="宋体" w:asciiTheme="majorEastAsia" w:hAnsiTheme="majorEastAsia" w:eastAsiaTheme="majorEastAsia"/>
          <w:sz w:val="24"/>
          <w:szCs w:val="24"/>
        </w:rPr>
      </w:pPr>
    </w:p>
    <w:p>
      <w:pPr>
        <w:pStyle w:val="17"/>
        <w:spacing w:line="360" w:lineRule="auto"/>
        <w:rPr>
          <w:rFonts w:cs="宋体" w:asciiTheme="majorEastAsia" w:hAnsiTheme="majorEastAsia" w:eastAsiaTheme="majorEastAsia"/>
          <w:sz w:val="24"/>
          <w:szCs w:val="24"/>
        </w:rPr>
      </w:pPr>
    </w:p>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甲方（买方）：</w:t>
      </w:r>
      <w:r>
        <w:rPr>
          <w:rFonts w:hint="eastAsia" w:asciiTheme="majorEastAsia" w:hAnsiTheme="majorEastAsia" w:eastAsiaTheme="majorEastAsia"/>
          <w:sz w:val="24"/>
          <w:u w:val="single"/>
        </w:rPr>
        <w:t>南宁市社会保障卡管理办公室</w:t>
      </w:r>
    </w:p>
    <w:p>
      <w:pPr>
        <w:pStyle w:val="17"/>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乙方（卖方）：</w:t>
      </w:r>
      <w:r>
        <w:rPr>
          <w:rFonts w:hint="eastAsia" w:cs="宋体" w:asciiTheme="majorEastAsia" w:hAnsiTheme="majorEastAsia" w:eastAsiaTheme="majorEastAsia"/>
          <w:kern w:val="0"/>
          <w:sz w:val="24"/>
          <w:szCs w:val="22"/>
          <w:u w:val="single"/>
        </w:rPr>
        <w:t xml:space="preserve">___________________________ </w:t>
      </w:r>
    </w:p>
    <w:p>
      <w:pPr>
        <w:pStyle w:val="17"/>
        <w:spacing w:line="360" w:lineRule="auto"/>
        <w:rPr>
          <w:rFonts w:cs="宋体" w:asciiTheme="majorEastAsia" w:hAnsiTheme="majorEastAsia" w:eastAsiaTheme="majorEastAsia"/>
          <w:b/>
          <w:sz w:val="24"/>
          <w:szCs w:val="24"/>
        </w:rPr>
      </w:pPr>
    </w:p>
    <w:p>
      <w:pPr>
        <w:pStyle w:val="17"/>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根据</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年月日南宁市政府采购项目的采购结果，甲方接受乙方对本项目的投标，甲、乙双方同意签署本合同（以下简称合同）。</w:t>
      </w:r>
    </w:p>
    <w:p>
      <w:pPr>
        <w:pStyle w:val="17"/>
        <w:spacing w:line="360" w:lineRule="auto"/>
        <w:rPr>
          <w:rFonts w:cs="宋体" w:asciiTheme="majorEastAsia" w:hAnsiTheme="majorEastAsia" w:eastAsiaTheme="majorEastAsia"/>
          <w:b/>
          <w:sz w:val="24"/>
          <w:szCs w:val="24"/>
        </w:rPr>
      </w:pP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  采购内容</w:t>
      </w:r>
    </w:p>
    <w:p>
      <w:pPr>
        <w:pStyle w:val="17"/>
        <w:tabs>
          <w:tab w:val="left" w:pos="5220"/>
        </w:tabs>
        <w:spacing w:line="360" w:lineRule="auto"/>
        <w:ind w:firstLine="480" w:firstLineChars="20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1.1 服务名称：</w:t>
      </w:r>
      <w:r>
        <w:rPr>
          <w:rFonts w:cs="宋体" w:asciiTheme="majorEastAsia" w:hAnsiTheme="majorEastAsia" w:eastAsiaTheme="majorEastAsia"/>
          <w:sz w:val="24"/>
          <w:szCs w:val="24"/>
          <w:u w:val="single"/>
        </w:rPr>
        <w:t>详见合同附件中投标报价表</w:t>
      </w:r>
    </w:p>
    <w:p>
      <w:pPr>
        <w:pStyle w:val="17"/>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数量：</w:t>
      </w:r>
      <w:r>
        <w:rPr>
          <w:rFonts w:cs="宋体" w:asciiTheme="majorEastAsia" w:hAnsiTheme="majorEastAsia" w:eastAsiaTheme="majorEastAsia"/>
          <w:sz w:val="24"/>
          <w:szCs w:val="24"/>
          <w:u w:val="single"/>
        </w:rPr>
        <w:t>详见合同附件中投标报价表</w:t>
      </w:r>
    </w:p>
    <w:p>
      <w:pPr>
        <w:pStyle w:val="17"/>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服务内容：</w:t>
      </w:r>
      <w:r>
        <w:rPr>
          <w:rFonts w:cs="宋体" w:asciiTheme="majorEastAsia" w:hAnsiTheme="majorEastAsia" w:eastAsiaTheme="majorEastAsia"/>
          <w:sz w:val="24"/>
          <w:szCs w:val="24"/>
          <w:u w:val="single"/>
        </w:rPr>
        <w:t>详见合同附件中投标服务技术资料表</w:t>
      </w:r>
    </w:p>
    <w:p>
      <w:pPr>
        <w:pStyle w:val="17"/>
        <w:tabs>
          <w:tab w:val="left" w:pos="5145"/>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  合同金额</w:t>
      </w:r>
    </w:p>
    <w:p>
      <w:pPr>
        <w:pStyle w:val="17"/>
        <w:spacing w:line="360" w:lineRule="auto"/>
        <w:ind w:firstLine="470" w:firstLineChars="196"/>
        <w:rPr>
          <w:rFonts w:cs="宋体" w:asciiTheme="majorEastAsia" w:hAnsiTheme="majorEastAsia" w:eastAsiaTheme="majorEastAsia"/>
          <w:b/>
          <w:bCs/>
          <w:sz w:val="24"/>
          <w:szCs w:val="24"/>
        </w:rPr>
      </w:pPr>
      <w:r>
        <w:rPr>
          <w:rFonts w:cs="宋体" w:asciiTheme="majorEastAsia" w:hAnsiTheme="majorEastAsia" w:eastAsiaTheme="majorEastAsia"/>
          <w:sz w:val="24"/>
          <w:szCs w:val="24"/>
        </w:rPr>
        <w:t>2.1 本合同金额为（大写）人民币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元）。（详见投标报价表）</w:t>
      </w:r>
    </w:p>
    <w:p>
      <w:pPr>
        <w:pStyle w:val="17"/>
        <w:tabs>
          <w:tab w:val="left" w:pos="5940"/>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3.  提交服务成果时间和地点</w:t>
      </w:r>
    </w:p>
    <w:p>
      <w:pPr>
        <w:pStyle w:val="17"/>
        <w:tabs>
          <w:tab w:val="left" w:pos="5250"/>
          <w:tab w:val="left" w:pos="5940"/>
        </w:tabs>
        <w:spacing w:line="360" w:lineRule="auto"/>
        <w:ind w:firstLine="470" w:firstLineChars="196"/>
        <w:rPr>
          <w:rFonts w:cs="宋体" w:asciiTheme="majorEastAsia" w:hAnsiTheme="majorEastAsia" w:eastAsiaTheme="majorEastAsia"/>
          <w:b/>
          <w:bCs/>
          <w:sz w:val="24"/>
          <w:szCs w:val="24"/>
          <w:u w:val="single"/>
        </w:rPr>
      </w:pPr>
      <w:r>
        <w:rPr>
          <w:rFonts w:cs="宋体" w:asciiTheme="majorEastAsia" w:hAnsiTheme="majorEastAsia" w:eastAsiaTheme="majorEastAsia"/>
          <w:bCs/>
          <w:sz w:val="24"/>
          <w:szCs w:val="24"/>
        </w:rPr>
        <w:t>3.1 提交服务成果时间：</w:t>
      </w:r>
      <w:r>
        <w:rPr>
          <w:rFonts w:hint="eastAsia" w:cs="宋体" w:asciiTheme="majorEastAsia" w:hAnsiTheme="majorEastAsia" w:eastAsiaTheme="majorEastAsia"/>
          <w:bCs/>
          <w:sz w:val="24"/>
          <w:szCs w:val="24"/>
          <w:u w:val="single"/>
          <w:lang w:val="en-US" w:eastAsia="zh-CN"/>
        </w:rPr>
        <w:t xml:space="preserve">                </w:t>
      </w:r>
      <w:r>
        <w:rPr>
          <w:rFonts w:cs="宋体" w:asciiTheme="majorEastAsia" w:hAnsiTheme="majorEastAsia" w:eastAsiaTheme="majorEastAsia"/>
          <w:bCs/>
          <w:sz w:val="24"/>
          <w:szCs w:val="24"/>
        </w:rPr>
        <w:t>。</w:t>
      </w:r>
    </w:p>
    <w:p>
      <w:pPr>
        <w:pStyle w:val="17"/>
        <w:tabs>
          <w:tab w:val="left" w:pos="5250"/>
          <w:tab w:val="left" w:pos="5940"/>
        </w:tabs>
        <w:spacing w:line="360" w:lineRule="auto"/>
        <w:ind w:firstLine="470" w:firstLineChars="196"/>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 xml:space="preserve">3.2 </w:t>
      </w:r>
      <w:r>
        <w:rPr>
          <w:rFonts w:cs="宋体" w:asciiTheme="majorEastAsia" w:hAnsiTheme="majorEastAsia" w:eastAsiaTheme="majorEastAsia"/>
          <w:sz w:val="24"/>
        </w:rPr>
        <w:t>服务地点</w:t>
      </w:r>
      <w:r>
        <w:rPr>
          <w:rFonts w:cs="宋体" w:asciiTheme="majorEastAsia" w:hAnsiTheme="majorEastAsia" w:eastAsiaTheme="majorEastAsia"/>
          <w:bCs/>
          <w:sz w:val="24"/>
          <w:szCs w:val="24"/>
        </w:rPr>
        <w:t>：</w:t>
      </w:r>
      <w:r>
        <w:rPr>
          <w:rFonts w:hint="eastAsia" w:cs="宋体" w:asciiTheme="majorEastAsia" w:hAnsiTheme="majorEastAsia" w:eastAsiaTheme="majorEastAsia"/>
          <w:bCs/>
          <w:sz w:val="24"/>
          <w:szCs w:val="24"/>
          <w:u w:val="single"/>
          <w:lang w:val="en-US" w:eastAsia="zh-CN"/>
        </w:rPr>
        <w:t xml:space="preserve">               </w:t>
      </w:r>
      <w:r>
        <w:rPr>
          <w:rFonts w:cs="宋体" w:asciiTheme="majorEastAsia" w:hAnsiTheme="majorEastAsia" w:eastAsiaTheme="majorEastAsia"/>
          <w:bCs/>
          <w:sz w:val="24"/>
          <w:szCs w:val="24"/>
        </w:rPr>
        <w:t>。</w:t>
      </w:r>
    </w:p>
    <w:p>
      <w:pPr>
        <w:pStyle w:val="17"/>
        <w:tabs>
          <w:tab w:val="left" w:pos="5940"/>
        </w:tabs>
        <w:spacing w:line="360" w:lineRule="auto"/>
        <w:ind w:firstLine="480" w:firstLineChars="200"/>
        <w:rPr>
          <w:rFonts w:cs="宋体" w:asciiTheme="majorEastAsia" w:hAnsiTheme="majorEastAsia" w:eastAsiaTheme="majorEastAsia"/>
          <w:b/>
          <w:bCs/>
          <w:sz w:val="24"/>
          <w:szCs w:val="24"/>
        </w:rPr>
      </w:pPr>
      <w:r>
        <w:rPr>
          <w:rFonts w:cs="宋体" w:asciiTheme="majorEastAsia" w:hAnsiTheme="majorEastAsia" w:eastAsiaTheme="majorEastAsia"/>
          <w:bCs/>
          <w:sz w:val="24"/>
          <w:szCs w:val="24"/>
        </w:rPr>
        <w:t xml:space="preserve">3.3 </w:t>
      </w:r>
      <w:r>
        <w:rPr>
          <w:rFonts w:cs="宋体" w:asciiTheme="majorEastAsia" w:hAnsiTheme="majorEastAsia" w:eastAsiaTheme="majorEastAsia"/>
          <w:sz w:val="24"/>
          <w:szCs w:val="24"/>
        </w:rPr>
        <w:t>乙方必须按投标文件承诺的服务响应条款向甲方提供服务。</w:t>
      </w:r>
    </w:p>
    <w:p>
      <w:pPr>
        <w:pStyle w:val="17"/>
        <w:spacing w:line="360" w:lineRule="auto"/>
        <w:ind w:left="410" w:hanging="410" w:hangingChars="17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4.  履约保证金</w:t>
      </w:r>
    </w:p>
    <w:p>
      <w:pPr>
        <w:pStyle w:val="17"/>
        <w:spacing w:line="360" w:lineRule="auto"/>
        <w:ind w:left="330" w:leftChars="150"/>
        <w:rPr>
          <w:rFonts w:cs="宋体" w:asciiTheme="majorEastAsia" w:hAnsiTheme="majorEastAsia" w:eastAsiaTheme="majorEastAsia"/>
          <w:sz w:val="24"/>
          <w:szCs w:val="24"/>
        </w:rPr>
      </w:pPr>
      <w:r>
        <w:rPr>
          <w:rFonts w:cs="宋体" w:asciiTheme="majorEastAsia" w:hAnsiTheme="majorEastAsia" w:eastAsiaTheme="majorEastAsia"/>
          <w:sz w:val="24"/>
          <w:szCs w:val="24"/>
        </w:rPr>
        <w:t>本项目不收取履约保证金</w:t>
      </w:r>
    </w:p>
    <w:p>
      <w:pPr>
        <w:pStyle w:val="17"/>
        <w:spacing w:line="360" w:lineRule="auto"/>
        <w:ind w:left="412" w:hanging="412" w:hangingChars="171"/>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5.  产权</w:t>
      </w:r>
    </w:p>
    <w:p>
      <w:pPr>
        <w:pStyle w:val="17"/>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5.1 乙方应保证所提供的服务或其任何一部分均不会侵犯任何第三方的专利权、商标权或著作权</w:t>
      </w:r>
      <w:r>
        <w:rPr>
          <w:rFonts w:cs="宋体" w:asciiTheme="majorEastAsia" w:hAnsiTheme="majorEastAsia" w:eastAsiaTheme="majorEastAsia"/>
          <w:bCs/>
          <w:sz w:val="24"/>
          <w:szCs w:val="24"/>
        </w:rPr>
        <w:t>。</w:t>
      </w:r>
    </w:p>
    <w:p>
      <w:pPr>
        <w:pStyle w:val="17"/>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7"/>
        <w:spacing w:line="360" w:lineRule="auto"/>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6.  技术资料</w:t>
      </w:r>
    </w:p>
    <w:p>
      <w:pPr>
        <w:pStyle w:val="17"/>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甲方应向乙方提供提交服务成果所必需的有关数据、资料等。</w:t>
      </w:r>
    </w:p>
    <w:p>
      <w:pPr>
        <w:pStyle w:val="17"/>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7.  验收</w:t>
      </w:r>
    </w:p>
    <w:p>
      <w:pPr>
        <w:pStyle w:val="17"/>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7.1 乙方应对提交的服务成果作出全面检查和整理，并列出清单，作为甲方验收和使用的技术条件依据，清单应随提交的服务成果交给甲方。</w:t>
      </w:r>
    </w:p>
    <w:p>
      <w:pPr>
        <w:pStyle w:val="17"/>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7.2 乙方在指定地点提交服务成果后，甲方应在五个工作日内依据招标文件、乙方的投标文件等组织验收，验收完毕后作出书面验收报告。验收时乙方必须在现场。</w:t>
      </w:r>
    </w:p>
    <w:p>
      <w:pPr>
        <w:pStyle w:val="17"/>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7.3 对复杂的服务，甲方可请国家认可的专业机构参与验收，并由其出具验收报告，相关费用由甲方承担。</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  合同款支付</w:t>
      </w:r>
    </w:p>
    <w:p>
      <w:pPr>
        <w:tabs>
          <w:tab w:val="left" w:pos="2101"/>
        </w:tabs>
        <w:spacing w:after="120" w:line="440" w:lineRule="exact"/>
        <w:ind w:firstLine="480" w:firstLineChars="200"/>
        <w:rPr>
          <w:rFonts w:asciiTheme="majorEastAsia" w:hAnsiTheme="majorEastAsia" w:eastAsiaTheme="majorEastAsia"/>
          <w:bCs/>
          <w:sz w:val="24"/>
          <w:u w:val="single"/>
        </w:rPr>
      </w:pPr>
      <w:r>
        <w:rPr>
          <w:rFonts w:hint="eastAsia" w:asciiTheme="majorEastAsia" w:hAnsiTheme="majorEastAsia" w:eastAsiaTheme="majorEastAsia"/>
          <w:bCs/>
          <w:sz w:val="24"/>
        </w:rPr>
        <w:t>8.1 付款方</w:t>
      </w:r>
      <w:r>
        <w:rPr>
          <w:rFonts w:hint="eastAsia" w:asciiTheme="majorEastAsia" w:hAnsiTheme="majorEastAsia" w:eastAsiaTheme="majorEastAsia"/>
          <w:sz w:val="24"/>
        </w:rPr>
        <w:t>式</w:t>
      </w:r>
      <w:r>
        <w:rPr>
          <w:rFonts w:hint="eastAsia" w:asciiTheme="majorEastAsia" w:hAnsiTheme="majorEastAsia" w:eastAsiaTheme="majorEastAsia"/>
          <w:bCs/>
          <w:sz w:val="24"/>
        </w:rPr>
        <w:t>：</w:t>
      </w:r>
      <w:r>
        <w:rPr>
          <w:rFonts w:hint="eastAsia" w:ascii="宋体" w:hAnsi="宋体" w:eastAsia="宋体"/>
          <w:color w:val="auto"/>
          <w:sz w:val="24"/>
          <w:u w:val="single"/>
        </w:rPr>
        <w:t>本项目无预付款，中标供应商提交服务成果经验收合格后，一次性支付合同款。</w:t>
      </w:r>
    </w:p>
    <w:p>
      <w:pPr>
        <w:pStyle w:val="17"/>
        <w:tabs>
          <w:tab w:val="left" w:pos="5145"/>
          <w:tab w:val="left" w:pos="5355"/>
          <w:tab w:val="left" w:pos="6195"/>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7"/>
        <w:tabs>
          <w:tab w:val="left" w:pos="5145"/>
          <w:tab w:val="left" w:pos="5355"/>
          <w:tab w:val="left" w:pos="6195"/>
        </w:tabs>
        <w:spacing w:line="360" w:lineRule="auto"/>
        <w:ind w:firstLine="480" w:firstLineChars="200"/>
        <w:rPr>
          <w:rFonts w:cs="宋体" w:asciiTheme="majorEastAsia" w:hAnsiTheme="majorEastAsia" w:eastAsiaTheme="majorEastAsia"/>
          <w:bCs/>
          <w:sz w:val="24"/>
          <w:szCs w:val="24"/>
          <w:u w:val="single"/>
        </w:rPr>
      </w:pPr>
      <w:r>
        <w:rPr>
          <w:rFonts w:cs="宋体" w:asciiTheme="majorEastAsia" w:hAnsiTheme="majorEastAsia" w:eastAsiaTheme="majorEastAsia"/>
          <w:sz w:val="24"/>
          <w:szCs w:val="24"/>
        </w:rPr>
        <w:t>8.3 政府采购监督管理部门在处理投诉事项期间，可以视具体情况书面通知采购人暂停采购活动</w:t>
      </w:r>
      <w:r>
        <w:rPr>
          <w:rFonts w:cs="宋体" w:asciiTheme="majorEastAsia" w:hAnsiTheme="majorEastAsia" w:eastAsiaTheme="majorEastAsia"/>
          <w:bCs/>
          <w:sz w:val="24"/>
          <w:szCs w:val="24"/>
        </w:rPr>
        <w:t>，并延期支付合同款。</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9.  售后服务要求</w:t>
      </w:r>
    </w:p>
    <w:p>
      <w:pPr>
        <w:pStyle w:val="17"/>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 乙方提供服务的质量保证期为：</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（自提交服务验收合格之日起计）</w:t>
      </w:r>
    </w:p>
    <w:p>
      <w:pPr>
        <w:pStyle w:val="17"/>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9.2 在本合同第9.1项约定的质量保证期内，乙方应对服务出现的问题负责处理解决并承担一切费用。</w:t>
      </w:r>
    </w:p>
    <w:p>
      <w:pPr>
        <w:pStyle w:val="17"/>
        <w:tabs>
          <w:tab w:val="left" w:pos="5250"/>
        </w:tabs>
        <w:spacing w:line="360" w:lineRule="auto"/>
        <w:ind w:firstLine="480" w:firstLineChars="200"/>
        <w:rPr>
          <w:rFonts w:cs="宋体" w:asciiTheme="majorEastAsia" w:hAnsiTheme="majorEastAsia" w:eastAsiaTheme="majorEastAsia"/>
          <w:sz w:val="24"/>
          <w:szCs w:val="24"/>
          <w:u w:val="single"/>
        </w:rPr>
      </w:pPr>
      <w:r>
        <w:rPr>
          <w:rFonts w:asciiTheme="majorEastAsia" w:hAnsiTheme="majorEastAsia" w:eastAsiaTheme="majorEastAsia"/>
          <w:sz w:val="24"/>
          <w:szCs w:val="24"/>
        </w:rPr>
        <w:t>9.3 其他售后服务要求：</w:t>
      </w:r>
      <w:r>
        <w:rPr>
          <w:rFonts w:asciiTheme="majorEastAsia" w:hAnsiTheme="majorEastAsia" w:eastAsiaTheme="majorEastAsia"/>
          <w:sz w:val="24"/>
          <w:szCs w:val="24"/>
          <w:u w:val="single"/>
        </w:rPr>
        <w:t>按投标文件商务条款偏离表内容执行。</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10.  违约责任</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 甲方无正当理由拒收服务的，甲方向乙方偿付拒收服务费总值的百分之五违约金。</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10.2 甲方无故逾期验收或办理合同款支付手续的，甲方应按逾期付款总额每日万分之五向乙方支付违约金。</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11.  不可抗力事件处理</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11.1 在合同有效期内，任何一方因不可抗力事件导致不能履行合同，则合同履行期可延长，其延长期与不可抗力影响期相同。</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不可抗力事件发生后，应立即通知对方，并寄送有关权威机构出具的证明。</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不可抗力事件延续120天以上，双方应通过友好协商，确定是否继续履行合同。</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12.  诉讼</w:t>
      </w:r>
    </w:p>
    <w:p>
      <w:pPr>
        <w:pStyle w:val="17"/>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12.1 双方在执行合同中所发生的一切争议，应通过协商解决。如协商不成，可向合同签订地法院起诉，合同签订地在此约定为广西南宁市。</w:t>
      </w:r>
    </w:p>
    <w:p>
      <w:pPr>
        <w:pStyle w:val="17"/>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13.  合同生效及其它</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13.1 合同经双方法定代表人或授权委托代理人签字并加盖单位公章后生效。</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13.2 合同执行中涉及采购资金和采购内容修改或补充的，须经市财政部门审批，并签书面补充协议报南宁市政府采购监督管理部门备案，方可作为主合同不可分割的一部分。</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13.3 下述合同附件为本合同不可分割的部分并与本合同具有同等效力：</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（1）中标通知书；</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（2）招标文件服务需求一览表；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（3）招标文件的澄清和修改；</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（4）投标函、投标报价表；</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（5）投标服务技术资料表、商务条款偏离表、售后服务承诺书；</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（6）中标供应商澄清函。</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13.4 本合同未尽事宜，遵照《中华人民共和国合同法》有关条文执行。</w:t>
      </w:r>
    </w:p>
    <w:p>
      <w:pPr>
        <w:pStyle w:val="17"/>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13.5 </w:t>
      </w:r>
      <w:r>
        <w:rPr>
          <w:rFonts w:cs="宋体" w:asciiTheme="majorEastAsia" w:hAnsiTheme="majorEastAsia" w:eastAsiaTheme="majorEastAsia"/>
          <w:b/>
          <w:sz w:val="24"/>
        </w:rPr>
        <w:t>本合同正本一式贰份</w:t>
      </w:r>
      <w:r>
        <w:rPr>
          <w:rFonts w:cs="宋体" w:asciiTheme="majorEastAsia" w:hAnsiTheme="majorEastAsia" w:eastAsiaTheme="majorEastAsia"/>
          <w:sz w:val="24"/>
        </w:rPr>
        <w:t>，具有同等法律效力，甲乙双方各执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w:t>
      </w:r>
      <w:r>
        <w:rPr>
          <w:rFonts w:cs="宋体" w:asciiTheme="majorEastAsia" w:hAnsiTheme="majorEastAsia" w:eastAsiaTheme="majorEastAsia"/>
          <w:b/>
          <w:sz w:val="24"/>
        </w:rPr>
        <w:t>副本肆份</w:t>
      </w:r>
      <w:r>
        <w:rPr>
          <w:rFonts w:cs="宋体" w:asciiTheme="majorEastAsia" w:hAnsiTheme="majorEastAsia" w:eastAsiaTheme="majorEastAsia"/>
          <w:sz w:val="24"/>
        </w:rPr>
        <w:t>，甲乙双方各执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，采购代理</w:t>
      </w:r>
      <w:r>
        <w:rPr>
          <w:rFonts w:cs="宋体" w:asciiTheme="majorEastAsia" w:hAnsiTheme="majorEastAsia" w:eastAsiaTheme="majorEastAsia"/>
          <w:b/>
          <w:sz w:val="24"/>
        </w:rPr>
        <w:t>贰份</w:t>
      </w:r>
      <w:r>
        <w:rPr>
          <w:rFonts w:cs="宋体" w:asciiTheme="majorEastAsia" w:hAnsiTheme="majorEastAsia" w:eastAsiaTheme="majorEastAsia"/>
          <w:sz w:val="24"/>
        </w:rPr>
        <w:t>。自合同签订之日起</w:t>
      </w:r>
      <w:r>
        <w:rPr>
          <w:rFonts w:cs="宋体" w:asciiTheme="majorEastAsia" w:hAnsiTheme="majorEastAsia" w:eastAsiaTheme="majorEastAsia"/>
          <w:b/>
          <w:sz w:val="24"/>
        </w:rPr>
        <w:t>2个工作日内</w:t>
      </w:r>
      <w:r>
        <w:rPr>
          <w:rFonts w:cs="宋体" w:asciiTheme="majorEastAsia" w:hAnsiTheme="majorEastAsia" w:eastAsiaTheme="majorEastAsia"/>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7"/>
        <w:spacing w:line="360" w:lineRule="auto"/>
        <w:ind w:firstLine="480" w:firstLineChars="200"/>
        <w:rPr>
          <w:rFonts w:cs="宋体" w:asciiTheme="majorEastAsia" w:hAnsiTheme="majorEastAsia" w:eastAsiaTheme="majorEastAsia"/>
          <w:sz w:val="24"/>
          <w:szCs w:val="24"/>
        </w:rPr>
      </w:pPr>
    </w:p>
    <w:p>
      <w:pPr>
        <w:pStyle w:val="17"/>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甲方：</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乙方：</w:t>
      </w:r>
      <w:r>
        <w:rPr>
          <w:rFonts w:hint="eastAsia" w:cs="宋体" w:asciiTheme="majorEastAsia" w:hAnsiTheme="majorEastAsia" w:eastAsiaTheme="majorEastAsia"/>
          <w:sz w:val="24"/>
          <w:szCs w:val="24"/>
        </w:rPr>
        <w:t>_______________________________</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地址：</w:t>
      </w:r>
      <w:r>
        <w:rPr>
          <w:rFonts w:hint="eastAsia" w:cs="宋体" w:asciiTheme="majorEastAsia" w:hAnsiTheme="majorEastAsia" w:eastAsiaTheme="majorEastAsia"/>
          <w:sz w:val="24"/>
          <w:szCs w:val="24"/>
        </w:rPr>
        <w:t>_______________________________</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法定代表人：</w:t>
      </w:r>
      <w:r>
        <w:rPr>
          <w:rFonts w:hint="eastAsia" w:cs="宋体" w:asciiTheme="majorEastAsia" w:hAnsiTheme="majorEastAsia" w:eastAsiaTheme="majorEastAsia"/>
          <w:sz w:val="24"/>
          <w:szCs w:val="24"/>
        </w:rPr>
        <w:t>_________________________</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委托代理人：</w:t>
      </w:r>
      <w:r>
        <w:rPr>
          <w:rFonts w:hint="eastAsia" w:cs="宋体" w:asciiTheme="majorEastAsia" w:hAnsiTheme="majorEastAsia" w:eastAsiaTheme="majorEastAsia"/>
          <w:sz w:val="24"/>
          <w:szCs w:val="24"/>
        </w:rPr>
        <w:t>_________________________</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电话：</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电话：</w:t>
      </w:r>
      <w:r>
        <w:rPr>
          <w:rFonts w:hint="eastAsia" w:cs="宋体" w:asciiTheme="majorEastAsia" w:hAnsiTheme="majorEastAsia" w:eastAsiaTheme="majorEastAsia"/>
          <w:sz w:val="24"/>
          <w:szCs w:val="24"/>
        </w:rPr>
        <w:t>_______________________________</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传真：</w:t>
      </w:r>
      <w:r>
        <w:rPr>
          <w:rFonts w:hint="eastAsia" w:cs="宋体" w:asciiTheme="majorEastAsia" w:hAnsiTheme="majorEastAsia" w:eastAsiaTheme="majorEastAsia"/>
          <w:sz w:val="24"/>
          <w:szCs w:val="24"/>
        </w:rPr>
        <w:t>_______________________________</w:t>
      </w:r>
    </w:p>
    <w:p>
      <w:pPr>
        <w:pStyle w:val="17"/>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邮政编码：</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lang w:val="en-US" w:eastAsia="zh-CN"/>
        </w:rPr>
        <w:t xml:space="preserve">  </w:t>
      </w:r>
      <w:r>
        <w:rPr>
          <w:rFonts w:cs="宋体" w:asciiTheme="majorEastAsia" w:hAnsiTheme="majorEastAsia" w:eastAsiaTheme="majorEastAsia"/>
          <w:sz w:val="24"/>
          <w:szCs w:val="24"/>
        </w:rPr>
        <w:t>邮政编码：</w:t>
      </w:r>
      <w:r>
        <w:rPr>
          <w:rFonts w:hint="eastAsia" w:cs="宋体" w:asciiTheme="majorEastAsia" w:hAnsiTheme="majorEastAsia" w:eastAsiaTheme="majorEastAsia"/>
          <w:sz w:val="24"/>
          <w:szCs w:val="24"/>
        </w:rPr>
        <w:t>___________________________</w:t>
      </w:r>
    </w:p>
    <w:p>
      <w:pPr>
        <w:pStyle w:val="17"/>
        <w:spacing w:line="360" w:lineRule="auto"/>
        <w:jc w:val="left"/>
        <w:rPr>
          <w:rFonts w:cs="宋体" w:asciiTheme="majorEastAsia" w:hAnsiTheme="majorEastAsia" w:eastAsiaTheme="majorEastAsia"/>
          <w:u w:val="single"/>
        </w:rPr>
      </w:pPr>
      <w:r>
        <w:rPr>
          <w:rFonts w:cs="宋体" w:asciiTheme="majorEastAsia" w:hAnsiTheme="majorEastAsia" w:eastAsiaTheme="majorEastAsia"/>
          <w:sz w:val="24"/>
          <w:szCs w:val="24"/>
        </w:rPr>
        <w:t xml:space="preserve">                                          统一社会代码：</w:t>
      </w:r>
      <w:r>
        <w:rPr>
          <w:rFonts w:hint="eastAsia" w:cs="宋体" w:asciiTheme="majorEastAsia" w:hAnsiTheme="majorEastAsia" w:eastAsiaTheme="majorEastAsia"/>
          <w:sz w:val="24"/>
          <w:szCs w:val="24"/>
        </w:rPr>
        <w:t>_______________________</w:t>
      </w:r>
    </w:p>
    <w:p>
      <w:pPr>
        <w:pStyle w:val="17"/>
        <w:spacing w:line="360" w:lineRule="auto"/>
        <w:ind w:firstLine="5040" w:firstLineChars="2100"/>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w:t>
      </w:r>
    </w:p>
    <w:p>
      <w:pPr>
        <w:pStyle w:val="17"/>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开户名称：</w:t>
      </w:r>
      <w:r>
        <w:rPr>
          <w:rFonts w:hint="eastAsia" w:cs="宋体" w:asciiTheme="majorEastAsia" w:hAnsiTheme="majorEastAsia" w:eastAsiaTheme="majorEastAsia"/>
          <w:sz w:val="24"/>
          <w:szCs w:val="24"/>
        </w:rPr>
        <w:t>___________________________</w:t>
      </w:r>
    </w:p>
    <w:p>
      <w:pPr>
        <w:pStyle w:val="17"/>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银行账号：</w:t>
      </w:r>
      <w:r>
        <w:rPr>
          <w:rFonts w:hint="eastAsia" w:cs="宋体" w:asciiTheme="majorEastAsia" w:hAnsiTheme="majorEastAsia" w:eastAsiaTheme="majorEastAsia"/>
          <w:sz w:val="24"/>
          <w:szCs w:val="24"/>
        </w:rPr>
        <w:t>___________________________</w:t>
      </w:r>
    </w:p>
    <w:p>
      <w:pPr>
        <w:pStyle w:val="17"/>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合同签订地点：广西南宁市 </w:t>
      </w:r>
    </w:p>
    <w:p>
      <w:pPr>
        <w:pStyle w:val="17"/>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合同签订日期：</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rPr>
        <w:t>月</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rPr>
        <w:t>日</w:t>
      </w:r>
    </w:p>
    <w:p>
      <w:pPr>
        <w:pStyle w:val="17"/>
        <w:spacing w:line="360" w:lineRule="auto"/>
        <w:rPr>
          <w:rFonts w:cs="宋体" w:asciiTheme="majorEastAsia" w:hAnsiTheme="majorEastAsia" w:eastAsiaTheme="majorEastAsia"/>
        </w:rPr>
      </w:pPr>
    </w:p>
    <w:p>
      <w:pPr>
        <w:spacing w:line="220" w:lineRule="atLeast"/>
        <w:rPr>
          <w:rFonts w:asciiTheme="majorEastAsia" w:hAnsiTheme="majorEastAsia" w:eastAsiaTheme="majorEastAsia"/>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2</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15</w:t>
    </w:r>
    <w:r>
      <w:rPr>
        <w:lang w:val="zh-CN"/>
      </w:rP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14</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lang w:eastAsia="zh-CN"/>
      </w:rPr>
    </w:pPr>
    <w:r>
      <w:rPr>
        <w:rFonts w:hint="eastAsia" w:ascii="宋体" w:hAnsi="宋体" w:eastAsia="宋体" w:cs="Arial"/>
        <w:bCs/>
        <w:sz w:val="16"/>
        <w:szCs w:val="16"/>
        <w:u w:val="single"/>
      </w:rPr>
      <w:t xml:space="preserve">项目名称：南宁市就业创业多媒体服务平台建设                   </w:t>
    </w:r>
    <w:r>
      <w:rPr>
        <w:rFonts w:hint="eastAsia" w:ascii="宋体" w:hAnsi="宋体" w:eastAsia="宋体" w:cs="Arial"/>
        <w:bCs/>
        <w:sz w:val="16"/>
        <w:szCs w:val="16"/>
        <w:u w:val="single"/>
        <w:lang w:val="en-US" w:eastAsia="zh-CN"/>
      </w:rPr>
      <w:t xml:space="preserve">                         </w:t>
    </w:r>
    <w:r>
      <w:rPr>
        <w:rFonts w:hint="eastAsia" w:ascii="宋体" w:hAnsi="宋体" w:eastAsia="宋体" w:cs="Arial"/>
        <w:bCs/>
        <w:sz w:val="16"/>
        <w:szCs w:val="16"/>
        <w:u w:val="single"/>
      </w:rPr>
      <w:t xml:space="preserve">  项目编号：</w:t>
    </w:r>
    <w:r>
      <w:rPr>
        <w:rFonts w:hint="eastAsia" w:ascii="宋体" w:hAnsi="宋体" w:eastAsia="宋体" w:cs="Arial"/>
        <w:bCs/>
        <w:sz w:val="16"/>
        <w:szCs w:val="16"/>
        <w:u w:val="single"/>
        <w:lang w:eastAsia="zh-CN"/>
      </w:rPr>
      <w:t>NNZC2020-G3-990158-GXYZ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7">
    <w:nsid w:val="65A28998"/>
    <w:multiLevelType w:val="singleLevel"/>
    <w:tmpl w:val="65A28998"/>
    <w:lvl w:ilvl="0" w:tentative="0">
      <w:start w:val="2"/>
      <w:numFmt w:val="decimal"/>
      <w:suff w:val="nothing"/>
      <w:lvlText w:val="%1、"/>
      <w:lvlJc w:val="left"/>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1" w:cryptProviderType="rsaFull" w:cryptAlgorithmClass="hash" w:cryptAlgorithmType="typeAny" w:cryptAlgorithmSid="4" w:cryptSpinCount="0" w:hash="mOhZ9B981YA6SCIjIqBRrvGYhh0=" w:salt="ZZnaAqm7GNsFfX4SjPtDnQ=="/>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B37CA3"/>
    <w:rsid w:val="00003034"/>
    <w:rsid w:val="000131D5"/>
    <w:rsid w:val="00030650"/>
    <w:rsid w:val="00034268"/>
    <w:rsid w:val="00034F7B"/>
    <w:rsid w:val="00035003"/>
    <w:rsid w:val="00046507"/>
    <w:rsid w:val="00051CFD"/>
    <w:rsid w:val="00071356"/>
    <w:rsid w:val="00083976"/>
    <w:rsid w:val="000839C1"/>
    <w:rsid w:val="000A16AA"/>
    <w:rsid w:val="000B155D"/>
    <w:rsid w:val="000C1B7B"/>
    <w:rsid w:val="000D5C13"/>
    <w:rsid w:val="000F1675"/>
    <w:rsid w:val="00101C5F"/>
    <w:rsid w:val="00111C16"/>
    <w:rsid w:val="00112770"/>
    <w:rsid w:val="00117978"/>
    <w:rsid w:val="00132DCD"/>
    <w:rsid w:val="00133302"/>
    <w:rsid w:val="0013335D"/>
    <w:rsid w:val="00133719"/>
    <w:rsid w:val="00150935"/>
    <w:rsid w:val="0016375D"/>
    <w:rsid w:val="001807A8"/>
    <w:rsid w:val="00181946"/>
    <w:rsid w:val="0018341C"/>
    <w:rsid w:val="00191AEE"/>
    <w:rsid w:val="001D2773"/>
    <w:rsid w:val="001E12D1"/>
    <w:rsid w:val="001E7AA8"/>
    <w:rsid w:val="001F2A21"/>
    <w:rsid w:val="001F490B"/>
    <w:rsid w:val="001F585B"/>
    <w:rsid w:val="00202BC6"/>
    <w:rsid w:val="00206D2A"/>
    <w:rsid w:val="00221B5F"/>
    <w:rsid w:val="0023430D"/>
    <w:rsid w:val="00246131"/>
    <w:rsid w:val="00246387"/>
    <w:rsid w:val="002477B4"/>
    <w:rsid w:val="002505A9"/>
    <w:rsid w:val="002513F6"/>
    <w:rsid w:val="002622FB"/>
    <w:rsid w:val="00273A94"/>
    <w:rsid w:val="00275AB8"/>
    <w:rsid w:val="00276296"/>
    <w:rsid w:val="00290F19"/>
    <w:rsid w:val="002A5471"/>
    <w:rsid w:val="002C1D9B"/>
    <w:rsid w:val="002C6E46"/>
    <w:rsid w:val="002D329E"/>
    <w:rsid w:val="002E228A"/>
    <w:rsid w:val="002F4CFF"/>
    <w:rsid w:val="0030113B"/>
    <w:rsid w:val="00302FDF"/>
    <w:rsid w:val="003038A1"/>
    <w:rsid w:val="00323D45"/>
    <w:rsid w:val="00346C43"/>
    <w:rsid w:val="00347A25"/>
    <w:rsid w:val="00355123"/>
    <w:rsid w:val="00356A4A"/>
    <w:rsid w:val="0036728D"/>
    <w:rsid w:val="00374F76"/>
    <w:rsid w:val="00375B39"/>
    <w:rsid w:val="00383BF6"/>
    <w:rsid w:val="00395231"/>
    <w:rsid w:val="00395954"/>
    <w:rsid w:val="00396D8F"/>
    <w:rsid w:val="003A551C"/>
    <w:rsid w:val="003B5ACE"/>
    <w:rsid w:val="003C0385"/>
    <w:rsid w:val="003C2D7C"/>
    <w:rsid w:val="003C5914"/>
    <w:rsid w:val="003D0FE7"/>
    <w:rsid w:val="003E1CAF"/>
    <w:rsid w:val="003F2CF5"/>
    <w:rsid w:val="004063F6"/>
    <w:rsid w:val="00413B9A"/>
    <w:rsid w:val="00423B79"/>
    <w:rsid w:val="00425028"/>
    <w:rsid w:val="00433B42"/>
    <w:rsid w:val="00452E0B"/>
    <w:rsid w:val="00456506"/>
    <w:rsid w:val="00464558"/>
    <w:rsid w:val="004722E0"/>
    <w:rsid w:val="0047480E"/>
    <w:rsid w:val="0048091F"/>
    <w:rsid w:val="004924E1"/>
    <w:rsid w:val="00495DBE"/>
    <w:rsid w:val="004A47B5"/>
    <w:rsid w:val="004A78B8"/>
    <w:rsid w:val="004C052E"/>
    <w:rsid w:val="004C09F9"/>
    <w:rsid w:val="004C371A"/>
    <w:rsid w:val="004E57CF"/>
    <w:rsid w:val="004E5A84"/>
    <w:rsid w:val="00506A92"/>
    <w:rsid w:val="00545877"/>
    <w:rsid w:val="00563541"/>
    <w:rsid w:val="0056734A"/>
    <w:rsid w:val="00571D77"/>
    <w:rsid w:val="005806A6"/>
    <w:rsid w:val="005B517C"/>
    <w:rsid w:val="005C5A96"/>
    <w:rsid w:val="005D17A9"/>
    <w:rsid w:val="005D244B"/>
    <w:rsid w:val="006063A4"/>
    <w:rsid w:val="00612C4D"/>
    <w:rsid w:val="006239CD"/>
    <w:rsid w:val="00643C00"/>
    <w:rsid w:val="006442DB"/>
    <w:rsid w:val="0065000F"/>
    <w:rsid w:val="0066296A"/>
    <w:rsid w:val="00675772"/>
    <w:rsid w:val="00680501"/>
    <w:rsid w:val="00690407"/>
    <w:rsid w:val="006A20FC"/>
    <w:rsid w:val="006C312E"/>
    <w:rsid w:val="006D1732"/>
    <w:rsid w:val="006D23AE"/>
    <w:rsid w:val="006D530D"/>
    <w:rsid w:val="006E503E"/>
    <w:rsid w:val="0070693D"/>
    <w:rsid w:val="00707FEF"/>
    <w:rsid w:val="00722966"/>
    <w:rsid w:val="0073532B"/>
    <w:rsid w:val="00736EC3"/>
    <w:rsid w:val="0073717A"/>
    <w:rsid w:val="00737FB9"/>
    <w:rsid w:val="007444A6"/>
    <w:rsid w:val="007571D9"/>
    <w:rsid w:val="007628BF"/>
    <w:rsid w:val="00764893"/>
    <w:rsid w:val="00775685"/>
    <w:rsid w:val="007758A3"/>
    <w:rsid w:val="00792FF7"/>
    <w:rsid w:val="007C2385"/>
    <w:rsid w:val="007E709E"/>
    <w:rsid w:val="007F04A2"/>
    <w:rsid w:val="007F332C"/>
    <w:rsid w:val="007F5F18"/>
    <w:rsid w:val="007F64BD"/>
    <w:rsid w:val="008205BC"/>
    <w:rsid w:val="00826A01"/>
    <w:rsid w:val="008453D0"/>
    <w:rsid w:val="00855518"/>
    <w:rsid w:val="00861981"/>
    <w:rsid w:val="0086353D"/>
    <w:rsid w:val="008779EB"/>
    <w:rsid w:val="00884809"/>
    <w:rsid w:val="008A5620"/>
    <w:rsid w:val="008B1015"/>
    <w:rsid w:val="008C2D75"/>
    <w:rsid w:val="008C36BD"/>
    <w:rsid w:val="008D4ECA"/>
    <w:rsid w:val="008F1D32"/>
    <w:rsid w:val="008F32B1"/>
    <w:rsid w:val="00902BAD"/>
    <w:rsid w:val="00910BE7"/>
    <w:rsid w:val="0092016A"/>
    <w:rsid w:val="00942ECF"/>
    <w:rsid w:val="009624A8"/>
    <w:rsid w:val="00962803"/>
    <w:rsid w:val="009643BD"/>
    <w:rsid w:val="00965BA5"/>
    <w:rsid w:val="009746D3"/>
    <w:rsid w:val="00976D92"/>
    <w:rsid w:val="009A7E57"/>
    <w:rsid w:val="009B091A"/>
    <w:rsid w:val="009B0E24"/>
    <w:rsid w:val="009B383C"/>
    <w:rsid w:val="009D491F"/>
    <w:rsid w:val="009D74A5"/>
    <w:rsid w:val="009E4BBD"/>
    <w:rsid w:val="009F0114"/>
    <w:rsid w:val="009F2B2F"/>
    <w:rsid w:val="00A01839"/>
    <w:rsid w:val="00A03C23"/>
    <w:rsid w:val="00A159C3"/>
    <w:rsid w:val="00A22C14"/>
    <w:rsid w:val="00A300C0"/>
    <w:rsid w:val="00A46AF3"/>
    <w:rsid w:val="00A51C9E"/>
    <w:rsid w:val="00A6162B"/>
    <w:rsid w:val="00A64A17"/>
    <w:rsid w:val="00A86FF3"/>
    <w:rsid w:val="00A9158A"/>
    <w:rsid w:val="00AA0230"/>
    <w:rsid w:val="00AB7B8E"/>
    <w:rsid w:val="00AC2E9C"/>
    <w:rsid w:val="00AE0BA6"/>
    <w:rsid w:val="00AE0E23"/>
    <w:rsid w:val="00AE4DCB"/>
    <w:rsid w:val="00AF1251"/>
    <w:rsid w:val="00AF342A"/>
    <w:rsid w:val="00B151E3"/>
    <w:rsid w:val="00B2786D"/>
    <w:rsid w:val="00B32EA5"/>
    <w:rsid w:val="00B366F3"/>
    <w:rsid w:val="00B37CA3"/>
    <w:rsid w:val="00B62074"/>
    <w:rsid w:val="00B63C43"/>
    <w:rsid w:val="00B727D1"/>
    <w:rsid w:val="00B732D8"/>
    <w:rsid w:val="00B83E2A"/>
    <w:rsid w:val="00B91DEB"/>
    <w:rsid w:val="00B937AC"/>
    <w:rsid w:val="00B942CD"/>
    <w:rsid w:val="00BA61E3"/>
    <w:rsid w:val="00BD0B51"/>
    <w:rsid w:val="00BD1621"/>
    <w:rsid w:val="00BD2B70"/>
    <w:rsid w:val="00BD6210"/>
    <w:rsid w:val="00BD7239"/>
    <w:rsid w:val="00BE05C2"/>
    <w:rsid w:val="00BE2AFD"/>
    <w:rsid w:val="00C02938"/>
    <w:rsid w:val="00C171C9"/>
    <w:rsid w:val="00C20C90"/>
    <w:rsid w:val="00C22658"/>
    <w:rsid w:val="00C35282"/>
    <w:rsid w:val="00C46C96"/>
    <w:rsid w:val="00C664F1"/>
    <w:rsid w:val="00C71FF2"/>
    <w:rsid w:val="00C731A5"/>
    <w:rsid w:val="00C744B3"/>
    <w:rsid w:val="00C777BD"/>
    <w:rsid w:val="00C829B3"/>
    <w:rsid w:val="00C91065"/>
    <w:rsid w:val="00CB581A"/>
    <w:rsid w:val="00CC05CC"/>
    <w:rsid w:val="00CC6EF9"/>
    <w:rsid w:val="00CD7CB6"/>
    <w:rsid w:val="00CF30C7"/>
    <w:rsid w:val="00D048C9"/>
    <w:rsid w:val="00D1051A"/>
    <w:rsid w:val="00D154A5"/>
    <w:rsid w:val="00D34CC2"/>
    <w:rsid w:val="00D45666"/>
    <w:rsid w:val="00D5016C"/>
    <w:rsid w:val="00D64111"/>
    <w:rsid w:val="00D70D99"/>
    <w:rsid w:val="00D92FBC"/>
    <w:rsid w:val="00DB1DD4"/>
    <w:rsid w:val="00DB354F"/>
    <w:rsid w:val="00DB6CE8"/>
    <w:rsid w:val="00DD1F5C"/>
    <w:rsid w:val="00DE4E25"/>
    <w:rsid w:val="00DF579E"/>
    <w:rsid w:val="00E00EB2"/>
    <w:rsid w:val="00E04E4B"/>
    <w:rsid w:val="00E07A7D"/>
    <w:rsid w:val="00E15697"/>
    <w:rsid w:val="00E15EAC"/>
    <w:rsid w:val="00E20AF5"/>
    <w:rsid w:val="00E326F6"/>
    <w:rsid w:val="00E32E92"/>
    <w:rsid w:val="00E478C3"/>
    <w:rsid w:val="00E62118"/>
    <w:rsid w:val="00E6453A"/>
    <w:rsid w:val="00E7104C"/>
    <w:rsid w:val="00E8738A"/>
    <w:rsid w:val="00E877F5"/>
    <w:rsid w:val="00E94A36"/>
    <w:rsid w:val="00EB5C24"/>
    <w:rsid w:val="00ED442C"/>
    <w:rsid w:val="00EE5F7E"/>
    <w:rsid w:val="00EF6BAD"/>
    <w:rsid w:val="00F00E9D"/>
    <w:rsid w:val="00F05036"/>
    <w:rsid w:val="00F25BC9"/>
    <w:rsid w:val="00F3183F"/>
    <w:rsid w:val="00F35091"/>
    <w:rsid w:val="00F432C3"/>
    <w:rsid w:val="00F55BF2"/>
    <w:rsid w:val="00F64F3B"/>
    <w:rsid w:val="00F664F1"/>
    <w:rsid w:val="00F86955"/>
    <w:rsid w:val="00FA00D5"/>
    <w:rsid w:val="00FA65F2"/>
    <w:rsid w:val="00FC3325"/>
    <w:rsid w:val="00FD0330"/>
    <w:rsid w:val="00FE1AE4"/>
    <w:rsid w:val="00FE2BA7"/>
    <w:rsid w:val="00FF720E"/>
    <w:rsid w:val="01587987"/>
    <w:rsid w:val="025A3944"/>
    <w:rsid w:val="02B302CE"/>
    <w:rsid w:val="02F64BAF"/>
    <w:rsid w:val="045916FC"/>
    <w:rsid w:val="04EB4EDA"/>
    <w:rsid w:val="05847AD3"/>
    <w:rsid w:val="05D40816"/>
    <w:rsid w:val="05FC777E"/>
    <w:rsid w:val="062A740E"/>
    <w:rsid w:val="07011036"/>
    <w:rsid w:val="07194894"/>
    <w:rsid w:val="07487787"/>
    <w:rsid w:val="074B76D2"/>
    <w:rsid w:val="075D1783"/>
    <w:rsid w:val="076B7DFC"/>
    <w:rsid w:val="07D10F24"/>
    <w:rsid w:val="085250A1"/>
    <w:rsid w:val="08FE54EB"/>
    <w:rsid w:val="096568BD"/>
    <w:rsid w:val="09A4553A"/>
    <w:rsid w:val="0AD92CA9"/>
    <w:rsid w:val="0D6C5E11"/>
    <w:rsid w:val="0DC25511"/>
    <w:rsid w:val="0E1A7E12"/>
    <w:rsid w:val="0E3F48AA"/>
    <w:rsid w:val="0E417DB4"/>
    <w:rsid w:val="0F070A57"/>
    <w:rsid w:val="111B63C0"/>
    <w:rsid w:val="111C6FA4"/>
    <w:rsid w:val="113B107D"/>
    <w:rsid w:val="11793C54"/>
    <w:rsid w:val="11F159B7"/>
    <w:rsid w:val="124949E7"/>
    <w:rsid w:val="129D38C5"/>
    <w:rsid w:val="138B02FA"/>
    <w:rsid w:val="13923F05"/>
    <w:rsid w:val="13E27FC9"/>
    <w:rsid w:val="14647E92"/>
    <w:rsid w:val="151378F5"/>
    <w:rsid w:val="153737C5"/>
    <w:rsid w:val="16B25EDC"/>
    <w:rsid w:val="16BB11D9"/>
    <w:rsid w:val="176158DD"/>
    <w:rsid w:val="17BC2FAA"/>
    <w:rsid w:val="17DE2634"/>
    <w:rsid w:val="18AC4184"/>
    <w:rsid w:val="18B94026"/>
    <w:rsid w:val="18C4389D"/>
    <w:rsid w:val="19BF1365"/>
    <w:rsid w:val="1A6757A2"/>
    <w:rsid w:val="1C3C2B5A"/>
    <w:rsid w:val="1CF13DA1"/>
    <w:rsid w:val="1D1B4B72"/>
    <w:rsid w:val="1E207CB6"/>
    <w:rsid w:val="1E311674"/>
    <w:rsid w:val="1E4D1C69"/>
    <w:rsid w:val="1E91258C"/>
    <w:rsid w:val="1EC103F5"/>
    <w:rsid w:val="1F3B5483"/>
    <w:rsid w:val="1F462658"/>
    <w:rsid w:val="1F550123"/>
    <w:rsid w:val="20133F41"/>
    <w:rsid w:val="211214A1"/>
    <w:rsid w:val="220C01CD"/>
    <w:rsid w:val="22721A95"/>
    <w:rsid w:val="23135615"/>
    <w:rsid w:val="234F33AF"/>
    <w:rsid w:val="24770D63"/>
    <w:rsid w:val="24CE07E6"/>
    <w:rsid w:val="25D451D4"/>
    <w:rsid w:val="2663340B"/>
    <w:rsid w:val="272B5A71"/>
    <w:rsid w:val="27FB6EDB"/>
    <w:rsid w:val="2819266C"/>
    <w:rsid w:val="28BD3EB9"/>
    <w:rsid w:val="29D7082C"/>
    <w:rsid w:val="2A2514F8"/>
    <w:rsid w:val="2B36276B"/>
    <w:rsid w:val="2B5345B9"/>
    <w:rsid w:val="2BEE2A4D"/>
    <w:rsid w:val="2BF208CC"/>
    <w:rsid w:val="2C647C1B"/>
    <w:rsid w:val="2CFD27FA"/>
    <w:rsid w:val="2CFF44A8"/>
    <w:rsid w:val="2D640E44"/>
    <w:rsid w:val="2DEA61F3"/>
    <w:rsid w:val="2E083D88"/>
    <w:rsid w:val="2EA74841"/>
    <w:rsid w:val="2F1F3D6A"/>
    <w:rsid w:val="2F707513"/>
    <w:rsid w:val="2FBB39DE"/>
    <w:rsid w:val="2FBD77F4"/>
    <w:rsid w:val="30027AD1"/>
    <w:rsid w:val="3042474A"/>
    <w:rsid w:val="30E8140D"/>
    <w:rsid w:val="310A1064"/>
    <w:rsid w:val="32564131"/>
    <w:rsid w:val="33503B5E"/>
    <w:rsid w:val="33D075DE"/>
    <w:rsid w:val="347C19A8"/>
    <w:rsid w:val="352D44E4"/>
    <w:rsid w:val="35684C5C"/>
    <w:rsid w:val="35780C4C"/>
    <w:rsid w:val="35B45501"/>
    <w:rsid w:val="36925AE2"/>
    <w:rsid w:val="37544066"/>
    <w:rsid w:val="3797169A"/>
    <w:rsid w:val="379A3444"/>
    <w:rsid w:val="37D77A82"/>
    <w:rsid w:val="3A026C82"/>
    <w:rsid w:val="3A0A5EBE"/>
    <w:rsid w:val="3A327F8A"/>
    <w:rsid w:val="3A66401B"/>
    <w:rsid w:val="3AB94183"/>
    <w:rsid w:val="3B2E62A3"/>
    <w:rsid w:val="3B58662F"/>
    <w:rsid w:val="3B66326F"/>
    <w:rsid w:val="3B9751CF"/>
    <w:rsid w:val="3CD9312B"/>
    <w:rsid w:val="3D6F51F7"/>
    <w:rsid w:val="3DC33BBE"/>
    <w:rsid w:val="3DF82247"/>
    <w:rsid w:val="3DFD1806"/>
    <w:rsid w:val="3E1714CE"/>
    <w:rsid w:val="3F174953"/>
    <w:rsid w:val="3F46696A"/>
    <w:rsid w:val="3F5226A7"/>
    <w:rsid w:val="3F6D3A22"/>
    <w:rsid w:val="3FCB69F5"/>
    <w:rsid w:val="3FFB2EBA"/>
    <w:rsid w:val="40412B54"/>
    <w:rsid w:val="407D52F6"/>
    <w:rsid w:val="40BE49BA"/>
    <w:rsid w:val="41681DD1"/>
    <w:rsid w:val="4231047C"/>
    <w:rsid w:val="4250392D"/>
    <w:rsid w:val="426C7C9E"/>
    <w:rsid w:val="42845038"/>
    <w:rsid w:val="42BD707F"/>
    <w:rsid w:val="43A338DA"/>
    <w:rsid w:val="441F31AC"/>
    <w:rsid w:val="44315155"/>
    <w:rsid w:val="44556220"/>
    <w:rsid w:val="4490013D"/>
    <w:rsid w:val="44E342AF"/>
    <w:rsid w:val="457D3335"/>
    <w:rsid w:val="457D3B0A"/>
    <w:rsid w:val="45991BD4"/>
    <w:rsid w:val="464B765E"/>
    <w:rsid w:val="46FE4324"/>
    <w:rsid w:val="472406D0"/>
    <w:rsid w:val="478D6057"/>
    <w:rsid w:val="481D4641"/>
    <w:rsid w:val="48637F96"/>
    <w:rsid w:val="4895152D"/>
    <w:rsid w:val="48AD52C8"/>
    <w:rsid w:val="48C80863"/>
    <w:rsid w:val="48F100C2"/>
    <w:rsid w:val="498B6EE0"/>
    <w:rsid w:val="49A63015"/>
    <w:rsid w:val="49C5526C"/>
    <w:rsid w:val="4C445B13"/>
    <w:rsid w:val="4C5574AC"/>
    <w:rsid w:val="4D2E266E"/>
    <w:rsid w:val="4D6728EF"/>
    <w:rsid w:val="4E36073D"/>
    <w:rsid w:val="4E9C2A97"/>
    <w:rsid w:val="4F661C87"/>
    <w:rsid w:val="50843301"/>
    <w:rsid w:val="513B6772"/>
    <w:rsid w:val="513D6074"/>
    <w:rsid w:val="517200B3"/>
    <w:rsid w:val="51AF0BAF"/>
    <w:rsid w:val="528500B0"/>
    <w:rsid w:val="52EE6111"/>
    <w:rsid w:val="534539D3"/>
    <w:rsid w:val="538D1BE4"/>
    <w:rsid w:val="54815E90"/>
    <w:rsid w:val="54EF1EF6"/>
    <w:rsid w:val="54FB3E22"/>
    <w:rsid w:val="552A3D6D"/>
    <w:rsid w:val="56324CEF"/>
    <w:rsid w:val="564C22D3"/>
    <w:rsid w:val="56A256F9"/>
    <w:rsid w:val="571E2B99"/>
    <w:rsid w:val="574C6A78"/>
    <w:rsid w:val="57851C74"/>
    <w:rsid w:val="57FB662A"/>
    <w:rsid w:val="5823390A"/>
    <w:rsid w:val="58674C0A"/>
    <w:rsid w:val="58882E8A"/>
    <w:rsid w:val="5A602CAF"/>
    <w:rsid w:val="5ACC0689"/>
    <w:rsid w:val="5BEB6C84"/>
    <w:rsid w:val="5C2600CB"/>
    <w:rsid w:val="5C855D5F"/>
    <w:rsid w:val="5CE91DF5"/>
    <w:rsid w:val="5DBD7CD6"/>
    <w:rsid w:val="5DE35F96"/>
    <w:rsid w:val="5E1A5499"/>
    <w:rsid w:val="5E2D369E"/>
    <w:rsid w:val="5F170A6C"/>
    <w:rsid w:val="61F30C49"/>
    <w:rsid w:val="62054DD6"/>
    <w:rsid w:val="62AC6585"/>
    <w:rsid w:val="62DF7AEC"/>
    <w:rsid w:val="635F47D8"/>
    <w:rsid w:val="63A154B6"/>
    <w:rsid w:val="641D25B0"/>
    <w:rsid w:val="6437573D"/>
    <w:rsid w:val="64386C11"/>
    <w:rsid w:val="647901D5"/>
    <w:rsid w:val="648624B3"/>
    <w:rsid w:val="64E04669"/>
    <w:rsid w:val="6595720F"/>
    <w:rsid w:val="66057AD8"/>
    <w:rsid w:val="66314FB1"/>
    <w:rsid w:val="665B32AA"/>
    <w:rsid w:val="66B217D3"/>
    <w:rsid w:val="672C7B48"/>
    <w:rsid w:val="6758047F"/>
    <w:rsid w:val="67847BA5"/>
    <w:rsid w:val="683D6053"/>
    <w:rsid w:val="69392693"/>
    <w:rsid w:val="6A5A5B7C"/>
    <w:rsid w:val="6A74529E"/>
    <w:rsid w:val="6B4D3641"/>
    <w:rsid w:val="6B691F55"/>
    <w:rsid w:val="6CE21BF1"/>
    <w:rsid w:val="6D5C4A68"/>
    <w:rsid w:val="6E9C2730"/>
    <w:rsid w:val="6EA34451"/>
    <w:rsid w:val="6EC1468F"/>
    <w:rsid w:val="6F3832A2"/>
    <w:rsid w:val="6FD2031E"/>
    <w:rsid w:val="703C7BC9"/>
    <w:rsid w:val="704E114F"/>
    <w:rsid w:val="708B0A5E"/>
    <w:rsid w:val="71394F19"/>
    <w:rsid w:val="723468EB"/>
    <w:rsid w:val="72532062"/>
    <w:rsid w:val="727F6A05"/>
    <w:rsid w:val="72AB6F9C"/>
    <w:rsid w:val="7318080A"/>
    <w:rsid w:val="737D783F"/>
    <w:rsid w:val="73A05F3D"/>
    <w:rsid w:val="74B426FC"/>
    <w:rsid w:val="7516446B"/>
    <w:rsid w:val="758E7065"/>
    <w:rsid w:val="75C83C18"/>
    <w:rsid w:val="75EA61AA"/>
    <w:rsid w:val="761E49F4"/>
    <w:rsid w:val="7691664D"/>
    <w:rsid w:val="76BF3DDF"/>
    <w:rsid w:val="76FB63F3"/>
    <w:rsid w:val="778F5196"/>
    <w:rsid w:val="783861EF"/>
    <w:rsid w:val="78CF210D"/>
    <w:rsid w:val="797314CF"/>
    <w:rsid w:val="7A382C83"/>
    <w:rsid w:val="7B15235A"/>
    <w:rsid w:val="7B4F54B2"/>
    <w:rsid w:val="7B863BC9"/>
    <w:rsid w:val="7BE923BB"/>
    <w:rsid w:val="7C0A6E44"/>
    <w:rsid w:val="7C59757A"/>
    <w:rsid w:val="7DEC7BF6"/>
    <w:rsid w:val="7E7260F9"/>
    <w:rsid w:val="7EAC3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6">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7">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8">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9">
    <w:name w:val="footer"/>
    <w:basedOn w:val="1"/>
    <w:link w:val="47"/>
    <w:qFormat/>
    <w:uiPriority w:val="0"/>
    <w:pPr>
      <w:tabs>
        <w:tab w:val="center" w:pos="4153"/>
        <w:tab w:val="right" w:pos="8306"/>
      </w:tabs>
    </w:pPr>
    <w:rPr>
      <w:sz w:val="18"/>
      <w:szCs w:val="18"/>
    </w:rPr>
  </w:style>
  <w:style w:type="paragraph" w:styleId="20">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2">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3">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4">
    <w:name w:val="annotation subject"/>
    <w:basedOn w:val="14"/>
    <w:next w:val="14"/>
    <w:link w:val="57"/>
    <w:qFormat/>
    <w:uiPriority w:val="0"/>
    <w:rPr>
      <w:b/>
      <w:bCs/>
    </w:rPr>
  </w:style>
  <w:style w:type="paragraph" w:styleId="25">
    <w:name w:val="Body Text First Indent 2"/>
    <w:basedOn w:val="16"/>
    <w:link w:val="93"/>
    <w:semiHidden/>
    <w:unhideWhenUsed/>
    <w:qFormat/>
    <w:uiPriority w:val="99"/>
    <w:pPr>
      <w:widowControl/>
      <w:adjustRightInd w:val="0"/>
      <w:snapToGrid w:val="0"/>
      <w:spacing w:after="120" w:line="240" w:lineRule="auto"/>
      <w:ind w:left="420" w:leftChars="200" w:firstLine="420" w:firstLineChars="200"/>
      <w:jc w:val="left"/>
    </w:pPr>
    <w:rPr>
      <w:rFonts w:hint="default" w:ascii="Tahoma" w:hAnsi="Tahoma" w:eastAsia="微软雅黑" w:cs="宋体"/>
      <w:spacing w:val="0"/>
      <w:kern w:val="0"/>
      <w:sz w:val="22"/>
      <w:szCs w:val="22"/>
    </w:rPr>
  </w:style>
  <w:style w:type="character" w:styleId="28">
    <w:name w:val="Strong"/>
    <w:qFormat/>
    <w:uiPriority w:val="22"/>
    <w:rPr>
      <w:b/>
    </w:rPr>
  </w:style>
  <w:style w:type="character" w:styleId="29">
    <w:name w:val="page number"/>
    <w:basedOn w:val="27"/>
    <w:qFormat/>
    <w:uiPriority w:val="0"/>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表格文字"/>
    <w:basedOn w:val="1"/>
    <w:qFormat/>
    <w:uiPriority w:val="99"/>
    <w:pPr>
      <w:spacing w:before="25" w:after="25"/>
    </w:pPr>
    <w:rPr>
      <w:bCs/>
      <w:spacing w:val="10"/>
      <w:sz w:val="24"/>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20"/>
    <w:qFormat/>
    <w:uiPriority w:val="99"/>
    <w:rPr>
      <w:rFonts w:ascii="Tahoma" w:hAnsi="Tahoma"/>
      <w:sz w:val="18"/>
      <w:szCs w:val="18"/>
    </w:rPr>
  </w:style>
  <w:style w:type="character" w:customStyle="1" w:styleId="47">
    <w:name w:val="页脚 字符"/>
    <w:basedOn w:val="27"/>
    <w:link w:val="19"/>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15"/>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6"/>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7"/>
    <w:qFormat/>
    <w:uiPriority w:val="0"/>
    <w:rPr>
      <w:rFonts w:ascii="宋体" w:hAnsi="Courier New" w:eastAsia="宋体" w:cs="Courier New"/>
      <w:sz w:val="21"/>
      <w:szCs w:val="21"/>
    </w:rPr>
  </w:style>
  <w:style w:type="character" w:customStyle="1" w:styleId="55">
    <w:name w:val="批注框文本 字符"/>
    <w:basedOn w:val="27"/>
    <w:link w:val="18"/>
    <w:qFormat/>
    <w:uiPriority w:val="0"/>
    <w:rPr>
      <w:rFonts w:ascii="Calibri" w:hAnsi="Calibri" w:eastAsia="宋体" w:cs="Times New Roman"/>
      <w:kern w:val="2"/>
      <w:sz w:val="18"/>
      <w:szCs w:val="18"/>
    </w:rPr>
  </w:style>
  <w:style w:type="character" w:customStyle="1" w:styleId="56">
    <w:name w:val="标题 字符"/>
    <w:basedOn w:val="27"/>
    <w:link w:val="2"/>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paragraph" w:customStyle="1" w:styleId="91">
    <w:name w:val="修订2"/>
    <w:hidden/>
    <w:unhideWhenUsed/>
    <w:qFormat/>
    <w:uiPriority w:val="99"/>
    <w:rPr>
      <w:rFonts w:ascii="Tahoma" w:hAnsi="Tahoma" w:eastAsia="微软雅黑" w:cs="宋体"/>
      <w:sz w:val="22"/>
      <w:szCs w:val="22"/>
      <w:lang w:val="en-US" w:eastAsia="zh-CN" w:bidi="ar-SA"/>
    </w:rPr>
  </w:style>
  <w:style w:type="paragraph" w:customStyle="1" w:styleId="92">
    <w:name w:val="Plain Text1"/>
    <w:basedOn w:val="1"/>
    <w:qFormat/>
    <w:uiPriority w:val="0"/>
    <w:rPr>
      <w:rFonts w:ascii="宋体" w:hAnsi="Courier New"/>
      <w:szCs w:val="20"/>
    </w:rPr>
  </w:style>
  <w:style w:type="character" w:customStyle="1" w:styleId="93">
    <w:name w:val="正文文本首行缩进 2 字符"/>
    <w:basedOn w:val="52"/>
    <w:link w:val="25"/>
    <w:semiHidden/>
    <w:qFormat/>
    <w:uiPriority w:val="99"/>
    <w:rPr>
      <w:rFonts w:ascii="Tahoma" w:hAnsi="Tahoma" w:eastAsia="微软雅黑" w:cs="宋体"/>
      <w:spacing w:val="-4"/>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5592-5376-48D2-BC44-961357916B9F}">
  <ds:schemaRefs/>
</ds:datastoreItem>
</file>

<file path=customXml/itemProps3.xml><?xml version="1.0" encoding="utf-8"?>
<ds:datastoreItem xmlns:ds="http://schemas.openxmlformats.org/officeDocument/2006/customXml" ds:itemID="{CB0B19C4-E061-4C97-AEC2-1BA994996F1F}">
  <ds:schemaRefs/>
</ds:datastoreItem>
</file>

<file path=customXml/itemProps4.xml><?xml version="1.0" encoding="utf-8"?>
<ds:datastoreItem xmlns:ds="http://schemas.openxmlformats.org/officeDocument/2006/customXml" ds:itemID="{7EBD8BD5-4022-4567-B4AE-68A0C699D7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5101</Words>
  <Characters>29080</Characters>
  <Lines>242</Lines>
  <Paragraphs>68</Paragraphs>
  <TotalTime>6</TotalTime>
  <ScaleCrop>false</ScaleCrop>
  <LinksUpToDate>false</LinksUpToDate>
  <CharactersWithSpaces>34113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2020-09-03T01:57:00Z</dcterms:created>
  <dc:creator>Administrator</dc:creator>
  <cp:lastModifiedBy>Administrator</cp:lastModifiedBy>
  <cp:lastPrinted>2020-09-16T09:51:00Z</cp:lastPrinted>
  <dcterms:modified xsi:type="dcterms:W3CDTF">2020-09-28T13:09:11Z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