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4"/>
        <w:tabs>
          <w:tab w:val="center" w:pos="4950"/>
          <w:tab w:val="right" w:pos="9781"/>
        </w:tabs>
        <w:jc w:val="center"/>
        <w:rPr>
          <w:rFonts w:hAnsi="宋体"/>
          <w:sz w:val="96"/>
          <w:szCs w:val="96"/>
        </w:rPr>
      </w:pPr>
      <w:bookmarkStart w:id="0" w:name="_Toc139967210"/>
      <w:bookmarkStart w:id="1" w:name="_Toc139966426"/>
    </w:p>
    <w:p>
      <w:pPr>
        <w:pStyle w:val="14"/>
        <w:tabs>
          <w:tab w:val="center" w:pos="4950"/>
          <w:tab w:val="right" w:pos="9781"/>
        </w:tabs>
        <w:jc w:val="center"/>
        <w:rPr>
          <w:rFonts w:hAnsi="宋体"/>
          <w:b/>
          <w:bCs/>
          <w:sz w:val="72"/>
          <w:szCs w:val="72"/>
        </w:rPr>
      </w:pPr>
      <w:r>
        <w:rPr>
          <w:rFonts w:hint="eastAsia" w:hAnsi="宋体"/>
          <w:sz w:val="96"/>
          <w:szCs w:val="96"/>
        </w:rPr>
        <w:t>竞争性磋商</w:t>
      </w:r>
      <w:r>
        <w:rPr>
          <w:rFonts w:hAnsi="宋体"/>
          <w:sz w:val="96"/>
          <w:szCs w:val="96"/>
        </w:rPr>
        <w:t>文件</w:t>
      </w:r>
    </w:p>
    <w:p>
      <w:pPr>
        <w:jc w:val="center"/>
        <w:rPr>
          <w:rFonts w:ascii="宋体" w:hAnsi="宋体"/>
          <w:sz w:val="48"/>
          <w:szCs w:val="48"/>
        </w:rPr>
      </w:pPr>
      <w:r>
        <w:rPr>
          <w:rFonts w:hint="eastAsia" w:ascii="宋体" w:hAnsi="宋体"/>
          <w:sz w:val="48"/>
          <w:szCs w:val="48"/>
        </w:rPr>
        <w:t>(服务类)</w:t>
      </w:r>
    </w:p>
    <w:p>
      <w:pPr>
        <w:pStyle w:val="14"/>
        <w:rPr>
          <w:rFonts w:hAnsi="宋体"/>
        </w:rPr>
      </w:pPr>
    </w:p>
    <w:p>
      <w:pPr>
        <w:ind w:left="2962" w:leftChars="550" w:hanging="1807" w:hangingChars="500"/>
        <w:rPr>
          <w:rFonts w:ascii="宋体" w:hAnsi="宋体" w:cs="宋体"/>
          <w:b/>
          <w:bCs/>
          <w:sz w:val="36"/>
          <w:szCs w:val="36"/>
        </w:rPr>
      </w:pPr>
      <w:r>
        <w:rPr>
          <w:rFonts w:hint="eastAsia" w:ascii="宋体" w:hAnsi="宋体" w:cs="宋体"/>
          <w:b/>
          <w:bCs/>
          <w:sz w:val="36"/>
          <w:szCs w:val="36"/>
        </w:rPr>
        <w:t xml:space="preserve"> </w:t>
      </w:r>
    </w:p>
    <w:p>
      <w:pPr>
        <w:ind w:left="2962" w:leftChars="550" w:hanging="1807" w:hangingChars="500"/>
        <w:rPr>
          <w:rFonts w:ascii="宋体" w:hAnsi="宋体" w:cs="宋体"/>
          <w:b/>
          <w:bCs/>
          <w:sz w:val="36"/>
          <w:szCs w:val="36"/>
        </w:rPr>
      </w:pPr>
    </w:p>
    <w:p>
      <w:pPr>
        <w:ind w:left="2883" w:leftChars="608" w:hanging="1606" w:hangingChars="500"/>
        <w:rPr>
          <w:rFonts w:ascii="宋体" w:hAnsi="宋体" w:cs="宋体"/>
          <w:b/>
          <w:bCs/>
          <w:sz w:val="32"/>
          <w:szCs w:val="32"/>
        </w:rPr>
      </w:pPr>
      <w:r>
        <w:rPr>
          <w:rFonts w:hint="eastAsia" w:ascii="宋体" w:hAnsi="宋体" w:cs="宋体"/>
          <w:b/>
          <w:bCs/>
          <w:sz w:val="32"/>
          <w:szCs w:val="32"/>
        </w:rPr>
        <w:t>项目名称：第九届中国创新创业大赛广西赛区南宁市选拔赛暨第五届南宁市创新创业大赛服务</w:t>
      </w:r>
    </w:p>
    <w:p>
      <w:pPr>
        <w:ind w:firstLine="1285" w:firstLineChars="400"/>
        <w:rPr>
          <w:rFonts w:ascii="宋体" w:hAnsi="宋体" w:cs="宋体"/>
          <w:b/>
          <w:bCs/>
          <w:sz w:val="32"/>
          <w:szCs w:val="32"/>
        </w:rPr>
      </w:pPr>
      <w:r>
        <w:rPr>
          <w:rFonts w:hint="eastAsia" w:ascii="宋体" w:hAnsi="宋体" w:cs="宋体"/>
          <w:b/>
          <w:bCs/>
          <w:sz w:val="32"/>
          <w:szCs w:val="32"/>
        </w:rPr>
        <w:t>项目编号：NNZC2020-C3-080001-GXYZ</w:t>
      </w:r>
    </w:p>
    <w:p>
      <w:pPr>
        <w:ind w:firstLine="1285" w:firstLineChars="400"/>
        <w:rPr>
          <w:rFonts w:ascii="宋体" w:hAnsi="宋体" w:cs="宋体"/>
          <w:b/>
          <w:bCs/>
          <w:sz w:val="32"/>
          <w:szCs w:val="32"/>
        </w:rPr>
      </w:pPr>
      <w:r>
        <w:rPr>
          <w:rFonts w:hint="eastAsia" w:ascii="宋体" w:hAnsi="宋体" w:cs="宋体"/>
          <w:b/>
          <w:bCs/>
          <w:sz w:val="32"/>
          <w:szCs w:val="32"/>
        </w:rPr>
        <w:t>采购计划文号：LQZC2020-C3-00289-001</w:t>
      </w:r>
    </w:p>
    <w:p>
      <w:pPr>
        <w:ind w:firstLine="1285" w:firstLineChars="400"/>
        <w:rPr>
          <w:rFonts w:ascii="宋体" w:hAnsi="宋体" w:cs="宋体"/>
          <w:b/>
          <w:bCs/>
          <w:sz w:val="32"/>
          <w:szCs w:val="32"/>
        </w:rPr>
      </w:pPr>
    </w:p>
    <w:p>
      <w:pPr>
        <w:ind w:firstLine="724" w:firstLineChars="345"/>
        <w:rPr>
          <w:rFonts w:ascii="宋体" w:hAnsi="宋体"/>
          <w:b/>
          <w:sz w:val="36"/>
          <w:szCs w:val="36"/>
        </w:rPr>
      </w:pPr>
      <w:r>
        <w:drawing>
          <wp:anchor distT="0" distB="0" distL="114300" distR="114300" simplePos="0" relativeHeight="251661312" behindDoc="1" locked="0" layoutInCell="1" allowOverlap="1">
            <wp:simplePos x="0" y="0"/>
            <wp:positionH relativeFrom="column">
              <wp:posOffset>109855</wp:posOffset>
            </wp:positionH>
            <wp:positionV relativeFrom="paragraph">
              <wp:posOffset>260350</wp:posOffset>
            </wp:positionV>
            <wp:extent cx="5911215" cy="2465070"/>
            <wp:effectExtent l="0" t="0" r="51435" b="49530"/>
            <wp:wrapTight wrapText="bothSides">
              <wp:wrapPolygon>
                <wp:start x="0" y="0"/>
                <wp:lineTo x="0" y="21366"/>
                <wp:lineTo x="21510" y="21366"/>
                <wp:lineTo x="21510" y="0"/>
                <wp:lineTo x="0" y="0"/>
              </wp:wrapPolygon>
            </wp:wrapTight>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5911215" cy="2465070"/>
                    </a:xfrm>
                    <a:prstGeom prst="rect">
                      <a:avLst/>
                    </a:prstGeom>
                    <a:noFill/>
                    <a:ln>
                      <a:noFill/>
                    </a:ln>
                  </pic:spPr>
                </pic:pic>
              </a:graphicData>
            </a:graphic>
          </wp:anchor>
        </w:drawing>
      </w:r>
    </w:p>
    <w:p>
      <w:pPr>
        <w:pStyle w:val="11"/>
        <w:rPr>
          <w:rFonts w:ascii="宋体" w:hAnsi="宋体"/>
          <w:b/>
          <w:sz w:val="36"/>
          <w:szCs w:val="36"/>
        </w:rPr>
      </w:pPr>
    </w:p>
    <w:p>
      <w:pPr>
        <w:tabs>
          <w:tab w:val="left" w:pos="2092"/>
          <w:tab w:val="center" w:pos="5174"/>
        </w:tabs>
        <w:spacing w:before="100" w:beforeAutospacing="1" w:after="100" w:afterAutospacing="1" w:line="380" w:lineRule="atLeast"/>
        <w:ind w:firstLine="482"/>
        <w:jc w:val="center"/>
        <w:rPr>
          <w:rFonts w:hAnsi="宋体"/>
          <w:b/>
          <w:sz w:val="36"/>
        </w:rPr>
        <w:sectPr>
          <w:headerReference r:id="rId3" w:type="default"/>
          <w:footerReference r:id="rId4" w:type="default"/>
          <w:pgSz w:w="11906" w:h="16838"/>
          <w:pgMar w:top="1440" w:right="1080" w:bottom="1118" w:left="1080" w:header="720" w:footer="720" w:gutter="0"/>
          <w:cols w:space="720" w:num="1"/>
          <w:docGrid w:type="lines" w:linePitch="331" w:charSpace="0"/>
        </w:sectPr>
      </w:pPr>
    </w:p>
    <w:p>
      <w:pPr>
        <w:tabs>
          <w:tab w:val="left" w:pos="2092"/>
          <w:tab w:val="center" w:pos="5174"/>
        </w:tabs>
        <w:spacing w:before="100" w:beforeAutospacing="1" w:after="100" w:afterAutospacing="1" w:line="380" w:lineRule="atLeast"/>
        <w:ind w:firstLine="482"/>
        <w:jc w:val="center"/>
        <w:rPr>
          <w:rFonts w:hAnsi="宋体"/>
          <w:b/>
          <w:sz w:val="36"/>
        </w:rPr>
      </w:pPr>
      <w:r>
        <w:rPr>
          <w:rFonts w:hint="eastAsia" w:hAnsi="宋体"/>
          <w:b/>
          <w:sz w:val="36"/>
        </w:rPr>
        <w:t>通知</w:t>
      </w:r>
    </w:p>
    <w:p>
      <w:pPr>
        <w:spacing w:before="100" w:beforeAutospacing="1" w:after="100" w:afterAutospacing="1" w:line="380" w:lineRule="atLeast"/>
        <w:ind w:firstLine="482"/>
        <w:rPr>
          <w:rFonts w:ascii="宋体" w:hAnsi="宋体" w:cs="宋体"/>
          <w:kern w:val="0"/>
          <w:sz w:val="24"/>
        </w:rPr>
      </w:pPr>
      <w:r>
        <w:rPr>
          <w:rFonts w:hint="eastAsia" w:ascii="宋体" w:hAnsi="宋体" w:cs="宋体"/>
          <w:kern w:val="0"/>
          <w:sz w:val="24"/>
        </w:rPr>
        <w:t>为做好新型冠状病毒肺炎疫情防控工作，根据南宁市财政局《关于做好疫情防控期间政府采购工作有关事项的通知》（南财采〔2020〕12号）要求，现对本项目相关事项通知如下：</w:t>
      </w:r>
    </w:p>
    <w:p>
      <w:pPr>
        <w:widowControl/>
        <w:spacing w:before="100" w:beforeAutospacing="1" w:after="100" w:afterAutospacing="1" w:line="380" w:lineRule="atLeast"/>
        <w:ind w:firstLine="482"/>
        <w:jc w:val="left"/>
        <w:rPr>
          <w:rFonts w:ascii="宋体" w:hAnsi="宋体" w:cs="宋体"/>
          <w:b/>
          <w:bCs/>
          <w:kern w:val="0"/>
          <w:sz w:val="24"/>
          <w:u w:val="single"/>
        </w:rPr>
      </w:pPr>
      <w:r>
        <w:rPr>
          <w:rFonts w:hint="eastAsia" w:ascii="宋体" w:hAnsi="宋体" w:cs="宋体"/>
          <w:kern w:val="0"/>
          <w:sz w:val="24"/>
        </w:rPr>
        <w:t>一、本项目的响应文件通过</w:t>
      </w:r>
      <w:r>
        <w:rPr>
          <w:rFonts w:hint="eastAsia" w:ascii="宋体" w:hAnsi="宋体" w:cs="宋体"/>
          <w:b/>
          <w:bCs/>
          <w:kern w:val="0"/>
          <w:sz w:val="24"/>
          <w:u w:val="single"/>
        </w:rPr>
        <w:t>邮寄快递方式送达。</w:t>
      </w:r>
    </w:p>
    <w:p>
      <w:pPr>
        <w:widowControl/>
        <w:spacing w:before="100" w:beforeAutospacing="1" w:after="100" w:afterAutospacing="1" w:line="380" w:lineRule="atLeast"/>
        <w:ind w:firstLine="482"/>
        <w:jc w:val="left"/>
        <w:rPr>
          <w:rFonts w:ascii="宋体" w:hAnsi="宋体" w:cs="宋体"/>
          <w:kern w:val="0"/>
          <w:sz w:val="24"/>
        </w:rPr>
      </w:pPr>
      <w:r>
        <w:rPr>
          <w:rFonts w:hint="eastAsia" w:ascii="宋体" w:hAnsi="宋体" w:cs="宋体"/>
          <w:kern w:val="0"/>
          <w:sz w:val="24"/>
        </w:rPr>
        <w:t>（一）接收邮寄快递包裹的时间为工作日9：00～17：00。响应文件必须在响应截止时间前送达，且须交由采购代理机构当面签收。采购代理机构签收邮寄包裹的时间即为磋商供应商响应文件的送达时间，逾期送达的响应文件无效，后果由磋商供应商自行承担。</w:t>
      </w:r>
    </w:p>
    <w:p>
      <w:pPr>
        <w:widowControl/>
        <w:spacing w:before="100" w:beforeAutospacing="1" w:after="100" w:afterAutospacing="1" w:line="380" w:lineRule="atLeast"/>
        <w:ind w:firstLine="482"/>
        <w:jc w:val="left"/>
        <w:rPr>
          <w:rFonts w:ascii="宋体" w:hAnsi="宋体" w:cs="宋体"/>
          <w:kern w:val="0"/>
          <w:sz w:val="24"/>
        </w:rPr>
      </w:pPr>
      <w:r>
        <w:rPr>
          <w:rFonts w:hint="eastAsia" w:ascii="宋体" w:hAnsi="宋体" w:cs="宋体"/>
          <w:kern w:val="0"/>
          <w:sz w:val="24"/>
        </w:rPr>
        <w:t>（二）采购代理机构将在响应截止时间前一个小时（即</w:t>
      </w:r>
      <w:r>
        <w:rPr>
          <w:rFonts w:hint="eastAsia" w:ascii="宋体" w:hAnsi="宋体" w:cs="宋体"/>
          <w:kern w:val="0"/>
          <w:sz w:val="24"/>
          <w:lang w:val="en-US" w:eastAsia="zh-CN"/>
        </w:rPr>
        <w:t>08</w:t>
      </w:r>
      <w:r>
        <w:rPr>
          <w:rFonts w:hint="eastAsia" w:ascii="宋体" w:hAnsi="宋体" w:cs="宋体"/>
          <w:kern w:val="0"/>
          <w:sz w:val="24"/>
        </w:rPr>
        <w:t>时</w:t>
      </w:r>
      <w:r>
        <w:rPr>
          <w:rFonts w:hint="eastAsia" w:ascii="宋体" w:hAnsi="宋体" w:cs="宋体"/>
          <w:kern w:val="0"/>
          <w:sz w:val="24"/>
          <w:lang w:val="en-US" w:eastAsia="zh-CN"/>
        </w:rPr>
        <w:t>30</w:t>
      </w:r>
      <w:r>
        <w:rPr>
          <w:rFonts w:hint="eastAsia" w:ascii="宋体" w:hAnsi="宋体" w:cs="宋体"/>
          <w:kern w:val="0"/>
          <w:sz w:val="24"/>
        </w:rPr>
        <w:t>分）统一将收到的响应文件运送至南宁市公共资源交易中心，以确保本项目能在响应截止（开标）时间准时开标。供应商应充分预留响应文件邮寄、送达所需要的时间。为确保疫情防控期间邮寄包裹能及时送达，应选择邮寄运送时间有保障的快递公司寄送响应文件，并尽量在响应截止日期</w:t>
      </w:r>
      <w:r>
        <w:rPr>
          <w:rFonts w:ascii="宋体" w:hAnsi="宋体" w:cs="宋体"/>
          <w:kern w:val="0"/>
          <w:sz w:val="24"/>
        </w:rPr>
        <w:t>1</w:t>
      </w:r>
      <w:r>
        <w:rPr>
          <w:rFonts w:hint="eastAsia" w:ascii="宋体" w:hAnsi="宋体" w:cs="宋体"/>
          <w:kern w:val="0"/>
          <w:sz w:val="24"/>
        </w:rPr>
        <w:t>日前送达。</w:t>
      </w:r>
    </w:p>
    <w:p>
      <w:pPr>
        <w:widowControl/>
        <w:spacing w:before="100" w:beforeAutospacing="1" w:after="100" w:afterAutospacing="1" w:line="380" w:lineRule="atLeast"/>
        <w:ind w:firstLine="482"/>
        <w:jc w:val="left"/>
        <w:rPr>
          <w:rFonts w:ascii="宋体" w:hAnsi="宋体" w:cs="宋体"/>
          <w:kern w:val="0"/>
          <w:sz w:val="24"/>
        </w:rPr>
      </w:pPr>
      <w:r>
        <w:rPr>
          <w:rFonts w:hint="eastAsia" w:ascii="宋体" w:hAnsi="宋体" w:cs="宋体"/>
          <w:kern w:val="0"/>
          <w:sz w:val="24"/>
        </w:rPr>
        <w:t>（三）供应商按照采购文件要求装订密封好响应文件后，应使用不透明、防水的邮寄袋或箱子再次包裹已密封的响应文件，</w:t>
      </w:r>
      <w:r>
        <w:rPr>
          <w:rFonts w:hint="eastAsia" w:ascii="宋体" w:hAnsi="宋体" w:cs="宋体"/>
          <w:b/>
          <w:bCs/>
          <w:kern w:val="0"/>
          <w:sz w:val="24"/>
          <w:u w:val="single"/>
        </w:rPr>
        <w:t>并在邮寄袋或箱子上粘牢注明项目名称、项目编号、有效的电子邮箱、联系人及联系方式的纸质表格</w:t>
      </w:r>
      <w:r>
        <w:rPr>
          <w:rFonts w:hint="eastAsia" w:ascii="宋体" w:hAnsi="宋体" w:cs="宋体"/>
          <w:kern w:val="0"/>
          <w:sz w:val="24"/>
        </w:rPr>
        <w:t>。如因响应文件包裹信息注明不完整或缺失造成响应文件无法辨认属于哪一个项目造成的后果供应商自负。</w:t>
      </w:r>
    </w:p>
    <w:p>
      <w:pPr>
        <w:widowControl/>
        <w:spacing w:before="100" w:beforeAutospacing="1" w:after="100" w:afterAutospacing="1" w:line="380" w:lineRule="atLeast"/>
        <w:ind w:firstLine="482"/>
        <w:jc w:val="left"/>
        <w:rPr>
          <w:rFonts w:ascii="宋体" w:hAnsi="宋体" w:cs="宋体"/>
          <w:kern w:val="0"/>
          <w:sz w:val="24"/>
        </w:rPr>
      </w:pPr>
      <w:r>
        <w:rPr>
          <w:rFonts w:hint="eastAsia" w:ascii="宋体" w:hAnsi="宋体" w:cs="宋体"/>
          <w:kern w:val="0"/>
          <w:sz w:val="24"/>
        </w:rPr>
        <w:t>（四）响应文件邮寄地址：南宁市青秀区思贤路45号创投中心16A层</w:t>
      </w:r>
    </w:p>
    <w:p>
      <w:pPr>
        <w:widowControl/>
        <w:spacing w:before="100" w:beforeAutospacing="1" w:after="100" w:afterAutospacing="1" w:line="380" w:lineRule="atLeast"/>
        <w:ind w:firstLine="482"/>
        <w:jc w:val="left"/>
        <w:rPr>
          <w:rFonts w:ascii="宋体" w:hAnsi="宋体" w:cs="宋体"/>
          <w:kern w:val="0"/>
          <w:sz w:val="24"/>
        </w:rPr>
      </w:pPr>
      <w:r>
        <w:rPr>
          <w:rFonts w:hint="eastAsia" w:ascii="宋体" w:hAnsi="宋体" w:cs="宋体"/>
          <w:kern w:val="0"/>
          <w:sz w:val="24"/>
        </w:rPr>
        <w:t xml:space="preserve">      收件人：罗工  联系电话：0771-2442850</w:t>
      </w:r>
    </w:p>
    <w:p>
      <w:pPr>
        <w:widowControl/>
        <w:spacing w:before="100" w:beforeAutospacing="1" w:after="100" w:afterAutospacing="1" w:line="380" w:lineRule="atLeast"/>
        <w:jc w:val="left"/>
        <w:rPr>
          <w:rFonts w:ascii="宋体" w:hAnsi="宋体" w:cs="宋体"/>
          <w:b/>
          <w:kern w:val="0"/>
          <w:sz w:val="24"/>
        </w:rPr>
      </w:pPr>
      <w:r>
        <w:rPr>
          <w:rFonts w:hint="eastAsia" w:ascii="宋体" w:hAnsi="宋体" w:cs="宋体"/>
          <w:kern w:val="0"/>
          <w:sz w:val="28"/>
          <w:szCs w:val="28"/>
        </w:rPr>
        <w:t xml:space="preserve">  </w:t>
      </w:r>
      <w:r>
        <w:rPr>
          <w:rFonts w:hint="eastAsia" w:ascii="宋体" w:hAnsi="宋体" w:cs="宋体"/>
          <w:b/>
          <w:kern w:val="0"/>
          <w:sz w:val="28"/>
          <w:szCs w:val="28"/>
        </w:rPr>
        <w:t xml:space="preserve"> </w:t>
      </w:r>
      <w:r>
        <w:rPr>
          <w:rFonts w:hint="eastAsia" w:ascii="宋体" w:hAnsi="宋体" w:cs="宋体"/>
          <w:b/>
          <w:kern w:val="0"/>
          <w:sz w:val="24"/>
        </w:rPr>
        <w:t>（五）磋商供应商不参加现场开标活动。</w:t>
      </w:r>
    </w:p>
    <w:p>
      <w:pPr>
        <w:widowControl/>
        <w:spacing w:before="100" w:beforeAutospacing="1" w:after="100" w:afterAutospacing="1" w:line="380" w:lineRule="atLeast"/>
        <w:ind w:firstLine="482"/>
        <w:jc w:val="left"/>
        <w:rPr>
          <w:rFonts w:ascii="宋体" w:hAnsi="宋体" w:cs="宋体"/>
          <w:kern w:val="0"/>
          <w:sz w:val="24"/>
        </w:rPr>
      </w:pPr>
      <w:r>
        <w:rPr>
          <w:rFonts w:hint="eastAsia" w:ascii="宋体" w:hAnsi="宋体" w:cs="宋体"/>
          <w:kern w:val="0"/>
          <w:sz w:val="24"/>
        </w:rPr>
        <w:t xml:space="preserve">     响应文件拆封及密封性检查：</w:t>
      </w:r>
    </w:p>
    <w:p>
      <w:pPr>
        <w:widowControl/>
        <w:spacing w:before="100" w:beforeAutospacing="1" w:after="100" w:afterAutospacing="1" w:line="380" w:lineRule="atLeast"/>
        <w:ind w:firstLine="482"/>
        <w:jc w:val="left"/>
        <w:rPr>
          <w:rFonts w:ascii="宋体" w:hAnsi="宋体" w:cs="宋体"/>
          <w:kern w:val="0"/>
          <w:sz w:val="24"/>
        </w:rPr>
      </w:pPr>
      <w:r>
        <w:rPr>
          <w:rFonts w:hint="eastAsia" w:ascii="宋体" w:hAnsi="宋体" w:cs="宋体"/>
          <w:kern w:val="0"/>
          <w:sz w:val="24"/>
        </w:rPr>
        <w:t xml:space="preserve">      截标后，采购代理机构工作人员在南宁市公共资源交易中心工作人员和采购人的见证下拆开响应文件包封，采购人对响应文件密封性进行签字确认。</w:t>
      </w:r>
    </w:p>
    <w:p>
      <w:pPr>
        <w:widowControl/>
        <w:spacing w:before="100" w:beforeAutospacing="1" w:after="100" w:afterAutospacing="1" w:line="380" w:lineRule="atLeast"/>
        <w:ind w:firstLine="482"/>
        <w:jc w:val="left"/>
        <w:rPr>
          <w:rFonts w:ascii="宋体" w:hAnsi="宋体" w:cs="宋体"/>
          <w:kern w:val="0"/>
          <w:sz w:val="24"/>
        </w:rPr>
      </w:pPr>
      <w:r>
        <w:rPr>
          <w:rFonts w:hint="eastAsia" w:ascii="宋体" w:hAnsi="宋体" w:cs="宋体"/>
          <w:kern w:val="0"/>
          <w:sz w:val="24"/>
        </w:rPr>
        <w:t>二、关于澄清、谈判的有关要求</w:t>
      </w:r>
    </w:p>
    <w:p>
      <w:pPr>
        <w:widowControl/>
        <w:spacing w:before="100" w:beforeAutospacing="1" w:after="100" w:afterAutospacing="1" w:line="380" w:lineRule="atLeast"/>
        <w:ind w:firstLine="482"/>
        <w:jc w:val="left"/>
        <w:rPr>
          <w:rFonts w:ascii="宋体" w:hAnsi="宋体" w:cs="宋体"/>
          <w:kern w:val="0"/>
          <w:sz w:val="24"/>
        </w:rPr>
      </w:pPr>
      <w:r>
        <w:rPr>
          <w:rFonts w:hint="eastAsia" w:ascii="宋体" w:hAnsi="宋体" w:cs="宋体"/>
          <w:kern w:val="0"/>
          <w:sz w:val="24"/>
        </w:rPr>
        <w:t>（一）为便于采购代理机构或谈判小组在项目评审期间与供应商取得联系，做好评审过程中供应商对响应文件的澄清、说明或者补正，以及谈判等工作，供应商务必做到：</w:t>
      </w:r>
      <w:r>
        <w:rPr>
          <w:rFonts w:hint="eastAsia" w:ascii="宋体" w:hAnsi="宋体" w:cs="宋体"/>
          <w:b/>
          <w:bCs/>
          <w:kern w:val="0"/>
          <w:sz w:val="24"/>
          <w:u w:val="single"/>
        </w:rPr>
        <w:t>“第五章响应文件格式”中“响应函（格式）”落款处的“电话”务必填写法定代表人或委托代理人的电话联系方式</w:t>
      </w:r>
      <w:r>
        <w:rPr>
          <w:rFonts w:hint="eastAsia" w:ascii="宋体" w:hAnsi="宋体" w:cs="宋体"/>
          <w:kern w:val="0"/>
          <w:sz w:val="24"/>
        </w:rPr>
        <w:t>。</w:t>
      </w:r>
    </w:p>
    <w:p>
      <w:pPr>
        <w:widowControl/>
        <w:spacing w:before="100" w:beforeAutospacing="1" w:after="100" w:afterAutospacing="1" w:line="380" w:lineRule="atLeast"/>
        <w:ind w:firstLine="482"/>
        <w:jc w:val="left"/>
        <w:rPr>
          <w:rFonts w:ascii="宋体" w:hAnsi="宋体" w:cs="宋体"/>
          <w:kern w:val="0"/>
          <w:sz w:val="24"/>
        </w:rPr>
      </w:pPr>
      <w:r>
        <w:rPr>
          <w:rFonts w:hint="eastAsia" w:ascii="宋体" w:hAnsi="宋体" w:cs="宋体"/>
          <w:kern w:val="0"/>
          <w:sz w:val="24"/>
        </w:rPr>
        <w:t>（二）评审当天供应商务必保持电话畅通。如果评审过程中需要与供应商进行谈判、要求供应商进行报价以及对响应文件作出澄清、说明或者补正的，谈判小组会通知供应商在规定的时间内通过电子邮件、传真等方式提交。</w:t>
      </w:r>
    </w:p>
    <w:p>
      <w:pPr>
        <w:widowControl/>
        <w:spacing w:before="100" w:beforeAutospacing="1" w:after="100" w:afterAutospacing="1" w:line="380" w:lineRule="atLeast"/>
        <w:ind w:firstLine="482"/>
        <w:jc w:val="left"/>
        <w:rPr>
          <w:rFonts w:ascii="宋体" w:hAnsi="宋体" w:cs="宋体"/>
          <w:kern w:val="0"/>
          <w:sz w:val="24"/>
        </w:rPr>
      </w:pPr>
      <w:r>
        <w:rPr>
          <w:rFonts w:hint="eastAsia" w:ascii="宋体" w:hAnsi="宋体" w:cs="宋体"/>
          <w:kern w:val="0"/>
          <w:sz w:val="24"/>
        </w:rPr>
        <w:t>（三）如供应商未按上述要求，致使采购代理机构或谈判小组在项目评审期间无法与供应商取得联系进行谈判的，或因自身原因未能保持电话畅通或未按谈判小组要求提交澄清、说明或者补正的，后果由供应商自行承担。</w:t>
      </w:r>
    </w:p>
    <w:p>
      <w:pPr>
        <w:widowControl/>
        <w:jc w:val="left"/>
        <w:rPr>
          <w:rFonts w:ascii="宋体" w:hAnsi="宋体"/>
          <w:b/>
          <w:sz w:val="48"/>
          <w:szCs w:val="48"/>
        </w:rPr>
      </w:pPr>
      <w:r>
        <w:rPr>
          <w:rFonts w:hint="eastAsia" w:ascii="宋体" w:hAnsi="宋体" w:cs="宋体"/>
          <w:kern w:val="0"/>
          <w:sz w:val="24"/>
        </w:rPr>
        <w:t>四、请按通知内容执行，采购文件其余内容不变。</w:t>
      </w:r>
    </w:p>
    <w:p>
      <w:pPr>
        <w:pStyle w:val="14"/>
        <w:spacing w:line="560" w:lineRule="exact"/>
        <w:rPr>
          <w:rFonts w:hAnsi="宋体"/>
          <w:sz w:val="24"/>
          <w:szCs w:val="24"/>
        </w:rPr>
      </w:pPr>
      <w:r>
        <w:rPr>
          <w:rFonts w:hint="eastAsia" w:hAnsi="宋体"/>
          <w:sz w:val="24"/>
          <w:szCs w:val="24"/>
        </w:rPr>
        <w:t xml:space="preserve">                                   </w:t>
      </w:r>
    </w:p>
    <w:p>
      <w:pPr>
        <w:pStyle w:val="14"/>
        <w:spacing w:line="560" w:lineRule="exact"/>
        <w:rPr>
          <w:rFonts w:hAnsi="宋体"/>
          <w:sz w:val="24"/>
          <w:szCs w:val="24"/>
        </w:rPr>
      </w:pPr>
    </w:p>
    <w:p>
      <w:pPr>
        <w:pStyle w:val="14"/>
        <w:spacing w:line="560" w:lineRule="exact"/>
        <w:rPr>
          <w:rFonts w:hAnsi="宋体"/>
          <w:sz w:val="24"/>
          <w:szCs w:val="24"/>
        </w:rPr>
      </w:pPr>
    </w:p>
    <w:p>
      <w:pPr>
        <w:pStyle w:val="14"/>
        <w:spacing w:line="560" w:lineRule="exact"/>
        <w:rPr>
          <w:rFonts w:hAnsi="宋体"/>
          <w:sz w:val="24"/>
          <w:szCs w:val="24"/>
        </w:rPr>
      </w:pPr>
      <w:r>
        <w:rPr>
          <w:rFonts w:hint="eastAsia" w:hAnsi="宋体"/>
          <w:sz w:val="24"/>
          <w:szCs w:val="24"/>
        </w:rPr>
        <w:t xml:space="preserve">                                   采购代理机构：广西邕政采购代理有限公司                                  </w:t>
      </w:r>
    </w:p>
    <w:p>
      <w:pPr>
        <w:widowControl/>
        <w:jc w:val="center"/>
        <w:rPr>
          <w:rFonts w:asciiTheme="majorEastAsia" w:hAnsiTheme="majorEastAsia" w:eastAsiaTheme="majorEastAsia" w:cstheme="majorEastAsia"/>
          <w:b/>
          <w:sz w:val="48"/>
          <w:szCs w:val="48"/>
        </w:rPr>
        <w:sectPr>
          <w:pgSz w:w="11906" w:h="16838"/>
          <w:pgMar w:top="1440" w:right="1080" w:bottom="1118" w:left="1080" w:header="720" w:footer="720" w:gutter="0"/>
          <w:cols w:space="720" w:num="1"/>
          <w:docGrid w:type="lines" w:linePitch="331" w:charSpace="0"/>
        </w:sectPr>
      </w:pPr>
      <w:r>
        <w:rPr>
          <w:rFonts w:hint="eastAsia" w:hAnsi="宋体"/>
          <w:sz w:val="24"/>
        </w:rPr>
        <w:t xml:space="preserve">                   日        期：2020年</w:t>
      </w:r>
      <w:r>
        <w:rPr>
          <w:rFonts w:hint="eastAsia" w:hAnsi="宋体"/>
          <w:sz w:val="24"/>
          <w:lang w:val="en-US" w:eastAsia="zh-CN"/>
        </w:rPr>
        <w:t>7</w:t>
      </w:r>
      <w:r>
        <w:rPr>
          <w:rFonts w:hint="eastAsia" w:hAnsi="宋体"/>
          <w:sz w:val="24"/>
        </w:rPr>
        <w:t>月</w:t>
      </w:r>
      <w:r>
        <w:rPr>
          <w:rFonts w:hint="eastAsia" w:hAnsi="宋体"/>
          <w:sz w:val="24"/>
          <w:lang w:val="en-US" w:eastAsia="zh-CN"/>
        </w:rPr>
        <w:t>9</w:t>
      </w:r>
      <w:r>
        <w:rPr>
          <w:rFonts w:hint="eastAsia" w:hAnsi="宋体"/>
          <w:sz w:val="24"/>
        </w:rPr>
        <w:t>日</w:t>
      </w:r>
    </w:p>
    <w:p>
      <w:pPr>
        <w:tabs>
          <w:tab w:val="left" w:pos="4328"/>
          <w:tab w:val="center" w:pos="4933"/>
        </w:tabs>
        <w:jc w:val="center"/>
        <w:outlineLvl w:val="1"/>
        <w:rPr>
          <w:rFonts w:asciiTheme="majorEastAsia" w:hAnsiTheme="majorEastAsia" w:eastAsiaTheme="majorEastAsia" w:cstheme="majorEastAsia"/>
          <w:b/>
          <w:sz w:val="48"/>
          <w:szCs w:val="48"/>
        </w:rPr>
      </w:pPr>
      <w:r>
        <w:rPr>
          <w:rFonts w:hint="eastAsia" w:asciiTheme="majorEastAsia" w:hAnsiTheme="majorEastAsia" w:eastAsiaTheme="majorEastAsia" w:cstheme="majorEastAsia"/>
          <w:b/>
          <w:sz w:val="48"/>
          <w:szCs w:val="48"/>
        </w:rPr>
        <w:t>目录</w:t>
      </w:r>
    </w:p>
    <w:p>
      <w:pPr>
        <w:rPr>
          <w:rFonts w:asciiTheme="majorEastAsia" w:hAnsiTheme="majorEastAsia" w:eastAsiaTheme="majorEastAsia" w:cstheme="majorEastAsia"/>
          <w:b/>
          <w:szCs w:val="22"/>
        </w:rPr>
      </w:pPr>
    </w:p>
    <w:p>
      <w:pPr>
        <w:pStyle w:val="19"/>
        <w:tabs>
          <w:tab w:val="right" w:leader="dot" w:pos="9736"/>
        </w:tabs>
        <w:outlineLvl w:val="9"/>
        <w:rPr>
          <w:rFonts w:asciiTheme="majorEastAsia" w:hAnsiTheme="majorEastAsia" w:eastAsiaTheme="majorEastAsia" w:cstheme="majorEastAsia"/>
          <w:b w:val="0"/>
          <w:color w:val="auto"/>
          <w:sz w:val="28"/>
          <w:szCs w:val="28"/>
        </w:rPr>
      </w:pPr>
      <w:bookmarkStart w:id="2" w:name="_Toc460253689"/>
      <w:r>
        <w:rPr>
          <w:rFonts w:hint="eastAsia" w:asciiTheme="majorEastAsia" w:hAnsiTheme="majorEastAsia" w:eastAsiaTheme="majorEastAsia" w:cstheme="majorEastAsia"/>
          <w:color w:val="auto"/>
          <w:sz w:val="28"/>
          <w:szCs w:val="28"/>
        </w:rPr>
        <w:fldChar w:fldCharType="begin"/>
      </w:r>
      <w:r>
        <w:rPr>
          <w:rFonts w:hint="eastAsia" w:asciiTheme="majorEastAsia" w:hAnsiTheme="majorEastAsia" w:eastAsiaTheme="majorEastAsia" w:cstheme="majorEastAsia"/>
          <w:color w:val="auto"/>
          <w:sz w:val="28"/>
          <w:szCs w:val="28"/>
        </w:rPr>
        <w:instrText xml:space="preserve"> TOC \o "1-2" \h \z \u </w:instrText>
      </w:r>
      <w:r>
        <w:rPr>
          <w:rFonts w:hint="eastAsia" w:asciiTheme="majorEastAsia" w:hAnsiTheme="majorEastAsia" w:eastAsiaTheme="majorEastAsia" w:cstheme="majorEastAsia"/>
          <w:color w:val="auto"/>
          <w:sz w:val="28"/>
          <w:szCs w:val="28"/>
        </w:rPr>
        <w:fldChar w:fldCharType="separate"/>
      </w:r>
      <w:r>
        <w:fldChar w:fldCharType="begin"/>
      </w:r>
      <w:r>
        <w:instrText xml:space="preserve"> HYPERLINK \l "_Toc521096339" </w:instrText>
      </w:r>
      <w:r>
        <w:fldChar w:fldCharType="separate"/>
      </w:r>
      <w:r>
        <w:rPr>
          <w:rStyle w:val="34"/>
          <w:rFonts w:hint="eastAsia" w:asciiTheme="majorEastAsia" w:hAnsiTheme="majorEastAsia" w:eastAsiaTheme="majorEastAsia" w:cstheme="majorEastAsia"/>
          <w:color w:val="auto"/>
          <w:sz w:val="28"/>
          <w:szCs w:val="28"/>
        </w:rPr>
        <w:t>第一章 竞争性磋商公告</w:t>
      </w:r>
      <w:r>
        <w:rPr>
          <w:rFonts w:hint="eastAsia" w:asciiTheme="majorEastAsia" w:hAnsiTheme="majorEastAsia" w:eastAsiaTheme="majorEastAsia" w:cstheme="majorEastAsia"/>
          <w:color w:val="auto"/>
          <w:sz w:val="28"/>
          <w:szCs w:val="28"/>
        </w:rPr>
        <w:tab/>
      </w:r>
      <w:r>
        <w:rPr>
          <w:rFonts w:hint="eastAsia" w:asciiTheme="majorEastAsia" w:hAnsiTheme="majorEastAsia" w:eastAsiaTheme="majorEastAsia" w:cstheme="majorEastAsia"/>
          <w:color w:val="auto"/>
          <w:sz w:val="28"/>
          <w:szCs w:val="28"/>
        </w:rPr>
        <w:fldChar w:fldCharType="end"/>
      </w:r>
      <w:r>
        <w:rPr>
          <w:rFonts w:hint="eastAsia" w:asciiTheme="majorEastAsia" w:hAnsiTheme="majorEastAsia" w:eastAsiaTheme="majorEastAsia" w:cstheme="majorEastAsia"/>
          <w:color w:val="auto"/>
          <w:sz w:val="28"/>
          <w:szCs w:val="28"/>
        </w:rPr>
        <w:t>4</w:t>
      </w:r>
    </w:p>
    <w:p>
      <w:pPr>
        <w:pStyle w:val="19"/>
        <w:tabs>
          <w:tab w:val="right" w:leader="dot" w:pos="9736"/>
        </w:tabs>
        <w:outlineLvl w:val="9"/>
        <w:rPr>
          <w:rFonts w:asciiTheme="majorEastAsia" w:hAnsiTheme="majorEastAsia" w:eastAsiaTheme="majorEastAsia" w:cstheme="majorEastAsia"/>
          <w:b w:val="0"/>
          <w:color w:val="auto"/>
          <w:sz w:val="28"/>
          <w:szCs w:val="28"/>
        </w:rPr>
      </w:pPr>
      <w:r>
        <w:fldChar w:fldCharType="begin"/>
      </w:r>
      <w:r>
        <w:instrText xml:space="preserve"> HYPERLINK \l "_Toc521096340" </w:instrText>
      </w:r>
      <w:r>
        <w:fldChar w:fldCharType="separate"/>
      </w:r>
      <w:r>
        <w:rPr>
          <w:rStyle w:val="34"/>
          <w:rFonts w:hint="eastAsia" w:asciiTheme="majorEastAsia" w:hAnsiTheme="majorEastAsia" w:eastAsiaTheme="majorEastAsia" w:cstheme="majorEastAsia"/>
          <w:color w:val="auto"/>
          <w:sz w:val="28"/>
          <w:szCs w:val="28"/>
        </w:rPr>
        <w:t>第二章 服务需求一览表</w:t>
      </w:r>
      <w:r>
        <w:rPr>
          <w:rFonts w:hint="eastAsia" w:asciiTheme="majorEastAsia" w:hAnsiTheme="majorEastAsia" w:eastAsiaTheme="majorEastAsia" w:cstheme="majorEastAsia"/>
          <w:color w:val="auto"/>
          <w:sz w:val="28"/>
          <w:szCs w:val="28"/>
        </w:rPr>
        <w:tab/>
      </w:r>
      <w:r>
        <w:rPr>
          <w:rFonts w:hint="eastAsia" w:asciiTheme="majorEastAsia" w:hAnsiTheme="majorEastAsia" w:eastAsiaTheme="majorEastAsia" w:cstheme="majorEastAsia"/>
          <w:color w:val="auto"/>
          <w:sz w:val="28"/>
          <w:szCs w:val="28"/>
        </w:rPr>
        <w:fldChar w:fldCharType="end"/>
      </w:r>
      <w:r>
        <w:rPr>
          <w:rFonts w:hint="eastAsia" w:asciiTheme="majorEastAsia" w:hAnsiTheme="majorEastAsia" w:eastAsiaTheme="majorEastAsia" w:cstheme="majorEastAsia"/>
          <w:color w:val="auto"/>
          <w:sz w:val="28"/>
          <w:szCs w:val="28"/>
        </w:rPr>
        <w:t>6</w:t>
      </w:r>
    </w:p>
    <w:p>
      <w:pPr>
        <w:pStyle w:val="19"/>
        <w:tabs>
          <w:tab w:val="right" w:leader="dot" w:pos="9736"/>
        </w:tabs>
        <w:outlineLvl w:val="9"/>
        <w:rPr>
          <w:rFonts w:asciiTheme="majorEastAsia" w:hAnsiTheme="majorEastAsia" w:eastAsiaTheme="majorEastAsia" w:cstheme="majorEastAsia"/>
          <w:b w:val="0"/>
          <w:color w:val="auto"/>
          <w:sz w:val="28"/>
          <w:szCs w:val="28"/>
        </w:rPr>
      </w:pPr>
      <w:r>
        <w:fldChar w:fldCharType="begin"/>
      </w:r>
      <w:r>
        <w:instrText xml:space="preserve"> HYPERLINK \l "_Toc521096341" </w:instrText>
      </w:r>
      <w:r>
        <w:fldChar w:fldCharType="separate"/>
      </w:r>
      <w:r>
        <w:rPr>
          <w:rStyle w:val="34"/>
          <w:rFonts w:hint="eastAsia" w:asciiTheme="majorEastAsia" w:hAnsiTheme="majorEastAsia" w:eastAsiaTheme="majorEastAsia" w:cstheme="majorEastAsia"/>
          <w:color w:val="auto"/>
          <w:sz w:val="28"/>
          <w:szCs w:val="28"/>
        </w:rPr>
        <w:t>第三章 评审方法</w:t>
      </w:r>
      <w:r>
        <w:rPr>
          <w:rFonts w:hint="eastAsia" w:asciiTheme="majorEastAsia" w:hAnsiTheme="majorEastAsia" w:eastAsiaTheme="majorEastAsia" w:cstheme="majorEastAsia"/>
          <w:color w:val="auto"/>
          <w:sz w:val="28"/>
          <w:szCs w:val="28"/>
        </w:rPr>
        <w:tab/>
      </w:r>
      <w:r>
        <w:rPr>
          <w:rFonts w:hint="eastAsia" w:asciiTheme="majorEastAsia" w:hAnsiTheme="majorEastAsia" w:eastAsiaTheme="majorEastAsia" w:cstheme="majorEastAsia"/>
          <w:color w:val="auto"/>
          <w:sz w:val="28"/>
          <w:szCs w:val="28"/>
        </w:rPr>
        <w:t>31</w:t>
      </w:r>
      <w:r>
        <w:rPr>
          <w:rFonts w:hint="eastAsia" w:asciiTheme="majorEastAsia" w:hAnsiTheme="majorEastAsia" w:eastAsiaTheme="majorEastAsia" w:cstheme="majorEastAsia"/>
          <w:color w:val="auto"/>
          <w:sz w:val="28"/>
          <w:szCs w:val="28"/>
        </w:rPr>
        <w:fldChar w:fldCharType="end"/>
      </w:r>
    </w:p>
    <w:p>
      <w:pPr>
        <w:pStyle w:val="19"/>
        <w:tabs>
          <w:tab w:val="right" w:leader="dot" w:pos="9736"/>
        </w:tabs>
        <w:outlineLvl w:val="9"/>
        <w:rPr>
          <w:rFonts w:asciiTheme="majorEastAsia" w:hAnsiTheme="majorEastAsia" w:eastAsiaTheme="majorEastAsia" w:cstheme="majorEastAsia"/>
          <w:b w:val="0"/>
          <w:color w:val="auto"/>
          <w:sz w:val="28"/>
          <w:szCs w:val="28"/>
        </w:rPr>
      </w:pPr>
      <w:r>
        <w:fldChar w:fldCharType="begin"/>
      </w:r>
      <w:r>
        <w:instrText xml:space="preserve"> HYPERLINK \l "_Toc521096342" </w:instrText>
      </w:r>
      <w:r>
        <w:fldChar w:fldCharType="separate"/>
      </w:r>
      <w:r>
        <w:rPr>
          <w:rStyle w:val="34"/>
          <w:rFonts w:hint="eastAsia" w:asciiTheme="majorEastAsia" w:hAnsiTheme="majorEastAsia" w:eastAsiaTheme="majorEastAsia" w:cstheme="majorEastAsia"/>
          <w:color w:val="auto"/>
          <w:sz w:val="28"/>
          <w:szCs w:val="28"/>
        </w:rPr>
        <w:t>第四章 磋商供应商须知</w:t>
      </w:r>
      <w:r>
        <w:rPr>
          <w:rFonts w:hint="eastAsia" w:asciiTheme="majorEastAsia" w:hAnsiTheme="majorEastAsia" w:eastAsiaTheme="majorEastAsia" w:cstheme="majorEastAsia"/>
          <w:color w:val="auto"/>
          <w:sz w:val="28"/>
          <w:szCs w:val="28"/>
        </w:rPr>
        <w:tab/>
      </w:r>
      <w:r>
        <w:rPr>
          <w:rFonts w:hint="eastAsia" w:asciiTheme="majorEastAsia" w:hAnsiTheme="majorEastAsia" w:eastAsiaTheme="majorEastAsia" w:cstheme="majorEastAsia"/>
          <w:color w:val="auto"/>
          <w:sz w:val="28"/>
          <w:szCs w:val="28"/>
        </w:rPr>
        <w:fldChar w:fldCharType="end"/>
      </w:r>
      <w:r>
        <w:rPr>
          <w:rFonts w:hint="eastAsia" w:asciiTheme="majorEastAsia" w:hAnsiTheme="majorEastAsia" w:eastAsiaTheme="majorEastAsia" w:cstheme="majorEastAsia"/>
          <w:color w:val="auto"/>
          <w:sz w:val="28"/>
          <w:szCs w:val="28"/>
        </w:rPr>
        <w:t>38</w:t>
      </w:r>
    </w:p>
    <w:p>
      <w:pPr>
        <w:pStyle w:val="19"/>
        <w:tabs>
          <w:tab w:val="right" w:leader="dot" w:pos="9736"/>
        </w:tabs>
        <w:ind w:left="630" w:leftChars="300"/>
        <w:outlineLvl w:val="9"/>
        <w:rPr>
          <w:rFonts w:asciiTheme="majorEastAsia" w:hAnsiTheme="majorEastAsia" w:eastAsiaTheme="majorEastAsia" w:cstheme="majorEastAsia"/>
          <w:b w:val="0"/>
          <w:color w:val="auto"/>
          <w:sz w:val="28"/>
          <w:szCs w:val="28"/>
        </w:rPr>
      </w:pPr>
      <w:r>
        <w:fldChar w:fldCharType="begin"/>
      </w:r>
      <w:r>
        <w:instrText xml:space="preserve"> HYPERLINK \l "_Toc521096343" </w:instrText>
      </w:r>
      <w:r>
        <w:fldChar w:fldCharType="separate"/>
      </w:r>
      <w:r>
        <w:rPr>
          <w:rStyle w:val="34"/>
          <w:rFonts w:hint="eastAsia" w:asciiTheme="majorEastAsia" w:hAnsiTheme="majorEastAsia" w:eastAsiaTheme="majorEastAsia" w:cstheme="majorEastAsia"/>
          <w:color w:val="auto"/>
          <w:sz w:val="28"/>
          <w:szCs w:val="28"/>
        </w:rPr>
        <w:t>一  总则</w:t>
      </w:r>
      <w:r>
        <w:rPr>
          <w:rFonts w:hint="eastAsia" w:asciiTheme="majorEastAsia" w:hAnsiTheme="majorEastAsia" w:eastAsiaTheme="majorEastAsia" w:cstheme="majorEastAsia"/>
          <w:color w:val="auto"/>
          <w:sz w:val="28"/>
          <w:szCs w:val="28"/>
        </w:rPr>
        <w:tab/>
      </w:r>
      <w:r>
        <w:rPr>
          <w:rFonts w:hint="eastAsia" w:asciiTheme="majorEastAsia" w:hAnsiTheme="majorEastAsia" w:eastAsiaTheme="majorEastAsia" w:cstheme="majorEastAsia"/>
          <w:color w:val="auto"/>
          <w:sz w:val="28"/>
          <w:szCs w:val="28"/>
        </w:rPr>
        <w:t>41</w:t>
      </w:r>
      <w:r>
        <w:rPr>
          <w:rFonts w:hint="eastAsia" w:asciiTheme="majorEastAsia" w:hAnsiTheme="majorEastAsia" w:eastAsiaTheme="majorEastAsia" w:cstheme="majorEastAsia"/>
          <w:color w:val="auto"/>
          <w:sz w:val="28"/>
          <w:szCs w:val="28"/>
        </w:rPr>
        <w:fldChar w:fldCharType="end"/>
      </w:r>
    </w:p>
    <w:p>
      <w:pPr>
        <w:pStyle w:val="19"/>
        <w:tabs>
          <w:tab w:val="right" w:leader="dot" w:pos="9736"/>
        </w:tabs>
        <w:ind w:left="630" w:leftChars="300"/>
        <w:outlineLvl w:val="9"/>
        <w:rPr>
          <w:rFonts w:asciiTheme="majorEastAsia" w:hAnsiTheme="majorEastAsia" w:eastAsiaTheme="majorEastAsia" w:cstheme="majorEastAsia"/>
          <w:b w:val="0"/>
          <w:color w:val="auto"/>
          <w:sz w:val="28"/>
          <w:szCs w:val="28"/>
        </w:rPr>
      </w:pPr>
      <w:r>
        <w:fldChar w:fldCharType="begin"/>
      </w:r>
      <w:r>
        <w:instrText xml:space="preserve"> HYPERLINK \l "_Toc521096344" </w:instrText>
      </w:r>
      <w:r>
        <w:fldChar w:fldCharType="separate"/>
      </w:r>
      <w:r>
        <w:rPr>
          <w:rStyle w:val="34"/>
          <w:rFonts w:hint="eastAsia" w:asciiTheme="majorEastAsia" w:hAnsiTheme="majorEastAsia" w:eastAsiaTheme="majorEastAsia" w:cstheme="majorEastAsia"/>
          <w:color w:val="auto"/>
          <w:sz w:val="28"/>
          <w:szCs w:val="28"/>
        </w:rPr>
        <w:t>二  竞争性磋商采购文件</w:t>
      </w:r>
      <w:r>
        <w:rPr>
          <w:rFonts w:hint="eastAsia" w:asciiTheme="majorEastAsia" w:hAnsiTheme="majorEastAsia" w:eastAsiaTheme="majorEastAsia" w:cstheme="majorEastAsia"/>
          <w:color w:val="auto"/>
          <w:sz w:val="28"/>
          <w:szCs w:val="28"/>
        </w:rPr>
        <w:tab/>
      </w:r>
      <w:r>
        <w:rPr>
          <w:rFonts w:hint="eastAsia" w:asciiTheme="majorEastAsia" w:hAnsiTheme="majorEastAsia" w:eastAsiaTheme="majorEastAsia" w:cstheme="majorEastAsia"/>
          <w:color w:val="auto"/>
          <w:sz w:val="28"/>
          <w:szCs w:val="28"/>
        </w:rPr>
        <w:t>44</w:t>
      </w:r>
      <w:r>
        <w:rPr>
          <w:rFonts w:hint="eastAsia" w:asciiTheme="majorEastAsia" w:hAnsiTheme="majorEastAsia" w:eastAsiaTheme="majorEastAsia" w:cstheme="majorEastAsia"/>
          <w:color w:val="auto"/>
          <w:sz w:val="28"/>
          <w:szCs w:val="28"/>
        </w:rPr>
        <w:fldChar w:fldCharType="end"/>
      </w:r>
    </w:p>
    <w:p>
      <w:pPr>
        <w:pStyle w:val="19"/>
        <w:tabs>
          <w:tab w:val="right" w:leader="dot" w:pos="9736"/>
        </w:tabs>
        <w:ind w:left="630" w:leftChars="300"/>
        <w:outlineLvl w:val="9"/>
        <w:rPr>
          <w:rFonts w:asciiTheme="majorEastAsia" w:hAnsiTheme="majorEastAsia" w:eastAsiaTheme="majorEastAsia" w:cstheme="majorEastAsia"/>
          <w:b w:val="0"/>
          <w:color w:val="auto"/>
          <w:sz w:val="28"/>
          <w:szCs w:val="28"/>
        </w:rPr>
      </w:pPr>
      <w:r>
        <w:fldChar w:fldCharType="begin"/>
      </w:r>
      <w:r>
        <w:instrText xml:space="preserve"> HYPERLINK \l "_Toc521096345" </w:instrText>
      </w:r>
      <w:r>
        <w:fldChar w:fldCharType="separate"/>
      </w:r>
      <w:r>
        <w:rPr>
          <w:rStyle w:val="34"/>
          <w:rFonts w:hint="eastAsia" w:asciiTheme="majorEastAsia" w:hAnsiTheme="majorEastAsia" w:eastAsiaTheme="majorEastAsia" w:cstheme="majorEastAsia"/>
          <w:color w:val="auto"/>
          <w:sz w:val="28"/>
          <w:szCs w:val="28"/>
        </w:rPr>
        <w:t>三  响应文件</w:t>
      </w:r>
      <w:r>
        <w:rPr>
          <w:rFonts w:hint="eastAsia" w:asciiTheme="majorEastAsia" w:hAnsiTheme="majorEastAsia" w:eastAsiaTheme="majorEastAsia" w:cstheme="majorEastAsia"/>
          <w:color w:val="auto"/>
          <w:sz w:val="28"/>
          <w:szCs w:val="28"/>
        </w:rPr>
        <w:tab/>
      </w:r>
      <w:r>
        <w:rPr>
          <w:rFonts w:hint="eastAsia" w:asciiTheme="majorEastAsia" w:hAnsiTheme="majorEastAsia" w:eastAsiaTheme="majorEastAsia" w:cstheme="majorEastAsia"/>
          <w:color w:val="auto"/>
          <w:sz w:val="28"/>
          <w:szCs w:val="28"/>
        </w:rPr>
        <w:t>44</w:t>
      </w:r>
      <w:r>
        <w:rPr>
          <w:rFonts w:hint="eastAsia" w:asciiTheme="majorEastAsia" w:hAnsiTheme="majorEastAsia" w:eastAsiaTheme="majorEastAsia" w:cstheme="majorEastAsia"/>
          <w:color w:val="auto"/>
          <w:sz w:val="28"/>
          <w:szCs w:val="28"/>
        </w:rPr>
        <w:fldChar w:fldCharType="end"/>
      </w:r>
    </w:p>
    <w:p>
      <w:pPr>
        <w:pStyle w:val="19"/>
        <w:tabs>
          <w:tab w:val="right" w:leader="dot" w:pos="9736"/>
        </w:tabs>
        <w:ind w:left="630" w:leftChars="300"/>
        <w:outlineLvl w:val="9"/>
        <w:rPr>
          <w:rFonts w:asciiTheme="majorEastAsia" w:hAnsiTheme="majorEastAsia" w:eastAsiaTheme="majorEastAsia" w:cstheme="majorEastAsia"/>
          <w:b w:val="0"/>
          <w:color w:val="auto"/>
          <w:sz w:val="28"/>
          <w:szCs w:val="28"/>
        </w:rPr>
      </w:pPr>
      <w:r>
        <w:fldChar w:fldCharType="begin"/>
      </w:r>
      <w:r>
        <w:instrText xml:space="preserve"> HYPERLINK \l "_Toc521096346" </w:instrText>
      </w:r>
      <w:r>
        <w:fldChar w:fldCharType="separate"/>
      </w:r>
      <w:r>
        <w:rPr>
          <w:rStyle w:val="34"/>
          <w:rFonts w:hint="eastAsia" w:asciiTheme="majorEastAsia" w:hAnsiTheme="majorEastAsia" w:eastAsiaTheme="majorEastAsia" w:cstheme="majorEastAsia"/>
          <w:color w:val="auto"/>
          <w:sz w:val="28"/>
          <w:szCs w:val="28"/>
        </w:rPr>
        <w:t>四  磋商响应</w:t>
      </w:r>
      <w:r>
        <w:rPr>
          <w:rFonts w:hint="eastAsia" w:asciiTheme="majorEastAsia" w:hAnsiTheme="majorEastAsia" w:eastAsiaTheme="majorEastAsia" w:cstheme="majorEastAsia"/>
          <w:color w:val="auto"/>
          <w:sz w:val="28"/>
          <w:szCs w:val="28"/>
        </w:rPr>
        <w:tab/>
      </w:r>
      <w:r>
        <w:rPr>
          <w:rFonts w:hint="eastAsia" w:asciiTheme="majorEastAsia" w:hAnsiTheme="majorEastAsia" w:eastAsiaTheme="majorEastAsia" w:cstheme="majorEastAsia"/>
          <w:color w:val="auto"/>
          <w:sz w:val="28"/>
          <w:szCs w:val="28"/>
        </w:rPr>
        <w:t>48</w:t>
      </w:r>
      <w:r>
        <w:rPr>
          <w:rFonts w:hint="eastAsia" w:asciiTheme="majorEastAsia" w:hAnsiTheme="majorEastAsia" w:eastAsiaTheme="majorEastAsia" w:cstheme="majorEastAsia"/>
          <w:color w:val="auto"/>
          <w:sz w:val="28"/>
          <w:szCs w:val="28"/>
        </w:rPr>
        <w:fldChar w:fldCharType="end"/>
      </w:r>
    </w:p>
    <w:p>
      <w:pPr>
        <w:pStyle w:val="19"/>
        <w:tabs>
          <w:tab w:val="right" w:leader="dot" w:pos="9736"/>
        </w:tabs>
        <w:ind w:left="630" w:leftChars="300"/>
        <w:outlineLvl w:val="9"/>
        <w:rPr>
          <w:rFonts w:asciiTheme="majorEastAsia" w:hAnsiTheme="majorEastAsia" w:eastAsiaTheme="majorEastAsia" w:cstheme="majorEastAsia"/>
          <w:b w:val="0"/>
          <w:color w:val="auto"/>
          <w:sz w:val="28"/>
          <w:szCs w:val="28"/>
        </w:rPr>
      </w:pPr>
      <w:r>
        <w:fldChar w:fldCharType="begin"/>
      </w:r>
      <w:r>
        <w:instrText xml:space="preserve"> HYPERLINK \l "_Toc521096347" </w:instrText>
      </w:r>
      <w:r>
        <w:fldChar w:fldCharType="separate"/>
      </w:r>
      <w:r>
        <w:rPr>
          <w:rStyle w:val="34"/>
          <w:rFonts w:hint="eastAsia" w:asciiTheme="majorEastAsia" w:hAnsiTheme="majorEastAsia" w:eastAsiaTheme="majorEastAsia" w:cstheme="majorEastAsia"/>
          <w:color w:val="auto"/>
          <w:sz w:val="28"/>
          <w:szCs w:val="28"/>
        </w:rPr>
        <w:t>五  评审与磋商</w:t>
      </w:r>
      <w:r>
        <w:rPr>
          <w:rFonts w:hint="eastAsia" w:asciiTheme="majorEastAsia" w:hAnsiTheme="majorEastAsia" w:eastAsiaTheme="majorEastAsia" w:cstheme="majorEastAsia"/>
          <w:color w:val="auto"/>
          <w:sz w:val="28"/>
          <w:szCs w:val="28"/>
        </w:rPr>
        <w:tab/>
      </w:r>
      <w:r>
        <w:rPr>
          <w:rFonts w:hint="eastAsia" w:asciiTheme="majorEastAsia" w:hAnsiTheme="majorEastAsia" w:eastAsiaTheme="majorEastAsia" w:cstheme="majorEastAsia"/>
          <w:color w:val="auto"/>
          <w:sz w:val="28"/>
          <w:szCs w:val="28"/>
        </w:rPr>
        <w:t>48</w:t>
      </w:r>
      <w:r>
        <w:rPr>
          <w:rFonts w:hint="eastAsia" w:asciiTheme="majorEastAsia" w:hAnsiTheme="majorEastAsia" w:eastAsiaTheme="majorEastAsia" w:cstheme="majorEastAsia"/>
          <w:color w:val="auto"/>
          <w:sz w:val="28"/>
          <w:szCs w:val="28"/>
        </w:rPr>
        <w:fldChar w:fldCharType="end"/>
      </w:r>
    </w:p>
    <w:p>
      <w:pPr>
        <w:pStyle w:val="19"/>
        <w:tabs>
          <w:tab w:val="right" w:leader="dot" w:pos="9736"/>
        </w:tabs>
        <w:ind w:left="630" w:leftChars="300"/>
        <w:outlineLvl w:val="9"/>
        <w:rPr>
          <w:rFonts w:asciiTheme="majorEastAsia" w:hAnsiTheme="majorEastAsia" w:eastAsiaTheme="majorEastAsia" w:cstheme="majorEastAsia"/>
          <w:b w:val="0"/>
          <w:color w:val="auto"/>
          <w:sz w:val="28"/>
          <w:szCs w:val="28"/>
        </w:rPr>
      </w:pPr>
      <w:r>
        <w:fldChar w:fldCharType="begin"/>
      </w:r>
      <w:r>
        <w:instrText xml:space="preserve"> HYPERLINK \l "_Toc521096348" </w:instrText>
      </w:r>
      <w:r>
        <w:fldChar w:fldCharType="separate"/>
      </w:r>
      <w:r>
        <w:rPr>
          <w:rStyle w:val="34"/>
          <w:rFonts w:hint="eastAsia" w:asciiTheme="majorEastAsia" w:hAnsiTheme="majorEastAsia" w:eastAsiaTheme="majorEastAsia" w:cstheme="majorEastAsia"/>
          <w:color w:val="auto"/>
          <w:sz w:val="28"/>
          <w:szCs w:val="28"/>
        </w:rPr>
        <w:t>六  合同授予</w:t>
      </w:r>
      <w:r>
        <w:rPr>
          <w:rFonts w:hint="eastAsia" w:asciiTheme="majorEastAsia" w:hAnsiTheme="majorEastAsia" w:eastAsiaTheme="majorEastAsia" w:cstheme="majorEastAsia"/>
          <w:color w:val="auto"/>
          <w:sz w:val="28"/>
          <w:szCs w:val="28"/>
        </w:rPr>
        <w:tab/>
      </w:r>
      <w:r>
        <w:rPr>
          <w:rFonts w:hint="eastAsia" w:asciiTheme="majorEastAsia" w:hAnsiTheme="majorEastAsia" w:eastAsiaTheme="majorEastAsia" w:cstheme="majorEastAsia"/>
          <w:color w:val="auto"/>
          <w:sz w:val="28"/>
          <w:szCs w:val="28"/>
        </w:rPr>
        <w:t>5</w:t>
      </w:r>
      <w:r>
        <w:rPr>
          <w:rFonts w:hint="eastAsia" w:asciiTheme="majorEastAsia" w:hAnsiTheme="majorEastAsia" w:eastAsiaTheme="majorEastAsia" w:cstheme="majorEastAsia"/>
          <w:color w:val="auto"/>
          <w:sz w:val="28"/>
          <w:szCs w:val="28"/>
        </w:rPr>
        <w:fldChar w:fldCharType="end"/>
      </w:r>
      <w:r>
        <w:rPr>
          <w:rFonts w:hint="eastAsia" w:asciiTheme="majorEastAsia" w:hAnsiTheme="majorEastAsia" w:eastAsiaTheme="majorEastAsia" w:cstheme="majorEastAsia"/>
          <w:color w:val="auto"/>
          <w:sz w:val="28"/>
          <w:szCs w:val="28"/>
        </w:rPr>
        <w:t>2</w:t>
      </w:r>
    </w:p>
    <w:p>
      <w:pPr>
        <w:pStyle w:val="19"/>
        <w:tabs>
          <w:tab w:val="right" w:leader="dot" w:pos="9736"/>
        </w:tabs>
        <w:ind w:left="630" w:leftChars="300"/>
        <w:outlineLvl w:val="9"/>
        <w:rPr>
          <w:rFonts w:asciiTheme="majorEastAsia" w:hAnsiTheme="majorEastAsia" w:eastAsiaTheme="majorEastAsia" w:cstheme="majorEastAsia"/>
          <w:b w:val="0"/>
          <w:color w:val="auto"/>
          <w:sz w:val="28"/>
          <w:szCs w:val="28"/>
        </w:rPr>
      </w:pPr>
      <w:r>
        <w:fldChar w:fldCharType="begin"/>
      </w:r>
      <w:r>
        <w:instrText xml:space="preserve"> HYPERLINK \l "_Toc521096349" </w:instrText>
      </w:r>
      <w:r>
        <w:fldChar w:fldCharType="separate"/>
      </w:r>
      <w:r>
        <w:rPr>
          <w:rStyle w:val="34"/>
          <w:rFonts w:hint="eastAsia" w:asciiTheme="majorEastAsia" w:hAnsiTheme="majorEastAsia" w:eastAsiaTheme="majorEastAsia" w:cstheme="majorEastAsia"/>
          <w:color w:val="auto"/>
          <w:sz w:val="28"/>
          <w:szCs w:val="28"/>
        </w:rPr>
        <w:t>七  其他事项</w:t>
      </w:r>
      <w:r>
        <w:rPr>
          <w:rFonts w:hint="eastAsia" w:asciiTheme="majorEastAsia" w:hAnsiTheme="majorEastAsia" w:eastAsiaTheme="majorEastAsia" w:cstheme="majorEastAsia"/>
          <w:color w:val="auto"/>
          <w:sz w:val="28"/>
          <w:szCs w:val="28"/>
        </w:rPr>
        <w:tab/>
      </w:r>
      <w:r>
        <w:rPr>
          <w:rFonts w:hint="eastAsia" w:asciiTheme="majorEastAsia" w:hAnsiTheme="majorEastAsia" w:eastAsiaTheme="majorEastAsia" w:cstheme="majorEastAsia"/>
          <w:color w:val="auto"/>
          <w:sz w:val="28"/>
          <w:szCs w:val="28"/>
        </w:rPr>
        <w:t>5</w:t>
      </w:r>
      <w:r>
        <w:rPr>
          <w:rFonts w:hint="eastAsia" w:asciiTheme="majorEastAsia" w:hAnsiTheme="majorEastAsia" w:eastAsiaTheme="majorEastAsia" w:cstheme="majorEastAsia"/>
          <w:color w:val="auto"/>
          <w:sz w:val="28"/>
          <w:szCs w:val="28"/>
        </w:rPr>
        <w:fldChar w:fldCharType="end"/>
      </w:r>
      <w:r>
        <w:rPr>
          <w:rFonts w:hint="eastAsia" w:asciiTheme="majorEastAsia" w:hAnsiTheme="majorEastAsia" w:eastAsiaTheme="majorEastAsia" w:cstheme="majorEastAsia"/>
          <w:color w:val="auto"/>
          <w:sz w:val="28"/>
          <w:szCs w:val="28"/>
        </w:rPr>
        <w:t>3</w:t>
      </w:r>
    </w:p>
    <w:p>
      <w:pPr>
        <w:pStyle w:val="19"/>
        <w:tabs>
          <w:tab w:val="right" w:leader="dot" w:pos="9736"/>
        </w:tabs>
        <w:ind w:left="630" w:leftChars="300"/>
        <w:outlineLvl w:val="9"/>
        <w:rPr>
          <w:rFonts w:asciiTheme="majorEastAsia" w:hAnsiTheme="majorEastAsia" w:eastAsiaTheme="majorEastAsia" w:cstheme="majorEastAsia"/>
          <w:color w:val="auto"/>
          <w:sz w:val="28"/>
          <w:szCs w:val="28"/>
        </w:rPr>
      </w:pPr>
      <w:r>
        <w:fldChar w:fldCharType="begin"/>
      </w:r>
      <w:r>
        <w:instrText xml:space="preserve"> HYPERLINK \l "_Toc521096350" </w:instrText>
      </w:r>
      <w:r>
        <w:fldChar w:fldCharType="separate"/>
      </w:r>
      <w:r>
        <w:rPr>
          <w:rFonts w:hint="eastAsia" w:asciiTheme="majorEastAsia" w:hAnsiTheme="majorEastAsia" w:eastAsiaTheme="majorEastAsia" w:cstheme="majorEastAsia"/>
          <w:color w:val="auto"/>
          <w:sz w:val="28"/>
          <w:szCs w:val="28"/>
        </w:rPr>
        <w:t>第五章 响应文件格式</w:t>
      </w:r>
      <w:r>
        <w:rPr>
          <w:rFonts w:hint="eastAsia" w:asciiTheme="majorEastAsia" w:hAnsiTheme="majorEastAsia" w:eastAsiaTheme="majorEastAsia" w:cstheme="majorEastAsia"/>
          <w:color w:val="auto"/>
          <w:sz w:val="28"/>
          <w:szCs w:val="28"/>
        </w:rPr>
        <w:tab/>
      </w:r>
      <w:r>
        <w:rPr>
          <w:rFonts w:hint="eastAsia" w:asciiTheme="majorEastAsia" w:hAnsiTheme="majorEastAsia" w:eastAsiaTheme="majorEastAsia" w:cstheme="majorEastAsia"/>
          <w:color w:val="auto"/>
          <w:sz w:val="28"/>
          <w:szCs w:val="28"/>
        </w:rPr>
        <w:fldChar w:fldCharType="end"/>
      </w:r>
      <w:r>
        <w:rPr>
          <w:rFonts w:hint="eastAsia" w:asciiTheme="majorEastAsia" w:hAnsiTheme="majorEastAsia" w:eastAsiaTheme="majorEastAsia" w:cstheme="majorEastAsia"/>
          <w:color w:val="auto"/>
          <w:sz w:val="28"/>
          <w:szCs w:val="28"/>
        </w:rPr>
        <w:t>54</w:t>
      </w:r>
    </w:p>
    <w:p>
      <w:pPr>
        <w:pStyle w:val="19"/>
        <w:tabs>
          <w:tab w:val="right" w:leader="dot" w:pos="9736"/>
        </w:tabs>
        <w:ind w:left="630" w:leftChars="300"/>
        <w:outlineLvl w:val="9"/>
        <w:rPr>
          <w:rFonts w:asciiTheme="majorEastAsia" w:hAnsiTheme="majorEastAsia" w:eastAsiaTheme="majorEastAsia" w:cstheme="majorEastAsia"/>
          <w:color w:val="auto"/>
          <w:sz w:val="28"/>
          <w:szCs w:val="28"/>
        </w:rPr>
      </w:pPr>
      <w:r>
        <w:fldChar w:fldCharType="begin"/>
      </w:r>
      <w:r>
        <w:instrText xml:space="preserve"> HYPERLINK \l "_Toc521096354" </w:instrText>
      </w:r>
      <w:r>
        <w:fldChar w:fldCharType="separate"/>
      </w:r>
      <w:r>
        <w:rPr>
          <w:rFonts w:hint="eastAsia" w:asciiTheme="majorEastAsia" w:hAnsiTheme="majorEastAsia" w:eastAsiaTheme="majorEastAsia" w:cstheme="majorEastAsia"/>
          <w:color w:val="auto"/>
          <w:sz w:val="28"/>
          <w:szCs w:val="28"/>
        </w:rPr>
        <w:t>第六章 合同条款及格式</w:t>
      </w:r>
      <w:r>
        <w:rPr>
          <w:rFonts w:hint="eastAsia" w:asciiTheme="majorEastAsia" w:hAnsiTheme="majorEastAsia" w:eastAsiaTheme="majorEastAsia" w:cstheme="majorEastAsia"/>
          <w:color w:val="auto"/>
          <w:sz w:val="28"/>
          <w:szCs w:val="28"/>
        </w:rPr>
        <w:tab/>
      </w:r>
      <w:r>
        <w:rPr>
          <w:rFonts w:hint="eastAsia" w:asciiTheme="majorEastAsia" w:hAnsiTheme="majorEastAsia" w:eastAsiaTheme="majorEastAsia" w:cstheme="majorEastAsia"/>
          <w:color w:val="auto"/>
          <w:sz w:val="28"/>
          <w:szCs w:val="28"/>
        </w:rPr>
        <w:fldChar w:fldCharType="end"/>
      </w:r>
      <w:r>
        <w:rPr>
          <w:rFonts w:hint="eastAsia" w:asciiTheme="majorEastAsia" w:hAnsiTheme="majorEastAsia" w:eastAsiaTheme="majorEastAsia" w:cstheme="majorEastAsia"/>
          <w:color w:val="auto"/>
          <w:sz w:val="28"/>
          <w:szCs w:val="28"/>
        </w:rPr>
        <w:t>63</w:t>
      </w:r>
    </w:p>
    <w:p>
      <w:pPr>
        <w:rPr>
          <w:rFonts w:asciiTheme="majorEastAsia" w:hAnsiTheme="majorEastAsia" w:eastAsiaTheme="majorEastAsia" w:cstheme="majorEastAsia"/>
          <w:highlight w:val="yellow"/>
        </w:rPr>
      </w:pPr>
      <w:r>
        <w:rPr>
          <w:rFonts w:hint="eastAsia" w:asciiTheme="majorEastAsia" w:hAnsiTheme="majorEastAsia" w:eastAsiaTheme="majorEastAsia" w:cstheme="majorEastAsia"/>
          <w:sz w:val="28"/>
          <w:szCs w:val="28"/>
        </w:rPr>
        <w:fldChar w:fldCharType="end"/>
      </w:r>
      <w:bookmarkStart w:id="3" w:name="_Toc485920200"/>
    </w:p>
    <w:p>
      <w:pPr>
        <w:rPr>
          <w:rFonts w:asciiTheme="majorEastAsia" w:hAnsiTheme="majorEastAsia" w:eastAsiaTheme="majorEastAsia" w:cstheme="majorEastAsia"/>
        </w:rPr>
      </w:pPr>
    </w:p>
    <w:p>
      <w:pPr>
        <w:widowControl/>
        <w:jc w:val="left"/>
        <w:rPr>
          <w:rFonts w:asciiTheme="majorEastAsia" w:hAnsiTheme="majorEastAsia" w:eastAsiaTheme="majorEastAsia" w:cstheme="majorEastAsia"/>
        </w:rPr>
      </w:pPr>
      <w:r>
        <w:rPr>
          <w:rFonts w:hint="eastAsia" w:asciiTheme="majorEastAsia" w:hAnsiTheme="majorEastAsia" w:eastAsiaTheme="majorEastAsia" w:cstheme="majorEastAsia"/>
        </w:rPr>
        <w:br w:type="page"/>
      </w:r>
    </w:p>
    <w:p>
      <w:pPr>
        <w:pStyle w:val="3"/>
        <w:wordWrap w:val="0"/>
        <w:ind w:left="283" w:leftChars="135" w:firstLine="3534" w:firstLineChars="1100"/>
        <w:rPr>
          <w:rFonts w:hint="eastAsia" w:ascii="宋体" w:hAnsi="宋体" w:eastAsia="宋体" w:cs="宋体"/>
          <w:b/>
          <w:color w:val="auto"/>
          <w:sz w:val="32"/>
          <w:szCs w:val="32"/>
        </w:rPr>
      </w:pPr>
      <w:bookmarkStart w:id="4" w:name="_Toc521096339"/>
      <w:r>
        <w:rPr>
          <w:rFonts w:hint="eastAsia" w:ascii="宋体" w:hAnsi="宋体" w:eastAsia="宋体" w:cs="宋体"/>
          <w:b/>
          <w:color w:val="auto"/>
          <w:sz w:val="32"/>
          <w:szCs w:val="32"/>
        </w:rPr>
        <w:t>第一章 竞争性磋商公告</w:t>
      </w:r>
      <w:bookmarkEnd w:id="2"/>
      <w:bookmarkEnd w:id="3"/>
      <w:bookmarkEnd w:id="4"/>
    </w:p>
    <w:p>
      <w:pPr>
        <w:keepNext w:val="0"/>
        <w:keepLines w:val="0"/>
        <w:widowControl w:val="0"/>
        <w:suppressLineNumbers w:val="0"/>
        <w:pBdr>
          <w:top w:val="single" w:color="auto" w:sz="4" w:space="1"/>
          <w:left w:val="single" w:color="auto" w:sz="4" w:space="4"/>
          <w:bottom w:val="single" w:color="auto" w:sz="4" w:space="1"/>
          <w:right w:val="single" w:color="auto" w:sz="4" w:space="4"/>
        </w:pBdr>
        <w:wordWrap w:val="0"/>
        <w:spacing w:before="0" w:beforeAutospacing="0" w:after="0" w:afterAutospacing="0" w:line="36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项目概况</w:t>
      </w:r>
      <w:r>
        <w:rPr>
          <w:rFonts w:hint="eastAsia" w:ascii="宋体" w:hAnsi="宋体" w:cs="宋体"/>
          <w:kern w:val="2"/>
          <w:sz w:val="24"/>
          <w:szCs w:val="24"/>
          <w:lang w:val="en-US" w:eastAsia="zh-CN" w:bidi="ar"/>
        </w:rPr>
        <w:t>：</w:t>
      </w:r>
    </w:p>
    <w:p>
      <w:pPr>
        <w:keepNext w:val="0"/>
        <w:keepLines w:val="0"/>
        <w:widowControl w:val="0"/>
        <w:suppressLineNumbers w:val="0"/>
        <w:pBdr>
          <w:top w:val="single" w:color="auto" w:sz="4" w:space="1"/>
          <w:left w:val="single" w:color="auto" w:sz="4" w:space="4"/>
          <w:bottom w:val="single" w:color="auto" w:sz="4" w:space="1"/>
          <w:right w:val="single" w:color="auto" w:sz="4" w:space="4"/>
        </w:pBdr>
        <w:wordWrap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u w:val="single"/>
          <w:lang w:val="en-US" w:eastAsia="zh-CN" w:bidi="ar"/>
        </w:rPr>
        <w:t>第九届中国创新创业大赛广西赛区南宁市选拔赛暨第五届南宁市创新创业大赛服务（项目编号：NNZC2020-C3-080001-GXYZ）</w:t>
      </w:r>
      <w:r>
        <w:rPr>
          <w:rFonts w:hint="eastAsia" w:ascii="宋体" w:hAnsi="宋体" w:eastAsia="宋体" w:cs="宋体"/>
          <w:kern w:val="2"/>
          <w:sz w:val="24"/>
          <w:szCs w:val="24"/>
          <w:lang w:val="en-US" w:eastAsia="zh-CN" w:bidi="ar"/>
        </w:rPr>
        <w:t>采购项目的潜在供应商应在</w:t>
      </w:r>
      <w:r>
        <w:rPr>
          <w:rFonts w:hint="eastAsia" w:ascii="宋体" w:hAnsi="宋体" w:eastAsia="宋体" w:cs="宋体"/>
          <w:kern w:val="2"/>
          <w:sz w:val="24"/>
          <w:szCs w:val="24"/>
          <w:u w:val="single"/>
          <w:lang w:val="en-US" w:eastAsia="zh-CN" w:bidi="ar"/>
        </w:rPr>
        <w:t>南宁市公共资源交易平台(https://www.nnggzy.org.cn/gxnnhy)</w:t>
      </w:r>
      <w:r>
        <w:rPr>
          <w:rFonts w:hint="eastAsia" w:ascii="宋体" w:hAnsi="宋体" w:eastAsia="宋体" w:cs="宋体"/>
          <w:kern w:val="2"/>
          <w:sz w:val="24"/>
          <w:szCs w:val="24"/>
          <w:u w:val="none"/>
          <w:lang w:val="en-US" w:eastAsia="zh-CN" w:bidi="ar"/>
        </w:rPr>
        <w:t>的信息公告处自行下载获取本项目</w:t>
      </w:r>
      <w:r>
        <w:rPr>
          <w:rFonts w:hint="eastAsia" w:ascii="宋体" w:hAnsi="宋体" w:eastAsia="宋体" w:cs="宋体"/>
          <w:kern w:val="2"/>
          <w:sz w:val="24"/>
          <w:szCs w:val="24"/>
          <w:lang w:val="en-US" w:eastAsia="zh-CN" w:bidi="ar"/>
        </w:rPr>
        <w:t>采购文件，并于</w:t>
      </w:r>
      <w:r>
        <w:rPr>
          <w:rFonts w:hint="eastAsia" w:ascii="宋体" w:hAnsi="宋体" w:eastAsia="宋体" w:cs="宋体"/>
          <w:kern w:val="2"/>
          <w:sz w:val="24"/>
          <w:szCs w:val="24"/>
          <w:u w:val="single"/>
          <w:lang w:val="en-US" w:eastAsia="zh-CN" w:bidi="ar"/>
        </w:rPr>
        <w:t xml:space="preserve"> </w:t>
      </w:r>
      <w:r>
        <w:rPr>
          <w:rFonts w:hint="eastAsia" w:ascii="宋体" w:hAnsi="宋体" w:cs="宋体"/>
          <w:kern w:val="2"/>
          <w:sz w:val="24"/>
          <w:szCs w:val="24"/>
          <w:u w:val="single"/>
          <w:lang w:val="en-US" w:eastAsia="zh-CN" w:bidi="ar"/>
        </w:rPr>
        <w:t>2020</w:t>
      </w:r>
      <w:r>
        <w:rPr>
          <w:rFonts w:hint="eastAsia" w:ascii="宋体" w:hAnsi="宋体" w:eastAsia="宋体" w:cs="宋体"/>
          <w:kern w:val="2"/>
          <w:sz w:val="24"/>
          <w:szCs w:val="24"/>
          <w:u w:val="single"/>
          <w:lang w:val="en-US" w:eastAsia="zh-CN" w:bidi="ar"/>
        </w:rPr>
        <w:t>年</w:t>
      </w:r>
      <w:r>
        <w:rPr>
          <w:rFonts w:hint="eastAsia" w:ascii="宋体" w:hAnsi="宋体" w:cs="宋体"/>
          <w:kern w:val="2"/>
          <w:sz w:val="24"/>
          <w:szCs w:val="24"/>
          <w:u w:val="single"/>
          <w:lang w:val="en-US" w:eastAsia="zh-CN" w:bidi="ar"/>
        </w:rPr>
        <w:t>7</w:t>
      </w:r>
      <w:r>
        <w:rPr>
          <w:rFonts w:hint="eastAsia" w:ascii="宋体" w:hAnsi="宋体" w:eastAsia="宋体" w:cs="宋体"/>
          <w:kern w:val="2"/>
          <w:sz w:val="24"/>
          <w:szCs w:val="24"/>
          <w:u w:val="single"/>
          <w:lang w:val="en-US" w:eastAsia="zh-CN" w:bidi="ar"/>
        </w:rPr>
        <w:t>月</w:t>
      </w:r>
      <w:r>
        <w:rPr>
          <w:rFonts w:hint="eastAsia" w:ascii="宋体" w:hAnsi="宋体" w:cs="宋体"/>
          <w:kern w:val="2"/>
          <w:sz w:val="24"/>
          <w:szCs w:val="24"/>
          <w:u w:val="single"/>
          <w:lang w:val="en-US" w:eastAsia="zh-CN" w:bidi="ar"/>
        </w:rPr>
        <w:t>20</w:t>
      </w:r>
      <w:r>
        <w:rPr>
          <w:rFonts w:hint="eastAsia" w:ascii="宋体" w:hAnsi="宋体" w:eastAsia="宋体" w:cs="宋体"/>
          <w:kern w:val="2"/>
          <w:sz w:val="24"/>
          <w:szCs w:val="24"/>
          <w:u w:val="single"/>
          <w:lang w:val="en-US" w:eastAsia="zh-CN" w:bidi="ar"/>
        </w:rPr>
        <w:t>日</w:t>
      </w:r>
      <w:r>
        <w:rPr>
          <w:rFonts w:hint="eastAsia" w:ascii="宋体" w:hAnsi="宋体" w:cs="宋体"/>
          <w:kern w:val="2"/>
          <w:sz w:val="24"/>
          <w:szCs w:val="24"/>
          <w:u w:val="single"/>
          <w:lang w:val="en-US" w:eastAsia="zh-CN" w:bidi="ar"/>
        </w:rPr>
        <w:t>09</w:t>
      </w:r>
      <w:r>
        <w:rPr>
          <w:rFonts w:hint="eastAsia" w:ascii="宋体" w:hAnsi="宋体" w:eastAsia="宋体" w:cs="宋体"/>
          <w:kern w:val="2"/>
          <w:sz w:val="24"/>
          <w:szCs w:val="24"/>
          <w:u w:val="single"/>
          <w:lang w:val="en-US" w:eastAsia="zh-CN" w:bidi="ar"/>
        </w:rPr>
        <w:t>点</w:t>
      </w:r>
      <w:r>
        <w:rPr>
          <w:rFonts w:hint="eastAsia" w:ascii="宋体" w:hAnsi="宋体" w:cs="宋体"/>
          <w:kern w:val="2"/>
          <w:sz w:val="24"/>
          <w:szCs w:val="24"/>
          <w:u w:val="single"/>
          <w:lang w:val="en-US" w:eastAsia="zh-CN" w:bidi="ar"/>
        </w:rPr>
        <w:t>30</w:t>
      </w:r>
      <w:r>
        <w:rPr>
          <w:rFonts w:hint="eastAsia" w:ascii="宋体" w:hAnsi="宋体" w:eastAsia="宋体" w:cs="宋体"/>
          <w:kern w:val="2"/>
          <w:sz w:val="24"/>
          <w:szCs w:val="24"/>
          <w:u w:val="single"/>
          <w:lang w:val="en-US" w:eastAsia="zh-CN" w:bidi="ar"/>
        </w:rPr>
        <w:t>分</w:t>
      </w:r>
      <w:r>
        <w:rPr>
          <w:rFonts w:hint="eastAsia" w:ascii="宋体" w:hAnsi="宋体" w:eastAsia="宋体" w:cs="宋体"/>
          <w:kern w:val="2"/>
          <w:sz w:val="24"/>
          <w:szCs w:val="24"/>
          <w:lang w:val="en-US" w:eastAsia="zh-CN" w:bidi="ar"/>
        </w:rPr>
        <w:t>（北京时间）前提交响应文件。</w:t>
      </w:r>
    </w:p>
    <w:p>
      <w:pPr>
        <w:pStyle w:val="4"/>
        <w:widowControl/>
        <w:numPr>
          <w:ilvl w:val="-1"/>
          <w:numId w:val="0"/>
        </w:numPr>
        <w:spacing w:line="360" w:lineRule="auto"/>
        <w:ind w:left="0" w:firstLine="0"/>
        <w:rPr>
          <w:rFonts w:hint="eastAsia" w:ascii="宋体" w:hAnsi="宋体" w:eastAsia="宋体" w:cs="宋体"/>
          <w:b w:val="0"/>
          <w:kern w:val="2"/>
          <w:sz w:val="24"/>
          <w:szCs w:val="24"/>
        </w:rPr>
      </w:pPr>
      <w:r>
        <w:rPr>
          <w:rFonts w:hint="eastAsia" w:ascii="宋体" w:hAnsi="宋体" w:eastAsia="宋体" w:cs="宋体"/>
          <w:b w:val="0"/>
          <w:kern w:val="2"/>
          <w:sz w:val="24"/>
          <w:szCs w:val="24"/>
        </w:rPr>
        <w:t>一、项目基本情况</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项目编号：</w:t>
      </w:r>
      <w:r>
        <w:rPr>
          <w:rFonts w:hint="eastAsia" w:ascii="宋体" w:hAnsi="宋体" w:eastAsia="宋体" w:cs="宋体"/>
          <w:kern w:val="2"/>
          <w:sz w:val="24"/>
          <w:szCs w:val="24"/>
          <w:u w:val="none"/>
          <w:lang w:val="en-US" w:eastAsia="zh-CN" w:bidi="ar"/>
        </w:rPr>
        <w:t>NNZC2020-C3-080001-GXYZ</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u w:val="none"/>
        </w:rPr>
      </w:pPr>
      <w:r>
        <w:rPr>
          <w:rFonts w:hint="eastAsia" w:ascii="宋体" w:hAnsi="宋体" w:eastAsia="宋体" w:cs="宋体"/>
          <w:kern w:val="2"/>
          <w:sz w:val="24"/>
          <w:szCs w:val="24"/>
          <w:lang w:val="en-US" w:eastAsia="zh-CN" w:bidi="ar"/>
        </w:rPr>
        <w:t>项目名称：</w:t>
      </w:r>
      <w:r>
        <w:rPr>
          <w:rFonts w:hint="eastAsia" w:ascii="宋体" w:hAnsi="宋体" w:eastAsia="宋体" w:cs="宋体"/>
          <w:kern w:val="2"/>
          <w:sz w:val="24"/>
          <w:szCs w:val="24"/>
          <w:u w:val="none"/>
          <w:lang w:val="en-US" w:eastAsia="zh-CN" w:bidi="ar"/>
        </w:rPr>
        <w:t>第九届中国创新创业大赛广西赛区南宁市选拔赛暨第五届南宁市创新创业大赛服务</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采购方式：竞争性磋商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预算金额：</w:t>
      </w:r>
      <w:r>
        <w:rPr>
          <w:rFonts w:hint="eastAsia" w:asciiTheme="majorEastAsia" w:hAnsiTheme="majorEastAsia" w:eastAsiaTheme="majorEastAsia" w:cstheme="majorEastAsia"/>
          <w:sz w:val="24"/>
        </w:rPr>
        <w:t>人民币</w:t>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 600000 \* CHINESENUM2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陆拾万</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t>元整（¥600000.00元）</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最高限价：</w:t>
      </w:r>
      <w:r>
        <w:rPr>
          <w:rFonts w:hint="eastAsia" w:asciiTheme="majorEastAsia" w:hAnsiTheme="majorEastAsia" w:eastAsiaTheme="majorEastAsia" w:cstheme="majorEastAsia"/>
          <w:sz w:val="24"/>
        </w:rPr>
        <w:t>人民币</w:t>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 600000 \* CHINESENUM2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陆拾万</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t>元整（¥600000.00元）</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采购需求：</w:t>
      </w:r>
    </w:p>
    <w:tbl>
      <w:tblPr>
        <w:tblStyle w:val="24"/>
        <w:tblW w:w="95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2169"/>
        <w:gridCol w:w="1120"/>
        <w:gridCol w:w="55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2" w:type="dxa"/>
            <w:noWrap w:val="0"/>
            <w:tcMar>
              <w:left w:w="0" w:type="dxa"/>
              <w:bottom w:w="0" w:type="dxa"/>
              <w:right w:w="0" w:type="dxa"/>
            </w:tcMar>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b w:val="0"/>
                <w:bCs/>
                <w:sz w:val="24"/>
                <w:szCs w:val="24"/>
                <w:highlight w:val="none"/>
                <w:lang w:eastAsia="zh-CN"/>
              </w:rPr>
            </w:pPr>
            <w:r>
              <w:rPr>
                <w:rFonts w:hint="eastAsia" w:ascii="宋体" w:hAnsi="宋体" w:eastAsia="宋体" w:cs="宋体"/>
                <w:b w:val="0"/>
                <w:bCs/>
                <w:color w:val="000000"/>
                <w:sz w:val="24"/>
                <w:szCs w:val="24"/>
                <w:highlight w:val="none"/>
                <w:lang w:val="en-US" w:eastAsia="zh-CN"/>
              </w:rPr>
              <w:t>项号</w:t>
            </w:r>
          </w:p>
        </w:tc>
        <w:tc>
          <w:tcPr>
            <w:tcW w:w="2169" w:type="dxa"/>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b w:val="0"/>
                <w:bCs/>
                <w:sz w:val="24"/>
                <w:szCs w:val="24"/>
                <w:highlight w:val="none"/>
                <w:lang w:val="en-US" w:eastAsia="zh-CN"/>
              </w:rPr>
            </w:pPr>
            <w:r>
              <w:rPr>
                <w:rFonts w:hint="eastAsia" w:ascii="宋体" w:hAnsi="宋体" w:eastAsia="宋体" w:cs="宋体"/>
                <w:b w:val="0"/>
                <w:bCs/>
                <w:color w:val="000000"/>
                <w:sz w:val="24"/>
                <w:szCs w:val="24"/>
                <w:highlight w:val="none"/>
                <w:lang w:val="en-US" w:eastAsia="zh-CN"/>
              </w:rPr>
              <w:t>服务名称</w:t>
            </w:r>
          </w:p>
        </w:tc>
        <w:tc>
          <w:tcPr>
            <w:tcW w:w="1120" w:type="dxa"/>
            <w:noWrap w:val="0"/>
            <w:vAlign w:val="center"/>
          </w:tcPr>
          <w:p>
            <w:pPr>
              <w:keepNext w:val="0"/>
              <w:keepLines w:val="0"/>
              <w:pageBreakBefore w:val="0"/>
              <w:suppressLineNumbers w:val="0"/>
              <w:kinsoku/>
              <w:wordWrap w:val="0"/>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kern w:val="0"/>
                <w:sz w:val="24"/>
                <w:szCs w:val="24"/>
                <w:highlight w:val="none"/>
                <w:lang w:val="en-US" w:eastAsia="zh-CN" w:bidi="ar"/>
              </w:rPr>
              <w:t>数量</w:t>
            </w:r>
          </w:p>
        </w:tc>
        <w:tc>
          <w:tcPr>
            <w:tcW w:w="5506" w:type="dxa"/>
            <w:tcBorders>
              <w:right w:val="single" w:color="auto" w:sz="4" w:space="0"/>
            </w:tcBorders>
            <w:noWrap w:val="0"/>
            <w:vAlign w:val="center"/>
          </w:tcPr>
          <w:p>
            <w:pPr>
              <w:keepNext w:val="0"/>
              <w:keepLines w:val="0"/>
              <w:pageBreakBefore w:val="0"/>
              <w:suppressLineNumbers w:val="0"/>
              <w:kinsoku/>
              <w:wordWrap w:val="0"/>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服务内容及要求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2" w:type="dxa"/>
            <w:noWrap w:val="0"/>
            <w:vAlign w:val="center"/>
          </w:tcPr>
          <w:p>
            <w:pPr>
              <w:spacing w:line="500" w:lineRule="exact"/>
              <w:jc w:val="center"/>
              <w:rPr>
                <w:rFonts w:hint="eastAsia" w:ascii="宋体" w:hAnsi="宋体" w:eastAsia="宋体" w:cs="宋体"/>
                <w:b w:val="0"/>
                <w:bCs/>
                <w:sz w:val="24"/>
                <w:szCs w:val="24"/>
                <w:highlight w:val="none"/>
              </w:rPr>
            </w:pPr>
            <w:r>
              <w:rPr>
                <w:rFonts w:cs="Arial" w:asciiTheme="minorEastAsia" w:hAnsiTheme="minorEastAsia" w:eastAsiaTheme="minorEastAsia"/>
                <w:bCs/>
                <w:kern w:val="0"/>
                <w:sz w:val="24"/>
              </w:rPr>
              <w:t>1</w:t>
            </w:r>
          </w:p>
        </w:tc>
        <w:tc>
          <w:tcPr>
            <w:tcW w:w="2169" w:type="dxa"/>
            <w:noWrap w:val="0"/>
            <w:vAlign w:val="center"/>
          </w:tcPr>
          <w:p>
            <w:pPr>
              <w:spacing w:line="500" w:lineRule="exact"/>
              <w:rPr>
                <w:rFonts w:hint="eastAsia" w:ascii="宋体" w:hAnsi="宋体" w:eastAsia="宋体" w:cs="宋体"/>
                <w:b w:val="0"/>
                <w:bCs/>
                <w:sz w:val="24"/>
                <w:szCs w:val="24"/>
                <w:highlight w:val="none"/>
              </w:rPr>
            </w:pPr>
            <w:r>
              <w:rPr>
                <w:rFonts w:hint="eastAsia" w:cs="Arial" w:asciiTheme="minorEastAsia" w:hAnsiTheme="minorEastAsia" w:eastAsiaTheme="minorEastAsia"/>
                <w:bCs/>
                <w:kern w:val="0"/>
                <w:sz w:val="24"/>
              </w:rPr>
              <w:t>第九届中国创新创业大赛广西赛区南宁市选拔赛暨第五届南宁市创新创业大赛服务</w:t>
            </w:r>
          </w:p>
        </w:tc>
        <w:tc>
          <w:tcPr>
            <w:tcW w:w="1120" w:type="dxa"/>
            <w:noWrap w:val="0"/>
            <w:vAlign w:val="center"/>
          </w:tcPr>
          <w:p>
            <w:pPr>
              <w:spacing w:line="500" w:lineRule="exact"/>
              <w:ind w:firstLine="240" w:firstLineChars="100"/>
              <w:rPr>
                <w:rFonts w:hint="eastAsia" w:ascii="宋体" w:hAnsi="宋体" w:eastAsia="宋体" w:cs="宋体"/>
                <w:b w:val="0"/>
                <w:bCs/>
                <w:sz w:val="24"/>
                <w:szCs w:val="24"/>
                <w:highlight w:val="none"/>
                <w:lang w:val="en-US" w:eastAsia="zh-CN"/>
              </w:rPr>
            </w:pPr>
            <w:r>
              <w:rPr>
                <w:rFonts w:cs="Arial" w:asciiTheme="minorEastAsia" w:hAnsiTheme="minorEastAsia" w:eastAsiaTheme="minorEastAsia"/>
                <w:bCs/>
                <w:kern w:val="0"/>
                <w:sz w:val="24"/>
              </w:rPr>
              <w:t>1</w:t>
            </w:r>
            <w:r>
              <w:rPr>
                <w:rFonts w:hint="eastAsia" w:cs="Arial" w:asciiTheme="minorEastAsia" w:hAnsiTheme="minorEastAsia" w:eastAsiaTheme="minorEastAsia"/>
                <w:bCs/>
                <w:kern w:val="0"/>
                <w:sz w:val="24"/>
              </w:rPr>
              <w:t>项</w:t>
            </w:r>
          </w:p>
        </w:tc>
        <w:tc>
          <w:tcPr>
            <w:tcW w:w="5506" w:type="dxa"/>
            <w:tcBorders>
              <w:right w:val="single" w:color="auto" w:sz="4" w:space="0"/>
            </w:tcBorders>
            <w:noWrap w:val="0"/>
            <w:vAlign w:val="center"/>
          </w:tcPr>
          <w:p>
            <w:pPr>
              <w:keepNext/>
              <w:keepLines/>
              <w:widowControl/>
              <w:numPr>
                <w:ilvl w:val="1"/>
                <w:numId w:val="0"/>
              </w:numPr>
              <w:autoSpaceDE w:val="0"/>
              <w:autoSpaceDN w:val="0"/>
              <w:adjustRightInd w:val="0"/>
              <w:snapToGrid w:val="0"/>
              <w:spacing w:line="500" w:lineRule="exact"/>
              <w:ind w:firstLine="480" w:firstLineChars="200"/>
              <w:jc w:val="left"/>
              <w:outlineLvl w:val="1"/>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本项目采购服务内容为结合南宁市科学技术局、南宁市良庆区科学技术局提供的《</w:t>
            </w:r>
            <w:r>
              <w:rPr>
                <w:rFonts w:hint="eastAsia" w:asciiTheme="minorEastAsia" w:hAnsiTheme="minorEastAsia" w:eastAsiaTheme="minorEastAsia"/>
                <w:sz w:val="24"/>
              </w:rPr>
              <w:t>第九届中国创新创业大赛广西赛区南宁市选拔赛暨第五届南宁市创新创业大赛服务</w:t>
            </w:r>
            <w:r>
              <w:rPr>
                <w:rFonts w:hint="eastAsia" w:asciiTheme="majorEastAsia" w:hAnsiTheme="majorEastAsia" w:eastAsiaTheme="majorEastAsia" w:cstheme="minorEastAsia"/>
                <w:sz w:val="24"/>
              </w:rPr>
              <w:t>工作方案》，制定详细的实施方案和细则并组织实施。具体要求如下：</w:t>
            </w:r>
          </w:p>
          <w:p>
            <w:pPr>
              <w:keepNext/>
              <w:keepLines/>
              <w:widowControl/>
              <w:autoSpaceDE w:val="0"/>
              <w:autoSpaceDN w:val="0"/>
              <w:adjustRightInd w:val="0"/>
              <w:snapToGrid w:val="0"/>
              <w:spacing w:line="500" w:lineRule="exact"/>
              <w:ind w:firstLine="480"/>
              <w:jc w:val="left"/>
              <w:outlineLvl w:val="1"/>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一、组织企业报名参加大赛，南宁市报名参赛企业数不低于300家，未达到300家的，南宁市良庆区科学技术局在最终核定供应商服务费用时，每少10家扣除1万元服务费。</w:t>
            </w:r>
          </w:p>
          <w:p>
            <w:pPr>
              <w:keepNext w:val="0"/>
              <w:keepLines w:val="0"/>
              <w:pageBreakBefore w:val="0"/>
              <w:suppressLineNumbers w:val="0"/>
              <w:kinsoku/>
              <w:wordWrap w:val="0"/>
              <w:overflowPunct/>
              <w:topLinePunct w:val="0"/>
              <w:autoSpaceDE/>
              <w:autoSpaceDN/>
              <w:bidi w:val="0"/>
              <w:adjustRightInd/>
              <w:spacing w:before="0" w:beforeAutospacing="0" w:after="0" w:afterAutospacing="0" w:line="440" w:lineRule="exact"/>
              <w:ind w:left="0" w:right="0"/>
              <w:jc w:val="both"/>
              <w:textAlignment w:val="auto"/>
              <w:rPr>
                <w:rFonts w:hint="default" w:ascii="宋体" w:hAnsi="宋体" w:eastAsia="宋体" w:cs="宋体"/>
                <w:b w:val="0"/>
                <w:bCs/>
                <w:sz w:val="24"/>
                <w:szCs w:val="24"/>
                <w:highlight w:val="none"/>
                <w:lang w:val="en-US" w:eastAsia="zh-CN"/>
              </w:rPr>
            </w:pPr>
            <w:r>
              <w:rPr>
                <w:rFonts w:hint="eastAsia" w:ascii="宋体" w:hAnsi="宋体" w:cs="宋体"/>
                <w:b/>
                <w:bCs w:val="0"/>
                <w:sz w:val="24"/>
                <w:szCs w:val="24"/>
                <w:highlight w:val="none"/>
                <w:lang w:val="en-US" w:eastAsia="zh-CN"/>
              </w:rPr>
              <w:t>...</w:t>
            </w:r>
          </w:p>
        </w:tc>
      </w:tr>
    </w:tbl>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u w:val="single"/>
        </w:rPr>
      </w:pPr>
      <w:r>
        <w:rPr>
          <w:rFonts w:hint="eastAsia" w:ascii="宋体" w:hAnsi="宋体" w:eastAsia="宋体" w:cs="宋体"/>
          <w:kern w:val="2"/>
          <w:sz w:val="24"/>
          <w:szCs w:val="24"/>
          <w:lang w:val="en-US" w:eastAsia="zh-CN" w:bidi="ar"/>
        </w:rPr>
        <w:t>合同履行期限：详见竞争性</w:t>
      </w:r>
      <w:r>
        <w:rPr>
          <w:rFonts w:hint="eastAsia" w:ascii="宋体" w:hAnsi="宋体" w:cs="宋体"/>
          <w:kern w:val="2"/>
          <w:sz w:val="24"/>
          <w:szCs w:val="24"/>
          <w:lang w:val="en-US" w:eastAsia="zh-CN" w:bidi="ar"/>
        </w:rPr>
        <w:t>磋商</w:t>
      </w:r>
      <w:r>
        <w:rPr>
          <w:rFonts w:hint="eastAsia" w:ascii="宋体" w:hAnsi="宋体" w:eastAsia="宋体" w:cs="宋体"/>
          <w:kern w:val="2"/>
          <w:sz w:val="24"/>
          <w:szCs w:val="24"/>
          <w:lang w:val="en-US" w:eastAsia="zh-CN" w:bidi="ar"/>
        </w:rPr>
        <w:t>文件。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本项目接受联合体。</w:t>
      </w:r>
    </w:p>
    <w:p>
      <w:pPr>
        <w:pStyle w:val="4"/>
        <w:widowControl/>
        <w:numPr>
          <w:ilvl w:val="-1"/>
          <w:numId w:val="0"/>
        </w:numPr>
        <w:spacing w:line="360" w:lineRule="auto"/>
        <w:ind w:left="425" w:firstLine="0"/>
        <w:rPr>
          <w:rFonts w:hint="eastAsia" w:ascii="宋体" w:hAnsi="宋体" w:eastAsia="宋体" w:cs="宋体"/>
          <w:b w:val="0"/>
          <w:kern w:val="2"/>
          <w:sz w:val="24"/>
          <w:szCs w:val="24"/>
        </w:rPr>
      </w:pPr>
      <w:r>
        <w:rPr>
          <w:rFonts w:hint="eastAsia" w:ascii="宋体" w:hAnsi="宋体" w:eastAsia="宋体" w:cs="宋体"/>
          <w:b w:val="0"/>
          <w:kern w:val="2"/>
          <w:sz w:val="24"/>
          <w:szCs w:val="24"/>
        </w:rPr>
        <w:t>二、申请人的资格要求：</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w:t>
      </w:r>
      <w:r>
        <w:rPr>
          <w:rFonts w:hint="eastAsia" w:ascii="宋体" w:hAnsi="宋体" w:cs="宋体"/>
          <w:kern w:val="2"/>
          <w:sz w:val="24"/>
          <w:szCs w:val="24"/>
          <w:lang w:val="en-US" w:eastAsia="zh-CN" w:bidi="ar"/>
        </w:rPr>
        <w:t>、</w:t>
      </w:r>
      <w:r>
        <w:rPr>
          <w:rFonts w:hint="eastAsia" w:ascii="宋体" w:hAnsi="宋体" w:eastAsia="宋体" w:cs="宋体"/>
          <w:kern w:val="2"/>
          <w:sz w:val="24"/>
          <w:szCs w:val="24"/>
          <w:lang w:val="en-US" w:eastAsia="zh-CN" w:bidi="ar"/>
        </w:rPr>
        <w:t>满足《中华人民共和国政府采购法》第二十二条规定；</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w:t>
      </w:r>
      <w:r>
        <w:rPr>
          <w:rFonts w:hint="eastAsia" w:ascii="宋体" w:hAnsi="宋体" w:cs="宋体"/>
          <w:kern w:val="2"/>
          <w:sz w:val="24"/>
          <w:szCs w:val="24"/>
          <w:lang w:val="en-US" w:eastAsia="zh-CN" w:bidi="ar"/>
        </w:rPr>
        <w:t>、</w:t>
      </w:r>
      <w:r>
        <w:rPr>
          <w:rFonts w:hint="eastAsia" w:ascii="宋体" w:hAnsi="宋体" w:eastAsia="宋体" w:cs="宋体"/>
          <w:kern w:val="2"/>
          <w:sz w:val="24"/>
          <w:szCs w:val="24"/>
          <w:lang w:val="en-US" w:eastAsia="zh-CN" w:bidi="ar"/>
        </w:rPr>
        <w:t>落实政府采购政策需满足的资格要求：本项目适用政府采购促进中小企业、监狱企业发展、促进残疾人就业等有关政策，具体详见</w:t>
      </w:r>
      <w:r>
        <w:rPr>
          <w:rFonts w:hint="eastAsia" w:ascii="宋体" w:hAnsi="宋体" w:cs="宋体"/>
          <w:kern w:val="2"/>
          <w:sz w:val="24"/>
          <w:szCs w:val="24"/>
          <w:lang w:val="en-US" w:eastAsia="zh-CN" w:bidi="ar"/>
        </w:rPr>
        <w:t>竞争性磋商</w:t>
      </w:r>
      <w:r>
        <w:rPr>
          <w:rFonts w:hint="eastAsia" w:ascii="宋体" w:hAnsi="宋体" w:eastAsia="宋体" w:cs="宋体"/>
          <w:kern w:val="2"/>
          <w:sz w:val="24"/>
          <w:szCs w:val="24"/>
          <w:lang w:val="en-US" w:eastAsia="zh-CN" w:bidi="ar"/>
        </w:rPr>
        <w:t>文件</w:t>
      </w:r>
    </w:p>
    <w:p>
      <w:pPr>
        <w:keepNext w:val="0"/>
        <w:keepLines w:val="0"/>
        <w:widowControl w:val="0"/>
        <w:numPr>
          <w:ilvl w:val="-1"/>
          <w:numId w:val="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cs="宋体"/>
          <w:kern w:val="2"/>
          <w:sz w:val="24"/>
          <w:szCs w:val="24"/>
          <w:lang w:val="en-US" w:eastAsia="zh-CN" w:bidi="ar"/>
        </w:rPr>
        <w:t>3、</w:t>
      </w:r>
      <w:r>
        <w:rPr>
          <w:rFonts w:hint="eastAsia" w:ascii="宋体" w:hAnsi="宋体" w:eastAsia="宋体" w:cs="宋体"/>
          <w:kern w:val="2"/>
          <w:sz w:val="24"/>
          <w:szCs w:val="24"/>
          <w:lang w:val="en-US" w:eastAsia="zh-CN" w:bidi="ar"/>
        </w:rPr>
        <w:t>本项目的特定资格要求：</w:t>
      </w:r>
      <w:r>
        <w:rPr>
          <w:rFonts w:hint="eastAsia" w:ascii="宋体" w:hAnsi="宋体" w:cs="宋体"/>
          <w:kern w:val="2"/>
          <w:sz w:val="24"/>
          <w:szCs w:val="24"/>
          <w:lang w:val="en-US" w:eastAsia="zh-CN" w:bidi="ar"/>
        </w:rPr>
        <w:t>无</w:t>
      </w:r>
    </w:p>
    <w:p>
      <w:pPr>
        <w:spacing w:line="360" w:lineRule="auto"/>
        <w:ind w:firstLine="480" w:firstLineChars="200"/>
        <w:jc w:val="both"/>
        <w:rPr>
          <w:rFonts w:hint="eastAsia" w:ascii="宋体" w:hAnsi="宋体" w:cs="宋体"/>
          <w:kern w:val="2"/>
          <w:sz w:val="24"/>
          <w:lang w:bidi="ar"/>
        </w:rPr>
      </w:pPr>
      <w:r>
        <w:rPr>
          <w:rFonts w:hint="eastAsia" w:ascii="宋体" w:hAnsi="宋体" w:eastAsia="宋体" w:cs="宋体"/>
          <w:i w:val="0"/>
          <w:caps w:val="0"/>
          <w:spacing w:val="0"/>
          <w:sz w:val="24"/>
          <w:szCs w:val="24"/>
          <w:lang w:val="en-US" w:eastAsia="zh-CN" w:bidi="ar"/>
        </w:rPr>
        <w:t>4</w:t>
      </w:r>
      <w:r>
        <w:rPr>
          <w:rFonts w:hint="eastAsia" w:ascii="宋体" w:hAnsi="宋体" w:cs="宋体"/>
          <w:i w:val="0"/>
          <w:caps w:val="0"/>
          <w:spacing w:val="0"/>
          <w:sz w:val="24"/>
          <w:szCs w:val="24"/>
          <w:lang w:val="en-US" w:eastAsia="zh-CN" w:bidi="ar"/>
        </w:rPr>
        <w:t>、</w:t>
      </w:r>
      <w:r>
        <w:rPr>
          <w:rFonts w:hint="eastAsia" w:ascii="宋体" w:hAnsi="宋体" w:eastAsia="宋体" w:cs="宋体"/>
          <w:i w:val="0"/>
          <w:caps w:val="0"/>
          <w:spacing w:val="0"/>
          <w:sz w:val="24"/>
          <w:szCs w:val="24"/>
          <w:lang w:bidi="ar"/>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spacing w:line="360" w:lineRule="auto"/>
        <w:ind w:firstLine="480" w:firstLineChars="200"/>
        <w:jc w:val="both"/>
        <w:rPr>
          <w:rFonts w:hint="eastAsia" w:ascii="宋体" w:hAnsi="宋体" w:cs="宋体"/>
          <w:kern w:val="2"/>
          <w:sz w:val="24"/>
          <w:lang w:bidi="ar"/>
        </w:rPr>
      </w:pPr>
      <w:r>
        <w:rPr>
          <w:rFonts w:hint="eastAsia" w:ascii="宋体" w:hAnsi="宋体" w:cs="宋体"/>
          <w:kern w:val="2"/>
          <w:sz w:val="24"/>
          <w:lang w:val="en-US" w:eastAsia="zh-CN" w:bidi="ar"/>
        </w:rPr>
        <w:t>5、</w:t>
      </w:r>
      <w:r>
        <w:rPr>
          <w:rFonts w:hint="eastAsia" w:ascii="宋体" w:hAnsi="宋体" w:cs="宋体"/>
          <w:kern w:val="2"/>
          <w:sz w:val="24"/>
          <w:lang w:bidi="ar"/>
        </w:rPr>
        <w:t>具备较强的科技型中小微企业孵化经验，建设有科技企业孵化器或众创空间等科技创新创业孵化载体。</w:t>
      </w:r>
    </w:p>
    <w:p>
      <w:pPr>
        <w:spacing w:line="360" w:lineRule="auto"/>
        <w:ind w:firstLine="480" w:firstLineChars="200"/>
        <w:jc w:val="both"/>
        <w:rPr>
          <w:rFonts w:hint="eastAsia" w:ascii="宋体" w:hAnsi="宋体" w:cs="宋体"/>
          <w:kern w:val="2"/>
          <w:sz w:val="24"/>
          <w:lang w:bidi="ar"/>
        </w:rPr>
      </w:pPr>
      <w:r>
        <w:rPr>
          <w:rFonts w:hint="eastAsia" w:ascii="宋体" w:hAnsi="宋体" w:cs="宋体"/>
          <w:kern w:val="2"/>
          <w:sz w:val="24"/>
          <w:lang w:val="en-US" w:eastAsia="zh-CN" w:bidi="ar"/>
        </w:rPr>
        <w:t>6、</w:t>
      </w:r>
      <w:r>
        <w:rPr>
          <w:rFonts w:hint="eastAsia" w:ascii="宋体" w:hAnsi="宋体" w:cs="宋体"/>
          <w:kern w:val="2"/>
          <w:sz w:val="24"/>
          <w:lang w:bidi="ar"/>
        </w:rPr>
        <w:t>允许联合体响应，但联合体不得超过2家；相关限制性条件，只要联合体中有单位满足要求的均视为符合资格。</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i w:val="0"/>
          <w:kern w:val="2"/>
          <w:sz w:val="24"/>
          <w:szCs w:val="24"/>
          <w:u w:val="none"/>
          <w:lang w:bidi="ar"/>
        </w:rPr>
      </w:pPr>
      <w:r>
        <w:rPr>
          <w:rFonts w:hint="eastAsia" w:ascii="宋体" w:hAnsi="宋体" w:cs="宋体"/>
          <w:kern w:val="2"/>
          <w:sz w:val="24"/>
          <w:lang w:val="en-US" w:eastAsia="zh-CN" w:bidi="ar"/>
        </w:rPr>
        <w:t>7、</w:t>
      </w:r>
      <w:r>
        <w:rPr>
          <w:rFonts w:hint="eastAsia" w:ascii="宋体" w:hAnsi="宋体" w:cs="宋体"/>
          <w:kern w:val="2"/>
          <w:sz w:val="24"/>
          <w:lang w:bidi="ar"/>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pStyle w:val="4"/>
        <w:widowControl/>
        <w:numPr>
          <w:ilvl w:val="-1"/>
          <w:numId w:val="0"/>
        </w:numPr>
        <w:spacing w:line="360" w:lineRule="auto"/>
        <w:ind w:left="425" w:firstLine="0"/>
        <w:rPr>
          <w:rFonts w:hint="eastAsia" w:ascii="宋体" w:hAnsi="宋体" w:eastAsia="宋体" w:cs="宋体"/>
          <w:b w:val="0"/>
          <w:kern w:val="2"/>
          <w:sz w:val="24"/>
          <w:szCs w:val="24"/>
        </w:rPr>
      </w:pPr>
      <w:r>
        <w:rPr>
          <w:rFonts w:hint="eastAsia" w:ascii="宋体" w:hAnsi="宋体" w:eastAsia="宋体" w:cs="宋体"/>
          <w:b w:val="0"/>
          <w:kern w:val="2"/>
          <w:sz w:val="24"/>
          <w:szCs w:val="24"/>
        </w:rPr>
        <w:t>三、获取采购文件</w:t>
      </w:r>
    </w:p>
    <w:p>
      <w:pPr>
        <w:keepNext w:val="0"/>
        <w:keepLines w:val="0"/>
        <w:widowControl w:val="0"/>
        <w:suppressLineNumbers w:val="0"/>
        <w:spacing w:before="0" w:beforeAutospacing="0" w:after="0" w:afterAutospacing="0" w:line="360" w:lineRule="auto"/>
        <w:ind w:left="0" w:right="0" w:firstLine="54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时间：</w:t>
      </w:r>
      <w:r>
        <w:rPr>
          <w:rFonts w:hint="eastAsia" w:ascii="宋体" w:hAnsi="宋体" w:cs="宋体"/>
          <w:kern w:val="2"/>
          <w:sz w:val="24"/>
          <w:szCs w:val="24"/>
          <w:u w:val="single"/>
          <w:lang w:val="en-US" w:eastAsia="zh-CN" w:bidi="ar"/>
        </w:rPr>
        <w:t>2020</w:t>
      </w:r>
      <w:r>
        <w:rPr>
          <w:rFonts w:hint="eastAsia" w:ascii="宋体" w:hAnsi="宋体" w:eastAsia="宋体" w:cs="宋体"/>
          <w:kern w:val="2"/>
          <w:sz w:val="24"/>
          <w:szCs w:val="24"/>
          <w:u w:val="single"/>
          <w:lang w:val="en-US" w:eastAsia="zh-CN" w:bidi="ar"/>
        </w:rPr>
        <w:t>年</w:t>
      </w:r>
      <w:r>
        <w:rPr>
          <w:rFonts w:hint="eastAsia" w:ascii="宋体" w:hAnsi="宋体" w:cs="宋体"/>
          <w:kern w:val="2"/>
          <w:sz w:val="24"/>
          <w:szCs w:val="24"/>
          <w:u w:val="single"/>
          <w:lang w:val="en-US" w:eastAsia="zh-CN" w:bidi="ar"/>
        </w:rPr>
        <w:t>7</w:t>
      </w:r>
      <w:r>
        <w:rPr>
          <w:rFonts w:hint="eastAsia" w:ascii="宋体" w:hAnsi="宋体" w:eastAsia="宋体" w:cs="宋体"/>
          <w:kern w:val="2"/>
          <w:sz w:val="24"/>
          <w:szCs w:val="24"/>
          <w:u w:val="single"/>
          <w:lang w:val="en-US" w:eastAsia="zh-CN" w:bidi="ar"/>
        </w:rPr>
        <w:t>月</w:t>
      </w:r>
      <w:r>
        <w:rPr>
          <w:rFonts w:hint="eastAsia" w:ascii="宋体" w:hAnsi="宋体" w:cs="宋体"/>
          <w:kern w:val="2"/>
          <w:sz w:val="24"/>
          <w:szCs w:val="24"/>
          <w:u w:val="single"/>
          <w:lang w:val="en-US" w:eastAsia="zh-CN" w:bidi="ar"/>
        </w:rPr>
        <w:t>9</w:t>
      </w:r>
      <w:r>
        <w:rPr>
          <w:rFonts w:hint="eastAsia" w:ascii="宋体" w:hAnsi="宋体" w:eastAsia="宋体" w:cs="宋体"/>
          <w:kern w:val="2"/>
          <w:sz w:val="24"/>
          <w:szCs w:val="24"/>
          <w:u w:val="single"/>
          <w:lang w:val="en-US" w:eastAsia="zh-CN" w:bidi="ar"/>
        </w:rPr>
        <w:t>日</w:t>
      </w:r>
      <w:r>
        <w:rPr>
          <w:rFonts w:hint="eastAsia" w:ascii="宋体" w:hAnsi="宋体" w:eastAsia="宋体" w:cs="宋体"/>
          <w:kern w:val="2"/>
          <w:sz w:val="24"/>
          <w:szCs w:val="24"/>
          <w:lang w:val="en-US" w:eastAsia="zh-CN" w:bidi="ar"/>
        </w:rPr>
        <w:t>至</w:t>
      </w:r>
      <w:r>
        <w:rPr>
          <w:rFonts w:hint="eastAsia" w:ascii="宋体" w:hAnsi="宋体" w:cs="宋体"/>
          <w:kern w:val="2"/>
          <w:sz w:val="24"/>
          <w:szCs w:val="24"/>
          <w:u w:val="single"/>
          <w:lang w:val="en-US" w:eastAsia="zh-CN" w:bidi="ar"/>
        </w:rPr>
        <w:t>2020</w:t>
      </w:r>
      <w:r>
        <w:rPr>
          <w:rFonts w:hint="eastAsia" w:ascii="宋体" w:hAnsi="宋体" w:eastAsia="宋体" w:cs="宋体"/>
          <w:kern w:val="2"/>
          <w:sz w:val="24"/>
          <w:szCs w:val="24"/>
          <w:u w:val="single"/>
          <w:lang w:val="en-US" w:eastAsia="zh-CN" w:bidi="ar"/>
        </w:rPr>
        <w:t>年</w:t>
      </w:r>
      <w:r>
        <w:rPr>
          <w:rFonts w:hint="eastAsia" w:ascii="宋体" w:hAnsi="宋体" w:cs="宋体"/>
          <w:kern w:val="2"/>
          <w:sz w:val="24"/>
          <w:szCs w:val="24"/>
          <w:u w:val="single"/>
          <w:lang w:val="en-US" w:eastAsia="zh-CN" w:bidi="ar"/>
        </w:rPr>
        <w:t>7</w:t>
      </w:r>
      <w:r>
        <w:rPr>
          <w:rFonts w:hint="eastAsia" w:ascii="宋体" w:hAnsi="宋体" w:eastAsia="宋体" w:cs="宋体"/>
          <w:kern w:val="2"/>
          <w:sz w:val="24"/>
          <w:szCs w:val="24"/>
          <w:u w:val="single"/>
          <w:lang w:val="en-US" w:eastAsia="zh-CN" w:bidi="ar"/>
        </w:rPr>
        <w:t>月</w:t>
      </w:r>
      <w:r>
        <w:rPr>
          <w:rFonts w:hint="eastAsia" w:ascii="宋体" w:hAnsi="宋体" w:cs="宋体"/>
          <w:kern w:val="2"/>
          <w:sz w:val="24"/>
          <w:szCs w:val="24"/>
          <w:u w:val="single"/>
          <w:lang w:val="en-US" w:eastAsia="zh-CN" w:bidi="ar"/>
        </w:rPr>
        <w:t>16</w:t>
      </w:r>
      <w:r>
        <w:rPr>
          <w:rFonts w:hint="eastAsia" w:ascii="宋体" w:hAnsi="宋体" w:eastAsia="宋体" w:cs="宋体"/>
          <w:kern w:val="2"/>
          <w:sz w:val="24"/>
          <w:szCs w:val="24"/>
          <w:u w:val="single"/>
          <w:lang w:val="en-US" w:eastAsia="zh-CN" w:bidi="ar"/>
        </w:rPr>
        <w:t>日</w:t>
      </w:r>
      <w:r>
        <w:rPr>
          <w:rFonts w:hint="eastAsia" w:ascii="宋体" w:hAnsi="宋体" w:eastAsia="宋体" w:cs="宋体"/>
          <w:kern w:val="2"/>
          <w:sz w:val="24"/>
          <w:szCs w:val="24"/>
          <w:lang w:val="en-US" w:eastAsia="zh-CN" w:bidi="ar"/>
        </w:rPr>
        <w:t>，（北京时间，法定节假日除外 ）</w:t>
      </w:r>
      <w:r>
        <w:rPr>
          <w:rFonts w:hint="eastAsia" w:ascii="宋体" w:hAnsi="宋体" w:cs="宋体"/>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540"/>
        <w:jc w:val="both"/>
        <w:rPr>
          <w:rFonts w:hint="eastAsia" w:ascii="宋体" w:hAnsi="宋体" w:eastAsia="宋体" w:cs="宋体"/>
          <w:kern w:val="2"/>
          <w:sz w:val="24"/>
          <w:szCs w:val="24"/>
          <w:u w:val="single"/>
        </w:rPr>
      </w:pPr>
      <w:r>
        <w:rPr>
          <w:rFonts w:hint="eastAsia" w:ascii="宋体" w:hAnsi="宋体" w:eastAsia="宋体" w:cs="宋体"/>
          <w:kern w:val="2"/>
          <w:sz w:val="24"/>
          <w:szCs w:val="24"/>
          <w:lang w:val="en-US" w:eastAsia="zh-CN" w:bidi="ar"/>
        </w:rPr>
        <w:t>地点：</w:t>
      </w:r>
      <w:r>
        <w:rPr>
          <w:rFonts w:hint="eastAsia" w:ascii="宋体" w:hAnsi="宋体" w:eastAsia="宋体" w:cs="宋体"/>
          <w:color w:val="000000"/>
          <w:sz w:val="24"/>
        </w:rPr>
        <w:t>南宁市公共资源交易平台(https://www.nnggzy.org.cn/gxnnhy)的信息公告处</w:t>
      </w:r>
      <w:r>
        <w:rPr>
          <w:rFonts w:hint="eastAsia" w:ascii="宋体" w:hAnsi="宋体" w:eastAsia="宋体" w:cs="宋体"/>
          <w:color w:val="000000"/>
          <w:sz w:val="24"/>
          <w:lang w:eastAsia="zh-CN"/>
        </w:rPr>
        <w:t>。</w:t>
      </w:r>
    </w:p>
    <w:p>
      <w:pPr>
        <w:pStyle w:val="21"/>
        <w:keepNext w:val="0"/>
        <w:keepLines w:val="0"/>
        <w:widowControl/>
        <w:suppressLineNumbers w:val="0"/>
        <w:wordWrap w:val="0"/>
        <w:spacing w:before="75" w:beforeAutospacing="0" w:after="75" w:afterAutospacing="0" w:line="440" w:lineRule="exact"/>
        <w:ind w:left="0" w:right="0" w:firstLine="420"/>
        <w:jc w:val="both"/>
        <w:rPr>
          <w:rFonts w:hint="eastAsia" w:ascii="宋体" w:hAnsi="宋体" w:eastAsia="宋体" w:cs="宋体"/>
          <w:kern w:val="2"/>
          <w:sz w:val="24"/>
          <w:szCs w:val="24"/>
          <w:u w:val="single"/>
        </w:rPr>
      </w:pPr>
      <w:r>
        <w:rPr>
          <w:rFonts w:hint="eastAsia" w:ascii="宋体" w:hAnsi="宋体" w:eastAsia="宋体" w:cs="宋体"/>
          <w:kern w:val="2"/>
          <w:sz w:val="24"/>
          <w:szCs w:val="24"/>
          <w:lang w:val="en-US" w:eastAsia="zh-CN" w:bidi="ar"/>
        </w:rPr>
        <w:t>方式：</w:t>
      </w:r>
      <w:r>
        <w:rPr>
          <w:rFonts w:hint="eastAsia" w:ascii="宋体" w:hAnsi="宋体" w:eastAsia="宋体" w:cs="宋体"/>
          <w:color w:val="000000"/>
          <w:sz w:val="24"/>
        </w:rPr>
        <w:t>本项目不发放纸质文件，投标人自行在南宁市公共资源交易平台(https://www.nnggzy.org.cn/gxnnhy)的信息公告处下载采购文件。</w:t>
      </w:r>
    </w:p>
    <w:p>
      <w:pPr>
        <w:keepNext w:val="0"/>
        <w:keepLines w:val="0"/>
        <w:widowControl w:val="0"/>
        <w:suppressLineNumbers w:val="0"/>
        <w:spacing w:before="0" w:beforeAutospacing="0" w:after="0" w:afterAutospacing="0" w:line="360" w:lineRule="auto"/>
        <w:ind w:left="0" w:right="0" w:firstLine="540"/>
        <w:jc w:val="both"/>
        <w:rPr>
          <w:rFonts w:hint="default" w:ascii="宋体" w:hAnsi="宋体" w:eastAsia="宋体" w:cs="宋体"/>
          <w:kern w:val="2"/>
          <w:sz w:val="24"/>
          <w:szCs w:val="24"/>
        </w:rPr>
      </w:pPr>
      <w:r>
        <w:rPr>
          <w:rFonts w:hint="eastAsia" w:ascii="宋体" w:hAnsi="宋体" w:eastAsia="宋体" w:cs="宋体"/>
          <w:kern w:val="2"/>
          <w:sz w:val="24"/>
          <w:szCs w:val="24"/>
          <w:lang w:val="en-US" w:eastAsia="zh-CN" w:bidi="ar"/>
        </w:rPr>
        <w:t>售价：</w:t>
      </w:r>
      <w:r>
        <w:rPr>
          <w:rFonts w:hint="eastAsia" w:ascii="宋体" w:hAnsi="宋体" w:cs="宋体"/>
          <w:kern w:val="2"/>
          <w:sz w:val="24"/>
          <w:szCs w:val="24"/>
          <w:lang w:val="en-US" w:eastAsia="zh-CN" w:bidi="ar"/>
        </w:rPr>
        <w:t>0元</w:t>
      </w:r>
    </w:p>
    <w:p>
      <w:pPr>
        <w:pStyle w:val="4"/>
        <w:widowControl/>
        <w:numPr>
          <w:ilvl w:val="-1"/>
          <w:numId w:val="0"/>
        </w:numPr>
        <w:spacing w:line="360" w:lineRule="auto"/>
        <w:ind w:left="425" w:firstLine="0"/>
        <w:rPr>
          <w:rFonts w:hint="eastAsia" w:ascii="宋体" w:hAnsi="宋体" w:eastAsia="宋体" w:cs="宋体"/>
          <w:b w:val="0"/>
          <w:kern w:val="2"/>
          <w:sz w:val="24"/>
          <w:szCs w:val="24"/>
        </w:rPr>
      </w:pPr>
      <w:r>
        <w:rPr>
          <w:rFonts w:hint="eastAsia" w:ascii="宋体" w:hAnsi="宋体" w:eastAsia="宋体" w:cs="宋体"/>
          <w:b w:val="0"/>
          <w:kern w:val="2"/>
          <w:sz w:val="24"/>
          <w:szCs w:val="24"/>
        </w:rPr>
        <w:t>四、响应文件提交</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截止时间：</w:t>
      </w:r>
      <w:r>
        <w:rPr>
          <w:rFonts w:hint="eastAsia" w:ascii="宋体" w:hAnsi="宋体" w:eastAsia="宋体" w:cs="宋体"/>
          <w:kern w:val="2"/>
          <w:sz w:val="24"/>
          <w:szCs w:val="24"/>
          <w:u w:val="single"/>
          <w:lang w:val="en-US" w:eastAsia="zh-CN" w:bidi="ar"/>
        </w:rPr>
        <w:t xml:space="preserve"> </w:t>
      </w:r>
      <w:r>
        <w:rPr>
          <w:rFonts w:hint="eastAsia" w:ascii="宋体" w:hAnsi="宋体" w:cs="宋体"/>
          <w:kern w:val="2"/>
          <w:sz w:val="24"/>
          <w:szCs w:val="24"/>
          <w:u w:val="single"/>
          <w:lang w:val="en-US" w:eastAsia="zh-CN" w:bidi="ar"/>
        </w:rPr>
        <w:t>2020</w:t>
      </w:r>
      <w:r>
        <w:rPr>
          <w:rFonts w:hint="eastAsia" w:ascii="宋体" w:hAnsi="宋体" w:eastAsia="宋体" w:cs="宋体"/>
          <w:kern w:val="2"/>
          <w:sz w:val="24"/>
          <w:szCs w:val="24"/>
          <w:u w:val="single"/>
          <w:lang w:val="en-US" w:eastAsia="zh-CN" w:bidi="ar"/>
        </w:rPr>
        <w:t>年</w:t>
      </w:r>
      <w:r>
        <w:rPr>
          <w:rFonts w:hint="eastAsia" w:ascii="宋体" w:hAnsi="宋体" w:cs="宋体"/>
          <w:kern w:val="2"/>
          <w:sz w:val="24"/>
          <w:szCs w:val="24"/>
          <w:u w:val="single"/>
          <w:lang w:val="en-US" w:eastAsia="zh-CN" w:bidi="ar"/>
        </w:rPr>
        <w:t>7</w:t>
      </w:r>
      <w:r>
        <w:rPr>
          <w:rFonts w:hint="eastAsia" w:ascii="宋体" w:hAnsi="宋体" w:eastAsia="宋体" w:cs="宋体"/>
          <w:kern w:val="2"/>
          <w:sz w:val="24"/>
          <w:szCs w:val="24"/>
          <w:u w:val="single"/>
          <w:lang w:val="en-US" w:eastAsia="zh-CN" w:bidi="ar"/>
        </w:rPr>
        <w:t>月</w:t>
      </w:r>
      <w:r>
        <w:rPr>
          <w:rFonts w:hint="eastAsia" w:ascii="宋体" w:hAnsi="宋体" w:cs="宋体"/>
          <w:kern w:val="2"/>
          <w:sz w:val="24"/>
          <w:szCs w:val="24"/>
          <w:u w:val="single"/>
          <w:lang w:val="en-US" w:eastAsia="zh-CN" w:bidi="ar"/>
        </w:rPr>
        <w:t>20</w:t>
      </w:r>
      <w:r>
        <w:rPr>
          <w:rFonts w:hint="eastAsia" w:ascii="宋体" w:hAnsi="宋体" w:eastAsia="宋体" w:cs="宋体"/>
          <w:kern w:val="2"/>
          <w:sz w:val="24"/>
          <w:szCs w:val="24"/>
          <w:u w:val="single"/>
          <w:lang w:val="en-US" w:eastAsia="zh-CN" w:bidi="ar"/>
        </w:rPr>
        <w:t>日</w:t>
      </w:r>
      <w:r>
        <w:rPr>
          <w:rFonts w:hint="eastAsia" w:ascii="宋体" w:hAnsi="宋体" w:cs="宋体"/>
          <w:kern w:val="2"/>
          <w:sz w:val="24"/>
          <w:szCs w:val="24"/>
          <w:u w:val="single"/>
          <w:lang w:val="en-US" w:eastAsia="zh-CN" w:bidi="ar"/>
        </w:rPr>
        <w:t>09</w:t>
      </w:r>
      <w:r>
        <w:rPr>
          <w:rFonts w:hint="eastAsia" w:ascii="宋体" w:hAnsi="宋体" w:eastAsia="宋体" w:cs="宋体"/>
          <w:kern w:val="2"/>
          <w:sz w:val="24"/>
          <w:szCs w:val="24"/>
          <w:u w:val="single"/>
          <w:lang w:val="en-US" w:eastAsia="zh-CN" w:bidi="ar"/>
        </w:rPr>
        <w:t>点</w:t>
      </w:r>
      <w:r>
        <w:rPr>
          <w:rFonts w:hint="eastAsia" w:ascii="宋体" w:hAnsi="宋体" w:cs="宋体"/>
          <w:kern w:val="2"/>
          <w:sz w:val="24"/>
          <w:szCs w:val="24"/>
          <w:u w:val="single"/>
          <w:lang w:val="en-US" w:eastAsia="zh-CN" w:bidi="ar"/>
        </w:rPr>
        <w:t>30</w:t>
      </w:r>
      <w:r>
        <w:rPr>
          <w:rFonts w:hint="eastAsia" w:ascii="宋体" w:hAnsi="宋体" w:eastAsia="宋体" w:cs="宋体"/>
          <w:kern w:val="2"/>
          <w:sz w:val="24"/>
          <w:szCs w:val="24"/>
          <w:u w:val="single"/>
          <w:lang w:val="en-US" w:eastAsia="zh-CN" w:bidi="ar"/>
        </w:rPr>
        <w:t>分</w:t>
      </w:r>
      <w:r>
        <w:rPr>
          <w:rFonts w:hint="eastAsia" w:ascii="宋体" w:hAnsi="宋体" w:eastAsia="宋体" w:cs="宋体"/>
          <w:kern w:val="2"/>
          <w:sz w:val="24"/>
          <w:szCs w:val="24"/>
          <w:lang w:val="en-US" w:eastAsia="zh-CN" w:bidi="ar"/>
        </w:rPr>
        <w:t>（北京时间）</w:t>
      </w:r>
    </w:p>
    <w:p>
      <w:pPr>
        <w:pStyle w:val="21"/>
        <w:keepNext w:val="0"/>
        <w:keepLines w:val="0"/>
        <w:widowControl/>
        <w:suppressLineNumbers w:val="0"/>
        <w:spacing w:before="75" w:beforeAutospacing="0" w:after="75" w:afterAutospacing="0" w:line="440" w:lineRule="exact"/>
        <w:ind w:left="0" w:right="0" w:firstLine="480" w:firstLineChars="200"/>
        <w:jc w:val="both"/>
        <w:rPr>
          <w:rFonts w:hint="eastAsia" w:ascii="宋体" w:hAnsi="宋体" w:eastAsia="宋体" w:cs="宋体"/>
          <w:kern w:val="2"/>
          <w:sz w:val="24"/>
          <w:szCs w:val="24"/>
          <w:u w:val="single"/>
        </w:rPr>
      </w:pPr>
      <w:r>
        <w:rPr>
          <w:rFonts w:hint="eastAsia" w:ascii="宋体" w:hAnsi="宋体" w:eastAsia="宋体" w:cs="宋体"/>
          <w:kern w:val="2"/>
          <w:sz w:val="24"/>
          <w:szCs w:val="24"/>
          <w:lang w:val="en-US" w:eastAsia="zh-CN" w:bidi="ar"/>
        </w:rPr>
        <w:t>地点：</w:t>
      </w:r>
      <w:r>
        <w:rPr>
          <w:rFonts w:hint="eastAsia" w:ascii="宋体" w:hAnsi="宋体" w:eastAsia="宋体" w:cs="宋体"/>
          <w:color w:val="000000"/>
          <w:sz w:val="24"/>
        </w:rPr>
        <w:t>南宁市良庆区玉洞大道33号（青少年活动中心旁）市民中心9楼南宁市公共资源交易中心（具体详见9楼电子显示屏场地安排）</w:t>
      </w:r>
      <w:r>
        <w:rPr>
          <w:rFonts w:hint="eastAsia" w:ascii="宋体" w:hAnsi="宋体" w:eastAsia="宋体" w:cs="宋体"/>
          <w:color w:val="000000"/>
          <w:sz w:val="24"/>
          <w:lang w:eastAsia="zh-CN"/>
        </w:rPr>
        <w:t>。</w:t>
      </w:r>
      <w:r>
        <w:rPr>
          <w:rFonts w:hint="eastAsia" w:ascii="宋体" w:hAnsi="宋体" w:eastAsia="宋体" w:cs="宋体"/>
          <w:b/>
          <w:bCs/>
          <w:color w:val="000000"/>
          <w:sz w:val="24"/>
          <w:lang w:eastAsia="zh-CN"/>
        </w:rPr>
        <w:t>为做好疫情防控工作，本项目的</w:t>
      </w:r>
      <w:r>
        <w:rPr>
          <w:rFonts w:hint="eastAsia" w:cs="宋体"/>
          <w:b/>
          <w:bCs/>
          <w:color w:val="000000"/>
          <w:sz w:val="24"/>
          <w:lang w:val="en-US" w:eastAsia="zh-CN"/>
        </w:rPr>
        <w:t>响应</w:t>
      </w:r>
      <w:r>
        <w:rPr>
          <w:rFonts w:hint="eastAsia" w:ascii="宋体" w:hAnsi="宋体" w:eastAsia="宋体" w:cs="宋体"/>
          <w:b/>
          <w:bCs/>
          <w:color w:val="000000"/>
          <w:sz w:val="24"/>
          <w:lang w:eastAsia="zh-CN"/>
        </w:rPr>
        <w:t>文件通过邮寄快递的方式送达，具体要求详见</w:t>
      </w:r>
      <w:r>
        <w:rPr>
          <w:rFonts w:hint="eastAsia" w:ascii="宋体" w:hAnsi="宋体" w:eastAsia="宋体" w:cs="宋体"/>
          <w:b/>
          <w:bCs/>
          <w:color w:val="000000"/>
          <w:sz w:val="24"/>
        </w:rPr>
        <w:t>关于</w:t>
      </w:r>
      <w:r>
        <w:rPr>
          <w:rFonts w:hint="eastAsia" w:cs="宋体"/>
          <w:b/>
          <w:bCs/>
          <w:color w:val="000000"/>
          <w:sz w:val="24"/>
          <w:lang w:val="en-US" w:eastAsia="zh-CN"/>
        </w:rPr>
        <w:t>响应</w:t>
      </w:r>
      <w:r>
        <w:rPr>
          <w:rFonts w:hint="eastAsia" w:ascii="宋体" w:hAnsi="宋体" w:eastAsia="宋体" w:cs="宋体"/>
          <w:b/>
          <w:bCs/>
          <w:color w:val="000000"/>
          <w:sz w:val="24"/>
        </w:rPr>
        <w:t>文件邮寄形式的通知。</w:t>
      </w:r>
    </w:p>
    <w:p>
      <w:pPr>
        <w:pStyle w:val="4"/>
        <w:widowControl/>
        <w:numPr>
          <w:ilvl w:val="-1"/>
          <w:numId w:val="0"/>
        </w:numPr>
        <w:spacing w:line="360" w:lineRule="auto"/>
        <w:ind w:left="425" w:firstLine="0"/>
        <w:rPr>
          <w:rFonts w:hint="eastAsia" w:ascii="宋体" w:hAnsi="宋体" w:eastAsia="宋体" w:cs="宋体"/>
          <w:b w:val="0"/>
          <w:kern w:val="2"/>
          <w:sz w:val="24"/>
          <w:szCs w:val="24"/>
        </w:rPr>
      </w:pPr>
      <w:r>
        <w:rPr>
          <w:rFonts w:hint="eastAsia" w:ascii="宋体" w:hAnsi="宋体" w:eastAsia="宋体" w:cs="宋体"/>
          <w:b w:val="0"/>
          <w:kern w:val="2"/>
          <w:sz w:val="24"/>
          <w:szCs w:val="24"/>
        </w:rPr>
        <w:t>五、开启</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u w:val="single"/>
        </w:rPr>
      </w:pPr>
      <w:r>
        <w:rPr>
          <w:rFonts w:hint="eastAsia" w:ascii="宋体" w:hAnsi="宋体" w:eastAsia="宋体" w:cs="宋体"/>
          <w:kern w:val="2"/>
          <w:sz w:val="24"/>
          <w:szCs w:val="24"/>
          <w:lang w:val="en-US" w:eastAsia="zh-CN" w:bidi="ar"/>
        </w:rPr>
        <w:t>时间：</w:t>
      </w:r>
      <w:r>
        <w:rPr>
          <w:rFonts w:hint="eastAsia" w:ascii="宋体" w:hAnsi="宋体" w:eastAsia="宋体" w:cs="宋体"/>
          <w:kern w:val="2"/>
          <w:sz w:val="24"/>
          <w:szCs w:val="24"/>
          <w:u w:val="single"/>
          <w:lang w:val="en-US" w:eastAsia="zh-CN" w:bidi="ar"/>
        </w:rPr>
        <w:t xml:space="preserve"> </w:t>
      </w:r>
      <w:r>
        <w:rPr>
          <w:rFonts w:hint="eastAsia" w:ascii="宋体" w:hAnsi="宋体" w:cs="宋体"/>
          <w:kern w:val="2"/>
          <w:sz w:val="24"/>
          <w:szCs w:val="24"/>
          <w:u w:val="single"/>
          <w:lang w:val="en-US" w:eastAsia="zh-CN" w:bidi="ar"/>
        </w:rPr>
        <w:t>2020</w:t>
      </w:r>
      <w:r>
        <w:rPr>
          <w:rFonts w:hint="eastAsia" w:ascii="宋体" w:hAnsi="宋体" w:eastAsia="宋体" w:cs="宋体"/>
          <w:kern w:val="2"/>
          <w:sz w:val="24"/>
          <w:szCs w:val="24"/>
          <w:u w:val="single"/>
          <w:lang w:val="en-US" w:eastAsia="zh-CN" w:bidi="ar"/>
        </w:rPr>
        <w:t>年</w:t>
      </w:r>
      <w:r>
        <w:rPr>
          <w:rFonts w:hint="eastAsia" w:ascii="宋体" w:hAnsi="宋体" w:cs="宋体"/>
          <w:kern w:val="2"/>
          <w:sz w:val="24"/>
          <w:szCs w:val="24"/>
          <w:u w:val="single"/>
          <w:lang w:val="en-US" w:eastAsia="zh-CN" w:bidi="ar"/>
        </w:rPr>
        <w:t>7</w:t>
      </w:r>
      <w:r>
        <w:rPr>
          <w:rFonts w:hint="eastAsia" w:ascii="宋体" w:hAnsi="宋体" w:eastAsia="宋体" w:cs="宋体"/>
          <w:kern w:val="2"/>
          <w:sz w:val="24"/>
          <w:szCs w:val="24"/>
          <w:u w:val="single"/>
          <w:lang w:val="en-US" w:eastAsia="zh-CN" w:bidi="ar"/>
        </w:rPr>
        <w:t>月</w:t>
      </w:r>
      <w:r>
        <w:rPr>
          <w:rFonts w:hint="eastAsia" w:ascii="宋体" w:hAnsi="宋体" w:cs="宋体"/>
          <w:kern w:val="2"/>
          <w:sz w:val="24"/>
          <w:szCs w:val="24"/>
          <w:u w:val="single"/>
          <w:lang w:val="en-US" w:eastAsia="zh-CN" w:bidi="ar"/>
        </w:rPr>
        <w:t>20</w:t>
      </w:r>
      <w:r>
        <w:rPr>
          <w:rFonts w:hint="eastAsia" w:ascii="宋体" w:hAnsi="宋体" w:eastAsia="宋体" w:cs="宋体"/>
          <w:kern w:val="2"/>
          <w:sz w:val="24"/>
          <w:szCs w:val="24"/>
          <w:u w:val="single"/>
          <w:lang w:val="en-US" w:eastAsia="zh-CN" w:bidi="ar"/>
        </w:rPr>
        <w:t>日</w:t>
      </w:r>
      <w:r>
        <w:rPr>
          <w:rFonts w:hint="eastAsia" w:ascii="宋体" w:hAnsi="宋体" w:cs="宋体"/>
          <w:kern w:val="2"/>
          <w:sz w:val="24"/>
          <w:szCs w:val="24"/>
          <w:u w:val="single"/>
          <w:lang w:val="en-US" w:eastAsia="zh-CN" w:bidi="ar"/>
        </w:rPr>
        <w:t>09</w:t>
      </w:r>
      <w:r>
        <w:rPr>
          <w:rFonts w:hint="eastAsia" w:ascii="宋体" w:hAnsi="宋体" w:eastAsia="宋体" w:cs="宋体"/>
          <w:kern w:val="2"/>
          <w:sz w:val="24"/>
          <w:szCs w:val="24"/>
          <w:u w:val="single"/>
          <w:lang w:val="en-US" w:eastAsia="zh-CN" w:bidi="ar"/>
        </w:rPr>
        <w:t>点</w:t>
      </w:r>
      <w:r>
        <w:rPr>
          <w:rFonts w:hint="eastAsia" w:ascii="宋体" w:hAnsi="宋体" w:cs="宋体"/>
          <w:kern w:val="2"/>
          <w:sz w:val="24"/>
          <w:szCs w:val="24"/>
          <w:u w:val="single"/>
          <w:lang w:val="en-US" w:eastAsia="zh-CN" w:bidi="ar"/>
        </w:rPr>
        <w:t>30</w:t>
      </w:r>
      <w:r>
        <w:rPr>
          <w:rFonts w:hint="eastAsia" w:ascii="宋体" w:hAnsi="宋体" w:eastAsia="宋体" w:cs="宋体"/>
          <w:kern w:val="2"/>
          <w:sz w:val="24"/>
          <w:szCs w:val="24"/>
          <w:u w:val="single"/>
          <w:lang w:val="en-US" w:eastAsia="zh-CN" w:bidi="ar"/>
        </w:rPr>
        <w:t>分</w:t>
      </w:r>
      <w:r>
        <w:rPr>
          <w:rFonts w:hint="eastAsia" w:ascii="宋体" w:hAnsi="宋体" w:eastAsia="宋体" w:cs="宋体"/>
          <w:kern w:val="2"/>
          <w:sz w:val="24"/>
          <w:szCs w:val="24"/>
          <w:lang w:val="en-US" w:eastAsia="zh-CN" w:bidi="ar"/>
        </w:rPr>
        <w:t>（北京时间）</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u w:val="single"/>
        </w:rPr>
      </w:pPr>
      <w:r>
        <w:rPr>
          <w:rFonts w:hint="eastAsia" w:ascii="宋体" w:hAnsi="宋体" w:eastAsia="宋体" w:cs="宋体"/>
          <w:kern w:val="2"/>
          <w:sz w:val="24"/>
          <w:szCs w:val="24"/>
          <w:lang w:val="en-US" w:eastAsia="zh-CN" w:bidi="ar"/>
        </w:rPr>
        <w:t>地点：</w:t>
      </w:r>
      <w:r>
        <w:rPr>
          <w:rFonts w:hint="eastAsia" w:ascii="宋体" w:hAnsi="宋体" w:eastAsia="宋体" w:cs="宋体"/>
          <w:color w:val="000000"/>
          <w:sz w:val="24"/>
        </w:rPr>
        <w:t>南宁市良庆区玉洞大道33号（青少年活动中心旁）市民中心9楼南宁市公共资源交易中心（具体详见9楼电子显示屏场地安排）</w:t>
      </w:r>
      <w:r>
        <w:rPr>
          <w:rFonts w:hint="eastAsia" w:ascii="宋体" w:hAnsi="宋体" w:eastAsia="宋体" w:cs="宋体"/>
          <w:color w:val="000000"/>
          <w:sz w:val="24"/>
          <w:lang w:eastAsia="zh-CN"/>
        </w:rPr>
        <w:t>。</w:t>
      </w:r>
      <w:r>
        <w:rPr>
          <w:rFonts w:hint="eastAsia" w:ascii="宋体" w:hAnsi="宋体" w:eastAsia="宋体" w:cs="宋体"/>
          <w:b/>
          <w:bCs/>
          <w:color w:val="000000"/>
          <w:sz w:val="24"/>
          <w:lang w:eastAsia="zh-CN"/>
        </w:rPr>
        <w:t>为做好疫情防控工作，本项目的</w:t>
      </w:r>
      <w:r>
        <w:rPr>
          <w:rFonts w:hint="eastAsia" w:cs="宋体"/>
          <w:b/>
          <w:bCs/>
          <w:color w:val="000000"/>
          <w:sz w:val="24"/>
          <w:lang w:val="en-US" w:eastAsia="zh-CN"/>
        </w:rPr>
        <w:t>响应</w:t>
      </w:r>
      <w:r>
        <w:rPr>
          <w:rFonts w:hint="eastAsia" w:ascii="宋体" w:hAnsi="宋体" w:eastAsia="宋体" w:cs="宋体"/>
          <w:b/>
          <w:bCs/>
          <w:color w:val="000000"/>
          <w:sz w:val="24"/>
          <w:lang w:eastAsia="zh-CN"/>
        </w:rPr>
        <w:t>文件通过邮寄快递的方式送达，具体要求详见</w:t>
      </w:r>
      <w:r>
        <w:rPr>
          <w:rFonts w:hint="eastAsia" w:ascii="宋体" w:hAnsi="宋体" w:eastAsia="宋体" w:cs="宋体"/>
          <w:b/>
          <w:bCs/>
          <w:color w:val="000000"/>
          <w:sz w:val="24"/>
        </w:rPr>
        <w:t>关于</w:t>
      </w:r>
      <w:r>
        <w:rPr>
          <w:rFonts w:hint="eastAsia" w:cs="宋体"/>
          <w:b/>
          <w:bCs/>
          <w:color w:val="000000"/>
          <w:sz w:val="24"/>
          <w:lang w:val="en-US" w:eastAsia="zh-CN"/>
        </w:rPr>
        <w:t>响应</w:t>
      </w:r>
      <w:r>
        <w:rPr>
          <w:rFonts w:hint="eastAsia" w:ascii="宋体" w:hAnsi="宋体" w:eastAsia="宋体" w:cs="宋体"/>
          <w:b/>
          <w:bCs/>
          <w:color w:val="000000"/>
          <w:sz w:val="24"/>
        </w:rPr>
        <w:t>文件邮寄形式的通知。</w:t>
      </w:r>
    </w:p>
    <w:p>
      <w:pPr>
        <w:pStyle w:val="4"/>
        <w:keepNext w:val="0"/>
        <w:keepLines w:val="0"/>
        <w:widowControl/>
        <w:numPr>
          <w:ilvl w:val="1"/>
          <w:numId w:val="0"/>
        </w:numPr>
        <w:suppressLineNumbers w:val="0"/>
        <w:spacing w:before="0" w:beforeAutospacing="0" w:after="0" w:afterAutospacing="0" w:line="360" w:lineRule="auto"/>
        <w:ind w:left="425" w:right="0" w:firstLine="480" w:firstLineChars="200"/>
        <w:jc w:val="both"/>
        <w:rPr>
          <w:rFonts w:hint="eastAsia" w:ascii="宋体" w:hAnsi="宋体" w:eastAsia="宋体" w:cs="宋体"/>
          <w:b w:val="0"/>
          <w:bCs/>
          <w:kern w:val="0"/>
          <w:sz w:val="24"/>
          <w:szCs w:val="24"/>
        </w:rPr>
      </w:pPr>
      <w:r>
        <w:rPr>
          <w:rFonts w:hint="eastAsia" w:ascii="宋体" w:hAnsi="宋体" w:eastAsia="宋体" w:cs="宋体"/>
          <w:b w:val="0"/>
          <w:kern w:val="2"/>
          <w:sz w:val="24"/>
          <w:szCs w:val="24"/>
        </w:rPr>
        <w:t>六、公告期限</w:t>
      </w:r>
      <w:r>
        <w:rPr>
          <w:rFonts w:hint="eastAsia" w:ascii="宋体" w:hAnsi="宋体" w:eastAsia="宋体" w:cs="宋体"/>
          <w:b w:val="0"/>
          <w:kern w:val="2"/>
          <w:sz w:val="24"/>
          <w:szCs w:val="24"/>
          <w:lang w:eastAsia="zh-CN"/>
        </w:rPr>
        <w:t>：</w:t>
      </w:r>
      <w:r>
        <w:rPr>
          <w:rFonts w:hint="eastAsia" w:ascii="宋体" w:hAnsi="宋体" w:eastAsia="宋体" w:cs="宋体"/>
          <w:b w:val="0"/>
          <w:bCs/>
          <w:kern w:val="0"/>
          <w:sz w:val="24"/>
          <w:szCs w:val="24"/>
          <w:lang w:val="en-US" w:eastAsia="zh-CN" w:bidi="ar"/>
        </w:rPr>
        <w:t>自本公告发布之日起5个工作日</w:t>
      </w:r>
      <w:r>
        <w:rPr>
          <w:rFonts w:hint="eastAsia" w:ascii="宋体" w:hAnsi="宋体" w:eastAsia="宋体" w:cs="宋体"/>
          <w:b w:val="0"/>
          <w:bCs/>
          <w:i w:val="0"/>
          <w:caps w:val="0"/>
          <w:color w:val="000000"/>
          <w:spacing w:val="0"/>
          <w:sz w:val="24"/>
          <w:szCs w:val="24"/>
          <w:lang w:eastAsia="zh-CN"/>
        </w:rPr>
        <w:t>（</w:t>
      </w:r>
      <w:r>
        <w:rPr>
          <w:rFonts w:hint="eastAsia" w:ascii="宋体" w:hAnsi="宋体" w:eastAsia="宋体" w:cs="宋体"/>
          <w:b w:val="0"/>
          <w:bCs/>
          <w:i w:val="0"/>
          <w:caps w:val="0"/>
          <w:color w:val="000000"/>
          <w:spacing w:val="0"/>
          <w:sz w:val="24"/>
          <w:szCs w:val="24"/>
          <w:lang w:val="en-US" w:eastAsia="zh-CN"/>
        </w:rPr>
        <w:t>2020年7月9日至2020年7月16日</w:t>
      </w:r>
      <w:r>
        <w:rPr>
          <w:rFonts w:hint="eastAsia" w:ascii="宋体" w:hAnsi="宋体" w:eastAsia="宋体" w:cs="宋体"/>
          <w:b w:val="0"/>
          <w:bCs/>
          <w:i w:val="0"/>
          <w:caps w:val="0"/>
          <w:color w:val="000000"/>
          <w:spacing w:val="0"/>
          <w:sz w:val="24"/>
          <w:szCs w:val="24"/>
          <w:lang w:eastAsia="zh-CN"/>
        </w:rPr>
        <w:t>结束）</w:t>
      </w:r>
      <w:r>
        <w:rPr>
          <w:rFonts w:hint="eastAsia" w:ascii="宋体" w:hAnsi="宋体" w:eastAsia="宋体" w:cs="宋体"/>
          <w:b w:val="0"/>
          <w:bCs/>
          <w:kern w:val="0"/>
          <w:sz w:val="24"/>
          <w:szCs w:val="24"/>
          <w:lang w:val="en-US" w:eastAsia="zh-CN" w:bidi="ar"/>
        </w:rPr>
        <w:t>。</w:t>
      </w:r>
    </w:p>
    <w:p>
      <w:pPr>
        <w:pStyle w:val="4"/>
        <w:widowControl/>
        <w:numPr>
          <w:ilvl w:val="-1"/>
          <w:numId w:val="0"/>
        </w:numPr>
        <w:spacing w:line="360" w:lineRule="auto"/>
        <w:ind w:left="425" w:firstLine="0"/>
        <w:rPr>
          <w:rFonts w:hint="eastAsia" w:ascii="宋体" w:hAnsi="宋体" w:eastAsia="宋体" w:cs="宋体"/>
          <w:b w:val="0"/>
          <w:kern w:val="2"/>
          <w:sz w:val="24"/>
          <w:szCs w:val="24"/>
          <w:lang w:eastAsia="zh-CN"/>
        </w:rPr>
      </w:pPr>
      <w:r>
        <w:rPr>
          <w:rFonts w:hint="eastAsia" w:ascii="宋体" w:hAnsi="宋体" w:eastAsia="宋体" w:cs="宋体"/>
          <w:b w:val="0"/>
          <w:kern w:val="2"/>
          <w:sz w:val="24"/>
          <w:szCs w:val="24"/>
        </w:rPr>
        <w:t>七、其他补充事宜</w:t>
      </w:r>
      <w:r>
        <w:rPr>
          <w:rFonts w:hint="eastAsia" w:ascii="宋体" w:hAnsi="宋体" w:eastAsia="宋体" w:cs="宋体"/>
          <w:b w:val="0"/>
          <w:kern w:val="2"/>
          <w:sz w:val="24"/>
          <w:szCs w:val="24"/>
          <w:lang w:eastAsia="zh-CN"/>
        </w:rPr>
        <w:t>：</w:t>
      </w:r>
    </w:p>
    <w:p>
      <w:pPr>
        <w:pStyle w:val="4"/>
        <w:keepNext w:val="0"/>
        <w:keepLines w:val="0"/>
        <w:widowControl/>
        <w:numPr>
          <w:ilvl w:val="1"/>
          <w:numId w:val="0"/>
        </w:numPr>
        <w:suppressLineNumbers w:val="0"/>
        <w:spacing w:before="0" w:beforeAutospacing="0" w:after="0" w:afterAutospacing="0" w:line="360" w:lineRule="auto"/>
        <w:ind w:left="425" w:right="0"/>
        <w:jc w:val="both"/>
        <w:rPr>
          <w:rFonts w:hint="eastAsia" w:ascii="宋体" w:hAnsi="宋体" w:eastAsia="宋体" w:cs="宋体"/>
          <w:kern w:val="2"/>
          <w:sz w:val="24"/>
          <w:szCs w:val="24"/>
        </w:rPr>
      </w:pPr>
      <w:r>
        <w:rPr>
          <w:rFonts w:hint="eastAsia" w:ascii="宋体" w:hAnsi="宋体" w:eastAsia="宋体" w:cs="宋体"/>
          <w:b w:val="0"/>
          <w:kern w:val="2"/>
          <w:sz w:val="24"/>
          <w:szCs w:val="24"/>
          <w:lang w:eastAsia="zh-CN"/>
        </w:rPr>
        <w:t>网上查询地址：</w:t>
      </w:r>
      <w:r>
        <w:rPr>
          <w:rFonts w:hint="eastAsia" w:ascii="宋体" w:hAnsi="宋体" w:eastAsia="宋体" w:cs="宋体"/>
          <w:b w:val="0"/>
          <w:kern w:val="2"/>
          <w:sz w:val="24"/>
          <w:szCs w:val="24"/>
          <w:lang w:eastAsia="zh-CN"/>
        </w:rPr>
        <w:fldChar w:fldCharType="begin"/>
      </w:r>
      <w:r>
        <w:rPr>
          <w:rFonts w:hint="eastAsia" w:ascii="宋体" w:hAnsi="宋体" w:eastAsia="宋体" w:cs="宋体"/>
          <w:b w:val="0"/>
          <w:kern w:val="2"/>
          <w:sz w:val="24"/>
          <w:szCs w:val="24"/>
          <w:lang w:eastAsia="zh-CN"/>
        </w:rPr>
        <w:instrText xml:space="preserve"> HYPERLINK </w:instrText>
      </w:r>
      <w:r>
        <w:rPr>
          <w:rFonts w:hint="eastAsia" w:ascii="宋体" w:hAnsi="宋体" w:eastAsia="宋体" w:cs="宋体"/>
          <w:b w:val="0"/>
          <w:kern w:val="2"/>
          <w:sz w:val="24"/>
          <w:szCs w:val="24"/>
          <w:lang w:eastAsia="zh-CN"/>
        </w:rPr>
        <w:fldChar w:fldCharType="separate"/>
      </w:r>
      <w:r>
        <w:rPr>
          <w:rFonts w:hint="eastAsia" w:ascii="宋体" w:hAnsi="宋体" w:eastAsia="宋体" w:cs="宋体"/>
          <w:b w:val="0"/>
          <w:kern w:val="2"/>
          <w:sz w:val="24"/>
          <w:szCs w:val="24"/>
          <w:lang w:eastAsia="zh-CN"/>
        </w:rPr>
        <w:t>http://zfcg.gxzf.gov.cn/（广西壮族自治区政府采购网），https://www.nnggzy.org.cn/gxnnzbw/（南宁市公共资源交易中心网）</w:t>
      </w:r>
      <w:r>
        <w:rPr>
          <w:rFonts w:hint="eastAsia" w:ascii="宋体" w:hAnsi="宋体" w:eastAsia="宋体" w:cs="宋体"/>
          <w:b w:val="0"/>
          <w:kern w:val="2"/>
          <w:sz w:val="24"/>
          <w:szCs w:val="24"/>
          <w:lang w:eastAsia="zh-CN"/>
        </w:rPr>
        <w:fldChar w:fldCharType="end"/>
      </w:r>
    </w:p>
    <w:p>
      <w:pPr>
        <w:pStyle w:val="4"/>
        <w:widowControl/>
        <w:numPr>
          <w:ilvl w:val="-1"/>
          <w:numId w:val="0"/>
        </w:numPr>
        <w:spacing w:line="360" w:lineRule="auto"/>
        <w:ind w:left="425" w:firstLine="0"/>
        <w:rPr>
          <w:rFonts w:hint="eastAsia" w:ascii="宋体" w:hAnsi="宋体" w:eastAsia="宋体" w:cs="宋体"/>
          <w:b w:val="0"/>
          <w:kern w:val="2"/>
          <w:sz w:val="24"/>
          <w:szCs w:val="24"/>
        </w:rPr>
      </w:pPr>
      <w:r>
        <w:rPr>
          <w:rFonts w:hint="eastAsia" w:ascii="宋体" w:hAnsi="宋体" w:eastAsia="宋体" w:cs="宋体"/>
          <w:b w:val="0"/>
          <w:kern w:val="2"/>
          <w:sz w:val="24"/>
          <w:szCs w:val="24"/>
        </w:rPr>
        <w:t>八、凡对本次采购提出询问，请按以下方式联系。</w:t>
      </w:r>
    </w:p>
    <w:p>
      <w:pPr>
        <w:pStyle w:val="4"/>
        <w:widowControl/>
        <w:numPr>
          <w:ilvl w:val="-1"/>
          <w:numId w:val="0"/>
        </w:numPr>
        <w:spacing w:line="360" w:lineRule="auto"/>
        <w:ind w:left="630" w:leftChars="300" w:firstLine="0" w:firstLineChars="0"/>
        <w:rPr>
          <w:rFonts w:hint="eastAsia" w:ascii="宋体" w:hAnsi="宋体" w:eastAsia="宋体" w:cs="宋体"/>
          <w:b w:val="0"/>
          <w:kern w:val="2"/>
          <w:sz w:val="24"/>
          <w:szCs w:val="24"/>
        </w:rPr>
      </w:pPr>
      <w:r>
        <w:rPr>
          <w:rFonts w:hint="eastAsia" w:ascii="宋体" w:hAnsi="宋体" w:eastAsia="宋体" w:cs="宋体"/>
          <w:b w:val="0"/>
          <w:kern w:val="2"/>
          <w:sz w:val="24"/>
          <w:szCs w:val="24"/>
        </w:rPr>
        <w:t>1.采购人信息</w:t>
      </w:r>
    </w:p>
    <w:p>
      <w:pPr>
        <w:keepNext w:val="0"/>
        <w:keepLines w:val="0"/>
        <w:widowControl w:val="0"/>
        <w:suppressLineNumbers w:val="0"/>
        <w:spacing w:before="0" w:beforeAutospacing="0" w:after="0" w:afterAutospacing="0" w:line="360" w:lineRule="auto"/>
        <w:ind w:left="1079" w:leftChars="371" w:right="0" w:hanging="300" w:hangingChars="125"/>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名    称：</w:t>
      </w:r>
      <w:r>
        <w:rPr>
          <w:rFonts w:hint="eastAsia" w:ascii="宋体" w:hAnsi="宋体" w:eastAsia="宋体" w:cs="宋体"/>
          <w:kern w:val="2"/>
          <w:sz w:val="24"/>
          <w:szCs w:val="24"/>
          <w:u w:val="single"/>
          <w:lang w:val="en-US" w:eastAsia="zh-CN" w:bidi="ar"/>
        </w:rPr>
        <w:t xml:space="preserve"> 南宁市良庆区科学技术局  </w:t>
      </w:r>
    </w:p>
    <w:p>
      <w:pPr>
        <w:keepNext w:val="0"/>
        <w:keepLines w:val="0"/>
        <w:widowControl w:val="0"/>
        <w:suppressLineNumbers w:val="0"/>
        <w:spacing w:before="0" w:beforeAutospacing="0" w:after="0" w:afterAutospacing="0" w:line="360" w:lineRule="auto"/>
        <w:ind w:left="1079" w:leftChars="371" w:right="0" w:hanging="300" w:hangingChars="125"/>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地    址：</w:t>
      </w:r>
      <w:r>
        <w:rPr>
          <w:rFonts w:hint="eastAsia" w:ascii="宋体" w:hAnsi="宋体" w:eastAsia="宋体" w:cs="宋体"/>
          <w:kern w:val="2"/>
          <w:sz w:val="24"/>
          <w:szCs w:val="24"/>
          <w:u w:val="single"/>
          <w:lang w:val="en-US" w:eastAsia="zh-CN" w:bidi="ar"/>
        </w:rPr>
        <w:t xml:space="preserve"> 南宁市良庆区歌海路9号良庆区行政中心1328办公室 </w:t>
      </w:r>
    </w:p>
    <w:p>
      <w:pPr>
        <w:keepNext w:val="0"/>
        <w:keepLines w:val="0"/>
        <w:widowControl w:val="0"/>
        <w:suppressLineNumbers w:val="0"/>
        <w:spacing w:before="0" w:beforeAutospacing="0" w:after="0" w:afterAutospacing="0" w:line="360" w:lineRule="auto"/>
        <w:ind w:left="1079" w:leftChars="371" w:right="0" w:hanging="300" w:hangingChars="125"/>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联系方式：</w:t>
      </w:r>
      <w:r>
        <w:rPr>
          <w:rFonts w:hint="eastAsia" w:ascii="宋体" w:hAnsi="宋体" w:eastAsia="宋体" w:cs="宋体"/>
          <w:kern w:val="2"/>
          <w:sz w:val="24"/>
          <w:szCs w:val="24"/>
          <w:u w:val="single"/>
          <w:lang w:val="en-US" w:eastAsia="zh-CN" w:bidi="ar"/>
        </w:rPr>
        <w:t xml:space="preserve"> 黄工  0771-4500690  </w:t>
      </w:r>
    </w:p>
    <w:p>
      <w:pPr>
        <w:pStyle w:val="4"/>
        <w:widowControl/>
        <w:numPr>
          <w:ilvl w:val="-1"/>
          <w:numId w:val="0"/>
        </w:numPr>
        <w:spacing w:line="360" w:lineRule="auto"/>
        <w:ind w:left="630" w:leftChars="300" w:firstLine="0" w:firstLineChars="0"/>
        <w:rPr>
          <w:rFonts w:hint="eastAsia" w:ascii="宋体" w:hAnsi="宋体" w:eastAsia="宋体" w:cs="宋体"/>
          <w:b w:val="0"/>
          <w:kern w:val="2"/>
          <w:sz w:val="24"/>
          <w:szCs w:val="24"/>
        </w:rPr>
      </w:pPr>
      <w:r>
        <w:rPr>
          <w:rFonts w:hint="eastAsia" w:ascii="宋体" w:hAnsi="宋体" w:eastAsia="宋体" w:cs="宋体"/>
          <w:b w:val="0"/>
          <w:kern w:val="2"/>
          <w:sz w:val="24"/>
          <w:szCs w:val="24"/>
        </w:rPr>
        <w:t>2.采购代理机构信息</w:t>
      </w:r>
    </w:p>
    <w:p>
      <w:pPr>
        <w:keepNext w:val="0"/>
        <w:keepLines w:val="0"/>
        <w:widowControl w:val="0"/>
        <w:suppressLineNumbers w:val="0"/>
        <w:spacing w:before="0" w:beforeAutospacing="0" w:after="0" w:afterAutospacing="0" w:line="360" w:lineRule="auto"/>
        <w:ind w:left="0" w:right="0" w:firstLine="720" w:firstLineChars="3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名    称：</w:t>
      </w:r>
      <w:r>
        <w:rPr>
          <w:rFonts w:hint="eastAsia" w:ascii="宋体" w:hAnsi="宋体" w:eastAsia="宋体" w:cs="宋体"/>
          <w:kern w:val="2"/>
          <w:sz w:val="24"/>
          <w:szCs w:val="24"/>
          <w:u w:val="single"/>
          <w:lang w:val="en-US" w:eastAsia="zh-CN" w:bidi="ar"/>
        </w:rPr>
        <w:t xml:space="preserve"> 广西邕政采购代理有限公司 </w:t>
      </w:r>
    </w:p>
    <w:p>
      <w:pPr>
        <w:keepNext w:val="0"/>
        <w:keepLines w:val="0"/>
        <w:widowControl w:val="0"/>
        <w:suppressLineNumbers w:val="0"/>
        <w:spacing w:before="0" w:beforeAutospacing="0" w:after="0" w:afterAutospacing="0" w:line="360" w:lineRule="auto"/>
        <w:ind w:left="0" w:right="0" w:firstLine="720" w:firstLineChars="3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地  址：</w:t>
      </w:r>
      <w:r>
        <w:rPr>
          <w:rFonts w:hint="eastAsia" w:ascii="宋体" w:hAnsi="宋体" w:eastAsia="宋体" w:cs="宋体"/>
          <w:kern w:val="2"/>
          <w:sz w:val="24"/>
          <w:szCs w:val="24"/>
          <w:u w:val="single"/>
          <w:lang w:val="en-US" w:eastAsia="zh-CN" w:bidi="ar"/>
        </w:rPr>
        <w:t xml:space="preserve"> 南宁市思贤路45号创投中心16A层 </w:t>
      </w:r>
    </w:p>
    <w:p>
      <w:pPr>
        <w:pStyle w:val="58"/>
        <w:spacing w:afterLines="0" w:line="480" w:lineRule="exact"/>
        <w:ind w:firstLine="720" w:firstLineChars="300"/>
        <w:jc w:val="left"/>
        <w:rPr>
          <w:rFonts w:asciiTheme="majorEastAsia" w:hAnsiTheme="majorEastAsia" w:eastAsiaTheme="majorEastAsia" w:cstheme="majorEastAsia"/>
          <w:szCs w:val="24"/>
        </w:rPr>
      </w:pPr>
      <w:r>
        <w:rPr>
          <w:rFonts w:hint="eastAsia" w:ascii="宋体" w:hAnsi="宋体" w:eastAsia="宋体" w:cs="宋体"/>
          <w:kern w:val="2"/>
          <w:sz w:val="24"/>
          <w:szCs w:val="24"/>
          <w:lang w:val="en-US" w:eastAsia="zh-CN" w:bidi="ar"/>
        </w:rPr>
        <w:t>联系方式：</w:t>
      </w:r>
      <w:r>
        <w:rPr>
          <w:rFonts w:hint="eastAsia" w:ascii="宋体" w:hAnsi="宋体" w:eastAsia="宋体" w:cs="宋体"/>
          <w:kern w:val="2"/>
          <w:szCs w:val="24"/>
          <w:u w:val="single"/>
          <w:lang w:bidi="ar"/>
        </w:rPr>
        <w:t>蔺工、罗工  0771-2442850</w:t>
      </w:r>
    </w:p>
    <w:p>
      <w:pPr>
        <w:pStyle w:val="4"/>
        <w:widowControl/>
        <w:numPr>
          <w:ilvl w:val="-1"/>
          <w:numId w:val="0"/>
        </w:numPr>
        <w:spacing w:line="360" w:lineRule="auto"/>
        <w:ind w:left="0" w:leftChars="0" w:firstLine="480" w:firstLineChars="200"/>
        <w:rPr>
          <w:rFonts w:hint="eastAsia" w:ascii="宋体" w:hAnsi="宋体" w:eastAsia="宋体" w:cs="宋体"/>
          <w:b w:val="0"/>
          <w:kern w:val="2"/>
          <w:sz w:val="24"/>
          <w:szCs w:val="24"/>
        </w:rPr>
      </w:pPr>
      <w:r>
        <w:rPr>
          <w:rFonts w:hint="eastAsia" w:ascii="宋体" w:hAnsi="宋体" w:eastAsia="宋体" w:cs="宋体"/>
          <w:b w:val="0"/>
          <w:kern w:val="2"/>
          <w:sz w:val="24"/>
          <w:szCs w:val="24"/>
        </w:rPr>
        <w:t>3.项目联系方式</w:t>
      </w:r>
    </w:p>
    <w:p>
      <w:pPr>
        <w:pStyle w:val="14"/>
        <w:widowControl/>
        <w:spacing w:line="360" w:lineRule="auto"/>
        <w:ind w:left="0" w:firstLine="720" w:firstLineChars="300"/>
        <w:rPr>
          <w:rFonts w:hint="eastAsia" w:ascii="宋体" w:hAnsi="宋体" w:eastAsia="宋体" w:cs="宋体"/>
          <w:kern w:val="2"/>
          <w:sz w:val="24"/>
          <w:szCs w:val="24"/>
        </w:rPr>
      </w:pPr>
      <w:r>
        <w:rPr>
          <w:rFonts w:hint="eastAsia" w:ascii="宋体" w:hAnsi="宋体" w:eastAsia="宋体" w:cs="宋体"/>
          <w:kern w:val="2"/>
          <w:sz w:val="24"/>
          <w:szCs w:val="24"/>
        </w:rPr>
        <w:t>项目联系人</w:t>
      </w:r>
      <w:r>
        <w:rPr>
          <w:rFonts w:hint="eastAsia" w:ascii="宋体" w:hAnsi="宋体" w:eastAsia="宋体" w:cs="宋体"/>
          <w:kern w:val="2"/>
          <w:sz w:val="24"/>
          <w:szCs w:val="24"/>
          <w:u w:val="none"/>
        </w:rPr>
        <w:t>：</w:t>
      </w:r>
      <w:r>
        <w:rPr>
          <w:rFonts w:hint="eastAsia" w:ascii="宋体" w:hAnsi="宋体" w:eastAsia="宋体" w:cs="宋体"/>
          <w:kern w:val="2"/>
          <w:sz w:val="24"/>
          <w:szCs w:val="24"/>
          <w:u w:val="single"/>
        </w:rPr>
        <w:t>蔺工、罗工  0771-2442850</w:t>
      </w:r>
    </w:p>
    <w:p>
      <w:pPr>
        <w:keepNext w:val="0"/>
        <w:keepLines w:val="0"/>
        <w:widowControl w:val="0"/>
        <w:suppressLineNumbers w:val="0"/>
        <w:spacing w:before="0" w:beforeAutospacing="0" w:after="0" w:afterAutospacing="0" w:line="360" w:lineRule="auto"/>
        <w:ind w:left="0" w:right="0" w:firstLine="720" w:firstLineChars="300"/>
        <w:jc w:val="both"/>
        <w:rPr>
          <w:rFonts w:hint="default" w:ascii="宋体" w:hAnsi="宋体" w:eastAsia="宋体" w:cs="宋体"/>
          <w:kern w:val="2"/>
          <w:sz w:val="24"/>
          <w:szCs w:val="24"/>
          <w:u w:val="single"/>
        </w:rPr>
      </w:pPr>
      <w:r>
        <w:rPr>
          <w:rFonts w:hint="eastAsia" w:ascii="宋体" w:hAnsi="宋体" w:eastAsia="宋体" w:cs="宋体"/>
          <w:kern w:val="2"/>
          <w:sz w:val="24"/>
          <w:szCs w:val="24"/>
          <w:lang w:val="en-US" w:eastAsia="zh-CN" w:bidi="ar"/>
        </w:rPr>
        <w:t>电   话：</w:t>
      </w:r>
      <w:r>
        <w:rPr>
          <w:rFonts w:hint="eastAsia" w:ascii="宋体" w:hAnsi="宋体" w:eastAsia="宋体" w:cs="宋体"/>
          <w:kern w:val="2"/>
          <w:sz w:val="24"/>
          <w:szCs w:val="24"/>
          <w:u w:val="single"/>
        </w:rPr>
        <w:t>0771-2442850</w:t>
      </w:r>
      <w:r>
        <w:rPr>
          <w:rFonts w:hint="eastAsia" w:ascii="宋体" w:hAnsi="宋体" w:eastAsia="宋体" w:cs="宋体"/>
          <w:kern w:val="2"/>
          <w:sz w:val="24"/>
          <w:szCs w:val="24"/>
          <w:u w:val="single"/>
          <w:lang w:val="en-US" w:eastAsia="zh-CN"/>
        </w:rPr>
        <w:t xml:space="preserve">  </w:t>
      </w:r>
    </w:p>
    <w:p>
      <w:pPr>
        <w:spacing w:line="480" w:lineRule="exact"/>
        <w:ind w:firstLine="480" w:firstLineChars="200"/>
        <w:jc w:val="left"/>
        <w:rPr>
          <w:rFonts w:hint="eastAsia" w:asciiTheme="majorEastAsia" w:hAnsiTheme="majorEastAsia" w:eastAsiaTheme="majorEastAsia" w:cstheme="majorEastAsia"/>
          <w:kern w:val="0"/>
          <w:sz w:val="24"/>
        </w:rPr>
      </w:pPr>
    </w:p>
    <w:p>
      <w:pPr>
        <w:spacing w:line="480" w:lineRule="exact"/>
        <w:ind w:firstLine="480" w:firstLineChars="200"/>
        <w:jc w:val="left"/>
        <w:rPr>
          <w:rFonts w:hint="default" w:asciiTheme="majorEastAsia" w:hAnsiTheme="majorEastAsia" w:eastAsiaTheme="majorEastAsia" w:cstheme="majorEastAsia"/>
          <w:kern w:val="0"/>
          <w:sz w:val="24"/>
          <w:lang w:val="en-US" w:eastAsia="zh-CN"/>
        </w:rPr>
      </w:pPr>
      <w:r>
        <w:rPr>
          <w:rFonts w:hint="eastAsia" w:asciiTheme="majorEastAsia" w:hAnsiTheme="majorEastAsia" w:eastAsiaTheme="majorEastAsia" w:cstheme="majorEastAsia"/>
          <w:kern w:val="0"/>
          <w:sz w:val="24"/>
          <w:lang w:val="en-US" w:eastAsia="zh-CN"/>
        </w:rPr>
        <w:t xml:space="preserve">                                                 发布日期：2020年7月9日  </w:t>
      </w:r>
    </w:p>
    <w:p>
      <w:pPr>
        <w:spacing w:line="480" w:lineRule="exact"/>
        <w:ind w:firstLine="480" w:firstLineChars="200"/>
        <w:jc w:val="left"/>
        <w:rPr>
          <w:rFonts w:hint="eastAsia" w:asciiTheme="majorEastAsia" w:hAnsiTheme="majorEastAsia" w:eastAsiaTheme="majorEastAsia" w:cstheme="majorEastAsia"/>
          <w:kern w:val="0"/>
          <w:sz w:val="24"/>
        </w:rPr>
      </w:pPr>
    </w:p>
    <w:p>
      <w:pPr>
        <w:rPr>
          <w:rFonts w:hint="eastAsia"/>
          <w:color w:val="auto"/>
          <w:highlight w:val="none"/>
        </w:rPr>
      </w:pPr>
      <w:bookmarkStart w:id="5" w:name="_Toc460253699"/>
      <w:bookmarkStart w:id="6" w:name="_Toc485920201"/>
      <w:bookmarkStart w:id="7" w:name="_Toc521096340"/>
      <w:bookmarkStart w:id="8" w:name="_Toc213326412"/>
      <w:bookmarkStart w:id="9" w:name="_Toc213206172"/>
      <w:bookmarkStart w:id="10" w:name="_Toc139966431"/>
      <w:bookmarkStart w:id="11" w:name="_Toc213325921"/>
      <w:bookmarkStart w:id="12" w:name="_Toc139967215"/>
    </w:p>
    <w:p>
      <w:pPr>
        <w:widowControl/>
        <w:jc w:val="center"/>
        <w:outlineLvl w:val="0"/>
        <w:rPr>
          <w:rFonts w:asciiTheme="majorEastAsia" w:hAnsiTheme="majorEastAsia" w:eastAsiaTheme="majorEastAsia" w:cstheme="majorEastAsia"/>
          <w:b/>
          <w:bCs/>
          <w:sz w:val="32"/>
          <w:szCs w:val="40"/>
        </w:rPr>
        <w:sectPr>
          <w:headerReference r:id="rId5" w:type="default"/>
          <w:footerReference r:id="rId6" w:type="default"/>
          <w:pgSz w:w="11906" w:h="16838"/>
          <w:pgMar w:top="1440" w:right="526" w:bottom="1118" w:left="1080" w:header="720" w:footer="720" w:gutter="0"/>
          <w:cols w:space="720" w:num="1"/>
          <w:docGrid w:type="lines" w:linePitch="331" w:charSpace="0"/>
        </w:sectPr>
      </w:pPr>
    </w:p>
    <w:p>
      <w:pPr>
        <w:widowControl/>
        <w:jc w:val="center"/>
        <w:outlineLvl w:val="0"/>
        <w:rPr>
          <w:rFonts w:asciiTheme="majorEastAsia" w:hAnsiTheme="majorEastAsia" w:eastAsiaTheme="majorEastAsia" w:cstheme="majorEastAsia"/>
          <w:b/>
          <w:bCs/>
          <w:caps/>
          <w:sz w:val="32"/>
          <w:szCs w:val="40"/>
        </w:rPr>
      </w:pPr>
      <w:r>
        <w:rPr>
          <w:rFonts w:hint="eastAsia" w:asciiTheme="majorEastAsia" w:hAnsiTheme="majorEastAsia" w:eastAsiaTheme="majorEastAsia" w:cstheme="majorEastAsia"/>
          <w:b/>
          <w:bCs/>
          <w:sz w:val="32"/>
          <w:szCs w:val="40"/>
        </w:rPr>
        <w:t>第二章  服务需求一览表</w:t>
      </w:r>
      <w:bookmarkEnd w:id="5"/>
      <w:bookmarkEnd w:id="6"/>
      <w:bookmarkEnd w:id="7"/>
    </w:p>
    <w:p>
      <w:pPr>
        <w:spacing w:line="360" w:lineRule="auto"/>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说明：</w:t>
      </w:r>
    </w:p>
    <w:p>
      <w:pPr>
        <w:spacing w:line="360" w:lineRule="auto"/>
        <w:ind w:firstLine="602" w:firstLineChars="250"/>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1、本服务需求一览表中标注★号的部分为实质性要求和条件。</w:t>
      </w:r>
    </w:p>
    <w:p>
      <w:pPr>
        <w:spacing w:line="360" w:lineRule="auto"/>
        <w:ind w:firstLine="600" w:firstLineChars="2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2、本服务需求一览表中内容如与第六章“合同条款及格式”相关条款不一致的，以本表为准。</w:t>
      </w:r>
    </w:p>
    <w:p>
      <w:pPr>
        <w:spacing w:line="360" w:lineRule="auto"/>
        <w:ind w:firstLine="602" w:firstLineChars="250"/>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3、本次服务采购最高限价为：人民币陆拾万元整 (￥600000.00元)</w:t>
      </w:r>
    </w:p>
    <w:bookmarkEnd w:id="8"/>
    <w:bookmarkEnd w:id="9"/>
    <w:bookmarkEnd w:id="10"/>
    <w:bookmarkEnd w:id="11"/>
    <w:bookmarkEnd w:id="12"/>
    <w:tbl>
      <w:tblPr>
        <w:tblStyle w:val="24"/>
        <w:tblW w:w="10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350"/>
        <w:gridCol w:w="937"/>
        <w:gridCol w:w="7212"/>
        <w:gridCol w:w="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285" w:hRule="atLeast"/>
        </w:trPr>
        <w:tc>
          <w:tcPr>
            <w:tcW w:w="725" w:type="dxa"/>
            <w:vAlign w:val="center"/>
          </w:tcPr>
          <w:p>
            <w:pPr>
              <w:widowControl/>
              <w:spacing w:line="360" w:lineRule="auto"/>
              <w:ind w:right="-107" w:rightChars="-51"/>
              <w:jc w:val="center"/>
              <w:rPr>
                <w:rFonts w:ascii="宋体" w:hAnsi="宋体" w:cs="宋体"/>
                <w:b/>
                <w:kern w:val="0"/>
                <w:sz w:val="24"/>
              </w:rPr>
            </w:pPr>
            <w:bookmarkStart w:id="13" w:name="_Toc485920211"/>
            <w:bookmarkStart w:id="14" w:name="_Toc213325922"/>
            <w:bookmarkStart w:id="15" w:name="_Toc460253700"/>
            <w:bookmarkStart w:id="16" w:name="_Toc213206173"/>
            <w:bookmarkStart w:id="17" w:name="_Toc213326413"/>
            <w:bookmarkStart w:id="18" w:name="_Toc139967216"/>
            <w:bookmarkStart w:id="19" w:name="_Toc139966432"/>
            <w:r>
              <w:rPr>
                <w:rFonts w:hint="eastAsia" w:ascii="宋体" w:hAnsi="宋体" w:cs="宋体"/>
                <w:b/>
                <w:kern w:val="0"/>
                <w:sz w:val="24"/>
              </w:rPr>
              <w:t>项号</w:t>
            </w:r>
          </w:p>
        </w:tc>
        <w:tc>
          <w:tcPr>
            <w:tcW w:w="1350" w:type="dxa"/>
            <w:vAlign w:val="center"/>
          </w:tcPr>
          <w:p>
            <w:pPr>
              <w:widowControl/>
              <w:spacing w:line="360" w:lineRule="auto"/>
              <w:jc w:val="center"/>
              <w:rPr>
                <w:rFonts w:ascii="宋体" w:hAnsi="宋体" w:cs="宋体"/>
                <w:b/>
                <w:kern w:val="0"/>
                <w:sz w:val="24"/>
              </w:rPr>
            </w:pPr>
            <w:r>
              <w:rPr>
                <w:rFonts w:hint="eastAsia" w:ascii="宋体" w:hAnsi="宋体" w:cs="宋体"/>
                <w:b/>
                <w:kern w:val="0"/>
                <w:sz w:val="24"/>
              </w:rPr>
              <w:t>服务名称</w:t>
            </w:r>
          </w:p>
        </w:tc>
        <w:tc>
          <w:tcPr>
            <w:tcW w:w="937" w:type="dxa"/>
            <w:vAlign w:val="center"/>
          </w:tcPr>
          <w:p>
            <w:pPr>
              <w:widowControl/>
              <w:spacing w:line="360" w:lineRule="auto"/>
              <w:jc w:val="center"/>
              <w:rPr>
                <w:rFonts w:ascii="宋体" w:hAnsi="宋体" w:cs="宋体"/>
                <w:b/>
                <w:kern w:val="0"/>
                <w:sz w:val="24"/>
              </w:rPr>
            </w:pPr>
            <w:r>
              <w:rPr>
                <w:rFonts w:hint="eastAsia" w:ascii="宋体" w:hAnsi="宋体" w:cs="宋体"/>
                <w:b/>
                <w:kern w:val="0"/>
                <w:sz w:val="24"/>
              </w:rPr>
              <w:t>数量</w:t>
            </w:r>
          </w:p>
        </w:tc>
        <w:tc>
          <w:tcPr>
            <w:tcW w:w="7212" w:type="dxa"/>
            <w:vAlign w:val="center"/>
          </w:tcPr>
          <w:p>
            <w:pPr>
              <w:widowControl/>
              <w:spacing w:line="360" w:lineRule="auto"/>
              <w:jc w:val="center"/>
              <w:rPr>
                <w:rFonts w:ascii="宋体" w:hAnsi="宋体" w:cs="宋体"/>
                <w:b/>
                <w:kern w:val="0"/>
                <w:sz w:val="24"/>
              </w:rPr>
            </w:pPr>
            <w:r>
              <w:rPr>
                <w:rFonts w:hint="eastAsia" w:ascii="宋体" w:hAnsi="宋体" w:cs="宋体"/>
                <w:b/>
                <w:kern w:val="0"/>
                <w:sz w:val="24"/>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3570" w:hRule="atLeast"/>
        </w:trPr>
        <w:tc>
          <w:tcPr>
            <w:tcW w:w="725" w:type="dxa"/>
            <w:vAlign w:val="center"/>
          </w:tcPr>
          <w:p>
            <w:pPr>
              <w:spacing w:line="500" w:lineRule="exact"/>
              <w:jc w:val="center"/>
              <w:rPr>
                <w:rFonts w:ascii="宋体" w:hAnsi="宋体" w:cs="宋体"/>
                <w:kern w:val="0"/>
                <w:sz w:val="24"/>
              </w:rPr>
            </w:pPr>
            <w:r>
              <w:rPr>
                <w:rFonts w:cs="Arial" w:asciiTheme="minorEastAsia" w:hAnsiTheme="minorEastAsia" w:eastAsiaTheme="minorEastAsia"/>
                <w:bCs/>
                <w:kern w:val="0"/>
                <w:sz w:val="24"/>
              </w:rPr>
              <w:t>1</w:t>
            </w:r>
          </w:p>
        </w:tc>
        <w:tc>
          <w:tcPr>
            <w:tcW w:w="1350" w:type="dxa"/>
            <w:vAlign w:val="center"/>
          </w:tcPr>
          <w:p>
            <w:pPr>
              <w:spacing w:line="500" w:lineRule="exact"/>
              <w:rPr>
                <w:rFonts w:ascii="宋体" w:hAnsi="宋体" w:cs="宋体" w:eastAsiaTheme="minorEastAsia"/>
                <w:kern w:val="0"/>
                <w:sz w:val="24"/>
              </w:rPr>
            </w:pPr>
            <w:r>
              <w:rPr>
                <w:rFonts w:hint="eastAsia" w:cs="Arial" w:asciiTheme="minorEastAsia" w:hAnsiTheme="minorEastAsia" w:eastAsiaTheme="minorEastAsia"/>
                <w:bCs/>
                <w:kern w:val="0"/>
                <w:sz w:val="24"/>
              </w:rPr>
              <w:t>第九届中国创新创业大赛广西赛区南宁市选拔赛暨第五届南宁市创新创业大赛服务</w:t>
            </w:r>
          </w:p>
        </w:tc>
        <w:tc>
          <w:tcPr>
            <w:tcW w:w="937" w:type="dxa"/>
            <w:vAlign w:val="center"/>
          </w:tcPr>
          <w:p>
            <w:pPr>
              <w:spacing w:line="500" w:lineRule="exact"/>
              <w:ind w:firstLine="240" w:firstLineChars="100"/>
              <w:rPr>
                <w:rFonts w:ascii="宋体" w:hAnsi="宋体" w:cs="宋体"/>
                <w:kern w:val="0"/>
                <w:sz w:val="24"/>
              </w:rPr>
            </w:pPr>
            <w:r>
              <w:rPr>
                <w:rFonts w:cs="Arial" w:asciiTheme="minorEastAsia" w:hAnsiTheme="minorEastAsia" w:eastAsiaTheme="minorEastAsia"/>
                <w:bCs/>
                <w:kern w:val="0"/>
                <w:sz w:val="24"/>
              </w:rPr>
              <w:t>1</w:t>
            </w:r>
            <w:r>
              <w:rPr>
                <w:rFonts w:hint="eastAsia" w:cs="Arial" w:asciiTheme="minorEastAsia" w:hAnsiTheme="minorEastAsia" w:eastAsiaTheme="minorEastAsia"/>
                <w:bCs/>
                <w:kern w:val="0"/>
                <w:sz w:val="24"/>
              </w:rPr>
              <w:t>项</w:t>
            </w:r>
          </w:p>
        </w:tc>
        <w:tc>
          <w:tcPr>
            <w:tcW w:w="7212" w:type="dxa"/>
            <w:vAlign w:val="center"/>
          </w:tcPr>
          <w:p>
            <w:pPr>
              <w:keepNext/>
              <w:keepLines/>
              <w:widowControl/>
              <w:numPr>
                <w:ilvl w:val="1"/>
                <w:numId w:val="0"/>
              </w:numPr>
              <w:autoSpaceDE w:val="0"/>
              <w:autoSpaceDN w:val="0"/>
              <w:adjustRightInd w:val="0"/>
              <w:snapToGrid w:val="0"/>
              <w:spacing w:line="500" w:lineRule="exact"/>
              <w:ind w:firstLine="480" w:firstLineChars="200"/>
              <w:jc w:val="left"/>
              <w:outlineLvl w:val="1"/>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本项目采购服务内容为结合南宁市科学技术局、南宁市良庆区科学技术局提供的《</w:t>
            </w:r>
            <w:r>
              <w:rPr>
                <w:rFonts w:hint="eastAsia" w:asciiTheme="minorEastAsia" w:hAnsiTheme="minorEastAsia" w:eastAsiaTheme="minorEastAsia"/>
                <w:sz w:val="24"/>
              </w:rPr>
              <w:t>第九届中国创新创业大赛广西赛区南宁市选拔赛暨第五届南宁市创新创业大赛服务</w:t>
            </w:r>
            <w:r>
              <w:rPr>
                <w:rFonts w:hint="eastAsia" w:asciiTheme="majorEastAsia" w:hAnsiTheme="majorEastAsia" w:eastAsiaTheme="majorEastAsia" w:cstheme="minorEastAsia"/>
                <w:sz w:val="24"/>
              </w:rPr>
              <w:t>工作方案》，制定详细的实施方案和细则并组织实施。具体要求如下：</w:t>
            </w:r>
          </w:p>
          <w:p>
            <w:pPr>
              <w:keepNext/>
              <w:keepLines/>
              <w:widowControl/>
              <w:autoSpaceDE w:val="0"/>
              <w:autoSpaceDN w:val="0"/>
              <w:adjustRightInd w:val="0"/>
              <w:snapToGrid w:val="0"/>
              <w:spacing w:line="500" w:lineRule="exact"/>
              <w:ind w:firstLine="480"/>
              <w:jc w:val="left"/>
              <w:outlineLvl w:val="1"/>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一、组织企业报名参加大赛，南宁市报名参赛企业数不低于300家，未达到300家的，南宁市良庆区科学技术局在最终核定供应商服务费用时，每少10家扣除1万元服务费。</w:t>
            </w:r>
          </w:p>
          <w:p>
            <w:pPr>
              <w:keepNext/>
              <w:keepLines/>
              <w:widowControl/>
              <w:autoSpaceDE w:val="0"/>
              <w:autoSpaceDN w:val="0"/>
              <w:adjustRightInd w:val="0"/>
              <w:snapToGrid w:val="0"/>
              <w:spacing w:line="500" w:lineRule="exact"/>
              <w:ind w:firstLine="480"/>
              <w:jc w:val="left"/>
              <w:outlineLvl w:val="1"/>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 xml:space="preserve">二、开展赛事宣传，制作15秒、2分钟大赛宣传短片各不少于1部；通过中央、自治区、南宁市新闻媒体及网络媒体，开展大赛专题宣传不低于5场，各类宣传报道不少于60篇；积极争取在机场、公交地铁、商业集中区等开展大赛宣传；合作媒体数不低于15家。 </w:t>
            </w:r>
          </w:p>
          <w:p>
            <w:pPr>
              <w:keepNext/>
              <w:keepLines/>
              <w:widowControl/>
              <w:autoSpaceDE w:val="0"/>
              <w:autoSpaceDN w:val="0"/>
              <w:adjustRightInd w:val="0"/>
              <w:snapToGrid w:val="0"/>
              <w:spacing w:line="500" w:lineRule="exact"/>
              <w:ind w:firstLine="480"/>
              <w:jc w:val="left"/>
              <w:outlineLvl w:val="1"/>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 xml:space="preserve">三、开展大赛大规模培训2场以上，小型或专题性培训若干，针对优秀企业开展专题辅导；邀请基金等投融资机构相关人员担任本届大赛合作创业导师，不低于20人；组织专业人士为参赛企业打磨商业计划书，不少于40家次。 </w:t>
            </w:r>
          </w:p>
          <w:p>
            <w:pPr>
              <w:keepNext/>
              <w:keepLines/>
              <w:widowControl/>
              <w:autoSpaceDE w:val="0"/>
              <w:autoSpaceDN w:val="0"/>
              <w:adjustRightInd w:val="0"/>
              <w:snapToGrid w:val="0"/>
              <w:spacing w:line="500" w:lineRule="exact"/>
              <w:ind w:firstLine="480"/>
              <w:jc w:val="left"/>
              <w:outlineLvl w:val="1"/>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四、协助主办方开展参赛资格审查，组织大赛初赛。</w:t>
            </w:r>
          </w:p>
          <w:p>
            <w:pPr>
              <w:keepNext/>
              <w:keepLines/>
              <w:widowControl/>
              <w:autoSpaceDE w:val="0"/>
              <w:autoSpaceDN w:val="0"/>
              <w:adjustRightInd w:val="0"/>
              <w:snapToGrid w:val="0"/>
              <w:spacing w:line="500" w:lineRule="exact"/>
              <w:ind w:firstLine="480"/>
              <w:jc w:val="left"/>
              <w:outlineLvl w:val="1"/>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五、组织大赛复赛、决赛。</w:t>
            </w:r>
          </w:p>
          <w:p>
            <w:pPr>
              <w:keepNext/>
              <w:keepLines/>
              <w:widowControl/>
              <w:autoSpaceDE w:val="0"/>
              <w:autoSpaceDN w:val="0"/>
              <w:adjustRightInd w:val="0"/>
              <w:snapToGrid w:val="0"/>
              <w:spacing w:line="500" w:lineRule="exact"/>
              <w:ind w:firstLine="480"/>
              <w:jc w:val="left"/>
              <w:outlineLvl w:val="1"/>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六、开展赛后服务，协助主办方制定实施企业后续服务方案、落实政策等。</w:t>
            </w:r>
          </w:p>
          <w:p>
            <w:pPr>
              <w:keepNext/>
              <w:keepLines/>
              <w:widowControl/>
              <w:autoSpaceDE w:val="0"/>
              <w:autoSpaceDN w:val="0"/>
              <w:adjustRightInd w:val="0"/>
              <w:snapToGrid w:val="0"/>
              <w:spacing w:line="500" w:lineRule="exact"/>
              <w:ind w:firstLine="480"/>
              <w:jc w:val="left"/>
              <w:outlineLvl w:val="1"/>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七、其他，包括大赛嘉宾及其他参赛人员接待服务，协助主办方邀请大赛合作基金、银行、融资担保公司等金融机构，数量不低于20家 ，落实主办方安排的其他相关工作等；</w:t>
            </w:r>
          </w:p>
          <w:p>
            <w:pPr>
              <w:keepNext/>
              <w:keepLines/>
              <w:widowControl/>
              <w:autoSpaceDE w:val="0"/>
              <w:autoSpaceDN w:val="0"/>
              <w:adjustRightInd w:val="0"/>
              <w:snapToGrid w:val="0"/>
              <w:spacing w:line="500" w:lineRule="exact"/>
              <w:ind w:firstLine="480"/>
              <w:jc w:val="left"/>
              <w:outlineLvl w:val="1"/>
              <w:rPr>
                <w:rFonts w:hAnsi="宋体" w:cs="宋体"/>
                <w:sz w:val="24"/>
              </w:rPr>
            </w:pPr>
            <w:r>
              <w:rPr>
                <w:rFonts w:hint="eastAsia" w:asciiTheme="majorEastAsia" w:hAnsiTheme="majorEastAsia" w:eastAsiaTheme="majorEastAsia" w:cstheme="minorEastAsia"/>
                <w:sz w:val="24"/>
              </w:rPr>
              <w:t>八、供应商必须按照南宁市良庆区科学技术局提供活动方案的时间节点和指标筹备和实施大赛，如因供应商原因未按照时间节点开展工作的，南宁市良庆区科学技术局可以视造成后果轻重，从供应商服务费中扣除5-10%的费用。</w:t>
            </w:r>
          </w:p>
          <w:p>
            <w:pPr>
              <w:autoSpaceDE w:val="0"/>
              <w:autoSpaceDN w:val="0"/>
              <w:adjustRightInd w:val="0"/>
              <w:spacing w:line="500" w:lineRule="exact"/>
              <w:ind w:firstLine="480" w:firstLineChars="200"/>
              <w:rPr>
                <w:rFonts w:asciiTheme="majorEastAsia" w:hAnsiTheme="majorEastAsia" w:eastAsiaTheme="majorEastAsia" w:cstheme="minorEastAsia"/>
                <w:bCs/>
                <w:sz w:val="24"/>
              </w:rPr>
            </w:pPr>
            <w:r>
              <w:rPr>
                <w:rFonts w:hint="eastAsia" w:asciiTheme="majorEastAsia" w:hAnsiTheme="majorEastAsia" w:eastAsiaTheme="majorEastAsia" w:cstheme="minorEastAsia"/>
                <w:bCs/>
                <w:sz w:val="24"/>
              </w:rPr>
              <w:t>附件：</w:t>
            </w:r>
            <w:r>
              <w:rPr>
                <w:rFonts w:hint="eastAsia" w:hAnsi="宋体" w:cs="宋体"/>
                <w:bCs/>
                <w:sz w:val="24"/>
              </w:rPr>
              <w:t>《第九届中国创新创业大赛广西赛区南宁市选拔赛暨第五届南宁市创新创业大赛工作方案》</w:t>
            </w:r>
          </w:p>
          <w:p>
            <w:pPr>
              <w:autoSpaceDE w:val="0"/>
              <w:autoSpaceDN w:val="0"/>
              <w:adjustRightInd w:val="0"/>
              <w:spacing w:line="500" w:lineRule="exact"/>
              <w:ind w:firstLine="480" w:firstLineChars="200"/>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为深入实施创新驱动发展战略，进一步推进大众创新万众创业，根据《科技部关于举办第九届中国创新创业大赛的通知》(国科发火〔2020〕137号)）、《自治区科技厅关于举办第九届中国创新创业大赛广西赛区暨2020年广西创新创业大赛的通知》(桂科高字〔2020〕75号)文件精神，南宁市决定举办</w:t>
            </w:r>
            <w:r>
              <w:rPr>
                <w:rFonts w:hint="eastAsia" w:asciiTheme="minorEastAsia" w:hAnsiTheme="minorEastAsia" w:eastAsiaTheme="minorEastAsia"/>
                <w:sz w:val="24"/>
              </w:rPr>
              <w:t>第九届中国创新创业大赛广西赛区南宁市选拔赛暨第五届南宁市创新创业大赛服务</w:t>
            </w:r>
            <w:r>
              <w:rPr>
                <w:rFonts w:hint="eastAsia" w:asciiTheme="majorEastAsia" w:hAnsiTheme="majorEastAsia" w:eastAsiaTheme="majorEastAsia" w:cstheme="minorEastAsia"/>
                <w:sz w:val="24"/>
              </w:rPr>
              <w:t>(以下简称大赛)。为做好大赛的相关组织工作，特制定方案如下：</w:t>
            </w:r>
          </w:p>
          <w:p>
            <w:pPr>
              <w:autoSpaceDE w:val="0"/>
              <w:autoSpaceDN w:val="0"/>
              <w:adjustRightInd w:val="0"/>
              <w:spacing w:line="500" w:lineRule="exact"/>
              <w:ind w:firstLine="480" w:firstLineChars="200"/>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一、大赛目的</w:t>
            </w:r>
          </w:p>
          <w:p>
            <w:pPr>
              <w:autoSpaceDE w:val="0"/>
              <w:autoSpaceDN w:val="0"/>
              <w:adjustRightInd w:val="0"/>
              <w:spacing w:line="500" w:lineRule="exact"/>
              <w:ind w:firstLine="480" w:firstLineChars="200"/>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聚集和整合创新创业资源，搭建创新创业的众扶平台，引导社会各界力量支持南宁创新创业，扶持中小微企业创新发展，激发全民创新创业的热情，促进大众创业万众创新上水平，打造推动南宁经济高质量发展的强劲引擎。</w:t>
            </w:r>
          </w:p>
          <w:p>
            <w:pPr>
              <w:autoSpaceDE w:val="0"/>
              <w:autoSpaceDN w:val="0"/>
              <w:adjustRightInd w:val="0"/>
              <w:spacing w:line="500" w:lineRule="exact"/>
              <w:ind w:firstLine="480" w:firstLineChars="200"/>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二、大赛时间</w:t>
            </w:r>
          </w:p>
          <w:p>
            <w:pPr>
              <w:autoSpaceDE w:val="0"/>
              <w:autoSpaceDN w:val="0"/>
              <w:adjustRightInd w:val="0"/>
              <w:spacing w:line="500" w:lineRule="exact"/>
              <w:ind w:firstLine="480" w:firstLineChars="200"/>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2020年6月—9月。</w:t>
            </w:r>
          </w:p>
          <w:p>
            <w:pPr>
              <w:autoSpaceDE w:val="0"/>
              <w:autoSpaceDN w:val="0"/>
              <w:adjustRightInd w:val="0"/>
              <w:spacing w:line="500" w:lineRule="exact"/>
              <w:ind w:firstLine="480" w:firstLineChars="200"/>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三、组织机构</w:t>
            </w:r>
          </w:p>
          <w:p>
            <w:pPr>
              <w:autoSpaceDE w:val="0"/>
              <w:autoSpaceDN w:val="0"/>
              <w:adjustRightInd w:val="0"/>
              <w:spacing w:line="500" w:lineRule="exact"/>
              <w:ind w:firstLine="480" w:firstLineChars="200"/>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（一）主办单位：南宁市科学技术局、良庆区人民政府。</w:t>
            </w:r>
          </w:p>
          <w:p>
            <w:pPr>
              <w:autoSpaceDE w:val="0"/>
              <w:autoSpaceDN w:val="0"/>
              <w:adjustRightInd w:val="0"/>
              <w:spacing w:line="500" w:lineRule="exact"/>
              <w:ind w:firstLine="480" w:firstLineChars="200"/>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（二）支持单位：中共南宁市委宣传部、南宁市发展改革委、南宁市工业和信息化局、南宁市财政局、南宁市人力资源和社会保障局、南宁市商务局、共青团南宁市委员会。</w:t>
            </w:r>
          </w:p>
          <w:p>
            <w:pPr>
              <w:autoSpaceDE w:val="0"/>
              <w:autoSpaceDN w:val="0"/>
              <w:adjustRightInd w:val="0"/>
              <w:spacing w:line="500" w:lineRule="exact"/>
              <w:ind w:firstLine="480" w:firstLineChars="200"/>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（三）协办单位: 南宁市各县（区）科技部门、各开发区经发局，驻邕有关高校、科研院所、创新创业载体和媒体。</w:t>
            </w:r>
          </w:p>
          <w:p>
            <w:pPr>
              <w:autoSpaceDE w:val="0"/>
              <w:autoSpaceDN w:val="0"/>
              <w:adjustRightInd w:val="0"/>
              <w:spacing w:line="500" w:lineRule="exact"/>
              <w:ind w:firstLine="480" w:firstLineChars="200"/>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（四）合作金融机构：广西国厚资产管理有限公司、柳州市容易海达投资管理有限公司、南宁金融投资集团有限责任公司等。</w:t>
            </w:r>
          </w:p>
          <w:p>
            <w:pPr>
              <w:autoSpaceDE w:val="0"/>
              <w:autoSpaceDN w:val="0"/>
              <w:adjustRightInd w:val="0"/>
              <w:spacing w:line="500" w:lineRule="exact"/>
              <w:ind w:firstLine="480" w:firstLineChars="200"/>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（五）大赛组委会和工作小组。大赛组委会由主办单位、承办单位、支持单位和协办单位共同组成。大赛组委会下设工作小组，工作小组主要由执行单位组建，负责大赛各项工作的具体执行。</w:t>
            </w:r>
          </w:p>
          <w:p>
            <w:pPr>
              <w:autoSpaceDE w:val="0"/>
              <w:autoSpaceDN w:val="0"/>
              <w:adjustRightInd w:val="0"/>
              <w:spacing w:line="500" w:lineRule="exact"/>
              <w:ind w:firstLine="480" w:firstLineChars="200"/>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四、参赛条件</w:t>
            </w:r>
          </w:p>
          <w:p>
            <w:pPr>
              <w:autoSpaceDE w:val="0"/>
              <w:autoSpaceDN w:val="0"/>
              <w:adjustRightInd w:val="0"/>
              <w:spacing w:line="500" w:lineRule="exact"/>
              <w:ind w:firstLine="480" w:firstLineChars="200"/>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（一）企业具有创新能力和高成长潜力，主要从事高新技术产品研发、制造、服务等业务，拥有知识产权且无产权纠纷。</w:t>
            </w:r>
          </w:p>
          <w:p>
            <w:pPr>
              <w:autoSpaceDE w:val="0"/>
              <w:autoSpaceDN w:val="0"/>
              <w:adjustRightInd w:val="0"/>
              <w:spacing w:line="500" w:lineRule="exact"/>
              <w:ind w:firstLine="480" w:firstLineChars="200"/>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（二）企业经营规范、社会信誉良好、无不良记录，且为非上市企业。</w:t>
            </w:r>
          </w:p>
          <w:p>
            <w:pPr>
              <w:autoSpaceDE w:val="0"/>
              <w:autoSpaceDN w:val="0"/>
              <w:adjustRightInd w:val="0"/>
              <w:spacing w:line="500" w:lineRule="exact"/>
              <w:ind w:firstLine="480" w:firstLineChars="200"/>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（三）企业2019年营业收入不超过2亿元人民币。</w:t>
            </w:r>
          </w:p>
          <w:p>
            <w:pPr>
              <w:autoSpaceDE w:val="0"/>
              <w:autoSpaceDN w:val="0"/>
              <w:adjustRightInd w:val="0"/>
              <w:spacing w:line="500" w:lineRule="exact"/>
              <w:ind w:firstLine="480" w:firstLineChars="200"/>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（四）成长企业组、初创企业组参赛企业工商注册成立时间应分别在2010年1月1日（含）以后、2019年1月1日（含）以后。</w:t>
            </w:r>
          </w:p>
          <w:p>
            <w:pPr>
              <w:wordWrap w:val="0"/>
              <w:autoSpaceDE w:val="0"/>
              <w:autoSpaceDN w:val="0"/>
              <w:adjustRightInd w:val="0"/>
              <w:spacing w:line="500" w:lineRule="exact"/>
              <w:ind w:firstLine="480" w:firstLineChars="200"/>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（五）入围全国行业总决赛的成长企业组企业，必须获得2020年科技型中小企业的入库登记编号（登记网址：www.innofund.gov.cn）; 对初创组企业不作此项要求。</w:t>
            </w:r>
          </w:p>
          <w:p>
            <w:pPr>
              <w:autoSpaceDE w:val="0"/>
              <w:autoSpaceDN w:val="0"/>
              <w:adjustRightInd w:val="0"/>
              <w:spacing w:line="500" w:lineRule="exact"/>
              <w:ind w:firstLine="480" w:firstLineChars="200"/>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（六）前八届大赛全国总决赛或全国行业总决赛获得一二三名或一二三等奖的企业不得参加本届大赛。</w:t>
            </w:r>
          </w:p>
          <w:p>
            <w:pPr>
              <w:autoSpaceDE w:val="0"/>
              <w:autoSpaceDN w:val="0"/>
              <w:adjustRightInd w:val="0"/>
              <w:spacing w:line="500" w:lineRule="exact"/>
              <w:ind w:firstLine="480" w:firstLineChars="200"/>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五、比赛安排</w:t>
            </w:r>
          </w:p>
          <w:p>
            <w:pPr>
              <w:autoSpaceDE w:val="0"/>
              <w:autoSpaceDN w:val="0"/>
              <w:adjustRightInd w:val="0"/>
              <w:spacing w:line="500" w:lineRule="exact"/>
              <w:ind w:firstLine="480" w:firstLineChars="200"/>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本次大赛作为第</w:t>
            </w:r>
            <w:r>
              <w:rPr>
                <w:rFonts w:hint="eastAsia" w:asciiTheme="minorEastAsia" w:hAnsiTheme="minorEastAsia" w:eastAsiaTheme="minorEastAsia"/>
                <w:sz w:val="24"/>
              </w:rPr>
              <w:t>九</w:t>
            </w:r>
            <w:r>
              <w:rPr>
                <w:rFonts w:hint="eastAsia" w:asciiTheme="majorEastAsia" w:hAnsiTheme="majorEastAsia" w:eastAsiaTheme="majorEastAsia" w:cstheme="minorEastAsia"/>
                <w:sz w:val="24"/>
              </w:rPr>
              <w:t>届中国创新创业大赛广西赛区南宁市选拔赛，与全国大赛无缝对接。南宁大赛包括初赛、复赛、决赛等环节，按照初创企业组和成长企业组分别评审出一、二、三等奖和优秀企业奖。进入南宁市复赛及决赛的企业，根据广西赛区组委会分配的晋级名额，按分数高低推选进入第</w:t>
            </w:r>
            <w:r>
              <w:rPr>
                <w:rFonts w:hint="eastAsia" w:asciiTheme="minorEastAsia" w:hAnsiTheme="minorEastAsia" w:eastAsiaTheme="minorEastAsia"/>
                <w:sz w:val="24"/>
              </w:rPr>
              <w:t>九</w:t>
            </w:r>
            <w:r>
              <w:rPr>
                <w:rFonts w:hint="eastAsia" w:asciiTheme="majorEastAsia" w:hAnsiTheme="majorEastAsia" w:eastAsiaTheme="majorEastAsia" w:cstheme="minorEastAsia"/>
                <w:sz w:val="24"/>
              </w:rPr>
              <w:t>届中国创新创业大赛广西赛区复赛。广西赛区复赛成绩优异的企业，由广西赛区组委会推荐参加全国大赛。</w:t>
            </w:r>
          </w:p>
          <w:p>
            <w:pPr>
              <w:autoSpaceDE w:val="0"/>
              <w:autoSpaceDN w:val="0"/>
              <w:adjustRightInd w:val="0"/>
              <w:spacing w:line="500" w:lineRule="exact"/>
              <w:ind w:firstLine="480" w:firstLineChars="200"/>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一）组织报名（2020年7月31日前）。市直有关部门和县区科技部门、开发区经发局应面向高校、科研院所、科技企业孵化器、众创空间、创业孵化示范基地、青年创业孵化基地、青年筑梦空间、电商小镇等载体和高新技</w:t>
            </w:r>
            <w:r>
              <w:rPr>
                <w:rFonts w:hint="eastAsia" w:asciiTheme="majorEastAsia" w:hAnsiTheme="majorEastAsia" w:eastAsiaTheme="majorEastAsia" w:cstheme="minorEastAsia"/>
                <w:color w:val="auto"/>
                <w:sz w:val="24"/>
              </w:rPr>
              <w:t>术企业、瞪羚企业等</w:t>
            </w:r>
            <w:r>
              <w:rPr>
                <w:rFonts w:hint="eastAsia" w:asciiTheme="majorEastAsia" w:hAnsiTheme="majorEastAsia" w:eastAsiaTheme="majorEastAsia" w:cstheme="minorEastAsia"/>
                <w:sz w:val="24"/>
              </w:rPr>
              <w:t>重点创新企业，发动、组织企业和人才参赛。报名参赛须2020年7月24日前登录中国创新创业大赛唯一报名渠道www.cxcyds.com进行注册和身份认证，在7月31日前提交完整报名资料，并对资料准确性和真实性负责。</w:t>
            </w:r>
          </w:p>
          <w:p>
            <w:pPr>
              <w:autoSpaceDE w:val="0"/>
              <w:autoSpaceDN w:val="0"/>
              <w:adjustRightInd w:val="0"/>
              <w:spacing w:line="500" w:lineRule="exact"/>
              <w:ind w:firstLine="480" w:firstLineChars="200"/>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二）赛事宣传与培训（2020年7月）。组织媒体对大赛进行宣传报道，制作发放视频、宣传折页等宣传资料，营造良好大赛氛围。分别在启动报名阶段、复赛前、决赛前，组织专家面向创新创业平台、高校科研院所和参赛企业集中的区域进行宣讲和培训。决赛前组织经验丰富的创业导师进行一对一辅导、路演实战模拟。</w:t>
            </w:r>
          </w:p>
          <w:p>
            <w:pPr>
              <w:autoSpaceDE w:val="0"/>
              <w:autoSpaceDN w:val="0"/>
              <w:adjustRightInd w:val="0"/>
              <w:spacing w:line="500" w:lineRule="exact"/>
              <w:ind w:firstLine="480" w:firstLineChars="200"/>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（三）参赛资格确认（2020年8月2日前）。由大赛执行单位牵头负责南宁市企业报名材料的形式审查，对符合参赛条件且提交报名材料完整的企业确认参赛资格，对暂不符合要求的企业一次性告知补正材料。</w:t>
            </w:r>
          </w:p>
          <w:p>
            <w:pPr>
              <w:autoSpaceDE w:val="0"/>
              <w:autoSpaceDN w:val="0"/>
              <w:adjustRightInd w:val="0"/>
              <w:spacing w:line="500" w:lineRule="exact"/>
              <w:ind w:firstLine="480" w:firstLineChars="200"/>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（四）南宁大赛初赛（2020</w:t>
            </w:r>
            <w:r>
              <w:rPr>
                <w:rFonts w:asciiTheme="majorEastAsia" w:hAnsiTheme="majorEastAsia" w:eastAsiaTheme="majorEastAsia" w:cstheme="minorEastAsia"/>
                <w:sz w:val="24"/>
              </w:rPr>
              <w:t>年</w:t>
            </w:r>
            <w:r>
              <w:rPr>
                <w:rFonts w:hint="eastAsia" w:asciiTheme="majorEastAsia" w:hAnsiTheme="majorEastAsia" w:eastAsiaTheme="majorEastAsia" w:cstheme="minorEastAsia"/>
                <w:sz w:val="24"/>
              </w:rPr>
              <w:t>8</w:t>
            </w:r>
            <w:r>
              <w:rPr>
                <w:rFonts w:asciiTheme="majorEastAsia" w:hAnsiTheme="majorEastAsia" w:eastAsiaTheme="majorEastAsia" w:cstheme="minorEastAsia"/>
                <w:sz w:val="24"/>
              </w:rPr>
              <w:t>月</w:t>
            </w:r>
            <w:r>
              <w:rPr>
                <w:rFonts w:hint="eastAsia" w:asciiTheme="majorEastAsia" w:hAnsiTheme="majorEastAsia" w:eastAsiaTheme="majorEastAsia" w:cstheme="minorEastAsia"/>
                <w:sz w:val="24"/>
              </w:rPr>
              <w:t>3</w:t>
            </w:r>
            <w:r>
              <w:rPr>
                <w:rFonts w:asciiTheme="majorEastAsia" w:hAnsiTheme="majorEastAsia" w:eastAsiaTheme="majorEastAsia" w:cstheme="minorEastAsia"/>
                <w:sz w:val="24"/>
              </w:rPr>
              <w:t>—</w:t>
            </w:r>
            <w:r>
              <w:rPr>
                <w:rFonts w:hint="eastAsia" w:asciiTheme="majorEastAsia" w:hAnsiTheme="majorEastAsia" w:eastAsiaTheme="majorEastAsia" w:cstheme="minorEastAsia"/>
                <w:sz w:val="24"/>
              </w:rPr>
              <w:t>9</w:t>
            </w:r>
            <w:r>
              <w:rPr>
                <w:rFonts w:asciiTheme="majorEastAsia" w:hAnsiTheme="majorEastAsia" w:eastAsiaTheme="majorEastAsia" w:cstheme="minorEastAsia"/>
                <w:sz w:val="24"/>
              </w:rPr>
              <w:t>日</w:t>
            </w:r>
            <w:r>
              <w:rPr>
                <w:rFonts w:hint="eastAsia" w:asciiTheme="majorEastAsia" w:hAnsiTheme="majorEastAsia" w:eastAsiaTheme="majorEastAsia" w:cstheme="minorEastAsia"/>
                <w:sz w:val="24"/>
              </w:rPr>
              <w:t>中安排1-2天）。结合南宁市报名情况，参照中国创新创业大赛规则分为新一代信息技术、生物、高端装备制造、新材料、新能源（含新能源汽车）、节能环保“六大”行业组进行初赛评审。每个行业组安排科技专家3名、专业投资人2名集中进行材料评审。原则上初创企业组、成长企业组按照40%的晋级率选拔入围复赛企业。</w:t>
            </w:r>
          </w:p>
          <w:p>
            <w:pPr>
              <w:autoSpaceDE w:val="0"/>
              <w:autoSpaceDN w:val="0"/>
              <w:adjustRightInd w:val="0"/>
              <w:spacing w:line="500" w:lineRule="exact"/>
              <w:ind w:firstLine="480" w:firstLineChars="200"/>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（五）南宁大赛复赛（2020</w:t>
            </w:r>
            <w:r>
              <w:rPr>
                <w:rFonts w:asciiTheme="majorEastAsia" w:hAnsiTheme="majorEastAsia" w:eastAsiaTheme="majorEastAsia" w:cstheme="minorEastAsia"/>
                <w:sz w:val="24"/>
              </w:rPr>
              <w:t>年</w:t>
            </w:r>
            <w:r>
              <w:rPr>
                <w:rFonts w:hint="eastAsia" w:asciiTheme="majorEastAsia" w:hAnsiTheme="majorEastAsia" w:eastAsiaTheme="majorEastAsia" w:cstheme="minorEastAsia"/>
                <w:sz w:val="24"/>
              </w:rPr>
              <w:t>8</w:t>
            </w:r>
            <w:r>
              <w:rPr>
                <w:rFonts w:asciiTheme="majorEastAsia" w:hAnsiTheme="majorEastAsia" w:eastAsiaTheme="majorEastAsia" w:cstheme="minorEastAsia"/>
                <w:sz w:val="24"/>
              </w:rPr>
              <w:t>月</w:t>
            </w:r>
            <w:r>
              <w:rPr>
                <w:rFonts w:hint="eastAsia" w:asciiTheme="majorEastAsia" w:hAnsiTheme="majorEastAsia" w:eastAsiaTheme="majorEastAsia" w:cstheme="minorEastAsia"/>
                <w:sz w:val="24"/>
              </w:rPr>
              <w:t>11日</w:t>
            </w:r>
            <w:r>
              <w:rPr>
                <w:rFonts w:asciiTheme="majorEastAsia" w:hAnsiTheme="majorEastAsia" w:eastAsiaTheme="majorEastAsia" w:cstheme="minorEastAsia"/>
                <w:sz w:val="24"/>
              </w:rPr>
              <w:t>—</w:t>
            </w:r>
            <w:r>
              <w:rPr>
                <w:rFonts w:hint="eastAsia" w:asciiTheme="majorEastAsia" w:hAnsiTheme="majorEastAsia" w:eastAsiaTheme="majorEastAsia" w:cstheme="minorEastAsia"/>
                <w:sz w:val="24"/>
              </w:rPr>
              <w:t>13</w:t>
            </w:r>
            <w:r>
              <w:rPr>
                <w:rFonts w:asciiTheme="majorEastAsia" w:hAnsiTheme="majorEastAsia" w:eastAsiaTheme="majorEastAsia" w:cstheme="minorEastAsia"/>
                <w:sz w:val="24"/>
              </w:rPr>
              <w:t>日</w:t>
            </w:r>
            <w:r>
              <w:rPr>
                <w:rFonts w:hint="eastAsia" w:asciiTheme="majorEastAsia" w:hAnsiTheme="majorEastAsia" w:eastAsiaTheme="majorEastAsia" w:cstheme="minorEastAsia"/>
                <w:sz w:val="24"/>
              </w:rPr>
              <w:t>）。入围产业复赛的企业按照①新一代信息技术、②生物、③高端装备制造、④新材料、⑤新能源（含新能源汽车）、⑥节能环保等六个产业领域分别组织六场产业复赛，每场复赛分为初创企业组、成长企业组，采用“8+7”互动答辩模式（即参赛企业自我展示8分钟，评委点评问答7分钟）进行评审。大赛组委会将根据广西赛区组委会分配的晋级名额、入围各产业复赛的企业数及比赛进展情况，按照产业复赛成绩、尽职调查情况统筹分配各产业复赛入围广西赛区产业复赛及南宁市决赛（共24家企业，包含初创企业组12家、成长企业组12家）的名额。每场产业复赛评委由专业投资人3名、科技专家2名组成，统一负责初创企业组合成长企业组的评审。大赛组委会将统筹安排对本市拟推荐晋级广西赛区产业复赛的企业进行尽职调查。对尽职调查中发现存在弄虚作假、违规评审情况的企业，取消晋级广西赛区产业复赛及南宁市决赛资格。不接受尽职调查的企业视为退赛。评审晋级广西赛区产业复赛及南宁市决赛的企业，在通过大赛组委会公示之后方可参加下一环节比赛，未通过的将取消参赛资格。受疫情影响，本次大赛的产业复赛现场不再对外开放，感兴趣的观众可以通过线上直播观摩。</w:t>
            </w:r>
          </w:p>
          <w:p>
            <w:pPr>
              <w:autoSpaceDE w:val="0"/>
              <w:autoSpaceDN w:val="0"/>
              <w:adjustRightInd w:val="0"/>
              <w:spacing w:line="500" w:lineRule="exact"/>
              <w:ind w:firstLine="480" w:firstLineChars="200"/>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（六）南宁大赛决赛（2020</w:t>
            </w:r>
            <w:r>
              <w:rPr>
                <w:rFonts w:asciiTheme="majorEastAsia" w:hAnsiTheme="majorEastAsia" w:eastAsiaTheme="majorEastAsia" w:cstheme="minorEastAsia"/>
                <w:sz w:val="24"/>
              </w:rPr>
              <w:t>年</w:t>
            </w:r>
            <w:r>
              <w:rPr>
                <w:rFonts w:hint="eastAsia" w:asciiTheme="majorEastAsia" w:hAnsiTheme="majorEastAsia" w:eastAsiaTheme="majorEastAsia" w:cstheme="minorEastAsia"/>
                <w:sz w:val="24"/>
              </w:rPr>
              <w:t>8</w:t>
            </w:r>
            <w:r>
              <w:rPr>
                <w:rFonts w:asciiTheme="majorEastAsia" w:hAnsiTheme="majorEastAsia" w:eastAsiaTheme="majorEastAsia" w:cstheme="minorEastAsia"/>
                <w:sz w:val="24"/>
              </w:rPr>
              <w:t>月</w:t>
            </w:r>
            <w:r>
              <w:rPr>
                <w:rFonts w:hint="eastAsia" w:asciiTheme="majorEastAsia" w:hAnsiTheme="majorEastAsia" w:eastAsiaTheme="majorEastAsia" w:cstheme="minorEastAsia"/>
                <w:sz w:val="24"/>
              </w:rPr>
              <w:t>20</w:t>
            </w:r>
            <w:r>
              <w:rPr>
                <w:rFonts w:asciiTheme="majorEastAsia" w:hAnsiTheme="majorEastAsia" w:eastAsiaTheme="majorEastAsia" w:cstheme="minorEastAsia"/>
                <w:sz w:val="24"/>
              </w:rPr>
              <w:t>日</w:t>
            </w:r>
            <w:r>
              <w:rPr>
                <w:rFonts w:hint="eastAsia" w:asciiTheme="majorEastAsia" w:hAnsiTheme="majorEastAsia" w:eastAsiaTheme="majorEastAsia" w:cstheme="minorEastAsia"/>
                <w:sz w:val="24"/>
              </w:rPr>
              <w:t>）。入围决赛的企业，采用“8+7”互动答辩模式（即参赛企业自我展示8分钟，评委点评问答7分钟）进行评审，现场评审出成长企业组和初创企业组各10家获奖企业。决赛评委由专业投资人4名、科技专家3名组成。决赛以线上直播的形式对外开放观摩，决赛现场拟邀请南宁市领导和有关部门、县区、开发区领导，以及大赛合作单位、决赛选手、媒体等人员参加。</w:t>
            </w:r>
          </w:p>
          <w:p>
            <w:pPr>
              <w:autoSpaceDE w:val="0"/>
              <w:autoSpaceDN w:val="0"/>
              <w:adjustRightInd w:val="0"/>
              <w:spacing w:line="500" w:lineRule="exact"/>
              <w:ind w:firstLine="480" w:firstLineChars="200"/>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七）选送广西赛区、中国创新创业大赛参赛（2020年8—11月）。根据第九届中国创新创业大赛广西赛区名额分配和要求，从南宁大赛获奖项目和部分入围复赛的优秀项目中挑选企业参加广西赛区比赛，对参赛项目进行辅导与培训。配合自治区做好进入中国创新创业大赛企业的参赛辅导与支持工作。</w:t>
            </w:r>
          </w:p>
          <w:p>
            <w:pPr>
              <w:autoSpaceDE w:val="0"/>
              <w:autoSpaceDN w:val="0"/>
              <w:adjustRightInd w:val="0"/>
              <w:spacing w:line="500" w:lineRule="exact"/>
              <w:ind w:firstLine="480" w:firstLineChars="200"/>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（八）优秀参赛企业跟踪服务与政策落实（2020年9月之后）。对大赛表现优秀的企业进行跟踪服务，按照现行科技、人才、创新创业、工业发展、商贸、税收等方面的政策，给予重点关注和优先支持。</w:t>
            </w:r>
          </w:p>
          <w:p>
            <w:pPr>
              <w:autoSpaceDE w:val="0"/>
              <w:autoSpaceDN w:val="0"/>
              <w:adjustRightInd w:val="0"/>
              <w:spacing w:line="500" w:lineRule="exact"/>
              <w:ind w:firstLine="480" w:firstLineChars="200"/>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七、经费预算</w:t>
            </w:r>
          </w:p>
          <w:p>
            <w:pPr>
              <w:autoSpaceDE w:val="0"/>
              <w:autoSpaceDN w:val="0"/>
              <w:adjustRightInd w:val="0"/>
              <w:spacing w:line="500" w:lineRule="exact"/>
              <w:ind w:firstLine="480" w:firstLineChars="200"/>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大赛共设置奖金100万元，金额设置和发放要求如下：</w:t>
            </w:r>
          </w:p>
          <w:p>
            <w:pPr>
              <w:autoSpaceDE w:val="0"/>
              <w:autoSpaceDN w:val="0"/>
              <w:adjustRightInd w:val="0"/>
              <w:spacing w:line="500" w:lineRule="exact"/>
              <w:ind w:firstLine="480" w:firstLineChars="200"/>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（一）初创企业组。奖金总额30万元，获奖企业授予奖金和荣誉证书。其中，一档奖1名，奖金6万元；二等奖3名，奖金各4万元；三等奖6名，奖金各2万元。</w:t>
            </w:r>
          </w:p>
          <w:p>
            <w:pPr>
              <w:autoSpaceDE w:val="0"/>
              <w:autoSpaceDN w:val="0"/>
              <w:adjustRightInd w:val="0"/>
              <w:spacing w:line="500" w:lineRule="exact"/>
              <w:ind w:firstLine="480" w:firstLineChars="200"/>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（二）成长企业组。奖金总额70万元，获奖企业授予奖金和荣誉证书。其中，一档奖1名，奖金16万元；二等奖3名，奖金各10万元；三等奖6名，奖金各4万元。</w:t>
            </w:r>
          </w:p>
          <w:p>
            <w:pPr>
              <w:autoSpaceDE w:val="0"/>
              <w:autoSpaceDN w:val="0"/>
              <w:adjustRightInd w:val="0"/>
              <w:spacing w:line="500" w:lineRule="exact"/>
              <w:ind w:firstLine="480" w:firstLineChars="200"/>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（三）优秀组织单位奖。重点针对参与组织或实施大赛的各有关单位、孵化器、众创空间、科技服务机构，根据组织参赛企业数量和获奖情况，评选优秀组织单位奖。</w:t>
            </w:r>
          </w:p>
          <w:p>
            <w:pPr>
              <w:autoSpaceDE w:val="0"/>
              <w:autoSpaceDN w:val="0"/>
              <w:adjustRightInd w:val="0"/>
              <w:spacing w:line="500" w:lineRule="exact"/>
              <w:ind w:firstLine="480" w:firstLineChars="200"/>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四）奖金领取。在南宁市注册企业于赛后凭相关文件领取奖金；尚未在南宁市注册、但意向到南宁市落户发展的获奖企业，须于赛后3个月内在南宁注册成立子公司或基于参赛项目成立新公司，凭企业工商证照等资料办理奖金领取手续。</w:t>
            </w:r>
          </w:p>
          <w:p>
            <w:pPr>
              <w:autoSpaceDE w:val="0"/>
              <w:autoSpaceDN w:val="0"/>
              <w:adjustRightInd w:val="0"/>
              <w:spacing w:line="500" w:lineRule="exact"/>
              <w:ind w:firstLine="480" w:firstLineChars="200"/>
              <w:jc w:val="left"/>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八、</w:t>
            </w:r>
            <w:r>
              <w:rPr>
                <w:rFonts w:asciiTheme="majorEastAsia" w:hAnsiTheme="majorEastAsia" w:eastAsiaTheme="majorEastAsia" w:cstheme="minorEastAsia"/>
                <w:sz w:val="24"/>
              </w:rPr>
              <w:t>支持政策</w:t>
            </w:r>
          </w:p>
          <w:p>
            <w:pPr>
              <w:autoSpaceDE w:val="0"/>
              <w:autoSpaceDN w:val="0"/>
              <w:adjustRightInd w:val="0"/>
              <w:spacing w:line="500" w:lineRule="exact"/>
              <w:ind w:firstLine="480" w:firstLineChars="200"/>
              <w:jc w:val="left"/>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（一）南宁市支持政策</w:t>
            </w:r>
          </w:p>
          <w:p>
            <w:pPr>
              <w:autoSpaceDE w:val="0"/>
              <w:autoSpaceDN w:val="0"/>
              <w:adjustRightInd w:val="0"/>
              <w:spacing w:line="500" w:lineRule="exact"/>
              <w:ind w:firstLine="480" w:firstLineChars="200"/>
              <w:jc w:val="left"/>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1.大赛组委会提供创业政策、创业融资、商业模式等方面的免费创业培训，并优先推荐给组委会合作创投机构。</w:t>
            </w:r>
          </w:p>
          <w:p>
            <w:pPr>
              <w:autoSpaceDE w:val="0"/>
              <w:autoSpaceDN w:val="0"/>
              <w:adjustRightInd w:val="0"/>
              <w:spacing w:line="500" w:lineRule="exact"/>
              <w:ind w:firstLine="480" w:firstLineChars="200"/>
              <w:jc w:val="left"/>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 xml:space="preserve">2.大赛组委会积极推荐优秀参赛者入驻南宁市知名孵化器、众创空间，相关参赛者可优先获得场地租金、物业减免等优惠政策。 </w:t>
            </w:r>
          </w:p>
          <w:p>
            <w:pPr>
              <w:autoSpaceDE w:val="0"/>
              <w:autoSpaceDN w:val="0"/>
              <w:adjustRightInd w:val="0"/>
              <w:spacing w:line="500" w:lineRule="exact"/>
              <w:ind w:firstLine="480" w:firstLineChars="200"/>
              <w:jc w:val="left"/>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3.大赛获奖企业申报南宁市科技计划项目，在同等条件下优先给予资助。</w:t>
            </w:r>
          </w:p>
          <w:p>
            <w:pPr>
              <w:autoSpaceDE w:val="0"/>
              <w:autoSpaceDN w:val="0"/>
              <w:adjustRightInd w:val="0"/>
              <w:spacing w:line="500" w:lineRule="exact"/>
              <w:ind w:firstLine="480" w:firstLineChars="200"/>
              <w:jc w:val="left"/>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4.大赛获奖企业的人才申报南宁市青年科技创新创业人才培育计划，在同等条件下优先给予资助。</w:t>
            </w:r>
          </w:p>
          <w:p>
            <w:pPr>
              <w:autoSpaceDE w:val="0"/>
              <w:autoSpaceDN w:val="0"/>
              <w:adjustRightInd w:val="0"/>
              <w:spacing w:line="500" w:lineRule="exact"/>
              <w:ind w:firstLine="480" w:firstLineChars="200"/>
              <w:jc w:val="left"/>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5.在广西赛区及全国大赛中表现特别优秀的项目，有望纳入南宁市高层次人才开发专项进行资助。</w:t>
            </w:r>
          </w:p>
          <w:p>
            <w:pPr>
              <w:autoSpaceDE w:val="0"/>
              <w:autoSpaceDN w:val="0"/>
              <w:adjustRightInd w:val="0"/>
              <w:spacing w:line="500" w:lineRule="exact"/>
              <w:ind w:firstLine="480" w:firstLineChars="200"/>
              <w:jc w:val="left"/>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6.大赛获奖企业将通过驻邕各大媒体、南宁科技网等进行宣传，扩大影响力和知名度。</w:t>
            </w:r>
          </w:p>
          <w:p>
            <w:pPr>
              <w:autoSpaceDE w:val="0"/>
              <w:autoSpaceDN w:val="0"/>
              <w:adjustRightInd w:val="0"/>
              <w:spacing w:line="500" w:lineRule="exact"/>
              <w:ind w:firstLine="480" w:firstLineChars="200"/>
              <w:jc w:val="left"/>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（二）自治区和国家支持政策</w:t>
            </w:r>
          </w:p>
          <w:p>
            <w:pPr>
              <w:autoSpaceDE w:val="0"/>
              <w:autoSpaceDN w:val="0"/>
              <w:adjustRightInd w:val="0"/>
              <w:spacing w:line="500" w:lineRule="exact"/>
              <w:ind w:firstLine="480" w:firstLineChars="200"/>
              <w:jc w:val="left"/>
              <w:rPr>
                <w:rFonts w:asciiTheme="majorEastAsia" w:hAnsiTheme="majorEastAsia" w:eastAsiaTheme="majorEastAsia" w:cstheme="minorEastAsia"/>
                <w:sz w:val="24"/>
              </w:rPr>
            </w:pPr>
            <w:r>
              <w:rPr>
                <w:rFonts w:hint="eastAsia" w:asciiTheme="majorEastAsia" w:hAnsiTheme="majorEastAsia" w:eastAsiaTheme="majorEastAsia" w:cstheme="minorEastAsia"/>
                <w:sz w:val="24"/>
              </w:rPr>
              <w:t>1.中央财政对全国总决赛评选出的“第九届中国创新创业大赛优秀企业”及行业总决赛获奖企业进行支持，金额按企业参赛成绩分档确定，最低30万元/家。</w:t>
            </w:r>
          </w:p>
          <w:p>
            <w:pPr>
              <w:keepNext/>
              <w:keepLines/>
              <w:widowControl/>
              <w:numPr>
                <w:ilvl w:val="1"/>
                <w:numId w:val="0"/>
              </w:numPr>
              <w:autoSpaceDE w:val="0"/>
              <w:autoSpaceDN w:val="0"/>
              <w:adjustRightInd w:val="0"/>
              <w:snapToGrid w:val="0"/>
              <w:spacing w:line="500" w:lineRule="exact"/>
              <w:ind w:firstLine="480" w:firstLineChars="200"/>
              <w:jc w:val="left"/>
              <w:outlineLvl w:val="1"/>
              <w:rPr>
                <w:rFonts w:ascii="宋体" w:hAnsi="宋体" w:cs="宋体"/>
                <w:kern w:val="0"/>
                <w:sz w:val="24"/>
              </w:rPr>
            </w:pPr>
            <w:r>
              <w:rPr>
                <w:rFonts w:hint="eastAsia" w:asciiTheme="majorEastAsia" w:hAnsiTheme="majorEastAsia" w:eastAsiaTheme="majorEastAsia" w:cstheme="minorEastAsia"/>
                <w:sz w:val="24"/>
              </w:rPr>
              <w:t>2.广西科技厅以赛代评，通过“创新创业大赛获奖项目资助”科技专项支持广西赛区决赛一、二、三等奖项目，每个科技项目经费10—100万元。获得“广西赛区优秀项目”称号的企业，可获得最低10万元/家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3012" w:type="dxa"/>
            <w:gridSpan w:val="3"/>
            <w:vAlign w:val="center"/>
          </w:tcPr>
          <w:p>
            <w:pPr>
              <w:spacing w:line="360" w:lineRule="auto"/>
              <w:jc w:val="center"/>
              <w:rPr>
                <w:rFonts w:ascii="宋体" w:hAnsi="宋体" w:cs="宋体"/>
                <w:sz w:val="24"/>
              </w:rPr>
            </w:pPr>
            <w:r>
              <w:rPr>
                <w:rFonts w:hint="eastAsia" w:ascii="宋体" w:hAnsi="宋体" w:cs="宋体"/>
                <w:b/>
                <w:sz w:val="24"/>
              </w:rPr>
              <w:t>分项最高限价合计（元）</w:t>
            </w:r>
          </w:p>
        </w:tc>
        <w:tc>
          <w:tcPr>
            <w:tcW w:w="7252" w:type="dxa"/>
            <w:gridSpan w:val="2"/>
            <w:vAlign w:val="center"/>
          </w:tcPr>
          <w:p>
            <w:pPr>
              <w:spacing w:line="360" w:lineRule="auto"/>
              <w:jc w:val="left"/>
              <w:rPr>
                <w:rFonts w:ascii="宋体" w:hAnsi="宋体" w:cs="宋体"/>
                <w:sz w:val="24"/>
              </w:rPr>
            </w:pPr>
            <w:r>
              <w:rPr>
                <w:rFonts w:hint="eastAsia" w:ascii="宋体" w:hAnsi="宋体" w:cs="宋体"/>
                <w:sz w:val="24"/>
              </w:rPr>
              <w:t>￥600000.00元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2" w:hRule="atLeast"/>
        </w:trPr>
        <w:tc>
          <w:tcPr>
            <w:tcW w:w="725" w:type="dxa"/>
            <w:vAlign w:val="center"/>
          </w:tcPr>
          <w:p>
            <w:pPr>
              <w:spacing w:line="360" w:lineRule="auto"/>
              <w:jc w:val="center"/>
              <w:rPr>
                <w:rFonts w:ascii="宋体" w:hAnsi="宋体" w:cs="宋体"/>
                <w:b/>
                <w:sz w:val="24"/>
              </w:rPr>
            </w:pPr>
            <w:r>
              <w:rPr>
                <w:rFonts w:hint="eastAsia" w:ascii="宋体" w:hAnsi="宋体" w:cs="宋体"/>
                <w:b/>
                <w:sz w:val="24"/>
              </w:rPr>
              <w:t>商 务</w:t>
            </w:r>
          </w:p>
          <w:p>
            <w:pPr>
              <w:spacing w:line="360" w:lineRule="auto"/>
              <w:jc w:val="center"/>
              <w:rPr>
                <w:rFonts w:ascii="宋体" w:hAnsi="宋体" w:cs="宋体"/>
                <w:b/>
                <w:bCs/>
                <w:sz w:val="24"/>
              </w:rPr>
            </w:pPr>
            <w:r>
              <w:rPr>
                <w:rFonts w:hint="eastAsia" w:ascii="宋体" w:hAnsi="宋体" w:cs="宋体"/>
                <w:b/>
                <w:sz w:val="24"/>
              </w:rPr>
              <w:t>条 款</w:t>
            </w:r>
          </w:p>
        </w:tc>
        <w:tc>
          <w:tcPr>
            <w:tcW w:w="9539" w:type="dxa"/>
            <w:gridSpan w:val="4"/>
          </w:tcPr>
          <w:p>
            <w:pPr>
              <w:spacing w:line="500" w:lineRule="exact"/>
              <w:rPr>
                <w:rFonts w:cs="宋体" w:asciiTheme="majorEastAsia" w:hAnsiTheme="majorEastAsia" w:eastAsiaTheme="majorEastAsia"/>
                <w:sz w:val="24"/>
              </w:rPr>
            </w:pPr>
            <w:r>
              <w:rPr>
                <w:rFonts w:hint="eastAsia" w:asciiTheme="majorEastAsia" w:hAnsiTheme="majorEastAsia" w:eastAsiaTheme="majorEastAsia"/>
                <w:sz w:val="24"/>
                <w:lang w:val="zh-CN"/>
              </w:rPr>
              <w:t>一、合同签订期：自成交通知书</w:t>
            </w:r>
            <w:r>
              <w:rPr>
                <w:rFonts w:hint="eastAsia" w:cs="宋体" w:asciiTheme="majorEastAsia" w:hAnsiTheme="majorEastAsia" w:eastAsiaTheme="majorEastAsia"/>
                <w:sz w:val="24"/>
              </w:rPr>
              <w:t>发出之日起5</w:t>
            </w:r>
            <w:r>
              <w:rPr>
                <w:rFonts w:cs="宋体" w:asciiTheme="majorEastAsia" w:hAnsiTheme="majorEastAsia" w:eastAsiaTheme="majorEastAsia"/>
                <w:sz w:val="24"/>
              </w:rPr>
              <w:t>个工作日内</w:t>
            </w:r>
            <w:r>
              <w:rPr>
                <w:rFonts w:hint="eastAsia" w:cs="宋体" w:asciiTheme="majorEastAsia" w:hAnsiTheme="majorEastAsia" w:eastAsiaTheme="majorEastAsia"/>
                <w:sz w:val="24"/>
              </w:rPr>
              <w:t>。</w:t>
            </w:r>
          </w:p>
          <w:p>
            <w:pPr>
              <w:autoSpaceDE w:val="0"/>
              <w:autoSpaceDN w:val="0"/>
              <w:adjustRightInd w:val="0"/>
              <w:spacing w:line="500" w:lineRule="exact"/>
              <w:rPr>
                <w:rFonts w:cs="宋体" w:asciiTheme="majorEastAsia" w:hAnsiTheme="majorEastAsia" w:eastAsiaTheme="majorEastAsia"/>
                <w:sz w:val="24"/>
              </w:rPr>
            </w:pPr>
            <w:r>
              <w:rPr>
                <w:rFonts w:hint="eastAsia" w:cs="宋体" w:asciiTheme="majorEastAsia" w:hAnsiTheme="majorEastAsia" w:eastAsiaTheme="majorEastAsia"/>
                <w:sz w:val="24"/>
              </w:rPr>
              <w:t>★二、服务期：自合同签订之日起至2020</w:t>
            </w:r>
            <w:r>
              <w:rPr>
                <w:rFonts w:cs="宋体" w:asciiTheme="majorEastAsia" w:hAnsiTheme="majorEastAsia" w:eastAsiaTheme="majorEastAsia"/>
                <w:sz w:val="24"/>
              </w:rPr>
              <w:t>年11月</w:t>
            </w:r>
            <w:r>
              <w:rPr>
                <w:rFonts w:hint="eastAsia" w:cs="宋体" w:asciiTheme="majorEastAsia" w:hAnsiTheme="majorEastAsia" w:eastAsiaTheme="majorEastAsia"/>
                <w:sz w:val="24"/>
              </w:rPr>
              <w:t>底</w:t>
            </w:r>
            <w:r>
              <w:rPr>
                <w:rFonts w:cs="宋体" w:asciiTheme="majorEastAsia" w:hAnsiTheme="majorEastAsia" w:eastAsiaTheme="majorEastAsia"/>
                <w:sz w:val="24"/>
              </w:rPr>
              <w:t>。</w:t>
            </w:r>
          </w:p>
          <w:p>
            <w:pPr>
              <w:autoSpaceDE w:val="0"/>
              <w:autoSpaceDN w:val="0"/>
              <w:adjustRightInd w:val="0"/>
              <w:spacing w:line="500" w:lineRule="exact"/>
              <w:rPr>
                <w:rFonts w:cs="宋体" w:asciiTheme="majorEastAsia" w:hAnsiTheme="majorEastAsia" w:eastAsiaTheme="majorEastAsia"/>
                <w:sz w:val="24"/>
              </w:rPr>
            </w:pPr>
            <w:r>
              <w:rPr>
                <w:rFonts w:hint="eastAsia" w:cs="宋体" w:asciiTheme="majorEastAsia" w:hAnsiTheme="majorEastAsia" w:eastAsiaTheme="majorEastAsia"/>
                <w:sz w:val="24"/>
              </w:rPr>
              <w:t>三、服务地点：采购人指定地点。</w:t>
            </w:r>
          </w:p>
          <w:p>
            <w:pPr>
              <w:autoSpaceDE w:val="0"/>
              <w:autoSpaceDN w:val="0"/>
              <w:adjustRightInd w:val="0"/>
              <w:spacing w:line="500" w:lineRule="exact"/>
              <w:rPr>
                <w:rFonts w:cs="宋体" w:asciiTheme="majorEastAsia" w:hAnsiTheme="majorEastAsia" w:eastAsiaTheme="majorEastAsia"/>
                <w:sz w:val="24"/>
              </w:rPr>
            </w:pPr>
            <w:r>
              <w:rPr>
                <w:rFonts w:cs="宋体" w:asciiTheme="majorEastAsia" w:hAnsiTheme="majorEastAsia" w:eastAsiaTheme="majorEastAsia"/>
                <w:sz w:val="24"/>
              </w:rPr>
              <w:t>四、售后服务要求：</w:t>
            </w:r>
          </w:p>
          <w:p>
            <w:pPr>
              <w:widowControl/>
              <w:shd w:val="clear" w:color="auto" w:fill="FFFFFF"/>
              <w:spacing w:line="500" w:lineRule="exact"/>
              <w:rPr>
                <w:rFonts w:cs="宋体" w:asciiTheme="majorEastAsia" w:hAnsiTheme="majorEastAsia" w:eastAsiaTheme="majorEastAsia"/>
                <w:sz w:val="24"/>
              </w:rPr>
            </w:pPr>
            <w:r>
              <w:rPr>
                <w:rFonts w:hint="eastAsia" w:cs="宋体" w:asciiTheme="majorEastAsia" w:hAnsiTheme="majorEastAsia" w:eastAsiaTheme="majorEastAsia"/>
                <w:sz w:val="24"/>
              </w:rPr>
              <w:t>★</w:t>
            </w:r>
            <w:r>
              <w:rPr>
                <w:rFonts w:cs="宋体" w:asciiTheme="majorEastAsia" w:hAnsiTheme="majorEastAsia" w:eastAsiaTheme="majorEastAsia"/>
                <w:sz w:val="24"/>
              </w:rPr>
              <w:t>1、质量保证期：</w:t>
            </w:r>
            <w:r>
              <w:rPr>
                <w:rFonts w:hint="eastAsia" w:cs="宋体" w:asciiTheme="majorEastAsia" w:hAnsiTheme="majorEastAsia" w:eastAsiaTheme="majorEastAsia"/>
                <w:sz w:val="24"/>
              </w:rPr>
              <w:t>服务期满止（自正式入场服务之日起计）</w:t>
            </w:r>
          </w:p>
          <w:p>
            <w:pPr>
              <w:widowControl/>
              <w:shd w:val="clear" w:color="auto" w:fill="FFFFFF"/>
              <w:spacing w:line="500" w:lineRule="exact"/>
              <w:rPr>
                <w:rFonts w:cs="宋体" w:asciiTheme="majorEastAsia" w:hAnsiTheme="majorEastAsia" w:eastAsiaTheme="majorEastAsia"/>
                <w:sz w:val="24"/>
              </w:rPr>
            </w:pPr>
            <w:r>
              <w:rPr>
                <w:rFonts w:cs="宋体" w:asciiTheme="majorEastAsia" w:hAnsiTheme="majorEastAsia" w:eastAsiaTheme="majorEastAsia"/>
                <w:sz w:val="24"/>
              </w:rPr>
              <w:t>2、处理问题响应时间：接到采购人处理问题通知后 120</w:t>
            </w:r>
            <w:r>
              <w:rPr>
                <w:rFonts w:hint="eastAsia" w:cs="宋体" w:asciiTheme="majorEastAsia" w:hAnsiTheme="majorEastAsia" w:eastAsiaTheme="majorEastAsia"/>
                <w:sz w:val="24"/>
              </w:rPr>
              <w:t>分钟内到达采购人指定现场。</w:t>
            </w:r>
          </w:p>
          <w:p>
            <w:pPr>
              <w:autoSpaceDE w:val="0"/>
              <w:autoSpaceDN w:val="0"/>
              <w:adjustRightInd w:val="0"/>
              <w:spacing w:line="500" w:lineRule="exact"/>
              <w:rPr>
                <w:rFonts w:cs="宋体" w:asciiTheme="majorEastAsia" w:hAnsiTheme="majorEastAsia" w:eastAsiaTheme="majorEastAsia"/>
                <w:sz w:val="24"/>
              </w:rPr>
            </w:pPr>
            <w:r>
              <w:rPr>
                <w:rFonts w:cs="宋体" w:asciiTheme="majorEastAsia" w:hAnsiTheme="majorEastAsia" w:eastAsiaTheme="majorEastAsia"/>
                <w:sz w:val="24"/>
              </w:rPr>
              <w:t>五、其他要求：</w:t>
            </w:r>
          </w:p>
          <w:p>
            <w:pPr>
              <w:autoSpaceDE w:val="0"/>
              <w:autoSpaceDN w:val="0"/>
              <w:adjustRightInd w:val="0"/>
              <w:spacing w:line="500" w:lineRule="exact"/>
              <w:rPr>
                <w:rFonts w:cs="宋体" w:asciiTheme="majorEastAsia" w:hAnsiTheme="majorEastAsia" w:eastAsiaTheme="majorEastAsia"/>
                <w:sz w:val="24"/>
              </w:rPr>
            </w:pPr>
            <w:r>
              <w:rPr>
                <w:rFonts w:hint="eastAsia" w:cs="宋体" w:asciiTheme="majorEastAsia" w:hAnsiTheme="majorEastAsia" w:eastAsiaTheme="majorEastAsia"/>
                <w:sz w:val="24"/>
              </w:rPr>
              <w:t>★</w:t>
            </w:r>
            <w:r>
              <w:rPr>
                <w:rFonts w:cs="宋体" w:asciiTheme="majorEastAsia" w:hAnsiTheme="majorEastAsia" w:eastAsiaTheme="majorEastAsia"/>
                <w:sz w:val="24"/>
              </w:rPr>
              <w:t>1、报价必须含以下部分，包括：</w:t>
            </w:r>
          </w:p>
          <w:p>
            <w:pPr>
              <w:autoSpaceDE w:val="0"/>
              <w:autoSpaceDN w:val="0"/>
              <w:adjustRightInd w:val="0"/>
              <w:spacing w:line="500" w:lineRule="exact"/>
              <w:rPr>
                <w:rFonts w:cs="宋体" w:asciiTheme="majorEastAsia" w:hAnsiTheme="majorEastAsia" w:eastAsiaTheme="majorEastAsia"/>
                <w:sz w:val="24"/>
              </w:rPr>
            </w:pPr>
            <w:r>
              <w:rPr>
                <w:rFonts w:hint="eastAsia" w:cs="宋体" w:asciiTheme="majorEastAsia" w:hAnsiTheme="majorEastAsia" w:eastAsiaTheme="majorEastAsia"/>
                <w:sz w:val="24"/>
              </w:rPr>
              <w:t>（</w:t>
            </w:r>
            <w:r>
              <w:rPr>
                <w:rFonts w:cs="宋体" w:asciiTheme="majorEastAsia" w:hAnsiTheme="majorEastAsia" w:eastAsiaTheme="majorEastAsia"/>
                <w:sz w:val="24"/>
              </w:rPr>
              <w:t>1）服务的价格；</w:t>
            </w:r>
          </w:p>
          <w:p>
            <w:pPr>
              <w:autoSpaceDE w:val="0"/>
              <w:autoSpaceDN w:val="0"/>
              <w:adjustRightInd w:val="0"/>
              <w:spacing w:line="500" w:lineRule="exact"/>
              <w:rPr>
                <w:rFonts w:cs="宋体" w:asciiTheme="majorEastAsia" w:hAnsiTheme="majorEastAsia" w:eastAsiaTheme="majorEastAsia"/>
                <w:sz w:val="24"/>
              </w:rPr>
            </w:pPr>
            <w:r>
              <w:rPr>
                <w:rFonts w:hint="eastAsia" w:cs="宋体" w:asciiTheme="majorEastAsia" w:hAnsiTheme="majorEastAsia" w:eastAsiaTheme="majorEastAsia"/>
                <w:sz w:val="24"/>
              </w:rPr>
              <w:t>（</w:t>
            </w:r>
            <w:r>
              <w:rPr>
                <w:rFonts w:cs="宋体" w:asciiTheme="majorEastAsia" w:hAnsiTheme="majorEastAsia" w:eastAsiaTheme="majorEastAsia"/>
                <w:sz w:val="24"/>
              </w:rPr>
              <w:t>2）必要的保险费用和各项税金；</w:t>
            </w:r>
          </w:p>
          <w:p>
            <w:pPr>
              <w:autoSpaceDE w:val="0"/>
              <w:autoSpaceDN w:val="0"/>
              <w:adjustRightInd w:val="0"/>
              <w:spacing w:line="500" w:lineRule="exact"/>
              <w:rPr>
                <w:rFonts w:cs="宋体" w:asciiTheme="majorEastAsia" w:hAnsiTheme="majorEastAsia" w:eastAsiaTheme="majorEastAsia"/>
                <w:sz w:val="24"/>
              </w:rPr>
            </w:pPr>
            <w:r>
              <w:rPr>
                <w:rFonts w:hint="eastAsia" w:cs="宋体" w:asciiTheme="majorEastAsia" w:hAnsiTheme="majorEastAsia" w:eastAsiaTheme="majorEastAsia"/>
                <w:sz w:val="24"/>
              </w:rPr>
              <w:t>（</w:t>
            </w:r>
            <w:r>
              <w:rPr>
                <w:rFonts w:cs="宋体" w:asciiTheme="majorEastAsia" w:hAnsiTheme="majorEastAsia" w:eastAsiaTheme="majorEastAsia"/>
                <w:sz w:val="24"/>
              </w:rPr>
              <w:t>3）必要的材料费、培训、</w:t>
            </w:r>
            <w:r>
              <w:rPr>
                <w:rFonts w:hint="eastAsia" w:cs="宋体" w:asciiTheme="majorEastAsia" w:hAnsiTheme="majorEastAsia" w:eastAsiaTheme="majorEastAsia"/>
                <w:sz w:val="24"/>
              </w:rPr>
              <w:t>宣传费、会务费、场地租金、评委、导师酬劳、差旅费、住宿费及部分不可预见开支等费用。</w:t>
            </w:r>
          </w:p>
          <w:p>
            <w:pPr>
              <w:autoSpaceDE w:val="0"/>
              <w:autoSpaceDN w:val="0"/>
              <w:adjustRightInd w:val="0"/>
              <w:spacing w:line="500" w:lineRule="exact"/>
              <w:rPr>
                <w:rFonts w:cs="宋体" w:asciiTheme="majorEastAsia" w:hAnsiTheme="majorEastAsia" w:eastAsiaTheme="majorEastAsia"/>
                <w:sz w:val="24"/>
              </w:rPr>
            </w:pPr>
            <w:r>
              <w:rPr>
                <w:rFonts w:hint="eastAsia" w:cs="宋体" w:asciiTheme="majorEastAsia" w:hAnsiTheme="majorEastAsia" w:eastAsiaTheme="majorEastAsia"/>
                <w:sz w:val="24"/>
              </w:rPr>
              <w:t>（</w:t>
            </w:r>
            <w:r>
              <w:rPr>
                <w:rFonts w:cs="宋体" w:asciiTheme="majorEastAsia" w:hAnsiTheme="majorEastAsia" w:eastAsiaTheme="majorEastAsia"/>
                <w:sz w:val="24"/>
              </w:rPr>
              <w:t>4）</w:t>
            </w:r>
            <w:r>
              <w:rPr>
                <w:rFonts w:hint="eastAsia" w:cs="宋体" w:asciiTheme="majorEastAsia" w:hAnsiTheme="majorEastAsia" w:eastAsiaTheme="majorEastAsia"/>
                <w:sz w:val="24"/>
              </w:rPr>
              <w:t>采购文件所要求的相关服务，以及合同明示或暗示的所有责任、义务和一般风险等费用。</w:t>
            </w:r>
          </w:p>
          <w:p>
            <w:pPr>
              <w:autoSpaceDE w:val="0"/>
              <w:autoSpaceDN w:val="0"/>
              <w:adjustRightInd w:val="0"/>
              <w:spacing w:line="500" w:lineRule="exact"/>
              <w:rPr>
                <w:rFonts w:cs="宋体" w:asciiTheme="majorEastAsia" w:hAnsiTheme="majorEastAsia" w:eastAsiaTheme="majorEastAsia"/>
                <w:sz w:val="24"/>
              </w:rPr>
            </w:pPr>
            <w:r>
              <w:rPr>
                <w:rFonts w:hint="eastAsia" w:cs="宋体" w:asciiTheme="majorEastAsia" w:hAnsiTheme="majorEastAsia" w:eastAsiaTheme="majorEastAsia"/>
                <w:sz w:val="24"/>
              </w:rPr>
              <w:t>（</w:t>
            </w:r>
            <w:r>
              <w:rPr>
                <w:rFonts w:cs="宋体" w:asciiTheme="majorEastAsia" w:hAnsiTheme="majorEastAsia" w:eastAsiaTheme="majorEastAsia"/>
                <w:sz w:val="24"/>
              </w:rPr>
              <w:t>5）本项目所产生的采购代理服务费。</w:t>
            </w:r>
          </w:p>
          <w:p>
            <w:pPr>
              <w:autoSpaceDE w:val="0"/>
              <w:autoSpaceDN w:val="0"/>
              <w:adjustRightInd w:val="0"/>
              <w:spacing w:line="500" w:lineRule="exact"/>
              <w:rPr>
                <w:rFonts w:cs="宋体" w:asciiTheme="majorEastAsia" w:hAnsiTheme="majorEastAsia" w:eastAsiaTheme="majorEastAsia"/>
                <w:sz w:val="24"/>
              </w:rPr>
            </w:pPr>
            <w:r>
              <w:rPr>
                <w:rFonts w:hint="eastAsia" w:cs="宋体" w:asciiTheme="majorEastAsia" w:hAnsiTheme="majorEastAsia" w:eastAsiaTheme="majorEastAsia"/>
                <w:sz w:val="24"/>
              </w:rPr>
              <w:t>★</w:t>
            </w:r>
            <w:r>
              <w:rPr>
                <w:rFonts w:cs="宋体" w:asciiTheme="majorEastAsia" w:hAnsiTheme="majorEastAsia" w:eastAsiaTheme="majorEastAsia"/>
                <w:sz w:val="24"/>
              </w:rPr>
              <w:t>2、付款方式：</w:t>
            </w:r>
            <w:r>
              <w:rPr>
                <w:rFonts w:hint="eastAsia" w:cs="宋体" w:asciiTheme="majorEastAsia" w:hAnsiTheme="majorEastAsia" w:eastAsiaTheme="majorEastAsia"/>
                <w:sz w:val="24"/>
              </w:rPr>
              <w:t>本项目无预付款，成交供应商交付完毕并验收合格后，一次性支付合同款。</w:t>
            </w:r>
          </w:p>
          <w:p>
            <w:pPr>
              <w:autoSpaceDE w:val="0"/>
              <w:autoSpaceDN w:val="0"/>
              <w:adjustRightInd w:val="0"/>
              <w:spacing w:line="500" w:lineRule="exact"/>
              <w:rPr>
                <w:rFonts w:ascii="宋体" w:hAnsi="宋体" w:cs="宋体"/>
                <w:sz w:val="24"/>
              </w:rPr>
            </w:pPr>
            <w:r>
              <w:rPr>
                <w:rFonts w:cs="宋体" w:asciiTheme="majorEastAsia" w:hAnsiTheme="majorEastAsia" w:eastAsiaTheme="majorEastAsia"/>
                <w:sz w:val="24"/>
              </w:rPr>
              <w:t>3、违约责任：</w:t>
            </w:r>
            <w:r>
              <w:rPr>
                <w:rFonts w:hint="eastAsia" w:asciiTheme="majorEastAsia" w:hAnsiTheme="majorEastAsia" w:eastAsiaTheme="majorEastAsia"/>
                <w:sz w:val="24"/>
              </w:rPr>
              <w:t>成交供应商应遵守《国家保密法》，严格执行保密制度，不得向第三方泄露其在提供服务期间获得采购人的技术、商业机密，否则须承担因此产生的全部责任。</w:t>
            </w:r>
          </w:p>
        </w:tc>
      </w:tr>
      <w:bookmarkEnd w:id="13"/>
    </w:tbl>
    <w:p>
      <w:pPr>
        <w:pStyle w:val="11"/>
        <w:sectPr>
          <w:pgSz w:w="11906" w:h="16838"/>
          <w:pgMar w:top="1440" w:right="1080" w:bottom="1118" w:left="1080" w:header="720" w:footer="720" w:gutter="0"/>
          <w:cols w:space="720" w:num="1"/>
          <w:docGrid w:type="lines" w:linePitch="331" w:charSpace="0"/>
        </w:sectPr>
      </w:pPr>
    </w:p>
    <w:p>
      <w:pPr>
        <w:widowControl/>
        <w:jc w:val="center"/>
        <w:rPr>
          <w:rFonts w:asciiTheme="majorEastAsia" w:hAnsiTheme="majorEastAsia" w:eastAsiaTheme="majorEastAsia" w:cstheme="majorEastAsia"/>
        </w:rPr>
      </w:pPr>
      <w:bookmarkStart w:id="20" w:name="_Toc2911"/>
      <w:bookmarkStart w:id="21" w:name="_Toc508092927"/>
      <w:r>
        <w:rPr>
          <w:rFonts w:hint="eastAsia" w:asciiTheme="majorEastAsia" w:hAnsiTheme="majorEastAsia" w:eastAsiaTheme="majorEastAsia" w:cstheme="majorEastAsia"/>
          <w:b/>
          <w:sz w:val="36"/>
        </w:rPr>
        <w:t>第三章  评审方法</w:t>
      </w:r>
      <w:bookmarkEnd w:id="20"/>
      <w:bookmarkEnd w:id="21"/>
    </w:p>
    <w:p>
      <w:pPr>
        <w:pStyle w:val="14"/>
        <w:jc w:val="center"/>
        <w:rPr>
          <w:rFonts w:hAnsi="宋体"/>
          <w:b/>
          <w:sz w:val="36"/>
        </w:rPr>
      </w:pPr>
      <w:r>
        <w:rPr>
          <w:rFonts w:hAnsi="宋体"/>
          <w:b/>
          <w:sz w:val="30"/>
          <w:szCs w:val="30"/>
        </w:rPr>
        <w:t>综合评分法</w:t>
      </w:r>
    </w:p>
    <w:p>
      <w:pPr>
        <w:spacing w:line="360" w:lineRule="auto"/>
        <w:ind w:firstLine="480" w:firstLineChars="200"/>
        <w:rPr>
          <w:rFonts w:ascii="宋体" w:hAnsi="宋体" w:cs="宋体"/>
          <w:sz w:val="24"/>
        </w:rPr>
      </w:pPr>
      <w:r>
        <w:rPr>
          <w:rFonts w:hint="eastAsia" w:ascii="宋体" w:hAnsi="宋体"/>
          <w:sz w:val="24"/>
        </w:rPr>
        <w:t>（</w:t>
      </w:r>
      <w:r>
        <w:rPr>
          <w:rFonts w:hint="eastAsia" w:ascii="宋体" w:hAnsi="宋体" w:cs="宋体"/>
          <w:sz w:val="24"/>
        </w:rPr>
        <w:t>一）磋商小组以采购文件为依据，对响应文件进行评审，对磋商供应商的响应报价、技术文件等两部分内容按百分制打分，其中价格分15分，技术分60分，商务25分。</w:t>
      </w:r>
    </w:p>
    <w:p>
      <w:pPr>
        <w:spacing w:line="360" w:lineRule="auto"/>
        <w:ind w:firstLine="480" w:firstLineChars="200"/>
        <w:rPr>
          <w:rFonts w:ascii="宋体" w:hAnsi="宋体" w:cs="宋体"/>
          <w:sz w:val="24"/>
        </w:rPr>
      </w:pPr>
      <w:r>
        <w:rPr>
          <w:rFonts w:hint="eastAsia" w:ascii="宋体" w:hAnsi="宋体" w:cs="宋体"/>
          <w:sz w:val="24"/>
        </w:rPr>
        <w:t>（二）评分细则：（按四舍五入取至百分位）</w:t>
      </w:r>
    </w:p>
    <w:p>
      <w:pPr>
        <w:spacing w:line="360" w:lineRule="auto"/>
        <w:ind w:firstLine="482" w:firstLineChars="200"/>
        <w:rPr>
          <w:rFonts w:ascii="宋体" w:hAnsi="宋体"/>
          <w:b/>
          <w:sz w:val="24"/>
        </w:rPr>
      </w:pPr>
      <w:r>
        <w:rPr>
          <w:rFonts w:hint="eastAsia" w:ascii="宋体" w:hAnsi="宋体"/>
          <w:b/>
          <w:sz w:val="24"/>
        </w:rPr>
        <w:t>1、价格分………………………………………………………………………………15分</w:t>
      </w:r>
    </w:p>
    <w:p>
      <w:pPr>
        <w:pStyle w:val="14"/>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（1）对于非专门面向中小企业的项目，对小型和微型企业产品的价格给予</w:t>
      </w:r>
      <w:r>
        <w:rPr>
          <w:rFonts w:hint="eastAsia" w:asciiTheme="majorEastAsia" w:hAnsiTheme="majorEastAsia" w:eastAsiaTheme="majorEastAsia" w:cstheme="majorEastAsia"/>
          <w:sz w:val="24"/>
          <w:szCs w:val="24"/>
          <w:shd w:val="pct10" w:color="auto" w:fill="FFFFFF"/>
        </w:rPr>
        <w:t>6%</w:t>
      </w:r>
      <w:r>
        <w:rPr>
          <w:rFonts w:hint="eastAsia" w:asciiTheme="majorEastAsia" w:hAnsiTheme="majorEastAsia" w:eastAsiaTheme="majorEastAsia" w:cstheme="majorEastAsia"/>
          <w:sz w:val="24"/>
          <w:szCs w:val="24"/>
        </w:rPr>
        <w:t>的价格扣除，扣除后的价格为评标价，即评标价＝响应报价×（1-</w:t>
      </w:r>
      <w:r>
        <w:rPr>
          <w:rFonts w:hint="eastAsia" w:asciiTheme="majorEastAsia" w:hAnsiTheme="majorEastAsia" w:eastAsiaTheme="majorEastAsia" w:cstheme="majorEastAsia"/>
          <w:sz w:val="24"/>
          <w:szCs w:val="24"/>
          <w:shd w:val="pct10" w:color="auto" w:fill="FFFFFF"/>
        </w:rPr>
        <w:t>6%</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bCs/>
          <w:sz w:val="24"/>
          <w:szCs w:val="24"/>
        </w:rPr>
        <w:t>（以</w:t>
      </w:r>
      <w:r>
        <w:rPr>
          <w:rFonts w:hint="eastAsia" w:asciiTheme="majorEastAsia" w:hAnsiTheme="majorEastAsia" w:eastAsiaTheme="majorEastAsia" w:cstheme="majorEastAsia"/>
          <w:sz w:val="24"/>
          <w:szCs w:val="24"/>
        </w:rPr>
        <w:t>磋商</w:t>
      </w:r>
      <w:r>
        <w:rPr>
          <w:rFonts w:hint="eastAsia" w:asciiTheme="majorEastAsia" w:hAnsiTheme="majorEastAsia" w:eastAsiaTheme="majorEastAsia" w:cstheme="majorEastAsia"/>
          <w:bCs/>
          <w:sz w:val="24"/>
          <w:szCs w:val="24"/>
        </w:rPr>
        <w:t>供应商按第五章“响应文件格式”要求提供的《报价表》和《</w:t>
      </w:r>
      <w:r>
        <w:rPr>
          <w:rFonts w:hint="eastAsia" w:asciiTheme="majorEastAsia" w:hAnsiTheme="majorEastAsia" w:eastAsiaTheme="majorEastAsia" w:cstheme="majorEastAsia"/>
          <w:sz w:val="24"/>
          <w:szCs w:val="24"/>
        </w:rPr>
        <w:t>中小企业声明函</w:t>
      </w:r>
      <w:r>
        <w:rPr>
          <w:rFonts w:hint="eastAsia" w:asciiTheme="majorEastAsia" w:hAnsiTheme="majorEastAsia" w:eastAsiaTheme="majorEastAsia" w:cstheme="majorEastAsia"/>
          <w:bCs/>
          <w:sz w:val="24"/>
          <w:szCs w:val="24"/>
        </w:rPr>
        <w:t>》为评分依据）</w:t>
      </w:r>
    </w:p>
    <w:p>
      <w:pPr>
        <w:pStyle w:val="14"/>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（2）对大中型企业和其他自然人、法人或者其他组织与小型、微型企业组成联合体，且联合体协议中约定小型、微型企业的协议合同金额占到联合体协议合同总金额30%以上的，给予</w:t>
      </w:r>
      <w:r>
        <w:rPr>
          <w:rFonts w:hint="eastAsia" w:asciiTheme="majorEastAsia" w:hAnsiTheme="majorEastAsia" w:eastAsiaTheme="majorEastAsia" w:cstheme="majorEastAsia"/>
          <w:sz w:val="24"/>
          <w:szCs w:val="24"/>
          <w:shd w:val="pct10" w:color="auto" w:fill="FFFFFF"/>
        </w:rPr>
        <w:t>2%</w:t>
      </w:r>
      <w:r>
        <w:rPr>
          <w:rFonts w:hint="eastAsia" w:asciiTheme="majorEastAsia" w:hAnsiTheme="majorEastAsia" w:eastAsiaTheme="majorEastAsia" w:cstheme="majorEastAsia"/>
          <w:sz w:val="24"/>
          <w:szCs w:val="24"/>
        </w:rPr>
        <w:t>的价格扣除，扣除后的价格为评标价，即评标价＝响应报价×（1-</w:t>
      </w:r>
      <w:r>
        <w:rPr>
          <w:rFonts w:hint="eastAsia" w:asciiTheme="majorEastAsia" w:hAnsiTheme="majorEastAsia" w:eastAsiaTheme="majorEastAsia" w:cstheme="majorEastAsia"/>
          <w:sz w:val="24"/>
          <w:szCs w:val="24"/>
          <w:shd w:val="pct10" w:color="auto" w:fill="FFFFFF"/>
        </w:rPr>
        <w:t>2%</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bCs/>
          <w:sz w:val="24"/>
          <w:szCs w:val="24"/>
        </w:rPr>
        <w:t>（以</w:t>
      </w:r>
      <w:r>
        <w:rPr>
          <w:rFonts w:hint="eastAsia" w:asciiTheme="majorEastAsia" w:hAnsiTheme="majorEastAsia" w:eastAsiaTheme="majorEastAsia" w:cstheme="majorEastAsia"/>
          <w:sz w:val="24"/>
          <w:szCs w:val="24"/>
        </w:rPr>
        <w:t>磋商</w:t>
      </w:r>
      <w:r>
        <w:rPr>
          <w:rFonts w:hint="eastAsia" w:asciiTheme="majorEastAsia" w:hAnsiTheme="majorEastAsia" w:eastAsiaTheme="majorEastAsia" w:cstheme="majorEastAsia"/>
          <w:bCs/>
          <w:sz w:val="24"/>
          <w:szCs w:val="24"/>
        </w:rPr>
        <w:t>供应商按第五章“响应文件格式”要求提供的《报价表》、《中小企业声明函》和《联合体协议书》为评分依据）</w:t>
      </w:r>
    </w:p>
    <w:p>
      <w:pPr>
        <w:pStyle w:val="14"/>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响应产品提供企业按《关于政府采购支持监狱企业发展有关问题的通知》(财库[2014]68号)认定为监狱企业的，在政府采购活动中，监狱企业视同小型、微型企业。（以磋商供应商按第五章“响应文件格式”要求提供的《报价表》和由省级以上监狱管理局、戒毒管理局(含新疆生产建设兵团)出具的属于监狱企业的证明文件为评分依据。</w:t>
      </w:r>
    </w:p>
    <w:p>
      <w:pPr>
        <w:pStyle w:val="14"/>
        <w:spacing w:line="360" w:lineRule="auto"/>
        <w:ind w:firstLine="480" w:firstLineChars="200"/>
        <w:rPr>
          <w:rFonts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（4）</w:t>
      </w:r>
      <w:r>
        <w:rPr>
          <w:rFonts w:hint="eastAsia" w:asciiTheme="majorEastAsia" w:hAnsiTheme="majorEastAsia" w:eastAsiaTheme="majorEastAsia" w:cstheme="majorEastAsia"/>
          <w:sz w:val="24"/>
          <w:szCs w:val="24"/>
        </w:rPr>
        <w:t>响应</w:t>
      </w:r>
      <w:r>
        <w:rPr>
          <w:rFonts w:asciiTheme="majorEastAsia" w:hAnsiTheme="majorEastAsia" w:eastAsiaTheme="majorEastAsia" w:cstheme="majorEastAsia"/>
          <w:sz w:val="24"/>
          <w:szCs w:val="24"/>
        </w:rPr>
        <w:t>产品提供企业按《关于促进残疾人就业政府采购政策的通知》(财库〔2017〕141号)认定为残疾人福利性单位的，在政府采购活动中，残疾人福利性单位视同小型、微型企业。</w:t>
      </w:r>
      <w:r>
        <w:rPr>
          <w:rFonts w:hint="eastAsia" w:asciiTheme="majorEastAsia" w:hAnsiTheme="majorEastAsia" w:eastAsiaTheme="majorEastAsia" w:cstheme="majorEastAsia"/>
          <w:sz w:val="24"/>
          <w:szCs w:val="24"/>
        </w:rPr>
        <w:t>残疾人福利性单位参加政府采购活动时，应当提供该通知规定的《残疾人福利性单位声明函》，并对声明的真实性负责。声明函应随成交结果同时公告，接受社会监督。</w:t>
      </w:r>
      <w:r>
        <w:rPr>
          <w:rFonts w:asciiTheme="majorEastAsia" w:hAnsiTheme="majorEastAsia" w:eastAsiaTheme="majorEastAsia" w:cstheme="majorEastAsia"/>
          <w:sz w:val="24"/>
          <w:szCs w:val="24"/>
        </w:rPr>
        <w:t>（以磋商供应商按第五章“</w:t>
      </w:r>
      <w:r>
        <w:rPr>
          <w:rFonts w:hint="eastAsia" w:asciiTheme="majorEastAsia" w:hAnsiTheme="majorEastAsia" w:eastAsiaTheme="majorEastAsia" w:cstheme="majorEastAsia"/>
          <w:sz w:val="24"/>
          <w:szCs w:val="24"/>
        </w:rPr>
        <w:t>响应</w:t>
      </w:r>
      <w:r>
        <w:rPr>
          <w:rFonts w:asciiTheme="majorEastAsia" w:hAnsiTheme="majorEastAsia" w:eastAsiaTheme="majorEastAsia" w:cstheme="majorEastAsia"/>
          <w:sz w:val="24"/>
          <w:szCs w:val="24"/>
        </w:rPr>
        <w:t>文件格式”要求提供的《报价表》和《残疾人福利性单位声明函》为评分依据）</w:t>
      </w:r>
      <w:r>
        <w:rPr>
          <w:rFonts w:hint="eastAsia" w:asciiTheme="majorEastAsia" w:hAnsiTheme="majorEastAsia" w:eastAsiaTheme="majorEastAsia" w:cstheme="majorEastAsia"/>
          <w:sz w:val="24"/>
          <w:szCs w:val="24"/>
        </w:rPr>
        <w:t>。</w:t>
      </w:r>
    </w:p>
    <w:p>
      <w:pPr>
        <w:pStyle w:val="14"/>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（5）除上述情况外，评标价＝响应报价；</w:t>
      </w:r>
    </w:p>
    <w:p>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（6）价格分计算公式：</w:t>
      </w:r>
    </w:p>
    <w:p>
      <w:pPr>
        <w:pStyle w:val="12"/>
        <w:spacing w:line="360" w:lineRule="auto"/>
        <w:ind w:firstLine="404"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1"/>
        </w:rPr>
        <w:t xml:space="preserve">  </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0"/>
          <w:sz w:val="24"/>
          <w:szCs w:val="24"/>
        </w:rPr>
        <w:t xml:space="preserve">  磋商供应商最低评</w:t>
      </w:r>
      <w:r>
        <w:rPr>
          <w:rFonts w:hint="eastAsia" w:asciiTheme="majorEastAsia" w:hAnsiTheme="majorEastAsia" w:eastAsiaTheme="majorEastAsia" w:cstheme="majorEastAsia"/>
          <w:sz w:val="24"/>
          <w:szCs w:val="24"/>
        </w:rPr>
        <w:t>标价金额</w:t>
      </w:r>
    </w:p>
    <w:p>
      <w:pPr>
        <w:pStyle w:val="12"/>
        <w:spacing w:line="360" w:lineRule="auto"/>
        <w:ind w:firstLine="1200" w:firstLineChars="500"/>
        <w:rPr>
          <w:rFonts w:asciiTheme="majorEastAsia" w:hAnsiTheme="majorEastAsia" w:eastAsiaTheme="majorEastAsia" w:cstheme="majorEastAsia"/>
          <w:sz w:val="24"/>
          <w:szCs w:val="24"/>
        </w:rPr>
      </w:pPr>
      <w:r>
        <w:rPr>
          <w:rFonts w:asciiTheme="majorEastAsia" w:hAnsiTheme="majorEastAsia" w:eastAsiaTheme="majorEastAsia" w:cstheme="majorEastAsia"/>
          <w:spacing w:val="0"/>
          <w:sz w:val="24"/>
          <w:szCs w:val="24"/>
        </w:rPr>
        <mc:AlternateContent>
          <mc:Choice Requires="wps">
            <w:drawing>
              <wp:anchor distT="0" distB="0" distL="114300" distR="114300" simplePos="0" relativeHeight="251660288" behindDoc="0" locked="0" layoutInCell="1" allowOverlap="1">
                <wp:simplePos x="0" y="0"/>
                <wp:positionH relativeFrom="column">
                  <wp:posOffset>2446655</wp:posOffset>
                </wp:positionH>
                <wp:positionV relativeFrom="paragraph">
                  <wp:posOffset>105410</wp:posOffset>
                </wp:positionV>
                <wp:extent cx="1670685" cy="0"/>
                <wp:effectExtent l="0" t="0" r="24765" b="1905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1670685"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192.65pt;margin-top:8.3pt;height:0pt;width:131.55pt;z-index:251660288;mso-width-relative:page;mso-height-relative:page;" filled="f" stroked="t" coordsize="21600,21600" o:gfxdata="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VWkJD1gAA&#10;AAkBAAAPAAAAAAAAAAEAIAAAACIAAABkcnMvZG93bnJldi54bWxQSwECFAAUAAAACACHTuJARHvI&#10;/64BAABRAwAADgAAAAAAAAABACAAAAAlAQAAZHJzL2Uyb0RvYy54bWxQSwUGAAAAAAYABgBZAQAA&#10;RQUAAAAA&#10;">
                <v:fill on="f" focussize="0,0"/>
                <v:stroke color="#000000" joinstyle="round"/>
                <v:imagedata o:title=""/>
                <o:lock v:ext="edit" aspectratio="f"/>
              </v:line>
            </w:pict>
          </mc:Fallback>
        </mc:AlternateContent>
      </w:r>
      <w:r>
        <w:rPr>
          <w:rFonts w:hint="eastAsia" w:asciiTheme="majorEastAsia" w:hAnsiTheme="majorEastAsia" w:eastAsiaTheme="majorEastAsia" w:cstheme="majorEastAsia"/>
          <w:spacing w:val="0"/>
          <w:sz w:val="24"/>
          <w:szCs w:val="24"/>
        </w:rPr>
        <w:t>某磋商供应商价格</w:t>
      </w:r>
      <w:r>
        <w:rPr>
          <w:rFonts w:hint="eastAsia" w:asciiTheme="majorEastAsia" w:hAnsiTheme="majorEastAsia" w:eastAsiaTheme="majorEastAsia" w:cstheme="majorEastAsia"/>
          <w:sz w:val="24"/>
          <w:szCs w:val="24"/>
        </w:rPr>
        <w:t>分 ＝                             × 15分</w:t>
      </w:r>
    </w:p>
    <w:p>
      <w:pPr>
        <w:pStyle w:val="12"/>
        <w:spacing w:line="360" w:lineRule="auto"/>
        <w:ind w:firstLine="464"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0"/>
          <w:sz w:val="24"/>
          <w:szCs w:val="24"/>
        </w:rPr>
        <w:t>某磋商供应商评标</w:t>
      </w:r>
      <w:r>
        <w:rPr>
          <w:rFonts w:hint="eastAsia" w:asciiTheme="majorEastAsia" w:hAnsiTheme="majorEastAsia" w:eastAsiaTheme="majorEastAsia" w:cstheme="majorEastAsia"/>
          <w:sz w:val="24"/>
          <w:szCs w:val="24"/>
        </w:rPr>
        <w:t>价金额</w:t>
      </w:r>
    </w:p>
    <w:p>
      <w:pPr>
        <w:spacing w:line="360" w:lineRule="auto"/>
        <w:ind w:firstLine="482" w:firstLineChars="200"/>
        <w:rPr>
          <w:rFonts w:ascii="宋体" w:hAnsi="宋体"/>
          <w:b/>
          <w:sz w:val="24"/>
        </w:rPr>
      </w:pPr>
      <w:r>
        <w:rPr>
          <w:rFonts w:hint="eastAsia" w:ascii="宋体" w:hAnsi="宋体"/>
          <w:b/>
          <w:sz w:val="24"/>
        </w:rPr>
        <w:t>1、技术分………………………………………………………………………………60分</w:t>
      </w:r>
    </w:p>
    <w:p>
      <w:pPr>
        <w:pStyle w:val="12"/>
        <w:spacing w:line="360" w:lineRule="auto"/>
        <w:ind w:firstLine="466" w:firstLineChars="200"/>
        <w:rPr>
          <w:rFonts w:hAnsi="宋体" w:cs="宋体"/>
          <w:b/>
          <w:sz w:val="24"/>
          <w:szCs w:val="24"/>
        </w:rPr>
      </w:pPr>
      <w:r>
        <w:rPr>
          <w:rFonts w:hint="eastAsia" w:hAnsi="宋体" w:cs="宋体"/>
          <w:b/>
          <w:sz w:val="24"/>
          <w:szCs w:val="24"/>
        </w:rPr>
        <w:t>（</w:t>
      </w:r>
      <w:r>
        <w:rPr>
          <w:rFonts w:hAnsi="宋体" w:cs="宋体"/>
          <w:b/>
          <w:sz w:val="24"/>
          <w:szCs w:val="24"/>
        </w:rPr>
        <w:t>1）服务方案分（满分35</w:t>
      </w:r>
      <w:r>
        <w:rPr>
          <w:rFonts w:hint="eastAsia" w:hAnsi="宋体" w:cs="宋体"/>
          <w:b/>
          <w:sz w:val="24"/>
          <w:szCs w:val="24"/>
        </w:rPr>
        <w:t>分）</w:t>
      </w:r>
      <w:r>
        <w:rPr>
          <w:rFonts w:hint="eastAsia" w:asciiTheme="minorEastAsia" w:hAnsiTheme="minorEastAsia" w:eastAsiaTheme="minorEastAsia"/>
          <w:b/>
          <w:sz w:val="24"/>
        </w:rPr>
        <w:t>（由磋商小组讨论进档打分，不提供方案或不满足不提供。）</w:t>
      </w:r>
    </w:p>
    <w:p>
      <w:pPr>
        <w:pStyle w:val="12"/>
        <w:spacing w:line="360" w:lineRule="auto"/>
        <w:ind w:firstLine="464" w:firstLineChars="200"/>
        <w:rPr>
          <w:rFonts w:hAnsi="宋体" w:cs="宋体"/>
          <w:sz w:val="24"/>
          <w:szCs w:val="24"/>
        </w:rPr>
      </w:pPr>
      <w:r>
        <w:rPr>
          <w:rFonts w:hint="eastAsia" w:hAnsi="宋体" w:cs="宋体"/>
          <w:sz w:val="24"/>
          <w:szCs w:val="24"/>
        </w:rPr>
        <w:t>磋商供应商应围绕大赛组织报名、赛事宣传、培训辅导、资格审查及初赛、复赛及决赛、赛后服务、其他等7大板块内容，制定服务方案，每个板块服务方案占5分，共计35分。</w:t>
      </w:r>
    </w:p>
    <w:p>
      <w:pPr>
        <w:pStyle w:val="12"/>
        <w:spacing w:line="360" w:lineRule="auto"/>
        <w:ind w:firstLine="464" w:firstLineChars="200"/>
        <w:rPr>
          <w:rFonts w:hAnsi="宋体" w:cs="宋体"/>
          <w:sz w:val="24"/>
          <w:szCs w:val="24"/>
        </w:rPr>
      </w:pPr>
      <w:r>
        <w:rPr>
          <w:rFonts w:hint="eastAsia" w:hAnsi="宋体" w:cs="宋体"/>
          <w:sz w:val="24"/>
          <w:szCs w:val="24"/>
        </w:rPr>
        <w:t>磋商小组根据各供应商是否准确掌握项目要求，目标定位是否合理，服务内容是否针对项目设置要求，服务设置是否贴近实际等情况进行讨论定档，磋商小组在相应档次内打分。</w:t>
      </w:r>
    </w:p>
    <w:p>
      <w:pPr>
        <w:pStyle w:val="12"/>
        <w:spacing w:line="360" w:lineRule="auto"/>
        <w:ind w:firstLine="464" w:firstLineChars="200"/>
        <w:rPr>
          <w:rFonts w:hAnsi="宋体" w:cs="宋体"/>
          <w:sz w:val="24"/>
          <w:szCs w:val="24"/>
        </w:rPr>
      </w:pPr>
      <w:r>
        <w:rPr>
          <w:rFonts w:hint="eastAsia" w:asciiTheme="majorEastAsia" w:hAnsiTheme="majorEastAsia" w:eastAsiaTheme="majorEastAsia" w:cstheme="minorEastAsia"/>
          <w:sz w:val="24"/>
          <w:szCs w:val="24"/>
        </w:rPr>
        <w:t>一档（12分）：磋商供应商提供的服务方案</w:t>
      </w:r>
      <w:r>
        <w:rPr>
          <w:rFonts w:hint="eastAsia" w:hAnsi="宋体" w:cs="宋体"/>
          <w:sz w:val="24"/>
          <w:szCs w:val="24"/>
        </w:rPr>
        <w:t>围绕服务目标和内容制定了比较简单的方案，内容基本完整；</w:t>
      </w:r>
    </w:p>
    <w:p>
      <w:pPr>
        <w:pStyle w:val="12"/>
        <w:spacing w:line="360" w:lineRule="auto"/>
        <w:ind w:firstLine="464" w:firstLineChars="200"/>
        <w:rPr>
          <w:rFonts w:hAnsi="宋体" w:cs="宋体"/>
          <w:sz w:val="24"/>
          <w:szCs w:val="24"/>
        </w:rPr>
      </w:pPr>
      <w:r>
        <w:rPr>
          <w:rFonts w:hint="eastAsia" w:hAnsi="宋体" w:cs="宋体"/>
          <w:sz w:val="24"/>
          <w:szCs w:val="24"/>
        </w:rPr>
        <w:t>二档（25分）：</w:t>
      </w:r>
      <w:r>
        <w:rPr>
          <w:rFonts w:hint="eastAsia" w:asciiTheme="majorEastAsia" w:hAnsiTheme="majorEastAsia" w:eastAsiaTheme="majorEastAsia" w:cstheme="minorEastAsia"/>
          <w:sz w:val="24"/>
          <w:szCs w:val="24"/>
        </w:rPr>
        <w:t>磋商供应商提供的服务方案</w:t>
      </w:r>
      <w:r>
        <w:rPr>
          <w:rFonts w:hint="eastAsia" w:hAnsi="宋体" w:cs="宋体"/>
          <w:sz w:val="24"/>
          <w:szCs w:val="24"/>
        </w:rPr>
        <w:t>围绕服务目标和内容开展，针对大赛各个环节制定了较为详细的方案和实施细则，提供了比较具有针对性的解决方案，方案比较完整可行；</w:t>
      </w:r>
    </w:p>
    <w:p>
      <w:pPr>
        <w:pStyle w:val="12"/>
        <w:spacing w:line="360" w:lineRule="auto"/>
        <w:ind w:firstLine="464" w:firstLineChars="200"/>
        <w:rPr>
          <w:rFonts w:hAnsi="宋体" w:cs="宋体"/>
          <w:sz w:val="24"/>
          <w:szCs w:val="24"/>
        </w:rPr>
      </w:pPr>
      <w:r>
        <w:rPr>
          <w:rFonts w:hint="eastAsia" w:hAnsi="宋体" w:cs="宋体"/>
          <w:sz w:val="24"/>
          <w:szCs w:val="24"/>
        </w:rPr>
        <w:t>三档（35分）：</w:t>
      </w:r>
      <w:r>
        <w:rPr>
          <w:rFonts w:hint="eastAsia" w:asciiTheme="majorEastAsia" w:hAnsiTheme="majorEastAsia" w:eastAsiaTheme="majorEastAsia" w:cstheme="minorEastAsia"/>
          <w:sz w:val="24"/>
          <w:szCs w:val="24"/>
        </w:rPr>
        <w:t>磋商供应商提供的服务方案</w:t>
      </w:r>
      <w:r>
        <w:rPr>
          <w:rFonts w:hint="eastAsia" w:hAnsi="宋体" w:cs="宋体"/>
          <w:sz w:val="24"/>
          <w:szCs w:val="24"/>
        </w:rPr>
        <w:t>紧密围绕服务目标和内容开展，针对大赛各个环节制定了非常详细的方案和实施细则，提供了非常具有针对性的解决方案，方案十分完整可行。</w:t>
      </w:r>
    </w:p>
    <w:p>
      <w:pPr>
        <w:pStyle w:val="12"/>
        <w:spacing w:line="360" w:lineRule="auto"/>
        <w:ind w:firstLine="466" w:firstLineChars="200"/>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w:t>
      </w:r>
      <w:r>
        <w:rPr>
          <w:rFonts w:asciiTheme="majorEastAsia" w:hAnsiTheme="majorEastAsia" w:eastAsiaTheme="majorEastAsia" w:cstheme="minorEastAsia"/>
          <w:b/>
          <w:sz w:val="24"/>
          <w:szCs w:val="24"/>
        </w:rPr>
        <w:t>2）服务实施管理分（满分</w:t>
      </w:r>
      <w:r>
        <w:rPr>
          <w:rFonts w:hint="eastAsia" w:asciiTheme="majorEastAsia" w:hAnsiTheme="majorEastAsia" w:eastAsiaTheme="majorEastAsia" w:cstheme="minorEastAsia"/>
          <w:b/>
          <w:sz w:val="24"/>
          <w:szCs w:val="24"/>
        </w:rPr>
        <w:t>15分）</w:t>
      </w:r>
      <w:r>
        <w:rPr>
          <w:rFonts w:hint="eastAsia" w:asciiTheme="minorEastAsia" w:hAnsiTheme="minorEastAsia" w:eastAsiaTheme="minorEastAsia"/>
          <w:b/>
          <w:sz w:val="24"/>
        </w:rPr>
        <w:t>（由磋商小组讨论进档打分，不提供方案或不满足不提供。）</w:t>
      </w:r>
    </w:p>
    <w:p>
      <w:pPr>
        <w:pStyle w:val="12"/>
        <w:spacing w:line="360" w:lineRule="auto"/>
        <w:ind w:firstLine="464"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磋商小组根据各供应商对采购文件要求的响应程度，特别对配备结构是否合理、是否组建管理团队、管理人员分工是否明确、经验丰富，管理措施是否具体可行等情况进行讨论定档，磋商小组在相应档次内打分。</w:t>
      </w:r>
    </w:p>
    <w:p>
      <w:pPr>
        <w:pStyle w:val="12"/>
        <w:spacing w:line="360" w:lineRule="auto"/>
        <w:ind w:firstLine="464"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一档（5分）：磋商供应商针对本项目配备有专业团队，人员数量、层次、经验、组织结构等</w:t>
      </w:r>
      <w:r>
        <w:rPr>
          <w:rFonts w:hint="eastAsia" w:asciiTheme="majorEastAsia" w:hAnsiTheme="majorEastAsia" w:eastAsiaTheme="majorEastAsia" w:cstheme="minorEastAsia"/>
          <w:b/>
          <w:sz w:val="24"/>
          <w:szCs w:val="24"/>
        </w:rPr>
        <w:t>较难保障</w:t>
      </w:r>
      <w:r>
        <w:rPr>
          <w:rFonts w:hint="eastAsia" w:asciiTheme="majorEastAsia" w:hAnsiTheme="majorEastAsia" w:eastAsiaTheme="majorEastAsia" w:cstheme="minorEastAsia"/>
          <w:sz w:val="24"/>
          <w:szCs w:val="24"/>
        </w:rPr>
        <w:t>本次大赛的顺利实施；</w:t>
      </w:r>
    </w:p>
    <w:p>
      <w:pPr>
        <w:pStyle w:val="12"/>
        <w:spacing w:line="360" w:lineRule="auto"/>
        <w:ind w:firstLine="464"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二档（</w:t>
      </w:r>
      <w:r>
        <w:rPr>
          <w:rFonts w:asciiTheme="majorEastAsia" w:hAnsiTheme="majorEastAsia" w:eastAsiaTheme="majorEastAsia" w:cstheme="minorEastAsia"/>
          <w:sz w:val="24"/>
          <w:szCs w:val="24"/>
        </w:rPr>
        <w:t>11</w:t>
      </w:r>
      <w:r>
        <w:rPr>
          <w:rFonts w:hint="eastAsia" w:asciiTheme="majorEastAsia" w:hAnsiTheme="majorEastAsia" w:eastAsiaTheme="majorEastAsia" w:cstheme="minorEastAsia"/>
          <w:sz w:val="24"/>
          <w:szCs w:val="24"/>
        </w:rPr>
        <w:t>分）：磋商供应商供应商针对本项目配备有专业团队，人员数量、层次、经验、组织结构等</w:t>
      </w:r>
      <w:r>
        <w:rPr>
          <w:rFonts w:hint="eastAsia" w:asciiTheme="majorEastAsia" w:hAnsiTheme="majorEastAsia" w:eastAsiaTheme="majorEastAsia" w:cstheme="minorEastAsia"/>
          <w:b/>
          <w:sz w:val="24"/>
          <w:szCs w:val="24"/>
        </w:rPr>
        <w:t>基本能够保障</w:t>
      </w:r>
      <w:r>
        <w:rPr>
          <w:rFonts w:hint="eastAsia" w:asciiTheme="majorEastAsia" w:hAnsiTheme="majorEastAsia" w:eastAsiaTheme="majorEastAsia" w:cstheme="minorEastAsia"/>
          <w:sz w:val="24"/>
          <w:szCs w:val="24"/>
        </w:rPr>
        <w:t>本次大赛的顺利实施；</w:t>
      </w:r>
    </w:p>
    <w:p>
      <w:pPr>
        <w:pStyle w:val="12"/>
        <w:spacing w:line="360" w:lineRule="auto"/>
        <w:ind w:firstLine="464"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三档（15分）：磋商供应商供应商针对本项目配备有专业团队，人员数量、层次、经验、组织结构等</w:t>
      </w:r>
      <w:r>
        <w:rPr>
          <w:rFonts w:hint="eastAsia" w:asciiTheme="majorEastAsia" w:hAnsiTheme="majorEastAsia" w:eastAsiaTheme="majorEastAsia" w:cstheme="minorEastAsia"/>
          <w:b/>
          <w:sz w:val="24"/>
          <w:szCs w:val="24"/>
        </w:rPr>
        <w:t>完全能够保障</w:t>
      </w:r>
      <w:r>
        <w:rPr>
          <w:rFonts w:hint="eastAsia" w:asciiTheme="majorEastAsia" w:hAnsiTheme="majorEastAsia" w:eastAsiaTheme="majorEastAsia" w:cstheme="minorEastAsia"/>
          <w:sz w:val="24"/>
          <w:szCs w:val="24"/>
        </w:rPr>
        <w:t>本次大赛的顺利实施；人员团队结构合理、水平较高；配备督导人员</w:t>
      </w:r>
      <w:r>
        <w:rPr>
          <w:rFonts w:asciiTheme="majorEastAsia" w:hAnsiTheme="majorEastAsia" w:eastAsiaTheme="majorEastAsia" w:cstheme="minorEastAsia"/>
          <w:sz w:val="24"/>
          <w:szCs w:val="24"/>
        </w:rPr>
        <w:t>；管理团队组织架构健全、人员分工明确、运作机制较成熟，人事、财务、培训、督导等规则制度较完善，团队执行能力强；制定科学合理的大赛标准化流程；大赛项目评审公平公正公开、项目监管督导措施有具体的时间、质量、进度控制，有针对性且可行性高。</w:t>
      </w:r>
      <w:bookmarkStart w:id="72" w:name="_GoBack"/>
      <w:bookmarkEnd w:id="72"/>
    </w:p>
    <w:p>
      <w:pPr>
        <w:spacing w:line="360" w:lineRule="auto"/>
        <w:ind w:firstLine="482" w:firstLineChars="200"/>
        <w:rPr>
          <w:rFonts w:ascii="宋体" w:hAnsi="宋体"/>
          <w:b/>
          <w:sz w:val="24"/>
        </w:rPr>
      </w:pPr>
      <w:r>
        <w:rPr>
          <w:rFonts w:hint="eastAsia" w:ascii="宋体" w:hAnsi="宋体"/>
          <w:b/>
          <w:sz w:val="24"/>
        </w:rPr>
        <w:t xml:space="preserve">（3）应急预案与服务保障分 </w:t>
      </w:r>
      <w:r>
        <w:rPr>
          <w:rFonts w:hint="eastAsia" w:ascii="宋体" w:hAnsi="宋体"/>
          <w:b/>
          <w:bCs/>
          <w:sz w:val="24"/>
        </w:rPr>
        <w:t>（满分10分）</w:t>
      </w:r>
      <w:r>
        <w:rPr>
          <w:rFonts w:hint="eastAsia" w:asciiTheme="minorEastAsia" w:hAnsiTheme="minorEastAsia" w:eastAsiaTheme="minorEastAsia"/>
          <w:b/>
          <w:sz w:val="24"/>
        </w:rPr>
        <w:t>（由磋商小组讨论进档打分，不提供方案或不满足不提供。）</w:t>
      </w:r>
    </w:p>
    <w:p>
      <w:pPr>
        <w:pStyle w:val="14"/>
        <w:spacing w:line="460" w:lineRule="exact"/>
        <w:ind w:firstLine="480" w:firstLineChars="200"/>
        <w:rPr>
          <w:rFonts w:hAnsi="宋体"/>
          <w:bCs/>
          <w:sz w:val="24"/>
          <w:szCs w:val="24"/>
        </w:rPr>
      </w:pPr>
      <w:r>
        <w:rPr>
          <w:rFonts w:hint="eastAsia" w:hAnsi="宋体"/>
          <w:bCs/>
          <w:sz w:val="24"/>
          <w:szCs w:val="24"/>
        </w:rPr>
        <w:t>主要针对大赛涉及的安全、交通、卫生、医疗、突发事件等设置应急预案、配备人员、调度资源，保障大赛顺利进行。</w:t>
      </w:r>
    </w:p>
    <w:p>
      <w:pPr>
        <w:pStyle w:val="14"/>
        <w:spacing w:line="460" w:lineRule="exact"/>
        <w:ind w:firstLine="480" w:firstLineChars="200"/>
        <w:rPr>
          <w:rFonts w:hAnsi="宋体"/>
          <w:sz w:val="24"/>
          <w:szCs w:val="24"/>
        </w:rPr>
      </w:pPr>
      <w:r>
        <w:rPr>
          <w:rFonts w:hint="eastAsia" w:hAnsi="宋体"/>
          <w:bCs/>
          <w:sz w:val="24"/>
          <w:szCs w:val="24"/>
        </w:rPr>
        <w:t>一</w:t>
      </w:r>
      <w:r>
        <w:rPr>
          <w:rFonts w:hAnsi="宋体"/>
          <w:bCs/>
          <w:sz w:val="24"/>
          <w:szCs w:val="24"/>
        </w:rPr>
        <w:t>档（</w:t>
      </w:r>
      <w:r>
        <w:rPr>
          <w:rFonts w:hint="eastAsia" w:hAnsi="宋体"/>
          <w:bCs/>
          <w:sz w:val="24"/>
          <w:szCs w:val="24"/>
        </w:rPr>
        <w:t>3</w:t>
      </w:r>
      <w:r>
        <w:rPr>
          <w:rFonts w:hAnsi="宋体"/>
          <w:bCs/>
          <w:sz w:val="24"/>
          <w:szCs w:val="24"/>
        </w:rPr>
        <w:t>分）</w:t>
      </w:r>
      <w:r>
        <w:rPr>
          <w:rFonts w:hint="eastAsia" w:hAnsi="宋体"/>
          <w:bCs/>
          <w:sz w:val="24"/>
          <w:szCs w:val="24"/>
        </w:rPr>
        <w:t>：</w:t>
      </w:r>
      <w:r>
        <w:rPr>
          <w:rFonts w:hAnsi="宋体"/>
          <w:sz w:val="24"/>
          <w:szCs w:val="24"/>
        </w:rPr>
        <w:t>满足</w:t>
      </w:r>
      <w:r>
        <w:rPr>
          <w:rFonts w:hint="eastAsia" w:hAnsi="宋体"/>
          <w:sz w:val="24"/>
          <w:szCs w:val="24"/>
        </w:rPr>
        <w:t>采购</w:t>
      </w:r>
      <w:r>
        <w:rPr>
          <w:rFonts w:hAnsi="宋体"/>
          <w:sz w:val="24"/>
          <w:szCs w:val="24"/>
        </w:rPr>
        <w:t>文件要求，能提供简单的</w:t>
      </w:r>
      <w:r>
        <w:rPr>
          <w:rFonts w:hAnsi="宋体"/>
          <w:bCs/>
          <w:sz w:val="24"/>
          <w:szCs w:val="24"/>
        </w:rPr>
        <w:t>服务应急预案，预案具备一定的可行性和合理性的</w:t>
      </w:r>
      <w:r>
        <w:rPr>
          <w:rFonts w:hint="eastAsia" w:hAnsi="宋体"/>
          <w:sz w:val="24"/>
          <w:szCs w:val="24"/>
        </w:rPr>
        <w:t>；</w:t>
      </w:r>
    </w:p>
    <w:p>
      <w:pPr>
        <w:pStyle w:val="14"/>
        <w:spacing w:line="460" w:lineRule="exact"/>
        <w:ind w:firstLine="480" w:firstLineChars="200"/>
        <w:rPr>
          <w:rFonts w:hAnsi="宋体"/>
          <w:bCs/>
          <w:sz w:val="24"/>
          <w:szCs w:val="24"/>
        </w:rPr>
      </w:pPr>
      <w:r>
        <w:rPr>
          <w:rFonts w:hAnsi="宋体"/>
          <w:bCs/>
          <w:sz w:val="24"/>
          <w:szCs w:val="24"/>
        </w:rPr>
        <w:t>二档（</w:t>
      </w:r>
      <w:r>
        <w:rPr>
          <w:rFonts w:hint="eastAsia" w:hAnsi="宋体"/>
          <w:bCs/>
          <w:sz w:val="24"/>
          <w:szCs w:val="24"/>
        </w:rPr>
        <w:t>7</w:t>
      </w:r>
      <w:r>
        <w:rPr>
          <w:rFonts w:hAnsi="宋体"/>
          <w:bCs/>
          <w:sz w:val="24"/>
          <w:szCs w:val="24"/>
        </w:rPr>
        <w:t>分）</w:t>
      </w:r>
      <w:r>
        <w:rPr>
          <w:rFonts w:hint="eastAsia" w:hAnsi="宋体"/>
          <w:bCs/>
          <w:sz w:val="24"/>
          <w:szCs w:val="24"/>
        </w:rPr>
        <w:t>：</w:t>
      </w:r>
      <w:r>
        <w:rPr>
          <w:rFonts w:hAnsi="宋体"/>
          <w:bCs/>
          <w:sz w:val="24"/>
          <w:szCs w:val="24"/>
        </w:rPr>
        <w:t>满足</w:t>
      </w:r>
      <w:r>
        <w:rPr>
          <w:rFonts w:hint="eastAsia" w:hAnsi="宋体"/>
          <w:bCs/>
          <w:sz w:val="24"/>
          <w:szCs w:val="24"/>
        </w:rPr>
        <w:t>采购</w:t>
      </w:r>
      <w:r>
        <w:rPr>
          <w:rFonts w:hAnsi="宋体"/>
          <w:bCs/>
          <w:sz w:val="24"/>
          <w:szCs w:val="24"/>
        </w:rPr>
        <w:t>文件要求，能提供详细的服务应急预案，预案内容详细、操作步骤逻辑清晰，根据现场实际环境进行定制的，具备较高可操作性和先进性的</w:t>
      </w:r>
      <w:r>
        <w:rPr>
          <w:rFonts w:hint="eastAsia" w:hAnsi="宋体"/>
          <w:bCs/>
          <w:sz w:val="24"/>
          <w:szCs w:val="24"/>
        </w:rPr>
        <w:t>；</w:t>
      </w:r>
    </w:p>
    <w:p>
      <w:pPr>
        <w:pStyle w:val="14"/>
        <w:spacing w:line="460" w:lineRule="exact"/>
        <w:ind w:firstLine="480" w:firstLineChars="200"/>
      </w:pPr>
      <w:r>
        <w:rPr>
          <w:rFonts w:hint="eastAsia" w:hAnsi="宋体"/>
          <w:bCs/>
          <w:sz w:val="24"/>
          <w:szCs w:val="24"/>
        </w:rPr>
        <w:t>三</w:t>
      </w:r>
      <w:r>
        <w:rPr>
          <w:rFonts w:hAnsi="宋体"/>
          <w:bCs/>
          <w:sz w:val="24"/>
          <w:szCs w:val="24"/>
        </w:rPr>
        <w:t>档（</w:t>
      </w:r>
      <w:r>
        <w:rPr>
          <w:rFonts w:hint="eastAsia" w:hAnsi="宋体"/>
          <w:bCs/>
          <w:sz w:val="24"/>
          <w:szCs w:val="24"/>
        </w:rPr>
        <w:t>10</w:t>
      </w:r>
      <w:r>
        <w:rPr>
          <w:rFonts w:hAnsi="宋体"/>
          <w:bCs/>
          <w:sz w:val="24"/>
          <w:szCs w:val="24"/>
        </w:rPr>
        <w:t>分</w:t>
      </w:r>
      <w:r>
        <w:rPr>
          <w:rFonts w:hint="eastAsia" w:hAnsi="宋体"/>
          <w:bCs/>
          <w:sz w:val="24"/>
          <w:szCs w:val="24"/>
        </w:rPr>
        <w:t>）：</w:t>
      </w:r>
      <w:r>
        <w:rPr>
          <w:rFonts w:hAnsi="宋体"/>
          <w:sz w:val="24"/>
          <w:szCs w:val="24"/>
        </w:rPr>
        <w:t>满足</w:t>
      </w:r>
      <w:r>
        <w:rPr>
          <w:rFonts w:hint="eastAsia" w:hAnsi="宋体"/>
          <w:sz w:val="24"/>
          <w:szCs w:val="24"/>
        </w:rPr>
        <w:t>采购</w:t>
      </w:r>
      <w:r>
        <w:rPr>
          <w:rFonts w:hAnsi="宋体"/>
          <w:sz w:val="24"/>
          <w:szCs w:val="24"/>
        </w:rPr>
        <w:t>文件要求，能提供详细的</w:t>
      </w:r>
      <w:r>
        <w:rPr>
          <w:rFonts w:hAnsi="宋体"/>
          <w:bCs/>
          <w:sz w:val="24"/>
          <w:szCs w:val="24"/>
        </w:rPr>
        <w:t>服务应急预案，预案内容十分详尽，操作步骤逻辑清晰合理，根据现场实际环境进行定制的；方案具备极高的可操作性的。</w:t>
      </w:r>
    </w:p>
    <w:p>
      <w:pPr>
        <w:spacing w:line="500" w:lineRule="exact"/>
        <w:ind w:firstLine="241" w:firstLineChars="100"/>
        <w:rPr>
          <w:rFonts w:asciiTheme="majorEastAsia" w:hAnsiTheme="majorEastAsia" w:eastAsiaTheme="majorEastAsia"/>
          <w:b/>
          <w:sz w:val="24"/>
        </w:rPr>
      </w:pPr>
      <w:r>
        <w:rPr>
          <w:rFonts w:hint="eastAsia" w:asciiTheme="majorEastAsia" w:hAnsiTheme="majorEastAsia" w:eastAsiaTheme="majorEastAsia"/>
          <w:b/>
          <w:sz w:val="24"/>
        </w:rPr>
        <w:t>3、商务分………………………………………………………</w:t>
      </w:r>
      <w:r>
        <w:rPr>
          <w:rFonts w:asciiTheme="majorEastAsia" w:hAnsiTheme="majorEastAsia" w:eastAsiaTheme="majorEastAsia"/>
          <w:b/>
          <w:sz w:val="24"/>
        </w:rPr>
        <w:t>……</w:t>
      </w:r>
      <w:r>
        <w:rPr>
          <w:rFonts w:hint="eastAsia" w:asciiTheme="majorEastAsia" w:hAnsiTheme="majorEastAsia" w:eastAsiaTheme="majorEastAsia"/>
          <w:b/>
          <w:sz w:val="24"/>
        </w:rPr>
        <w:t>…………………25分</w:t>
      </w:r>
    </w:p>
    <w:p>
      <w:pPr>
        <w:spacing w:line="480" w:lineRule="exact"/>
        <w:ind w:firstLine="361" w:firstLineChars="150"/>
        <w:rPr>
          <w:rFonts w:asciiTheme="minorEastAsia" w:hAnsiTheme="minorEastAsia" w:eastAsiaTheme="minorEastAsia"/>
          <w:dstrike/>
          <w:color w:val="FF0000"/>
          <w:sz w:val="24"/>
        </w:rPr>
      </w:pPr>
      <w:r>
        <w:rPr>
          <w:rFonts w:hint="eastAsia" w:asciiTheme="minorEastAsia" w:hAnsiTheme="minorEastAsia" w:eastAsiaTheme="minorEastAsia"/>
          <w:b/>
          <w:sz w:val="24"/>
        </w:rPr>
        <w:t>（</w:t>
      </w:r>
      <w:r>
        <w:rPr>
          <w:rFonts w:asciiTheme="minorEastAsia" w:hAnsiTheme="minorEastAsia" w:eastAsiaTheme="minorEastAsia"/>
          <w:b/>
          <w:sz w:val="24"/>
        </w:rPr>
        <w:t>1）</w:t>
      </w:r>
      <w:r>
        <w:rPr>
          <w:rFonts w:hint="eastAsia" w:asciiTheme="minorEastAsia" w:hAnsiTheme="minorEastAsia" w:eastAsiaTheme="minorEastAsia"/>
          <w:b/>
          <w:sz w:val="24"/>
        </w:rPr>
        <w:t>活动经验（满分9分，不重复计分。）</w:t>
      </w:r>
    </w:p>
    <w:p>
      <w:pPr>
        <w:spacing w:line="480" w:lineRule="exact"/>
        <w:ind w:firstLine="360" w:firstLineChars="150"/>
        <w:rPr>
          <w:rFonts w:asciiTheme="minorEastAsia" w:hAnsiTheme="minorEastAsia" w:eastAsiaTheme="minorEastAsia"/>
          <w:sz w:val="24"/>
        </w:rPr>
      </w:pPr>
      <w:r>
        <w:rPr>
          <w:rFonts w:hint="eastAsia" w:asciiTheme="minorEastAsia" w:hAnsiTheme="minorEastAsia" w:eastAsiaTheme="minorEastAsia"/>
          <w:sz w:val="24"/>
        </w:rPr>
        <w:t>1）近三年承接举办过类似的活动数量3个，规模一般，活动信息记录不完整，得3分；</w:t>
      </w:r>
    </w:p>
    <w:p>
      <w:pPr>
        <w:spacing w:line="480" w:lineRule="exact"/>
        <w:ind w:firstLine="360" w:firstLineChars="150"/>
        <w:rPr>
          <w:rFonts w:asciiTheme="minorEastAsia" w:hAnsiTheme="minorEastAsia" w:eastAsiaTheme="minorEastAsia"/>
          <w:sz w:val="24"/>
        </w:rPr>
      </w:pPr>
      <w:r>
        <w:rPr>
          <w:rFonts w:hint="eastAsia" w:asciiTheme="minorEastAsia" w:hAnsiTheme="minorEastAsia" w:eastAsiaTheme="minorEastAsia"/>
          <w:sz w:val="24"/>
        </w:rPr>
        <w:t>2）近三年承接举办过类似的活动数量达到5个及以上，规模较大，有详实的活动信息记录，得6分。</w:t>
      </w:r>
    </w:p>
    <w:p>
      <w:pPr>
        <w:spacing w:line="480" w:lineRule="exact"/>
        <w:ind w:firstLine="360" w:firstLineChars="150"/>
        <w:rPr>
          <w:rFonts w:asciiTheme="minorEastAsia" w:hAnsiTheme="minorEastAsia" w:eastAsiaTheme="minorEastAsia"/>
          <w:sz w:val="24"/>
        </w:rPr>
      </w:pPr>
      <w:r>
        <w:rPr>
          <w:rFonts w:hint="eastAsia" w:asciiTheme="minorEastAsia" w:hAnsiTheme="minorEastAsia" w:eastAsiaTheme="minorEastAsia"/>
          <w:sz w:val="24"/>
        </w:rPr>
        <w:t>3）近三年承接举办过类似的活动数量达到8个及以上，且承接过市级人民政府或厅级机关及以上级别党政部门组织的科技类活动，规模大，有丰富详实的活动信息记录，得9分。</w:t>
      </w:r>
    </w:p>
    <w:p>
      <w:pPr>
        <w:spacing w:line="480" w:lineRule="exact"/>
        <w:ind w:firstLine="360" w:firstLineChars="15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注：响应文件中</w:t>
      </w:r>
      <w:r>
        <w:rPr>
          <w:rFonts w:asciiTheme="minorEastAsia" w:hAnsiTheme="minorEastAsia" w:eastAsiaTheme="minorEastAsia"/>
          <w:sz w:val="24"/>
        </w:rPr>
        <w:t>需提供项目合同或协议书</w:t>
      </w:r>
      <w:r>
        <w:rPr>
          <w:rFonts w:hint="eastAsia" w:asciiTheme="minorEastAsia" w:hAnsiTheme="minorEastAsia" w:eastAsiaTheme="minorEastAsia"/>
          <w:sz w:val="24"/>
        </w:rPr>
        <w:t>或政府公文通知等</w:t>
      </w:r>
      <w:r>
        <w:rPr>
          <w:rFonts w:asciiTheme="minorEastAsia" w:hAnsiTheme="minorEastAsia" w:eastAsiaTheme="minorEastAsia"/>
          <w:sz w:val="24"/>
        </w:rPr>
        <w:t>复印件作为证明材料，原件备查</w:t>
      </w:r>
      <w:r>
        <w:rPr>
          <w:rFonts w:hint="eastAsia" w:asciiTheme="minorEastAsia" w:hAnsiTheme="minorEastAsia" w:eastAsiaTheme="minorEastAsia"/>
          <w:sz w:val="24"/>
        </w:rPr>
        <w:t>，</w:t>
      </w:r>
      <w:r>
        <w:rPr>
          <w:rFonts w:asciiTheme="minorEastAsia" w:hAnsiTheme="minorEastAsia" w:eastAsiaTheme="minorEastAsia"/>
          <w:sz w:val="24"/>
        </w:rPr>
        <w:t>不提供不得分。）</w:t>
      </w:r>
    </w:p>
    <w:p>
      <w:pPr>
        <w:spacing w:line="480" w:lineRule="exact"/>
        <w:ind w:firstLine="361" w:firstLineChars="150"/>
        <w:rPr>
          <w:rFonts w:asciiTheme="minorEastAsia" w:hAnsiTheme="minorEastAsia" w:eastAsiaTheme="minorEastAsia"/>
          <w:sz w:val="24"/>
        </w:rPr>
      </w:pPr>
      <w:r>
        <w:rPr>
          <w:rFonts w:hint="eastAsia" w:asciiTheme="minorEastAsia" w:hAnsiTheme="minorEastAsia" w:eastAsiaTheme="minorEastAsia"/>
          <w:b/>
          <w:sz w:val="24"/>
        </w:rPr>
        <w:t>（2</w:t>
      </w:r>
      <w:r>
        <w:rPr>
          <w:rFonts w:asciiTheme="minorEastAsia" w:hAnsiTheme="minorEastAsia" w:eastAsiaTheme="minorEastAsia"/>
          <w:b/>
          <w:sz w:val="24"/>
        </w:rPr>
        <w:t>）</w:t>
      </w:r>
      <w:r>
        <w:rPr>
          <w:rFonts w:hint="eastAsia" w:asciiTheme="minorEastAsia" w:hAnsiTheme="minorEastAsia" w:eastAsiaTheme="minorEastAsia"/>
          <w:b/>
          <w:sz w:val="24"/>
        </w:rPr>
        <w:t>专业资质（满分10分）</w:t>
      </w:r>
    </w:p>
    <w:p>
      <w:pPr>
        <w:spacing w:line="480" w:lineRule="exact"/>
        <w:ind w:firstLine="360" w:firstLineChars="150"/>
        <w:rPr>
          <w:rFonts w:asciiTheme="minorEastAsia" w:hAnsiTheme="minorEastAsia" w:eastAsiaTheme="minorEastAsia"/>
          <w:sz w:val="24"/>
        </w:rPr>
      </w:pPr>
      <w:r>
        <w:rPr>
          <w:rFonts w:ascii="宋体" w:hAnsi="宋体" w:cs="宋体"/>
          <w:sz w:val="24"/>
        </w:rPr>
        <w:t>1）磋商供应商建设有创新创业平台，并且没有获得市级或以上科技部门认定资质的，得4分。（提供相关证明材料）</w:t>
      </w:r>
      <w:r>
        <w:rPr>
          <w:rFonts w:ascii="宋体" w:hAnsi="宋体" w:cs="宋体"/>
          <w:sz w:val="24"/>
        </w:rPr>
        <w:br w:type="textWrapping"/>
      </w:r>
      <w:r>
        <w:rPr>
          <w:rFonts w:hint="eastAsia" w:ascii="宋体" w:hAnsi="宋体" w:cs="宋体"/>
          <w:sz w:val="24"/>
        </w:rPr>
        <w:t xml:space="preserve">   </w:t>
      </w:r>
      <w:r>
        <w:rPr>
          <w:rFonts w:ascii="宋体" w:hAnsi="宋体" w:cs="宋体"/>
          <w:sz w:val="24"/>
        </w:rPr>
        <w:t>2）磋商供应商建设的创新创业平台获得市级认定的科技企业孵化器或众创空间的，得6分。（提供相关科技部门批复文件复印件）</w:t>
      </w:r>
      <w:r>
        <w:rPr>
          <w:rFonts w:ascii="宋体" w:hAnsi="宋体" w:cs="宋体"/>
          <w:sz w:val="24"/>
        </w:rPr>
        <w:br w:type="textWrapping"/>
      </w:r>
      <w:r>
        <w:rPr>
          <w:rFonts w:hint="eastAsia" w:ascii="宋体" w:hAnsi="宋体" w:cs="宋体"/>
          <w:sz w:val="24"/>
        </w:rPr>
        <w:t xml:space="preserve">   </w:t>
      </w:r>
      <w:r>
        <w:rPr>
          <w:rFonts w:ascii="宋体" w:hAnsi="宋体" w:cs="宋体"/>
          <w:sz w:val="24"/>
        </w:rPr>
        <w:t>3）磋商供应商建设的创新创业平台获得自治区级/省级认定的科技企业孵化器或众创空间的，得8分。（提供相关科技部门批复文件复印件）</w:t>
      </w:r>
      <w:r>
        <w:rPr>
          <w:rFonts w:ascii="宋体" w:hAnsi="宋体" w:cs="宋体"/>
          <w:sz w:val="24"/>
        </w:rPr>
        <w:br w:type="textWrapping"/>
      </w:r>
      <w:r>
        <w:rPr>
          <w:rFonts w:hint="eastAsia" w:ascii="宋体" w:hAnsi="宋体" w:cs="宋体"/>
          <w:sz w:val="24"/>
        </w:rPr>
        <w:t xml:space="preserve">   </w:t>
      </w:r>
      <w:r>
        <w:rPr>
          <w:rFonts w:ascii="宋体" w:hAnsi="宋体" w:cs="宋体"/>
          <w:sz w:val="24"/>
        </w:rPr>
        <w:t>4）磋商供应商建设的创新创业平台获得国家级认定的科技企业孵化器或众创空间的，得10分。（提供相关科技部门批复文件复印件）</w:t>
      </w:r>
    </w:p>
    <w:p>
      <w:pPr>
        <w:spacing w:line="480" w:lineRule="exact"/>
        <w:ind w:firstLine="361" w:firstLineChars="150"/>
        <w:rPr>
          <w:rFonts w:asciiTheme="minorEastAsia" w:hAnsiTheme="minorEastAsia" w:eastAsiaTheme="minorEastAsia"/>
          <w:b/>
          <w:bCs/>
          <w:sz w:val="24"/>
        </w:rPr>
      </w:pPr>
      <w:r>
        <w:rPr>
          <w:rFonts w:hint="eastAsia" w:asciiTheme="minorEastAsia" w:hAnsiTheme="minorEastAsia" w:eastAsiaTheme="minorEastAsia"/>
          <w:b/>
          <w:bCs/>
          <w:sz w:val="24"/>
        </w:rPr>
        <w:t>备注：如果磋商供应商同时已获得市级、自治区级、国家级等认定，以最高级别认定评分，不累计叠加。</w:t>
      </w:r>
    </w:p>
    <w:p>
      <w:pPr>
        <w:pStyle w:val="11"/>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（3）服务资质（满分5分）</w:t>
      </w:r>
    </w:p>
    <w:p>
      <w:pPr>
        <w:pStyle w:val="11"/>
        <w:ind w:firstLine="480" w:firstLineChars="200"/>
        <w:rPr>
          <w:rFonts w:asciiTheme="minorEastAsia" w:hAnsiTheme="minorEastAsia" w:eastAsiaTheme="minorEastAsia"/>
          <w:sz w:val="24"/>
        </w:rPr>
      </w:pPr>
      <w:r>
        <w:rPr>
          <w:rFonts w:hint="eastAsia" w:asciiTheme="minorEastAsia" w:hAnsiTheme="minorEastAsia" w:eastAsiaTheme="minorEastAsia"/>
          <w:sz w:val="24"/>
        </w:rPr>
        <w:t>1）磋商供应商应有合作的投融资机构、企业咨询辅导专家（机构）和科技型中小微企业服务机构等3家及以上，得1分。</w:t>
      </w:r>
    </w:p>
    <w:p>
      <w:pPr>
        <w:pStyle w:val="11"/>
        <w:ind w:firstLine="480" w:firstLineChars="200"/>
        <w:rPr>
          <w:rFonts w:asciiTheme="minorEastAsia" w:hAnsiTheme="minorEastAsia" w:eastAsiaTheme="minorEastAsia"/>
          <w:sz w:val="24"/>
        </w:rPr>
      </w:pPr>
      <w:r>
        <w:rPr>
          <w:rFonts w:hint="eastAsia" w:asciiTheme="minorEastAsia" w:hAnsiTheme="minorEastAsia" w:eastAsiaTheme="minorEastAsia"/>
          <w:sz w:val="24"/>
        </w:rPr>
        <w:t>2）磋商供应商应有合作的投融资机构、企业咨询辅导专家（机构）和科技型中小微企业服务机构等5家及以上，得3分。</w:t>
      </w:r>
    </w:p>
    <w:p>
      <w:pPr>
        <w:pStyle w:val="11"/>
        <w:ind w:firstLine="480" w:firstLineChars="200"/>
        <w:rPr>
          <w:rFonts w:asciiTheme="minorEastAsia" w:hAnsiTheme="minorEastAsia" w:eastAsiaTheme="minorEastAsia"/>
          <w:sz w:val="24"/>
        </w:rPr>
      </w:pPr>
      <w:r>
        <w:rPr>
          <w:rFonts w:hint="eastAsia" w:asciiTheme="minorEastAsia" w:hAnsiTheme="minorEastAsia" w:eastAsiaTheme="minorEastAsia"/>
          <w:sz w:val="24"/>
        </w:rPr>
        <w:t>3）磋商供应商应有合作的投融资机构、企业咨询辅导专家（机构）和科技型中小微企业服务机构等8家及以上，得5分。</w:t>
      </w:r>
    </w:p>
    <w:p>
      <w:pPr>
        <w:spacing w:line="480" w:lineRule="exact"/>
        <w:ind w:firstLine="361" w:firstLineChars="150"/>
        <w:rPr>
          <w:rFonts w:asciiTheme="minorEastAsia" w:hAnsiTheme="minorEastAsia" w:eastAsiaTheme="minorEastAsia"/>
          <w:b/>
          <w:bCs/>
          <w:sz w:val="24"/>
        </w:rPr>
      </w:pPr>
      <w:r>
        <w:rPr>
          <w:rFonts w:hint="eastAsia" w:asciiTheme="minorEastAsia" w:hAnsiTheme="minorEastAsia" w:eastAsiaTheme="minorEastAsia"/>
          <w:b/>
          <w:bCs/>
          <w:sz w:val="24"/>
        </w:rPr>
        <w:t>（4）</w:t>
      </w:r>
      <w:r>
        <w:rPr>
          <w:rFonts w:asciiTheme="minorEastAsia" w:hAnsiTheme="minorEastAsia" w:eastAsiaTheme="minorEastAsia"/>
          <w:b/>
          <w:bCs/>
          <w:sz w:val="24"/>
        </w:rPr>
        <w:t>响应文件编制内容清晰、目录页码准确、装订规范整齐，得0.1～</w:t>
      </w:r>
      <w:r>
        <w:rPr>
          <w:rFonts w:hint="eastAsia" w:asciiTheme="minorEastAsia" w:hAnsiTheme="minorEastAsia" w:eastAsiaTheme="minorEastAsia"/>
          <w:b/>
          <w:bCs/>
          <w:sz w:val="24"/>
        </w:rPr>
        <w:t>1</w:t>
      </w:r>
      <w:r>
        <w:rPr>
          <w:rFonts w:asciiTheme="minorEastAsia" w:hAnsiTheme="minorEastAsia" w:eastAsiaTheme="minorEastAsia"/>
          <w:b/>
          <w:bCs/>
          <w:sz w:val="24"/>
        </w:rPr>
        <w:t>分；</w:t>
      </w:r>
    </w:p>
    <w:p>
      <w:pPr>
        <w:spacing w:line="480" w:lineRule="exact"/>
        <w:ind w:firstLine="361" w:firstLineChars="150"/>
        <w:rPr>
          <w:rFonts w:ascii="宋体" w:hAnsi="宋体" w:cs="宋体"/>
          <w:b/>
          <w:bCs/>
          <w:color w:val="FF0000"/>
          <w:sz w:val="24"/>
        </w:rPr>
      </w:pPr>
      <w:r>
        <w:rPr>
          <w:rFonts w:hint="eastAsia" w:asciiTheme="minorEastAsia" w:hAnsiTheme="minorEastAsia" w:eastAsiaTheme="minorEastAsia"/>
          <w:b/>
          <w:bCs/>
          <w:sz w:val="24"/>
        </w:rPr>
        <w:t>（5）磋商供应商在截标日前1年内在政府采购活动中存在违约违规情形的（以财政部门出具的书面材料为评分依据），每次扣除3分，最高扣分6分扣完为止。</w:t>
      </w:r>
    </w:p>
    <w:p>
      <w:pPr>
        <w:spacing w:line="360" w:lineRule="auto"/>
        <w:ind w:firstLine="480" w:firstLineChars="200"/>
        <w:rPr>
          <w:rFonts w:ascii="宋体" w:hAnsi="宋体" w:cs="宋体"/>
          <w:sz w:val="24"/>
        </w:rPr>
      </w:pPr>
      <w:r>
        <w:rPr>
          <w:rFonts w:hint="eastAsia" w:ascii="宋体" w:hAnsi="宋体" w:cs="宋体"/>
          <w:sz w:val="24"/>
        </w:rPr>
        <w:t>（三）总得分＝1＋2＋3</w:t>
      </w:r>
    </w:p>
    <w:p>
      <w:pPr>
        <w:spacing w:line="360" w:lineRule="auto"/>
        <w:jc w:val="left"/>
        <w:outlineLvl w:val="1"/>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（四）成交候选供应商推荐原则</w:t>
      </w:r>
    </w:p>
    <w:p>
      <w:pPr>
        <w:spacing w:line="360" w:lineRule="auto"/>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kern w:val="0"/>
          <w:sz w:val="24"/>
        </w:rPr>
        <w:t>磋商小组将按总得分由高到低排列成交候选供</w:t>
      </w:r>
      <w:r>
        <w:rPr>
          <w:rFonts w:hint="eastAsia" w:asciiTheme="majorEastAsia" w:hAnsiTheme="majorEastAsia" w:eastAsiaTheme="majorEastAsia" w:cstheme="majorEastAsia"/>
          <w:sz w:val="24"/>
        </w:rPr>
        <w:t>应商顺序（总得分相同时，依次按磋商报价低优先、技术分高优先、质量保证期长优先、处理问题到达时间短优先的顺序排列），并依照次序确定成交供应商；前述指标均相同时，由磋商小组各成员对供应商当场投票表决，得票多者优先；按前述程序仍无法确定供应商排名顺序的，由磋商小组抽签决定），并依照次序确定成交供</w:t>
      </w:r>
      <w:r>
        <w:rPr>
          <w:rFonts w:hint="eastAsia" w:asciiTheme="majorEastAsia" w:hAnsiTheme="majorEastAsia" w:eastAsiaTheme="majorEastAsia" w:cstheme="majorEastAsia"/>
          <w:kern w:val="0"/>
          <w:sz w:val="24"/>
        </w:rPr>
        <w:t>应商。</w:t>
      </w:r>
    </w:p>
    <w:p>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2、符合《政府采购竞争性磋商采购方式管理暂行办法》第二十一条第三款情形的项目或政府购买服务项目（含政府和社会资本合作项目），可以推荐2家成交候选供应商。</w:t>
      </w:r>
    </w:p>
    <w:p>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pStyle w:val="11"/>
        <w:spacing w:line="360" w:lineRule="auto"/>
        <w:ind w:firstLine="482" w:firstLineChars="200"/>
        <w:rPr>
          <w:rFonts w:asciiTheme="majorEastAsia" w:hAnsiTheme="majorEastAsia" w:eastAsiaTheme="majorEastAsia" w:cstheme="majorEastAsia"/>
          <w:b/>
          <w:sz w:val="24"/>
        </w:rPr>
      </w:pPr>
      <w:r>
        <w:rPr>
          <w:rFonts w:hint="eastAsia" w:asciiTheme="majorEastAsia" w:hAnsiTheme="majorEastAsia" w:eastAsiaTheme="majorEastAsia" w:cstheme="majorEastAsia"/>
          <w:b/>
          <w:bCs/>
          <w:sz w:val="24"/>
        </w:rPr>
        <w:t>4、磋</w:t>
      </w:r>
      <w:r>
        <w:rPr>
          <w:rFonts w:hint="eastAsia" w:asciiTheme="majorEastAsia" w:hAnsiTheme="majorEastAsia" w:eastAsiaTheme="majorEastAsia" w:cstheme="majorEastAsia"/>
          <w:b/>
          <w:sz w:val="24"/>
        </w:rPr>
        <w:t>商小组认为，某磋商供应商的最低磋商报价明显不合理或者低于成本，有可能影响服务质量和不能诚信履约的，应当要求其在规定的期限内提供书面文件予以解释说明，并提交相关证明材料。磋商供应不能合理说明或者不能提供相关证明材料的，视作该磋商供应商以低于成本报价响应，其响应无效。</w:t>
      </w:r>
    </w:p>
    <w:bookmarkEnd w:id="0"/>
    <w:bookmarkEnd w:id="1"/>
    <w:bookmarkEnd w:id="14"/>
    <w:bookmarkEnd w:id="15"/>
    <w:bookmarkEnd w:id="16"/>
    <w:bookmarkEnd w:id="17"/>
    <w:bookmarkEnd w:id="18"/>
    <w:bookmarkEnd w:id="19"/>
    <w:p>
      <w:pPr>
        <w:pStyle w:val="3"/>
        <w:jc w:val="center"/>
        <w:rPr>
          <w:rFonts w:asciiTheme="majorEastAsia" w:hAnsiTheme="majorEastAsia" w:eastAsiaTheme="majorEastAsia" w:cstheme="majorEastAsia"/>
          <w:b/>
          <w:color w:val="auto"/>
          <w:sz w:val="32"/>
          <w:szCs w:val="32"/>
        </w:rPr>
        <w:sectPr>
          <w:pgSz w:w="11906" w:h="16838"/>
          <w:pgMar w:top="1440" w:right="1080" w:bottom="1118" w:left="1080" w:header="720" w:footer="720" w:gutter="0"/>
          <w:cols w:space="720" w:num="1"/>
          <w:docGrid w:type="lines" w:linePitch="331" w:charSpace="0"/>
        </w:sectPr>
      </w:pPr>
      <w:bookmarkStart w:id="22" w:name="_Toc485920212"/>
      <w:bookmarkStart w:id="23" w:name="_Toc213325923"/>
      <w:bookmarkStart w:id="24" w:name="_Toc460253701"/>
      <w:bookmarkStart w:id="25" w:name="_Toc521096342"/>
      <w:bookmarkStart w:id="26" w:name="_Toc213326414"/>
      <w:bookmarkStart w:id="27" w:name="_Toc213206174"/>
    </w:p>
    <w:p>
      <w:pPr>
        <w:pStyle w:val="3"/>
        <w:jc w:val="center"/>
        <w:rPr>
          <w:rFonts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color w:val="auto"/>
          <w:sz w:val="32"/>
          <w:szCs w:val="32"/>
        </w:rPr>
        <w:t>第四章   磋商供应商须知</w:t>
      </w:r>
      <w:bookmarkEnd w:id="22"/>
      <w:bookmarkEnd w:id="23"/>
      <w:bookmarkEnd w:id="24"/>
      <w:bookmarkEnd w:id="25"/>
      <w:bookmarkEnd w:id="26"/>
      <w:bookmarkEnd w:id="27"/>
      <w:bookmarkStart w:id="28" w:name="_Toc213326415"/>
    </w:p>
    <w:bookmarkEnd w:id="28"/>
    <w:p>
      <w:pPr>
        <w:pStyle w:val="14"/>
        <w:spacing w:line="360" w:lineRule="auto"/>
        <w:ind w:firstLine="482" w:firstLineChars="200"/>
        <w:jc w:val="left"/>
        <w:rPr>
          <w:rFonts w:asciiTheme="majorEastAsia" w:hAnsiTheme="majorEastAsia" w:eastAsiaTheme="majorEastAsia" w:cstheme="majorEastAsia"/>
          <w:b/>
          <w:sz w:val="24"/>
          <w:szCs w:val="24"/>
        </w:rPr>
      </w:pPr>
      <w:bookmarkStart w:id="29" w:name="_Toc460253702"/>
      <w:r>
        <w:rPr>
          <w:rFonts w:hint="eastAsia" w:asciiTheme="majorEastAsia" w:hAnsiTheme="majorEastAsia" w:eastAsiaTheme="majorEastAsia" w:cstheme="majorEastAsia"/>
          <w:b/>
          <w:sz w:val="24"/>
          <w:szCs w:val="24"/>
        </w:rPr>
        <w:t>本表是关于本次采购项目的具体资料，是对后列条款的具体补充和修改。所有与本次采购有关的事宜，以本表规定的为准。</w:t>
      </w:r>
      <w:bookmarkEnd w:id="29"/>
    </w:p>
    <w:tbl>
      <w:tblPr>
        <w:tblStyle w:val="24"/>
        <w:tblW w:w="10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2575"/>
        <w:gridCol w:w="6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14"/>
              <w:snapToGrid w:val="0"/>
              <w:spacing w:after="165" w:afterLines="50" w:line="440" w:lineRule="exact"/>
              <w:jc w:val="center"/>
              <w:rPr>
                <w:rFonts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条款号</w:t>
            </w:r>
          </w:p>
        </w:tc>
        <w:tc>
          <w:tcPr>
            <w:tcW w:w="2575" w:type="dxa"/>
            <w:vAlign w:val="center"/>
          </w:tcPr>
          <w:p>
            <w:pPr>
              <w:pStyle w:val="14"/>
              <w:snapToGrid w:val="0"/>
              <w:spacing w:after="165" w:afterLines="50" w:line="440" w:lineRule="exact"/>
              <w:jc w:val="center"/>
              <w:rPr>
                <w:rFonts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条款名称</w:t>
            </w:r>
          </w:p>
        </w:tc>
        <w:tc>
          <w:tcPr>
            <w:tcW w:w="6524" w:type="dxa"/>
            <w:vAlign w:val="center"/>
          </w:tcPr>
          <w:p>
            <w:pPr>
              <w:pStyle w:val="14"/>
              <w:snapToGrid w:val="0"/>
              <w:spacing w:after="165" w:afterLines="50" w:line="440" w:lineRule="exact"/>
              <w:jc w:val="center"/>
              <w:rPr>
                <w:rFonts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14"/>
              <w:snapToGrid w:val="0"/>
              <w:spacing w:after="165" w:afterLines="50" w:line="440" w:lineRule="exac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1.1</w:t>
            </w:r>
          </w:p>
        </w:tc>
        <w:tc>
          <w:tcPr>
            <w:tcW w:w="2575" w:type="dxa"/>
            <w:vAlign w:val="center"/>
          </w:tcPr>
          <w:p>
            <w:pPr>
              <w:pStyle w:val="14"/>
              <w:snapToGrid w:val="0"/>
              <w:spacing w:after="165" w:afterLines="50" w:line="440" w:lineRule="exac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采购人</w:t>
            </w:r>
          </w:p>
        </w:tc>
        <w:tc>
          <w:tcPr>
            <w:tcW w:w="6524" w:type="dxa"/>
            <w:vAlign w:val="center"/>
          </w:tcPr>
          <w:p>
            <w:pPr>
              <w:pStyle w:val="14"/>
              <w:spacing w:line="440" w:lineRule="exac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名称：南宁市良庆区科学技术局  </w:t>
            </w:r>
          </w:p>
          <w:p>
            <w:pPr>
              <w:pStyle w:val="14"/>
              <w:spacing w:line="440" w:lineRule="exac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地址：南宁市良庆区歌海路9号良庆区行政中心1328办公室   </w:t>
            </w:r>
          </w:p>
          <w:p>
            <w:pPr>
              <w:pStyle w:val="14"/>
              <w:spacing w:line="440" w:lineRule="exac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联系人：黄工 </w:t>
            </w:r>
          </w:p>
          <w:p>
            <w:pPr>
              <w:pStyle w:val="14"/>
              <w:spacing w:line="440" w:lineRule="exac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联系电话：0771-4500690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14"/>
              <w:snapToGrid w:val="0"/>
              <w:spacing w:after="165" w:afterLines="50" w:line="440" w:lineRule="exac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w:t>
            </w:r>
          </w:p>
        </w:tc>
        <w:tc>
          <w:tcPr>
            <w:tcW w:w="2575" w:type="dxa"/>
            <w:vAlign w:val="center"/>
          </w:tcPr>
          <w:p>
            <w:pPr>
              <w:pStyle w:val="14"/>
              <w:snapToGrid w:val="0"/>
              <w:spacing w:after="165" w:afterLines="50" w:line="440" w:lineRule="exac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采购代理机构</w:t>
            </w:r>
          </w:p>
        </w:tc>
        <w:tc>
          <w:tcPr>
            <w:tcW w:w="6524" w:type="dxa"/>
            <w:vAlign w:val="center"/>
          </w:tcPr>
          <w:p>
            <w:pPr>
              <w:pStyle w:val="14"/>
              <w:spacing w:line="44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名称：广西邕政采购代理有限公司</w:t>
            </w:r>
          </w:p>
          <w:p>
            <w:pPr>
              <w:pStyle w:val="14"/>
              <w:spacing w:line="44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地址：南宁市思贤路45号创投中心16A层  </w:t>
            </w:r>
          </w:p>
          <w:p>
            <w:pPr>
              <w:pStyle w:val="14"/>
              <w:spacing w:line="44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项目联系人：蔺工、罗工</w:t>
            </w:r>
          </w:p>
          <w:p>
            <w:pPr>
              <w:pStyle w:val="14"/>
              <w:spacing w:line="44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联系电话：0771-2442850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361" w:type="dxa"/>
            <w:vAlign w:val="center"/>
          </w:tcPr>
          <w:p>
            <w:pPr>
              <w:pStyle w:val="14"/>
              <w:snapToGrid w:val="0"/>
              <w:spacing w:after="165" w:afterLines="50" w:line="440" w:lineRule="exac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1.3</w:t>
            </w:r>
          </w:p>
        </w:tc>
        <w:tc>
          <w:tcPr>
            <w:tcW w:w="2575" w:type="dxa"/>
            <w:vAlign w:val="center"/>
          </w:tcPr>
          <w:p>
            <w:pPr>
              <w:pStyle w:val="14"/>
              <w:snapToGrid w:val="0"/>
              <w:spacing w:after="165" w:afterLines="50" w:line="440" w:lineRule="exac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项目名称</w:t>
            </w:r>
          </w:p>
        </w:tc>
        <w:tc>
          <w:tcPr>
            <w:tcW w:w="6524" w:type="dxa"/>
            <w:vAlign w:val="center"/>
          </w:tcPr>
          <w:p>
            <w:pPr>
              <w:pStyle w:val="14"/>
              <w:snapToGrid w:val="0"/>
              <w:spacing w:after="165" w:afterLines="50" w:line="44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rPr>
              <w:t>第九届中国创新创业大赛广西赛区南宁市选拔赛暨第五届南宁市创新创业大赛服务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361" w:type="dxa"/>
            <w:vAlign w:val="center"/>
          </w:tcPr>
          <w:p>
            <w:pPr>
              <w:pStyle w:val="14"/>
              <w:snapToGrid w:val="0"/>
              <w:spacing w:after="165" w:afterLines="50" w:line="440" w:lineRule="exac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1.4</w:t>
            </w:r>
          </w:p>
        </w:tc>
        <w:tc>
          <w:tcPr>
            <w:tcW w:w="2575" w:type="dxa"/>
            <w:vAlign w:val="center"/>
          </w:tcPr>
          <w:p>
            <w:pPr>
              <w:pStyle w:val="14"/>
              <w:snapToGrid w:val="0"/>
              <w:spacing w:after="165" w:afterLines="50" w:line="440" w:lineRule="exac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项目编号</w:t>
            </w:r>
          </w:p>
        </w:tc>
        <w:tc>
          <w:tcPr>
            <w:tcW w:w="6524" w:type="dxa"/>
            <w:vAlign w:val="center"/>
          </w:tcPr>
          <w:p>
            <w:pPr>
              <w:pStyle w:val="14"/>
              <w:snapToGrid w:val="0"/>
              <w:spacing w:after="165" w:afterLines="50" w:line="440" w:lineRule="exact"/>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NNZC2020-C3-080001-GXYZ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14"/>
              <w:snapToGrid w:val="0"/>
              <w:spacing w:after="165" w:afterLines="50" w:line="440" w:lineRule="exac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1.5</w:t>
            </w:r>
          </w:p>
        </w:tc>
        <w:tc>
          <w:tcPr>
            <w:tcW w:w="2575" w:type="dxa"/>
            <w:vAlign w:val="center"/>
          </w:tcPr>
          <w:p>
            <w:pPr>
              <w:pStyle w:val="14"/>
              <w:snapToGrid w:val="0"/>
              <w:spacing w:after="165" w:afterLines="50" w:line="440" w:lineRule="exac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采购预算</w:t>
            </w:r>
          </w:p>
        </w:tc>
        <w:tc>
          <w:tcPr>
            <w:tcW w:w="6524" w:type="dxa"/>
            <w:vAlign w:val="center"/>
          </w:tcPr>
          <w:p>
            <w:pPr>
              <w:pStyle w:val="14"/>
              <w:spacing w:line="44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人民币陆拾万元整</w:t>
            </w:r>
            <w:r>
              <w:rPr>
                <w:rFonts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rPr>
              <w:t>600000.00</w:t>
            </w:r>
            <w:r>
              <w:rPr>
                <w:rFonts w:asciiTheme="majorEastAsia" w:hAnsiTheme="majorEastAsia" w:eastAsiaTheme="majorEastAsia" w:cstheme="majorEastAsia"/>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14"/>
              <w:snapToGrid w:val="0"/>
              <w:spacing w:after="165" w:afterLines="50" w:line="440" w:lineRule="exac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1.7</w:t>
            </w:r>
          </w:p>
        </w:tc>
        <w:tc>
          <w:tcPr>
            <w:tcW w:w="2575" w:type="dxa"/>
            <w:vAlign w:val="center"/>
          </w:tcPr>
          <w:p>
            <w:pPr>
              <w:pStyle w:val="14"/>
              <w:snapToGrid w:val="0"/>
              <w:spacing w:after="165" w:afterLines="50" w:line="440" w:lineRule="exac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获取招标文件的方式</w:t>
            </w:r>
          </w:p>
        </w:tc>
        <w:tc>
          <w:tcPr>
            <w:tcW w:w="6524" w:type="dxa"/>
            <w:vAlign w:val="center"/>
          </w:tcPr>
          <w:p>
            <w:pPr>
              <w:keepNext w:val="0"/>
              <w:keepLines w:val="0"/>
              <w:widowControl w:val="0"/>
              <w:suppressLineNumbers w:val="0"/>
              <w:wordWrap w:val="0"/>
              <w:spacing w:before="0" w:beforeAutospacing="0" w:after="0" w:afterAutospacing="0" w:line="360" w:lineRule="auto"/>
              <w:ind w:left="0" w:right="0" w:firstLine="0"/>
              <w:jc w:val="both"/>
              <w:rPr>
                <w:rFonts w:hint="eastAsia" w:ascii="宋体" w:hAnsi="宋体" w:eastAsia="宋体" w:cs="宋体"/>
                <w:kern w:val="2"/>
                <w:sz w:val="24"/>
                <w:szCs w:val="24"/>
              </w:rPr>
            </w:pPr>
            <w:r>
              <w:rPr>
                <w:rFonts w:hint="eastAsia" w:ascii="宋体" w:hAnsi="宋体" w:eastAsia="宋体" w:cs="宋体"/>
                <w:b/>
                <w:bCs/>
                <w:kern w:val="2"/>
                <w:sz w:val="24"/>
                <w:szCs w:val="24"/>
                <w:lang w:val="en-US" w:eastAsia="zh-CN" w:bidi="ar"/>
              </w:rPr>
              <w:t>时间：</w:t>
            </w:r>
            <w:r>
              <w:rPr>
                <w:rFonts w:hint="eastAsia" w:ascii="宋体" w:hAnsi="宋体" w:cs="宋体"/>
                <w:kern w:val="2"/>
                <w:sz w:val="24"/>
                <w:szCs w:val="24"/>
                <w:u w:val="single"/>
                <w:lang w:val="en-US" w:eastAsia="zh-CN" w:bidi="ar"/>
              </w:rPr>
              <w:t>2020</w:t>
            </w:r>
            <w:r>
              <w:rPr>
                <w:rFonts w:hint="eastAsia" w:ascii="宋体" w:hAnsi="宋体" w:eastAsia="宋体" w:cs="宋体"/>
                <w:kern w:val="2"/>
                <w:sz w:val="24"/>
                <w:szCs w:val="24"/>
                <w:u w:val="single"/>
                <w:lang w:val="en-US" w:eastAsia="zh-CN" w:bidi="ar"/>
              </w:rPr>
              <w:t>年</w:t>
            </w:r>
            <w:r>
              <w:rPr>
                <w:rFonts w:hint="eastAsia" w:ascii="宋体" w:hAnsi="宋体" w:cs="宋体"/>
                <w:kern w:val="2"/>
                <w:sz w:val="24"/>
                <w:szCs w:val="24"/>
                <w:u w:val="single"/>
                <w:lang w:val="en-US" w:eastAsia="zh-CN" w:bidi="ar"/>
              </w:rPr>
              <w:t>7</w:t>
            </w:r>
            <w:r>
              <w:rPr>
                <w:rFonts w:hint="eastAsia" w:ascii="宋体" w:hAnsi="宋体" w:eastAsia="宋体" w:cs="宋体"/>
                <w:kern w:val="2"/>
                <w:sz w:val="24"/>
                <w:szCs w:val="24"/>
                <w:u w:val="single"/>
                <w:lang w:val="en-US" w:eastAsia="zh-CN" w:bidi="ar"/>
              </w:rPr>
              <w:t>月</w:t>
            </w:r>
            <w:r>
              <w:rPr>
                <w:rFonts w:hint="eastAsia" w:ascii="宋体" w:hAnsi="宋体" w:cs="宋体"/>
                <w:kern w:val="2"/>
                <w:sz w:val="24"/>
                <w:szCs w:val="24"/>
                <w:u w:val="single"/>
                <w:lang w:val="en-US" w:eastAsia="zh-CN" w:bidi="ar"/>
              </w:rPr>
              <w:t>9</w:t>
            </w:r>
            <w:r>
              <w:rPr>
                <w:rFonts w:hint="eastAsia" w:ascii="宋体" w:hAnsi="宋体" w:eastAsia="宋体" w:cs="宋体"/>
                <w:kern w:val="2"/>
                <w:sz w:val="24"/>
                <w:szCs w:val="24"/>
                <w:u w:val="single"/>
                <w:lang w:val="en-US" w:eastAsia="zh-CN" w:bidi="ar"/>
              </w:rPr>
              <w:t>日</w:t>
            </w:r>
            <w:r>
              <w:rPr>
                <w:rFonts w:hint="eastAsia" w:ascii="宋体" w:hAnsi="宋体" w:eastAsia="宋体" w:cs="宋体"/>
                <w:kern w:val="2"/>
                <w:sz w:val="24"/>
                <w:szCs w:val="24"/>
                <w:lang w:val="en-US" w:eastAsia="zh-CN" w:bidi="ar"/>
              </w:rPr>
              <w:t>至</w:t>
            </w:r>
            <w:r>
              <w:rPr>
                <w:rFonts w:hint="eastAsia" w:ascii="宋体" w:hAnsi="宋体" w:cs="宋体"/>
                <w:kern w:val="2"/>
                <w:sz w:val="24"/>
                <w:szCs w:val="24"/>
                <w:u w:val="single"/>
                <w:lang w:val="en-US" w:eastAsia="zh-CN" w:bidi="ar"/>
              </w:rPr>
              <w:t>2020</w:t>
            </w:r>
            <w:r>
              <w:rPr>
                <w:rFonts w:hint="eastAsia" w:ascii="宋体" w:hAnsi="宋体" w:eastAsia="宋体" w:cs="宋体"/>
                <w:kern w:val="2"/>
                <w:sz w:val="24"/>
                <w:szCs w:val="24"/>
                <w:u w:val="single"/>
                <w:lang w:val="en-US" w:eastAsia="zh-CN" w:bidi="ar"/>
              </w:rPr>
              <w:t>年</w:t>
            </w:r>
            <w:r>
              <w:rPr>
                <w:rFonts w:hint="eastAsia" w:ascii="宋体" w:hAnsi="宋体" w:cs="宋体"/>
                <w:kern w:val="2"/>
                <w:sz w:val="24"/>
                <w:szCs w:val="24"/>
                <w:u w:val="single"/>
                <w:lang w:val="en-US" w:eastAsia="zh-CN" w:bidi="ar"/>
              </w:rPr>
              <w:t>7</w:t>
            </w:r>
            <w:r>
              <w:rPr>
                <w:rFonts w:hint="eastAsia" w:ascii="宋体" w:hAnsi="宋体" w:eastAsia="宋体" w:cs="宋体"/>
                <w:kern w:val="2"/>
                <w:sz w:val="24"/>
                <w:szCs w:val="24"/>
                <w:u w:val="single"/>
                <w:lang w:val="en-US" w:eastAsia="zh-CN" w:bidi="ar"/>
              </w:rPr>
              <w:t>月</w:t>
            </w:r>
            <w:r>
              <w:rPr>
                <w:rFonts w:hint="eastAsia" w:ascii="宋体" w:hAnsi="宋体" w:cs="宋体"/>
                <w:kern w:val="2"/>
                <w:sz w:val="24"/>
                <w:szCs w:val="24"/>
                <w:u w:val="single"/>
                <w:lang w:val="en-US" w:eastAsia="zh-CN" w:bidi="ar"/>
              </w:rPr>
              <w:t>16</w:t>
            </w:r>
            <w:r>
              <w:rPr>
                <w:rFonts w:hint="eastAsia" w:ascii="宋体" w:hAnsi="宋体" w:eastAsia="宋体" w:cs="宋体"/>
                <w:kern w:val="2"/>
                <w:sz w:val="24"/>
                <w:szCs w:val="24"/>
                <w:u w:val="single"/>
                <w:lang w:val="en-US" w:eastAsia="zh-CN" w:bidi="ar"/>
              </w:rPr>
              <w:t>日</w:t>
            </w:r>
            <w:r>
              <w:rPr>
                <w:rFonts w:hint="eastAsia" w:ascii="宋体" w:hAnsi="宋体" w:eastAsia="宋体" w:cs="宋体"/>
                <w:kern w:val="2"/>
                <w:sz w:val="24"/>
                <w:szCs w:val="24"/>
                <w:lang w:val="en-US" w:eastAsia="zh-CN" w:bidi="ar"/>
              </w:rPr>
              <w:t>，（北京时间，法定节假日除外 ）</w:t>
            </w:r>
            <w:r>
              <w:rPr>
                <w:rFonts w:hint="eastAsia" w:ascii="宋体" w:hAnsi="宋体" w:cs="宋体"/>
                <w:kern w:val="2"/>
                <w:sz w:val="24"/>
                <w:szCs w:val="24"/>
                <w:lang w:val="en-US" w:eastAsia="zh-CN" w:bidi="ar"/>
              </w:rPr>
              <w:t>。</w:t>
            </w:r>
          </w:p>
          <w:p>
            <w:pPr>
              <w:keepNext w:val="0"/>
              <w:keepLines w:val="0"/>
              <w:widowControl w:val="0"/>
              <w:suppressLineNumbers w:val="0"/>
              <w:wordWrap w:val="0"/>
              <w:spacing w:before="0" w:beforeAutospacing="0" w:after="0" w:afterAutospacing="0" w:line="360" w:lineRule="auto"/>
              <w:ind w:left="0" w:right="0" w:firstLine="0"/>
              <w:jc w:val="both"/>
              <w:rPr>
                <w:rFonts w:hint="eastAsia" w:ascii="宋体" w:hAnsi="宋体" w:eastAsia="宋体" w:cs="宋体"/>
                <w:kern w:val="2"/>
                <w:sz w:val="24"/>
                <w:szCs w:val="24"/>
                <w:u w:val="single"/>
              </w:rPr>
            </w:pPr>
            <w:r>
              <w:rPr>
                <w:rFonts w:hint="eastAsia" w:ascii="宋体" w:hAnsi="宋体" w:eastAsia="宋体" w:cs="宋体"/>
                <w:b/>
                <w:bCs/>
                <w:kern w:val="2"/>
                <w:sz w:val="24"/>
                <w:szCs w:val="24"/>
                <w:lang w:val="en-US" w:eastAsia="zh-CN" w:bidi="ar"/>
              </w:rPr>
              <w:t>地点：</w:t>
            </w:r>
            <w:r>
              <w:rPr>
                <w:rFonts w:hint="eastAsia" w:ascii="宋体" w:hAnsi="宋体" w:eastAsia="宋体" w:cs="宋体"/>
                <w:color w:val="000000"/>
                <w:sz w:val="24"/>
              </w:rPr>
              <w:t>南宁市公共资源交易平台(https://www.nnggzy.org.cn/gxnnhy)的信息公告处</w:t>
            </w:r>
            <w:r>
              <w:rPr>
                <w:rFonts w:hint="eastAsia" w:ascii="宋体" w:hAnsi="宋体" w:eastAsia="宋体" w:cs="宋体"/>
                <w:color w:val="000000"/>
                <w:sz w:val="24"/>
                <w:lang w:eastAsia="zh-CN"/>
              </w:rPr>
              <w:t>。</w:t>
            </w:r>
          </w:p>
          <w:p>
            <w:pPr>
              <w:keepNext w:val="0"/>
              <w:keepLines w:val="0"/>
              <w:widowControl w:val="0"/>
              <w:suppressLineNumbers w:val="0"/>
              <w:wordWrap w:val="0"/>
              <w:spacing w:before="0" w:beforeAutospacing="0" w:after="0" w:afterAutospacing="0" w:line="360" w:lineRule="auto"/>
              <w:ind w:left="0" w:right="0" w:firstLine="0"/>
              <w:jc w:val="both"/>
              <w:rPr>
                <w:rFonts w:hint="eastAsia" w:ascii="宋体" w:hAnsi="宋体" w:eastAsia="宋体" w:cs="宋体"/>
                <w:kern w:val="2"/>
                <w:sz w:val="24"/>
                <w:szCs w:val="24"/>
                <w:u w:val="single"/>
              </w:rPr>
            </w:pPr>
            <w:r>
              <w:rPr>
                <w:rFonts w:hint="eastAsia" w:ascii="宋体" w:hAnsi="宋体" w:eastAsia="宋体" w:cs="宋体"/>
                <w:b/>
                <w:bCs/>
                <w:kern w:val="2"/>
                <w:sz w:val="24"/>
                <w:szCs w:val="24"/>
                <w:lang w:val="en-US" w:eastAsia="zh-CN" w:bidi="ar"/>
              </w:rPr>
              <w:t>方式：</w:t>
            </w:r>
            <w:r>
              <w:rPr>
                <w:rFonts w:hint="eastAsia" w:ascii="宋体" w:hAnsi="宋体" w:eastAsia="宋体" w:cs="宋体"/>
                <w:color w:val="000000"/>
                <w:sz w:val="24"/>
              </w:rPr>
              <w:t>本项目不发放纸质文件，投标人自行在南宁市公共资源交易平台(https://www.nnggzy.org.cn/gxnnhy)的信息公告处下载采购文件。</w:t>
            </w:r>
          </w:p>
          <w:p>
            <w:pPr>
              <w:spacing w:line="360" w:lineRule="auto"/>
              <w:ind w:firstLine="0"/>
              <w:jc w:val="both"/>
              <w:rPr>
                <w:rFonts w:asciiTheme="majorEastAsia" w:hAnsiTheme="majorEastAsia" w:eastAsiaTheme="majorEastAsia" w:cstheme="majorEastAsia"/>
                <w:sz w:val="24"/>
                <w:szCs w:val="24"/>
              </w:rPr>
            </w:pPr>
            <w:r>
              <w:rPr>
                <w:rFonts w:hint="eastAsia" w:ascii="宋体" w:hAnsi="宋体" w:eastAsia="宋体" w:cs="宋体"/>
                <w:b/>
                <w:bCs/>
                <w:kern w:val="2"/>
                <w:sz w:val="24"/>
                <w:szCs w:val="24"/>
                <w:lang w:val="en-US" w:eastAsia="zh-CN" w:bidi="ar"/>
              </w:rPr>
              <w:t>售价：</w:t>
            </w:r>
            <w:r>
              <w:rPr>
                <w:rFonts w:hint="eastAsia" w:ascii="宋体" w:hAnsi="宋体" w:cs="宋体"/>
                <w:kern w:val="2"/>
                <w:sz w:val="24"/>
                <w:szCs w:val="24"/>
                <w:lang w:val="en-US" w:eastAsia="zh-CN" w:bidi="ar"/>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14"/>
              <w:spacing w:line="44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1.8</w:t>
            </w:r>
          </w:p>
        </w:tc>
        <w:tc>
          <w:tcPr>
            <w:tcW w:w="2575" w:type="dxa"/>
            <w:vAlign w:val="center"/>
          </w:tcPr>
          <w:p>
            <w:pPr>
              <w:pStyle w:val="14"/>
              <w:spacing w:line="44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预留采购份额</w:t>
            </w:r>
          </w:p>
        </w:tc>
        <w:tc>
          <w:tcPr>
            <w:tcW w:w="6524" w:type="dxa"/>
            <w:vAlign w:val="center"/>
          </w:tcPr>
          <w:p>
            <w:pPr>
              <w:snapToGrid w:val="0"/>
              <w:spacing w:line="44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61" w:type="dxa"/>
            <w:vAlign w:val="center"/>
          </w:tcPr>
          <w:p>
            <w:pPr>
              <w:pStyle w:val="14"/>
              <w:snapToGrid w:val="0"/>
              <w:spacing w:after="165" w:afterLines="50" w:line="440" w:lineRule="exact"/>
              <w:jc w:val="center"/>
              <w:rPr>
                <w:rFonts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3.2</w:t>
            </w:r>
          </w:p>
        </w:tc>
        <w:tc>
          <w:tcPr>
            <w:tcW w:w="2575" w:type="dxa"/>
            <w:vAlign w:val="center"/>
          </w:tcPr>
          <w:p>
            <w:pPr>
              <w:pStyle w:val="14"/>
              <w:snapToGrid w:val="0"/>
              <w:spacing w:after="165" w:afterLines="50" w:line="440" w:lineRule="exact"/>
              <w:jc w:val="center"/>
              <w:rPr>
                <w:rFonts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磋商供应商应具备的特定条件</w:t>
            </w:r>
          </w:p>
        </w:tc>
        <w:tc>
          <w:tcPr>
            <w:tcW w:w="6524" w:type="dxa"/>
            <w:vAlign w:val="center"/>
          </w:tcPr>
          <w:p>
            <w:pPr>
              <w:spacing w:line="500" w:lineRule="exact"/>
              <w:jc w:val="left"/>
              <w:rPr>
                <w:rFonts w:hint="eastAsia" w:eastAsia="宋体" w:asciiTheme="majorEastAsia" w:hAnsiTheme="majorEastAsia" w:cstheme="majorEastAsia"/>
                <w:color w:val="auto"/>
                <w:sz w:val="24"/>
                <w:lang w:eastAsia="zh-CN"/>
              </w:rPr>
            </w:pPr>
            <w:r>
              <w:rPr>
                <w:rFonts w:hint="eastAsia" w:cs="宋体" w:asciiTheme="minorEastAsia" w:hAnsiTheme="minorEastAsia"/>
                <w:color w:val="auto"/>
                <w:kern w:val="0"/>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14"/>
              <w:snapToGrid w:val="0"/>
              <w:spacing w:after="165" w:afterLines="50" w:line="440" w:lineRule="exact"/>
              <w:jc w:val="center"/>
              <w:rPr>
                <w:rFonts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3.3</w:t>
            </w:r>
          </w:p>
        </w:tc>
        <w:tc>
          <w:tcPr>
            <w:tcW w:w="2575" w:type="dxa"/>
            <w:vAlign w:val="center"/>
          </w:tcPr>
          <w:p>
            <w:pPr>
              <w:pStyle w:val="14"/>
              <w:snapToGrid w:val="0"/>
              <w:spacing w:after="165" w:afterLines="50" w:line="440" w:lineRule="exact"/>
              <w:jc w:val="center"/>
              <w:rPr>
                <w:rFonts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是否接受联合体</w:t>
            </w:r>
          </w:p>
        </w:tc>
        <w:tc>
          <w:tcPr>
            <w:tcW w:w="6524" w:type="dxa"/>
            <w:vAlign w:val="center"/>
          </w:tcPr>
          <w:p>
            <w:pPr>
              <w:pStyle w:val="14"/>
              <w:tabs>
                <w:tab w:val="right" w:pos="6461"/>
              </w:tabs>
              <w:spacing w:line="440" w:lineRule="exact"/>
              <w:jc w:val="left"/>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14"/>
              <w:snapToGrid w:val="0"/>
              <w:spacing w:after="165" w:afterLines="50" w:line="440" w:lineRule="exac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4.1</w:t>
            </w:r>
          </w:p>
        </w:tc>
        <w:tc>
          <w:tcPr>
            <w:tcW w:w="2575" w:type="dxa"/>
            <w:vAlign w:val="center"/>
          </w:tcPr>
          <w:p>
            <w:pPr>
              <w:pStyle w:val="14"/>
              <w:snapToGrid w:val="0"/>
              <w:spacing w:after="165" w:afterLines="50" w:line="440" w:lineRule="exac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质疑受理</w:t>
            </w:r>
          </w:p>
        </w:tc>
        <w:tc>
          <w:tcPr>
            <w:tcW w:w="6524" w:type="dxa"/>
            <w:vAlign w:val="center"/>
          </w:tcPr>
          <w:p>
            <w:pPr>
              <w:pStyle w:val="14"/>
              <w:spacing w:line="440" w:lineRule="exact"/>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质疑书的提交地点：广西邕政采购代理有限公司（南宁市思贤路45号创投中心16A层）</w:t>
            </w:r>
          </w:p>
          <w:p>
            <w:pPr>
              <w:pStyle w:val="14"/>
              <w:spacing w:line="440" w:lineRule="exact"/>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质疑受理电话：0771-2442850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14"/>
              <w:snapToGrid w:val="0"/>
              <w:spacing w:after="165" w:afterLines="50" w:line="440" w:lineRule="exac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8.8</w:t>
            </w:r>
          </w:p>
        </w:tc>
        <w:tc>
          <w:tcPr>
            <w:tcW w:w="2575" w:type="dxa"/>
            <w:vAlign w:val="center"/>
          </w:tcPr>
          <w:p>
            <w:pPr>
              <w:pStyle w:val="14"/>
              <w:snapToGrid w:val="0"/>
              <w:spacing w:after="165" w:afterLines="50" w:line="440" w:lineRule="exac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响应文件份数</w:t>
            </w:r>
          </w:p>
        </w:tc>
        <w:tc>
          <w:tcPr>
            <w:tcW w:w="6524" w:type="dxa"/>
            <w:vAlign w:val="center"/>
          </w:tcPr>
          <w:p>
            <w:pPr>
              <w:pStyle w:val="14"/>
              <w:spacing w:line="440" w:lineRule="exact"/>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首次报价文件：正本1份，副本4份</w:t>
            </w:r>
          </w:p>
          <w:p>
            <w:pPr>
              <w:pStyle w:val="14"/>
              <w:spacing w:line="440" w:lineRule="exact"/>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商务文件：正本1份，副本4份</w:t>
            </w:r>
          </w:p>
          <w:p>
            <w:pPr>
              <w:pStyle w:val="14"/>
              <w:spacing w:line="440" w:lineRule="exact"/>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技术文件：正本1份，副本4份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jc w:val="center"/>
        </w:trPr>
        <w:tc>
          <w:tcPr>
            <w:tcW w:w="1361" w:type="dxa"/>
            <w:vAlign w:val="center"/>
          </w:tcPr>
          <w:p>
            <w:pPr>
              <w:pStyle w:val="14"/>
              <w:snapToGrid w:val="0"/>
              <w:spacing w:after="165" w:afterLines="50" w:line="440" w:lineRule="exac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11.4</w:t>
            </w:r>
          </w:p>
        </w:tc>
        <w:tc>
          <w:tcPr>
            <w:tcW w:w="2575" w:type="dxa"/>
            <w:vAlign w:val="center"/>
          </w:tcPr>
          <w:p>
            <w:pPr>
              <w:pStyle w:val="14"/>
              <w:snapToGrid w:val="0"/>
              <w:spacing w:after="165" w:afterLines="50" w:line="440" w:lineRule="exac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采购代理服务费</w:t>
            </w:r>
          </w:p>
        </w:tc>
        <w:tc>
          <w:tcPr>
            <w:tcW w:w="6524" w:type="dxa"/>
            <w:vAlign w:val="center"/>
          </w:tcPr>
          <w:p>
            <w:pPr>
              <w:pStyle w:val="14"/>
              <w:spacing w:line="440" w:lineRule="exact"/>
              <w:jc w:val="left"/>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根据国家发展改革委关于进一步放开建设项目专业服务价格的通知（发改价格〔2015〕299号）</w:t>
            </w:r>
            <w:r>
              <w:rPr>
                <w:rFonts w:asciiTheme="majorEastAsia" w:hAnsiTheme="majorEastAsia" w:eastAsiaTheme="majorEastAsia" w:cstheme="majorEastAsia"/>
                <w:sz w:val="24"/>
                <w:szCs w:val="24"/>
              </w:rPr>
              <w:t>标准</w:t>
            </w:r>
            <w:r>
              <w:rPr>
                <w:rFonts w:hint="eastAsia" w:asciiTheme="majorEastAsia" w:hAnsiTheme="majorEastAsia" w:eastAsiaTheme="majorEastAsia" w:cstheme="majorEastAsia"/>
                <w:sz w:val="24"/>
                <w:szCs w:val="24"/>
              </w:rPr>
              <w:t>计</w:t>
            </w:r>
            <w:r>
              <w:rPr>
                <w:rFonts w:asciiTheme="majorEastAsia" w:hAnsiTheme="majorEastAsia" w:eastAsiaTheme="majorEastAsia" w:cstheme="majorEastAsia"/>
                <w:sz w:val="24"/>
                <w:szCs w:val="24"/>
              </w:rPr>
              <w:t>取</w:t>
            </w:r>
            <w:r>
              <w:rPr>
                <w:rFonts w:hint="eastAsia" w:asciiTheme="majorEastAsia" w:hAnsiTheme="majorEastAsia" w:eastAsiaTheme="majorEastAsia" w:cstheme="majorEastAsia"/>
                <w:sz w:val="24"/>
                <w:szCs w:val="24"/>
              </w:rPr>
              <w:t>，由成交单位在领成交通知书时一次性支付采购代理服务费。收取代理服务费：</w:t>
            </w:r>
            <w:r>
              <w:rPr>
                <w:rFonts w:hint="eastAsia" w:asciiTheme="majorEastAsia" w:hAnsiTheme="majorEastAsia" w:eastAsiaTheme="majorEastAsia" w:cstheme="majorEastAsia"/>
                <w:sz w:val="24"/>
                <w:szCs w:val="24"/>
                <w:lang w:val="en-US" w:eastAsia="zh-CN"/>
              </w:rPr>
              <w:t>9200.00</w:t>
            </w:r>
          </w:p>
          <w:p>
            <w:pPr>
              <w:pStyle w:val="14"/>
              <w:spacing w:line="440" w:lineRule="exact"/>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开户名称：广西邕政采购代理有限公司</w:t>
            </w:r>
          </w:p>
          <w:p>
            <w:pPr>
              <w:pStyle w:val="14"/>
              <w:spacing w:line="440" w:lineRule="exact"/>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开户银行：交通银行南宁东葛西支行</w:t>
            </w:r>
          </w:p>
          <w:p>
            <w:pPr>
              <w:pStyle w:val="14"/>
              <w:spacing w:line="440" w:lineRule="exact"/>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账号：</w:t>
            </w:r>
            <w:r>
              <w:rPr>
                <w:rFonts w:asciiTheme="majorEastAsia" w:hAnsiTheme="majorEastAsia" w:eastAsiaTheme="majorEastAsia" w:cstheme="majorEastAsia"/>
                <w:sz w:val="24"/>
                <w:szCs w:val="24"/>
              </w:rPr>
              <w:t>4510 6070 1018 1602 32818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14"/>
              <w:snapToGrid w:val="0"/>
              <w:spacing w:after="165" w:afterLines="50" w:line="440" w:lineRule="exac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12.1</w:t>
            </w:r>
          </w:p>
        </w:tc>
        <w:tc>
          <w:tcPr>
            <w:tcW w:w="2575" w:type="dxa"/>
            <w:vAlign w:val="center"/>
          </w:tcPr>
          <w:p>
            <w:pPr>
              <w:pStyle w:val="14"/>
              <w:snapToGrid w:val="0"/>
              <w:spacing w:after="165" w:afterLines="50" w:line="440" w:lineRule="exac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响应有效期</w:t>
            </w:r>
          </w:p>
        </w:tc>
        <w:tc>
          <w:tcPr>
            <w:tcW w:w="6524" w:type="dxa"/>
            <w:vAlign w:val="center"/>
          </w:tcPr>
          <w:p>
            <w:pPr>
              <w:pStyle w:val="14"/>
              <w:snapToGrid w:val="0"/>
              <w:spacing w:after="165" w:afterLines="50" w:line="44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自提交响应文件截止时间起 60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61" w:type="dxa"/>
            <w:vAlign w:val="center"/>
          </w:tcPr>
          <w:p>
            <w:pPr>
              <w:pStyle w:val="14"/>
              <w:snapToGrid w:val="0"/>
              <w:spacing w:after="165" w:afterLines="50" w:line="440" w:lineRule="exac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13.1</w:t>
            </w:r>
          </w:p>
        </w:tc>
        <w:tc>
          <w:tcPr>
            <w:tcW w:w="2575" w:type="dxa"/>
            <w:vAlign w:val="center"/>
          </w:tcPr>
          <w:p>
            <w:pPr>
              <w:pStyle w:val="14"/>
              <w:snapToGrid w:val="0"/>
              <w:spacing w:after="165" w:afterLines="50" w:line="440" w:lineRule="exac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磋商保证金金额</w:t>
            </w:r>
          </w:p>
        </w:tc>
        <w:tc>
          <w:tcPr>
            <w:tcW w:w="6524" w:type="dxa"/>
            <w:vAlign w:val="center"/>
          </w:tcPr>
          <w:p>
            <w:pPr>
              <w:pStyle w:val="14"/>
              <w:snapToGrid w:val="0"/>
              <w:spacing w:after="165" w:afterLines="50" w:line="44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本项目不收取</w:t>
            </w:r>
            <w:r>
              <w:rPr>
                <w:rFonts w:hint="eastAsia" w:asciiTheme="majorEastAsia" w:hAnsiTheme="majorEastAsia" w:eastAsiaTheme="majorEastAsia" w:cstheme="majorEastAsia"/>
                <w:bCs/>
                <w:sz w:val="24"/>
                <w:szCs w:val="24"/>
              </w:rPr>
              <w:t>磋商</w:t>
            </w:r>
            <w:r>
              <w:rPr>
                <w:rFonts w:hint="eastAsia" w:asciiTheme="majorEastAsia" w:hAnsiTheme="majorEastAsia" w:eastAsiaTheme="majorEastAsia" w:cstheme="majorEastAsia"/>
                <w:sz w:val="24"/>
                <w:szCs w:val="24"/>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361" w:type="dxa"/>
            <w:vAlign w:val="center"/>
          </w:tcPr>
          <w:p>
            <w:pPr>
              <w:pStyle w:val="14"/>
              <w:snapToGrid w:val="0"/>
              <w:spacing w:after="165" w:afterLines="50" w:line="440" w:lineRule="exac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15.1</w:t>
            </w:r>
          </w:p>
        </w:tc>
        <w:tc>
          <w:tcPr>
            <w:tcW w:w="2575" w:type="dxa"/>
            <w:vAlign w:val="center"/>
          </w:tcPr>
          <w:p>
            <w:pPr>
              <w:pStyle w:val="14"/>
              <w:snapToGrid w:val="0"/>
              <w:spacing w:after="165" w:afterLines="50" w:line="440" w:lineRule="exac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提交响应文件截止时间</w:t>
            </w:r>
          </w:p>
        </w:tc>
        <w:tc>
          <w:tcPr>
            <w:tcW w:w="6524" w:type="dxa"/>
            <w:vAlign w:val="center"/>
          </w:tcPr>
          <w:p>
            <w:pPr>
              <w:pStyle w:val="14"/>
              <w:snapToGrid w:val="0"/>
              <w:spacing w:after="165" w:afterLines="50" w:line="44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2020</w:t>
            </w:r>
            <w:r>
              <w:rPr>
                <w:rFonts w:hint="eastAsia" w:asciiTheme="majorEastAsia" w:hAnsiTheme="majorEastAsia" w:eastAsiaTheme="majorEastAsia" w:cstheme="majorEastAsia"/>
                <w:kern w:val="0"/>
                <w:sz w:val="24"/>
                <w:szCs w:val="24"/>
              </w:rPr>
              <w:t>年</w:t>
            </w:r>
            <w:r>
              <w:rPr>
                <w:rFonts w:hint="eastAsia" w:asciiTheme="majorEastAsia" w:hAnsiTheme="majorEastAsia" w:eastAsiaTheme="majorEastAsia" w:cstheme="majorEastAsia"/>
                <w:kern w:val="0"/>
                <w:sz w:val="24"/>
                <w:szCs w:val="24"/>
                <w:lang w:val="en-US" w:eastAsia="zh-CN"/>
              </w:rPr>
              <w:t>7</w:t>
            </w:r>
            <w:r>
              <w:rPr>
                <w:rFonts w:hint="eastAsia" w:asciiTheme="majorEastAsia" w:hAnsiTheme="majorEastAsia" w:eastAsiaTheme="majorEastAsia" w:cstheme="majorEastAsia"/>
                <w:kern w:val="0"/>
                <w:sz w:val="24"/>
                <w:szCs w:val="24"/>
              </w:rPr>
              <w:t>月</w:t>
            </w:r>
            <w:r>
              <w:rPr>
                <w:rFonts w:hint="eastAsia" w:asciiTheme="majorEastAsia" w:hAnsiTheme="majorEastAsia" w:eastAsiaTheme="majorEastAsia" w:cstheme="majorEastAsia"/>
                <w:kern w:val="0"/>
                <w:sz w:val="24"/>
                <w:szCs w:val="24"/>
                <w:lang w:val="en-US" w:eastAsia="zh-CN"/>
              </w:rPr>
              <w:t>20</w:t>
            </w:r>
            <w:r>
              <w:rPr>
                <w:rFonts w:hint="eastAsia" w:asciiTheme="majorEastAsia" w:hAnsiTheme="majorEastAsia" w:eastAsiaTheme="majorEastAsia" w:cstheme="majorEastAsia"/>
                <w:kern w:val="0"/>
                <w:sz w:val="24"/>
                <w:szCs w:val="24"/>
              </w:rPr>
              <w:t>日</w:t>
            </w:r>
            <w:r>
              <w:rPr>
                <w:rFonts w:hint="eastAsia" w:asciiTheme="majorEastAsia" w:hAnsiTheme="majorEastAsia" w:eastAsiaTheme="majorEastAsia" w:cstheme="majorEastAsia"/>
                <w:kern w:val="0"/>
                <w:sz w:val="24"/>
                <w:szCs w:val="24"/>
                <w:lang w:val="en-US" w:eastAsia="zh-CN"/>
              </w:rPr>
              <w:t>09</w:t>
            </w:r>
            <w:r>
              <w:rPr>
                <w:rFonts w:hint="eastAsia" w:asciiTheme="majorEastAsia" w:hAnsiTheme="majorEastAsia" w:eastAsiaTheme="majorEastAsia" w:cstheme="majorEastAsia"/>
                <w:kern w:val="0"/>
                <w:sz w:val="24"/>
                <w:szCs w:val="24"/>
              </w:rPr>
              <w:t>时</w:t>
            </w:r>
            <w:r>
              <w:rPr>
                <w:rFonts w:hint="eastAsia" w:asciiTheme="majorEastAsia" w:hAnsiTheme="majorEastAsia" w:eastAsiaTheme="majorEastAsia" w:cstheme="majorEastAsia"/>
                <w:kern w:val="0"/>
                <w:sz w:val="24"/>
                <w:szCs w:val="24"/>
                <w:lang w:val="en-US" w:eastAsia="zh-CN"/>
              </w:rPr>
              <w:t>30</w:t>
            </w:r>
            <w:r>
              <w:rPr>
                <w:rFonts w:hint="eastAsia" w:asciiTheme="majorEastAsia" w:hAnsiTheme="majorEastAsia" w:eastAsiaTheme="majorEastAsia" w:cstheme="maj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14"/>
              <w:snapToGrid w:val="0"/>
              <w:spacing w:after="165" w:afterLines="50" w:line="440" w:lineRule="exac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15.2</w:t>
            </w:r>
          </w:p>
        </w:tc>
        <w:tc>
          <w:tcPr>
            <w:tcW w:w="2575" w:type="dxa"/>
            <w:vAlign w:val="center"/>
          </w:tcPr>
          <w:p>
            <w:pPr>
              <w:pStyle w:val="14"/>
              <w:snapToGrid w:val="0"/>
              <w:spacing w:after="165" w:afterLines="50" w:line="440" w:lineRule="exac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提交响应文件地点</w:t>
            </w:r>
          </w:p>
        </w:tc>
        <w:tc>
          <w:tcPr>
            <w:tcW w:w="6524" w:type="dxa"/>
            <w:vAlign w:val="center"/>
          </w:tcPr>
          <w:p>
            <w:pPr>
              <w:pStyle w:val="14"/>
              <w:snapToGrid w:val="0"/>
              <w:spacing w:after="165" w:afterLines="50" w:line="44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南宁市良庆区玉洞大道33号（青少年活动中心旁）市民中心9楼南宁市公共资源交易中心（具体详见9楼电子显示屏场地安排）</w:t>
            </w:r>
            <w:r>
              <w:rPr>
                <w:rFonts w:hint="eastAsia" w:asciiTheme="majorEastAsia" w:hAnsiTheme="majorEastAsia" w:eastAsiaTheme="majorEastAsia" w:cstheme="majorEastAsia"/>
                <w:kern w:val="0"/>
                <w:sz w:val="24"/>
              </w:rPr>
              <w:t>，</w:t>
            </w:r>
            <w:r>
              <w:rPr>
                <w:rFonts w:hint="eastAsia" w:hAnsi="宋体"/>
                <w:b/>
                <w:bCs/>
                <w:sz w:val="24"/>
                <w:szCs w:val="24"/>
              </w:rPr>
              <w:t>为做好疫情防控工作，本项目的响应文件通过邮寄快递的方式送达，具体要求详见采购文件</w:t>
            </w:r>
            <w:r>
              <w:rPr>
                <w:rFonts w:hint="eastAsia" w:asciiTheme="majorEastAsia" w:hAnsiTheme="majorEastAsia" w:eastAsiaTheme="majorEastAsia" w:cstheme="majorEastAsia"/>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361" w:type="dxa"/>
            <w:vAlign w:val="center"/>
          </w:tcPr>
          <w:p>
            <w:pPr>
              <w:pStyle w:val="14"/>
              <w:snapToGrid w:val="0"/>
              <w:spacing w:after="165" w:afterLines="50" w:line="440" w:lineRule="exac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17.4.8（1）</w:t>
            </w:r>
          </w:p>
        </w:tc>
        <w:tc>
          <w:tcPr>
            <w:tcW w:w="2575" w:type="dxa"/>
            <w:vAlign w:val="center"/>
          </w:tcPr>
          <w:p>
            <w:pPr>
              <w:pStyle w:val="14"/>
              <w:snapToGrid w:val="0"/>
              <w:spacing w:after="165" w:afterLines="50" w:line="440" w:lineRule="exac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磋商地点</w:t>
            </w:r>
          </w:p>
        </w:tc>
        <w:tc>
          <w:tcPr>
            <w:tcW w:w="6524" w:type="dxa"/>
            <w:vAlign w:val="center"/>
          </w:tcPr>
          <w:p>
            <w:pPr>
              <w:pStyle w:val="14"/>
              <w:snapToGrid w:val="0"/>
              <w:spacing w:after="165" w:afterLines="50" w:line="44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与递交响应文件地点相同。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jc w:val="center"/>
        </w:trPr>
        <w:tc>
          <w:tcPr>
            <w:tcW w:w="1361" w:type="dxa"/>
            <w:vAlign w:val="center"/>
          </w:tcPr>
          <w:p>
            <w:pPr>
              <w:pStyle w:val="14"/>
              <w:snapToGrid w:val="0"/>
              <w:spacing w:after="165" w:afterLines="50" w:line="440" w:lineRule="exact"/>
              <w:jc w:val="center"/>
              <w:rPr>
                <w:rFonts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30</w:t>
            </w:r>
          </w:p>
        </w:tc>
        <w:tc>
          <w:tcPr>
            <w:tcW w:w="2575" w:type="dxa"/>
            <w:vAlign w:val="center"/>
          </w:tcPr>
          <w:p>
            <w:pPr>
              <w:pStyle w:val="14"/>
              <w:snapToGrid w:val="0"/>
              <w:spacing w:after="165" w:afterLines="50" w:line="440" w:lineRule="exact"/>
              <w:jc w:val="left"/>
              <w:rPr>
                <w:rFonts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sz w:val="24"/>
                <w:szCs w:val="24"/>
              </w:rPr>
              <w:t>需要补充的其他内容</w:t>
            </w:r>
          </w:p>
        </w:tc>
        <w:tc>
          <w:tcPr>
            <w:tcW w:w="6524" w:type="dxa"/>
            <w:vAlign w:val="center"/>
          </w:tcPr>
          <w:p>
            <w:pPr>
              <w:pStyle w:val="14"/>
              <w:snapToGrid w:val="0"/>
              <w:spacing w:after="165" w:afterLines="50" w:line="440" w:lineRule="exact"/>
              <w:jc w:val="left"/>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注：为帮助中小微企业解决资金周转或融资困难问题，南宁市政府采购试行政府采购信用融资制度，为中小企业参与政府采购活动提供金融服务。磋商供应商可凭政府采购合同申请政府采购信用融资，具体办理要求与办理方式，详见南宁市公共资源交易中心网‘政府采购信用融资’专栏。</w:t>
            </w:r>
          </w:p>
        </w:tc>
      </w:tr>
    </w:tbl>
    <w:p>
      <w:pPr>
        <w:pStyle w:val="22"/>
        <w:outlineLvl w:val="1"/>
        <w:rPr>
          <w:rFonts w:asciiTheme="majorEastAsia" w:hAnsiTheme="majorEastAsia" w:eastAsiaTheme="majorEastAsia" w:cstheme="majorEastAsia"/>
        </w:rPr>
        <w:sectPr>
          <w:pgSz w:w="11906" w:h="16838"/>
          <w:pgMar w:top="1440" w:right="1080" w:bottom="1118" w:left="1080" w:header="720" w:footer="720" w:gutter="0"/>
          <w:cols w:space="720" w:num="1"/>
          <w:docGrid w:type="lines" w:linePitch="331" w:charSpace="0"/>
        </w:sectPr>
      </w:pPr>
      <w:bookmarkStart w:id="30" w:name="_Toc521096343"/>
      <w:bookmarkStart w:id="31" w:name="_Toc485920213"/>
      <w:bookmarkStart w:id="32" w:name="_Toc460253703"/>
      <w:bookmarkStart w:id="33" w:name="_Toc213326416"/>
    </w:p>
    <w:p>
      <w:pPr>
        <w:pStyle w:val="22"/>
        <w:outlineLvl w:val="1"/>
        <w:rPr>
          <w:rFonts w:asciiTheme="majorEastAsia" w:hAnsiTheme="majorEastAsia" w:eastAsiaTheme="majorEastAsia" w:cstheme="majorEastAsia"/>
        </w:rPr>
      </w:pPr>
      <w:r>
        <w:rPr>
          <w:rFonts w:hint="eastAsia" w:asciiTheme="majorEastAsia" w:hAnsiTheme="majorEastAsia" w:eastAsiaTheme="majorEastAsia" w:cstheme="majorEastAsia"/>
        </w:rPr>
        <w:t>一 总则</w:t>
      </w:r>
      <w:bookmarkEnd w:id="30"/>
      <w:bookmarkEnd w:id="31"/>
      <w:bookmarkEnd w:id="32"/>
      <w:bookmarkEnd w:id="33"/>
    </w:p>
    <w:p>
      <w:pPr>
        <w:pStyle w:val="14"/>
        <w:spacing w:line="440" w:lineRule="exact"/>
        <w:ind w:left="1"/>
        <w:jc w:val="left"/>
        <w:outlineLvl w:val="2"/>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  项目概况</w:t>
      </w:r>
    </w:p>
    <w:p>
      <w:pPr>
        <w:pStyle w:val="14"/>
        <w:spacing w:line="440" w:lineRule="exact"/>
        <w:ind w:firstLine="480" w:firstLineChars="200"/>
        <w:jc w:val="left"/>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1.1  采购人：见</w:t>
      </w:r>
      <w:r>
        <w:rPr>
          <w:rFonts w:hint="eastAsia" w:asciiTheme="majorEastAsia" w:hAnsiTheme="majorEastAsia" w:eastAsiaTheme="majorEastAsia" w:cstheme="majorEastAsia"/>
          <w:sz w:val="24"/>
          <w:szCs w:val="24"/>
        </w:rPr>
        <w:t>磋商供应商</w:t>
      </w:r>
      <w:r>
        <w:rPr>
          <w:rFonts w:hint="eastAsia" w:asciiTheme="majorEastAsia" w:hAnsiTheme="majorEastAsia" w:eastAsiaTheme="majorEastAsia" w:cstheme="majorEastAsia"/>
          <w:bCs/>
          <w:sz w:val="24"/>
          <w:szCs w:val="24"/>
        </w:rPr>
        <w:t>须知前附表。</w:t>
      </w:r>
    </w:p>
    <w:p>
      <w:pPr>
        <w:pStyle w:val="14"/>
        <w:spacing w:line="440" w:lineRule="exact"/>
        <w:ind w:firstLine="480" w:firstLineChars="200"/>
        <w:jc w:val="left"/>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1.2  采购代理机构：见</w:t>
      </w:r>
      <w:r>
        <w:rPr>
          <w:rFonts w:hint="eastAsia" w:asciiTheme="majorEastAsia" w:hAnsiTheme="majorEastAsia" w:eastAsiaTheme="majorEastAsia" w:cstheme="majorEastAsia"/>
          <w:sz w:val="24"/>
          <w:szCs w:val="24"/>
        </w:rPr>
        <w:t>磋商供应商</w:t>
      </w:r>
      <w:r>
        <w:rPr>
          <w:rFonts w:hint="eastAsia" w:asciiTheme="majorEastAsia" w:hAnsiTheme="majorEastAsia" w:eastAsiaTheme="majorEastAsia" w:cstheme="majorEastAsia"/>
          <w:bCs/>
          <w:sz w:val="24"/>
          <w:szCs w:val="24"/>
        </w:rPr>
        <w:t>须知前附表。</w:t>
      </w:r>
    </w:p>
    <w:p>
      <w:pPr>
        <w:pStyle w:val="14"/>
        <w:spacing w:line="440" w:lineRule="exact"/>
        <w:ind w:firstLine="480" w:firstLineChars="200"/>
        <w:jc w:val="left"/>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1.3  项目名称：</w:t>
      </w:r>
      <w:r>
        <w:rPr>
          <w:rFonts w:hint="eastAsia" w:asciiTheme="majorEastAsia" w:hAnsiTheme="majorEastAsia" w:eastAsiaTheme="majorEastAsia" w:cstheme="majorEastAsia"/>
          <w:bCs/>
          <w:sz w:val="24"/>
          <w:szCs w:val="24"/>
        </w:rPr>
        <w:t>见</w:t>
      </w:r>
      <w:r>
        <w:rPr>
          <w:rFonts w:hint="eastAsia" w:asciiTheme="majorEastAsia" w:hAnsiTheme="majorEastAsia" w:eastAsiaTheme="majorEastAsia" w:cstheme="majorEastAsia"/>
          <w:sz w:val="24"/>
          <w:szCs w:val="24"/>
        </w:rPr>
        <w:t>磋商供应商</w:t>
      </w:r>
      <w:r>
        <w:rPr>
          <w:rFonts w:hint="eastAsia" w:asciiTheme="majorEastAsia" w:hAnsiTheme="majorEastAsia" w:eastAsiaTheme="majorEastAsia" w:cstheme="majorEastAsia"/>
          <w:bCs/>
          <w:sz w:val="24"/>
          <w:szCs w:val="24"/>
        </w:rPr>
        <w:t>须知前附表。</w:t>
      </w:r>
    </w:p>
    <w:p>
      <w:pPr>
        <w:pStyle w:val="14"/>
        <w:spacing w:line="440" w:lineRule="exact"/>
        <w:ind w:firstLine="480" w:firstLineChars="200"/>
        <w:jc w:val="left"/>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1.4  项目编号：</w:t>
      </w:r>
      <w:r>
        <w:rPr>
          <w:rFonts w:hint="eastAsia" w:asciiTheme="majorEastAsia" w:hAnsiTheme="majorEastAsia" w:eastAsiaTheme="majorEastAsia" w:cstheme="majorEastAsia"/>
          <w:bCs/>
          <w:sz w:val="24"/>
          <w:szCs w:val="24"/>
        </w:rPr>
        <w:t>见</w:t>
      </w:r>
      <w:r>
        <w:rPr>
          <w:rFonts w:hint="eastAsia" w:asciiTheme="majorEastAsia" w:hAnsiTheme="majorEastAsia" w:eastAsiaTheme="majorEastAsia" w:cstheme="majorEastAsia"/>
          <w:sz w:val="24"/>
          <w:szCs w:val="24"/>
        </w:rPr>
        <w:t>磋商供应商</w:t>
      </w:r>
      <w:r>
        <w:rPr>
          <w:rFonts w:hint="eastAsia" w:asciiTheme="majorEastAsia" w:hAnsiTheme="majorEastAsia" w:eastAsiaTheme="majorEastAsia" w:cstheme="majorEastAsia"/>
          <w:bCs/>
          <w:sz w:val="24"/>
          <w:szCs w:val="24"/>
        </w:rPr>
        <w:t>须知前附表。</w:t>
      </w:r>
    </w:p>
    <w:p>
      <w:pPr>
        <w:pStyle w:val="14"/>
        <w:spacing w:line="440" w:lineRule="exact"/>
        <w:ind w:firstLine="480" w:firstLineChars="200"/>
        <w:jc w:val="left"/>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1.5  采购预算：见</w:t>
      </w:r>
      <w:r>
        <w:rPr>
          <w:rFonts w:hint="eastAsia" w:asciiTheme="majorEastAsia" w:hAnsiTheme="majorEastAsia" w:eastAsiaTheme="majorEastAsia" w:cstheme="majorEastAsia"/>
          <w:sz w:val="24"/>
          <w:szCs w:val="24"/>
        </w:rPr>
        <w:t>磋商供应商</w:t>
      </w:r>
      <w:r>
        <w:rPr>
          <w:rFonts w:hint="eastAsia" w:asciiTheme="majorEastAsia" w:hAnsiTheme="majorEastAsia" w:eastAsiaTheme="majorEastAsia" w:cstheme="majorEastAsia"/>
          <w:bCs/>
          <w:sz w:val="24"/>
          <w:szCs w:val="24"/>
        </w:rPr>
        <w:t>须知前附表。</w:t>
      </w:r>
    </w:p>
    <w:p>
      <w:pPr>
        <w:pStyle w:val="14"/>
        <w:spacing w:line="440" w:lineRule="exact"/>
        <w:ind w:firstLine="480" w:firstLineChars="200"/>
        <w:jc w:val="left"/>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1.6  资金来源：政府财政性资金。</w:t>
      </w:r>
    </w:p>
    <w:p>
      <w:pPr>
        <w:pStyle w:val="14"/>
        <w:spacing w:line="440" w:lineRule="exact"/>
        <w:ind w:firstLine="480" w:firstLineChars="200"/>
        <w:jc w:val="left"/>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 xml:space="preserve">1.7  </w:t>
      </w:r>
      <w:r>
        <w:rPr>
          <w:rFonts w:hint="eastAsia" w:asciiTheme="majorEastAsia" w:hAnsiTheme="majorEastAsia" w:eastAsiaTheme="majorEastAsia" w:cstheme="majorEastAsia"/>
          <w:sz w:val="24"/>
          <w:szCs w:val="24"/>
        </w:rPr>
        <w:t>获取竞争性磋商文件的方式：</w:t>
      </w:r>
      <w:r>
        <w:rPr>
          <w:rFonts w:hint="eastAsia" w:asciiTheme="majorEastAsia" w:hAnsiTheme="majorEastAsia" w:eastAsiaTheme="majorEastAsia" w:cstheme="majorEastAsia"/>
          <w:bCs/>
          <w:sz w:val="24"/>
          <w:szCs w:val="24"/>
        </w:rPr>
        <w:t>见</w:t>
      </w:r>
      <w:r>
        <w:rPr>
          <w:rFonts w:hint="eastAsia" w:asciiTheme="majorEastAsia" w:hAnsiTheme="majorEastAsia" w:eastAsiaTheme="majorEastAsia" w:cstheme="majorEastAsia"/>
          <w:sz w:val="24"/>
          <w:szCs w:val="24"/>
        </w:rPr>
        <w:t>磋商供应商</w:t>
      </w:r>
      <w:r>
        <w:rPr>
          <w:rFonts w:hint="eastAsia" w:asciiTheme="majorEastAsia" w:hAnsiTheme="majorEastAsia" w:eastAsiaTheme="majorEastAsia" w:cstheme="majorEastAsia"/>
          <w:bCs/>
          <w:sz w:val="24"/>
          <w:szCs w:val="24"/>
        </w:rPr>
        <w:t>须知前附表。</w:t>
      </w:r>
    </w:p>
    <w:p>
      <w:pPr>
        <w:pStyle w:val="14"/>
        <w:spacing w:line="440" w:lineRule="exact"/>
        <w:ind w:left="2"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1.8  预留采购份额：见磋商供应商须知前附表。</w:t>
      </w:r>
    </w:p>
    <w:p>
      <w:pPr>
        <w:pStyle w:val="14"/>
        <w:spacing w:line="440" w:lineRule="exact"/>
        <w:ind w:firstLine="480" w:firstLineChars="200"/>
        <w:jc w:val="left"/>
        <w:rPr>
          <w:rFonts w:asciiTheme="majorEastAsia" w:hAnsiTheme="majorEastAsia" w:eastAsiaTheme="majorEastAsia" w:cstheme="majorEastAsia"/>
          <w:bCs/>
          <w:sz w:val="24"/>
          <w:szCs w:val="24"/>
        </w:rPr>
      </w:pPr>
    </w:p>
    <w:p>
      <w:pPr>
        <w:pStyle w:val="14"/>
        <w:spacing w:line="440" w:lineRule="exact"/>
        <w:jc w:val="left"/>
        <w:outlineLvl w:val="2"/>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2.  政府采购信息发布媒体：</w:t>
      </w:r>
    </w:p>
    <w:p>
      <w:pPr>
        <w:snapToGrid w:val="0"/>
        <w:spacing w:line="500" w:lineRule="exact"/>
        <w:ind w:firstLine="480" w:firstLineChars="20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2.1  与本项目相关的政府采购业务信息（包括竞争性磋商公告、成交公告及其更正事项等）将在以下媒体上发布：广西壮族自治区政府采购网、南宁公共资源交易中心网上发布。</w:t>
      </w:r>
    </w:p>
    <w:p>
      <w:pPr>
        <w:snapToGrid w:val="0"/>
        <w:spacing w:line="5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2.2  本项目竞争性磋商公告期限为公告发布之日起5个工作日。</w:t>
      </w:r>
    </w:p>
    <w:p>
      <w:pPr>
        <w:pStyle w:val="14"/>
        <w:spacing w:line="440" w:lineRule="exact"/>
        <w:ind w:left="242" w:hanging="242" w:hangingChars="101"/>
        <w:jc w:val="left"/>
        <w:outlineLvl w:val="2"/>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 xml:space="preserve">3. </w:t>
      </w:r>
      <w:r>
        <w:rPr>
          <w:rFonts w:hint="eastAsia" w:asciiTheme="majorEastAsia" w:hAnsiTheme="majorEastAsia" w:eastAsiaTheme="majorEastAsia" w:cstheme="majorEastAsia"/>
          <w:sz w:val="24"/>
          <w:szCs w:val="24"/>
        </w:rPr>
        <w:t>磋商供应商的</w:t>
      </w:r>
      <w:r>
        <w:rPr>
          <w:rFonts w:hint="eastAsia" w:asciiTheme="majorEastAsia" w:hAnsiTheme="majorEastAsia" w:eastAsiaTheme="majorEastAsia" w:cstheme="majorEastAsia"/>
          <w:bCs/>
          <w:sz w:val="24"/>
          <w:szCs w:val="24"/>
        </w:rPr>
        <w:t>资格要求：</w:t>
      </w:r>
    </w:p>
    <w:p>
      <w:pPr>
        <w:pStyle w:val="14"/>
        <w:spacing w:line="440" w:lineRule="exact"/>
        <w:ind w:firstLine="480" w:firstLineChars="20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 xml:space="preserve">3.1  </w:t>
      </w:r>
      <w:r>
        <w:rPr>
          <w:rFonts w:hint="eastAsia" w:asciiTheme="majorEastAsia" w:hAnsiTheme="majorEastAsia" w:eastAsiaTheme="majorEastAsia" w:cstheme="majorEastAsia"/>
          <w:sz w:val="24"/>
          <w:szCs w:val="24"/>
        </w:rPr>
        <w:t>磋商</w:t>
      </w:r>
      <w:r>
        <w:rPr>
          <w:rFonts w:hint="eastAsia" w:asciiTheme="majorEastAsia" w:hAnsiTheme="majorEastAsia" w:eastAsiaTheme="majorEastAsia" w:cstheme="majorEastAsia"/>
          <w:sz w:val="24"/>
        </w:rPr>
        <w:t>供应商未被列入失信被执行人、重大税收违法案件当事人名单、政府采购严重违法失信行为记录名单，且应符合《中华人民共和国政府采购法》第二十二条规定的资格条件</w:t>
      </w:r>
      <w:r>
        <w:rPr>
          <w:rFonts w:hint="eastAsia" w:asciiTheme="majorEastAsia" w:hAnsiTheme="majorEastAsia" w:eastAsiaTheme="majorEastAsia" w:cstheme="majorEastAsia"/>
          <w:bCs/>
          <w:sz w:val="24"/>
          <w:szCs w:val="24"/>
        </w:rPr>
        <w:t>。</w:t>
      </w:r>
    </w:p>
    <w:p>
      <w:pPr>
        <w:pStyle w:val="14"/>
        <w:spacing w:line="440" w:lineRule="exact"/>
        <w:ind w:firstLine="480" w:firstLineChars="20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3.2  针对本项目，</w:t>
      </w:r>
      <w:r>
        <w:rPr>
          <w:rFonts w:hint="eastAsia" w:asciiTheme="majorEastAsia" w:hAnsiTheme="majorEastAsia" w:eastAsiaTheme="majorEastAsia" w:cstheme="majorEastAsia"/>
          <w:sz w:val="24"/>
          <w:szCs w:val="24"/>
        </w:rPr>
        <w:t>磋商供应商</w:t>
      </w:r>
      <w:r>
        <w:rPr>
          <w:rFonts w:hint="eastAsia" w:asciiTheme="majorEastAsia" w:hAnsiTheme="majorEastAsia" w:eastAsiaTheme="majorEastAsia" w:cstheme="majorEastAsia"/>
          <w:bCs/>
          <w:sz w:val="24"/>
          <w:szCs w:val="24"/>
        </w:rPr>
        <w:t>应具备的特定条件：见</w:t>
      </w:r>
      <w:r>
        <w:rPr>
          <w:rFonts w:hint="eastAsia" w:asciiTheme="majorEastAsia" w:hAnsiTheme="majorEastAsia" w:eastAsiaTheme="majorEastAsia" w:cstheme="majorEastAsia"/>
          <w:sz w:val="24"/>
          <w:szCs w:val="24"/>
        </w:rPr>
        <w:t>磋商供应商</w:t>
      </w:r>
      <w:r>
        <w:rPr>
          <w:rFonts w:hint="eastAsia" w:asciiTheme="majorEastAsia" w:hAnsiTheme="majorEastAsia" w:eastAsiaTheme="majorEastAsia" w:cstheme="majorEastAsia"/>
          <w:bCs/>
          <w:sz w:val="24"/>
          <w:szCs w:val="24"/>
        </w:rPr>
        <w:t>须知前附表。</w:t>
      </w:r>
    </w:p>
    <w:p>
      <w:pPr>
        <w:pStyle w:val="14"/>
        <w:spacing w:line="440" w:lineRule="exact"/>
        <w:ind w:firstLine="480" w:firstLineChars="20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 xml:space="preserve">3.3  </w:t>
      </w:r>
      <w:r>
        <w:rPr>
          <w:rFonts w:hint="eastAsia" w:asciiTheme="majorEastAsia" w:hAnsiTheme="majorEastAsia" w:eastAsiaTheme="majorEastAsia" w:cstheme="majorEastAsia"/>
          <w:sz w:val="24"/>
          <w:szCs w:val="24"/>
        </w:rPr>
        <w:t>磋商供应商</w:t>
      </w:r>
      <w:r>
        <w:rPr>
          <w:rFonts w:hint="eastAsia" w:asciiTheme="majorEastAsia" w:hAnsiTheme="majorEastAsia" w:eastAsiaTheme="majorEastAsia" w:cstheme="majorEastAsia"/>
          <w:bCs/>
          <w:sz w:val="24"/>
          <w:szCs w:val="24"/>
        </w:rPr>
        <w:t>须知前附表规定接受联合体磋商的，两个以上</w:t>
      </w:r>
      <w:r>
        <w:rPr>
          <w:rFonts w:hint="eastAsia" w:asciiTheme="majorEastAsia" w:hAnsiTheme="majorEastAsia" w:eastAsiaTheme="majorEastAsia" w:cstheme="majorEastAsia"/>
          <w:sz w:val="24"/>
          <w:szCs w:val="24"/>
        </w:rPr>
        <w:t>磋商</w:t>
      </w:r>
      <w:r>
        <w:rPr>
          <w:rFonts w:hint="eastAsia" w:asciiTheme="majorEastAsia" w:hAnsiTheme="majorEastAsia" w:eastAsiaTheme="majorEastAsia" w:cstheme="majorEastAsia"/>
          <w:bCs/>
          <w:sz w:val="24"/>
          <w:szCs w:val="24"/>
        </w:rPr>
        <w:t>供应商可以组成一个</w:t>
      </w:r>
      <w:r>
        <w:rPr>
          <w:rFonts w:hint="eastAsia" w:asciiTheme="majorEastAsia" w:hAnsiTheme="majorEastAsia" w:eastAsiaTheme="majorEastAsia" w:cstheme="majorEastAsia"/>
          <w:sz w:val="24"/>
          <w:szCs w:val="24"/>
        </w:rPr>
        <w:t>磋商供应商</w:t>
      </w:r>
      <w:r>
        <w:rPr>
          <w:rFonts w:hint="eastAsia" w:asciiTheme="majorEastAsia" w:hAnsiTheme="majorEastAsia" w:eastAsiaTheme="majorEastAsia" w:cstheme="majorEastAsia"/>
          <w:bCs/>
          <w:sz w:val="24"/>
          <w:szCs w:val="24"/>
        </w:rPr>
        <w:t>联合体，</w:t>
      </w:r>
      <w:r>
        <w:rPr>
          <w:rFonts w:hint="eastAsia" w:asciiTheme="majorEastAsia" w:hAnsiTheme="majorEastAsia" w:eastAsiaTheme="majorEastAsia" w:cstheme="majorEastAsia"/>
          <w:sz w:val="24"/>
          <w:szCs w:val="24"/>
        </w:rPr>
        <w:t>以一个磋商供应商的身份共同参加磋商</w:t>
      </w:r>
      <w:r>
        <w:rPr>
          <w:rFonts w:hint="eastAsia" w:asciiTheme="majorEastAsia" w:hAnsiTheme="majorEastAsia" w:eastAsiaTheme="majorEastAsia" w:cstheme="majorEastAsia"/>
          <w:bCs/>
          <w:sz w:val="24"/>
          <w:szCs w:val="24"/>
        </w:rPr>
        <w:t>。以联合体形式参加磋商的，联合体各方均应当符合本章第3.1项的要求，联合体各方中至少应当有一方符合本章第3.2项的要求。由同一专业的组成的联合体，按照资质等级较低的确定资质等级。联合体各方不得再以自己名义单独或组成新的联合体参加同一项目同一分项磋商。</w:t>
      </w:r>
    </w:p>
    <w:p>
      <w:pPr>
        <w:pStyle w:val="14"/>
        <w:spacing w:line="440" w:lineRule="exact"/>
        <w:ind w:firstLine="480" w:firstLineChars="20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 xml:space="preserve">3.4  </w:t>
      </w:r>
      <w:r>
        <w:rPr>
          <w:rFonts w:hint="eastAsia" w:asciiTheme="majorEastAsia" w:hAnsiTheme="majorEastAsia" w:eastAsiaTheme="majorEastAsia" w:cstheme="majorEastAsia"/>
          <w:sz w:val="24"/>
          <w:szCs w:val="24"/>
        </w:rPr>
        <w:t xml:space="preserve">磋商供应商不得直接或间接地与为本次采购的项目内容进行设计、编制规范和其他文件的咨询公司、采购人、采购代理机构或其附属机构有任何关联。 </w:t>
      </w:r>
    </w:p>
    <w:p>
      <w:pPr>
        <w:pStyle w:val="14"/>
        <w:outlineLvl w:val="2"/>
        <w:rPr>
          <w:rFonts w:asciiTheme="majorEastAsia" w:hAnsiTheme="majorEastAsia" w:eastAsiaTheme="majorEastAsia" w:cstheme="majorEastAsia"/>
          <w:bCs/>
          <w:sz w:val="24"/>
          <w:szCs w:val="24"/>
        </w:rPr>
      </w:pPr>
      <w:bookmarkStart w:id="34" w:name="_Toc460253704"/>
      <w:r>
        <w:rPr>
          <w:rFonts w:hint="eastAsia" w:asciiTheme="majorEastAsia" w:hAnsiTheme="majorEastAsia" w:eastAsiaTheme="majorEastAsia" w:cstheme="majorEastAsia"/>
          <w:bCs/>
          <w:sz w:val="24"/>
          <w:szCs w:val="24"/>
        </w:rPr>
        <w:t>4.  质疑</w:t>
      </w:r>
      <w:bookmarkEnd w:id="34"/>
    </w:p>
    <w:p>
      <w:pPr>
        <w:pStyle w:val="14"/>
        <w:spacing w:line="440" w:lineRule="exact"/>
        <w:ind w:left="2" w:leftChars="1"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Cs/>
          <w:sz w:val="24"/>
          <w:szCs w:val="24"/>
        </w:rPr>
        <w:t xml:space="preserve">4.1  </w:t>
      </w:r>
      <w:r>
        <w:rPr>
          <w:rFonts w:hint="eastAsia" w:asciiTheme="majorEastAsia" w:hAnsiTheme="majorEastAsia" w:eastAsiaTheme="majorEastAsia" w:cstheme="majorEastAsia"/>
          <w:sz w:val="24"/>
          <w:szCs w:val="24"/>
        </w:rPr>
        <w:t>磋商供应商对政府采购活动事项有疑问的，可以向采购人或</w:t>
      </w:r>
      <w:r>
        <w:rPr>
          <w:rFonts w:hint="eastAsia" w:asciiTheme="majorEastAsia" w:hAnsiTheme="majorEastAsia" w:eastAsiaTheme="majorEastAsia" w:cstheme="majorEastAsia"/>
          <w:bCs/>
          <w:sz w:val="24"/>
          <w:szCs w:val="24"/>
        </w:rPr>
        <w:t>采购代理机构提出询问</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bCs/>
          <w:sz w:val="24"/>
          <w:szCs w:val="24"/>
        </w:rPr>
        <w:t>采购人或采购人委托的采购代理机构自受理询问之日起3个工作日内对供应商依法提出的询问作出答复。</w:t>
      </w:r>
    </w:p>
    <w:p>
      <w:pPr>
        <w:pStyle w:val="14"/>
        <w:suppressAutoHyphens/>
        <w:wordWrap w:val="0"/>
        <w:snapToGrid w:val="0"/>
        <w:spacing w:line="440" w:lineRule="exact"/>
        <w:ind w:left="2" w:firstLine="360"/>
        <w:jc w:val="left"/>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 xml:space="preserve">4.2  </w:t>
      </w:r>
      <w:r>
        <w:rPr>
          <w:rFonts w:hint="eastAsia" w:asciiTheme="majorEastAsia" w:hAnsiTheme="majorEastAsia" w:eastAsiaTheme="majorEastAsia" w:cstheme="majorEastAsia"/>
          <w:bCs/>
          <w:sz w:val="24"/>
          <w:szCs w:val="24"/>
        </w:rPr>
        <w:t>潜在供应商依法获取本项目竞争性磋商采购文件后认为竞争性磋商采购文件使自己的权益受到损害的，应当在竞争性磋商采购文件公告期限届满之日起7个工作日内以书面形式向采购人或采购人委托的采购代理机构质疑；供应商认为采购过程使自己的权益受到损害的，应当在各采购程序环节结束之日起7个工作日内，以书面形式向采购人或采购人委托的采购代理机构质疑；供应商认为成交结果使自己的权益受到损害的，应当在成交结果公告期限届满之日起7个工作日内，以书面形式向采购人或采购人委托的采购代理机构质疑。质疑有效期结束后，采购人或采购代理机构不再受理该项目质疑。（质疑受理单位、递交质疑地点详见磋商供应商须知前附表）</w:t>
      </w:r>
    </w:p>
    <w:p>
      <w:pPr>
        <w:pStyle w:val="14"/>
        <w:suppressAutoHyphens/>
        <w:wordWrap w:val="0"/>
        <w:snapToGrid w:val="0"/>
        <w:spacing w:line="440" w:lineRule="exact"/>
        <w:ind w:left="2" w:firstLine="360"/>
        <w:jc w:val="left"/>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4.3供应商质疑实行实名制，其质疑应当有具体的质疑事项及事实根据，质疑应当坚持依法依规、诚实信用原则，不得进行虚假、恶意质疑。</w:t>
      </w:r>
    </w:p>
    <w:p>
      <w:pPr>
        <w:pStyle w:val="14"/>
        <w:suppressAutoHyphens/>
        <w:wordWrap w:val="0"/>
        <w:snapToGrid w:val="0"/>
        <w:spacing w:line="440" w:lineRule="exact"/>
        <w:ind w:left="2" w:firstLine="360"/>
        <w:jc w:val="left"/>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4.4供应商提交质疑应当提交质疑函和必要的证明材料，质疑函应当包括下列内容：</w:t>
      </w:r>
    </w:p>
    <w:p>
      <w:pPr>
        <w:pStyle w:val="14"/>
        <w:suppressAutoHyphens/>
        <w:wordWrap w:val="0"/>
        <w:snapToGrid w:val="0"/>
        <w:spacing w:line="440" w:lineRule="exact"/>
        <w:ind w:left="2" w:firstLine="360"/>
        <w:jc w:val="left"/>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（1）供应商的姓名或者名称、地址、邮编、联系人及联系电话；</w:t>
      </w:r>
    </w:p>
    <w:p>
      <w:pPr>
        <w:pStyle w:val="14"/>
        <w:suppressAutoHyphens/>
        <w:wordWrap w:val="0"/>
        <w:snapToGrid w:val="0"/>
        <w:spacing w:line="440" w:lineRule="exact"/>
        <w:ind w:left="2" w:firstLine="360"/>
        <w:jc w:val="left"/>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（2）质疑项目的名称、编号；</w:t>
      </w:r>
    </w:p>
    <w:p>
      <w:pPr>
        <w:pStyle w:val="14"/>
        <w:suppressAutoHyphens/>
        <w:wordWrap w:val="0"/>
        <w:snapToGrid w:val="0"/>
        <w:spacing w:line="440" w:lineRule="exact"/>
        <w:ind w:left="2" w:firstLine="360"/>
        <w:jc w:val="left"/>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（3）具体、明确的质疑事项和质疑事项相关的请求；</w:t>
      </w:r>
    </w:p>
    <w:p>
      <w:pPr>
        <w:pStyle w:val="14"/>
        <w:suppressAutoHyphens/>
        <w:wordWrap w:val="0"/>
        <w:snapToGrid w:val="0"/>
        <w:spacing w:line="440" w:lineRule="exact"/>
        <w:ind w:left="2" w:firstLine="360"/>
        <w:jc w:val="left"/>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（4）事实依据；</w:t>
      </w:r>
    </w:p>
    <w:p>
      <w:pPr>
        <w:pStyle w:val="14"/>
        <w:suppressAutoHyphens/>
        <w:wordWrap w:val="0"/>
        <w:snapToGrid w:val="0"/>
        <w:spacing w:line="440" w:lineRule="exact"/>
        <w:ind w:left="2" w:firstLine="360"/>
        <w:jc w:val="left"/>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（5）必要的法律依据；</w:t>
      </w:r>
    </w:p>
    <w:p>
      <w:pPr>
        <w:pStyle w:val="14"/>
        <w:suppressAutoHyphens/>
        <w:wordWrap w:val="0"/>
        <w:snapToGrid w:val="0"/>
        <w:spacing w:line="440" w:lineRule="exact"/>
        <w:ind w:left="2" w:firstLine="360"/>
        <w:jc w:val="left"/>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（6）提起质疑的日期；</w:t>
      </w:r>
    </w:p>
    <w:p>
      <w:pPr>
        <w:pStyle w:val="14"/>
        <w:suppressAutoHyphens/>
        <w:wordWrap w:val="0"/>
        <w:snapToGrid w:val="0"/>
        <w:spacing w:line="440" w:lineRule="exact"/>
        <w:ind w:left="2" w:firstLine="360"/>
        <w:jc w:val="left"/>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7）附件材料：营业执照副本内页复印件（要求证件有效并清晰反映企业法人经营范围）；近期连续三个月依法缴纳税收证明材料（复印件，原件备查）；近期连续三个月在职职工依法缴纳社会保障资金证明材料（复印件，原件备查）。</w:t>
      </w:r>
    </w:p>
    <w:p>
      <w:pPr>
        <w:pStyle w:val="14"/>
        <w:suppressAutoHyphens/>
        <w:wordWrap w:val="0"/>
        <w:snapToGrid w:val="0"/>
        <w:spacing w:line="440" w:lineRule="exact"/>
        <w:ind w:left="2" w:firstLine="36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Cs/>
          <w:sz w:val="24"/>
          <w:szCs w:val="24"/>
        </w:rPr>
        <w:t>质疑书应当署名。供应商为自然人的，应当由本人签字；质疑供应商为法人或者其他组织的，应当由法定代表人、主要负责人签字或其授权代表签字或盖章并加盖公章。</w:t>
      </w:r>
    </w:p>
    <w:p>
      <w:pPr>
        <w:pStyle w:val="14"/>
        <w:suppressAutoHyphens/>
        <w:wordWrap w:val="0"/>
        <w:snapToGrid w:val="0"/>
        <w:spacing w:line="440" w:lineRule="exact"/>
        <w:ind w:left="723" w:leftChars="173" w:hanging="360" w:hangingChars="15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4.5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w:t>
      </w:r>
      <w:r>
        <w:rPr>
          <w:rFonts w:hint="eastAsia" w:asciiTheme="majorEastAsia" w:hAnsiTheme="majorEastAsia" w:eastAsiaTheme="majorEastAsia" w:cstheme="majorEastAsia"/>
          <w:sz w:val="24"/>
          <w:szCs w:val="24"/>
        </w:rPr>
        <w:t>委托代理人身份证明复印件和近期三个月社保缴费证明复印件。</w:t>
      </w:r>
    </w:p>
    <w:p>
      <w:pPr>
        <w:pStyle w:val="14"/>
        <w:suppressAutoHyphens/>
        <w:wordWrap w:val="0"/>
        <w:snapToGrid w:val="0"/>
        <w:spacing w:line="440" w:lineRule="exact"/>
        <w:ind w:left="2" w:firstLine="36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4.6  质疑供应商提起质疑应当符合下列条件：</w:t>
      </w:r>
    </w:p>
    <w:p>
      <w:pPr>
        <w:pStyle w:val="14"/>
        <w:suppressAutoHyphens/>
        <w:wordWrap w:val="0"/>
        <w:snapToGrid w:val="0"/>
        <w:spacing w:line="440" w:lineRule="exact"/>
        <w:ind w:left="2" w:firstLine="36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（1）质疑供应商是参与所质疑政府采购活动的供应商，以联合体形式参加政府采购活动的，其质疑应当由组成联合体的所有供应商共同提出；</w:t>
      </w:r>
    </w:p>
    <w:p>
      <w:pPr>
        <w:pStyle w:val="14"/>
        <w:suppressAutoHyphens/>
        <w:wordWrap w:val="0"/>
        <w:snapToGrid w:val="0"/>
        <w:spacing w:line="440" w:lineRule="exact"/>
        <w:ind w:left="2" w:firstLine="36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（2）质疑函内容符合本章第4.4项的规定；</w:t>
      </w:r>
    </w:p>
    <w:p>
      <w:pPr>
        <w:pStyle w:val="14"/>
        <w:suppressAutoHyphens/>
        <w:wordWrap w:val="0"/>
        <w:snapToGrid w:val="0"/>
        <w:spacing w:line="440" w:lineRule="exact"/>
        <w:ind w:left="2" w:firstLine="36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（3）在质疑有效期限内提起质疑；</w:t>
      </w:r>
    </w:p>
    <w:p>
      <w:pPr>
        <w:pStyle w:val="14"/>
        <w:suppressAutoHyphens/>
        <w:wordWrap w:val="0"/>
        <w:snapToGrid w:val="0"/>
        <w:spacing w:line="440" w:lineRule="exact"/>
        <w:ind w:left="2" w:firstLine="36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（4）属于所质疑的采购人或采购人委托的采购代理机构组织的采购活动；</w:t>
      </w:r>
    </w:p>
    <w:p>
      <w:pPr>
        <w:pStyle w:val="14"/>
        <w:suppressAutoHyphens/>
        <w:wordWrap w:val="0"/>
        <w:snapToGrid w:val="0"/>
        <w:spacing w:line="440" w:lineRule="exact"/>
        <w:ind w:left="2" w:firstLine="36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 xml:space="preserve">（5）同一质疑事项未经采购人或采购人委托的采购代理机构质疑处理； </w:t>
      </w:r>
    </w:p>
    <w:p>
      <w:pPr>
        <w:pStyle w:val="14"/>
        <w:suppressAutoHyphens/>
        <w:wordWrap w:val="0"/>
        <w:snapToGrid w:val="0"/>
        <w:spacing w:line="440" w:lineRule="exact"/>
        <w:ind w:left="2" w:firstLine="36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（6）供应商对同一采购程序环节的质疑应当在质疑有效期内一次性提出；</w:t>
      </w:r>
    </w:p>
    <w:p>
      <w:pPr>
        <w:pStyle w:val="14"/>
        <w:suppressAutoHyphens/>
        <w:wordWrap w:val="0"/>
        <w:snapToGrid w:val="0"/>
        <w:spacing w:line="440" w:lineRule="exact"/>
        <w:ind w:left="2" w:firstLine="36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（7）供应商提交质疑应当提交必要的证明材料，证明材料应以合法手段取得；</w:t>
      </w:r>
    </w:p>
    <w:p>
      <w:pPr>
        <w:pStyle w:val="14"/>
        <w:suppressAutoHyphens/>
        <w:wordWrap w:val="0"/>
        <w:snapToGrid w:val="0"/>
        <w:spacing w:line="440" w:lineRule="exact"/>
        <w:ind w:left="2" w:firstLine="36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（8）财政部门规定的其他条件。</w:t>
      </w:r>
    </w:p>
    <w:p>
      <w:pPr>
        <w:pStyle w:val="14"/>
        <w:suppressAutoHyphens/>
        <w:wordWrap w:val="0"/>
        <w:snapToGrid w:val="0"/>
        <w:spacing w:line="440" w:lineRule="exact"/>
        <w:ind w:left="2" w:firstLine="36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4.7  采购人或采购人委托的采购代理机构自受理质疑之日起七个工作日内，对质疑事项作出答复，并以书面形式通知质疑供应商及其他有关供应商。</w:t>
      </w:r>
    </w:p>
    <w:p>
      <w:pPr>
        <w:pStyle w:val="14"/>
        <w:spacing w:line="440" w:lineRule="exact"/>
        <w:ind w:left="542" w:leftChars="201" w:hanging="120" w:hangingChars="50"/>
        <w:jc w:val="left"/>
        <w:outlineLvl w:val="2"/>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5.  投诉</w:t>
      </w:r>
    </w:p>
    <w:p>
      <w:pPr>
        <w:pStyle w:val="14"/>
        <w:spacing w:line="440" w:lineRule="exact"/>
        <w:ind w:firstLine="480" w:firstLineChars="200"/>
        <w:jc w:val="left"/>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5.1  供应商认为采购文件、采购过程、成交结果使自己的合法权益受到损害的，应当首先依法向采购人或采购人委托的</w:t>
      </w:r>
      <w:r>
        <w:rPr>
          <w:rFonts w:hint="eastAsia" w:asciiTheme="majorEastAsia" w:hAnsiTheme="majorEastAsia" w:eastAsiaTheme="majorEastAsia" w:cstheme="majorEastAsia"/>
          <w:sz w:val="24"/>
          <w:szCs w:val="24"/>
        </w:rPr>
        <w:t>采购代理机构</w:t>
      </w:r>
      <w:r>
        <w:rPr>
          <w:rFonts w:hint="eastAsia" w:asciiTheme="majorEastAsia" w:hAnsiTheme="majorEastAsia" w:eastAsiaTheme="majorEastAsia" w:cstheme="majorEastAsia"/>
          <w:bCs/>
          <w:sz w:val="24"/>
          <w:szCs w:val="24"/>
        </w:rPr>
        <w:t>提出质疑。对采购人、</w:t>
      </w:r>
      <w:r>
        <w:rPr>
          <w:rFonts w:hint="eastAsia" w:asciiTheme="majorEastAsia" w:hAnsiTheme="majorEastAsia" w:eastAsiaTheme="majorEastAsia" w:cstheme="majorEastAsia"/>
          <w:sz w:val="24"/>
          <w:szCs w:val="24"/>
        </w:rPr>
        <w:t>采购代理机构</w:t>
      </w:r>
      <w:r>
        <w:rPr>
          <w:rFonts w:hint="eastAsia" w:asciiTheme="majorEastAsia" w:hAnsiTheme="majorEastAsia" w:eastAsiaTheme="majorEastAsia" w:cstheme="majorEastAsia"/>
          <w:bCs/>
          <w:sz w:val="24"/>
          <w:szCs w:val="24"/>
        </w:rPr>
        <w:t>的答复不满意，或者采购人、</w:t>
      </w:r>
      <w:r>
        <w:rPr>
          <w:rFonts w:hint="eastAsia" w:asciiTheme="majorEastAsia" w:hAnsiTheme="majorEastAsia" w:eastAsiaTheme="majorEastAsia" w:cstheme="majorEastAsia"/>
          <w:sz w:val="24"/>
          <w:szCs w:val="24"/>
        </w:rPr>
        <w:t>采购代理机构</w:t>
      </w:r>
      <w:r>
        <w:rPr>
          <w:rFonts w:hint="eastAsia" w:asciiTheme="majorEastAsia" w:hAnsiTheme="majorEastAsia" w:eastAsiaTheme="majorEastAsia" w:cstheme="majorEastAsia"/>
          <w:bCs/>
          <w:sz w:val="24"/>
          <w:szCs w:val="24"/>
        </w:rPr>
        <w:t>未在规定期限内做出答复的，供应商可以在答复期满后十五个工作日内向南宁市良庆区</w:t>
      </w:r>
      <w:r>
        <w:rPr>
          <w:rFonts w:hint="eastAsia" w:asciiTheme="majorEastAsia" w:hAnsiTheme="majorEastAsia" w:eastAsiaTheme="majorEastAsia" w:cstheme="majorEastAsia"/>
          <w:sz w:val="24"/>
          <w:szCs w:val="24"/>
        </w:rPr>
        <w:t>政府采购监督管理部门</w:t>
      </w:r>
      <w:r>
        <w:rPr>
          <w:rFonts w:hint="eastAsia" w:asciiTheme="majorEastAsia" w:hAnsiTheme="majorEastAsia" w:eastAsiaTheme="majorEastAsia" w:cstheme="majorEastAsia"/>
          <w:bCs/>
          <w:sz w:val="24"/>
          <w:szCs w:val="24"/>
        </w:rPr>
        <w:t>提起投诉。</w:t>
      </w:r>
    </w:p>
    <w:p>
      <w:pPr>
        <w:pStyle w:val="14"/>
        <w:spacing w:line="440" w:lineRule="exact"/>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5.2  投诉人投诉时，应当提交投诉书，并按照被投诉采购人、采购代理机构和与投诉事项有关的供应商数量提供投诉书的副本。投诉书应当包括下列主要内容（如材料中有外文资料应同时附上对应的中文译本）：</w:t>
      </w:r>
    </w:p>
    <w:p>
      <w:pPr>
        <w:pStyle w:val="14"/>
        <w:spacing w:line="440" w:lineRule="exact"/>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（1）投诉人和被投诉人的名称、地址、电话等； </w:t>
      </w:r>
    </w:p>
    <w:p>
      <w:pPr>
        <w:pStyle w:val="14"/>
        <w:spacing w:line="440" w:lineRule="exact"/>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（2）具体的投诉事项及事实依据；</w:t>
      </w:r>
    </w:p>
    <w:p>
      <w:pPr>
        <w:pStyle w:val="14"/>
        <w:spacing w:line="440" w:lineRule="exact"/>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（3）质疑和质疑答复情况及相关证明材料； </w:t>
      </w:r>
    </w:p>
    <w:p>
      <w:pPr>
        <w:pStyle w:val="14"/>
        <w:tabs>
          <w:tab w:val="right" w:pos="9638"/>
        </w:tabs>
        <w:spacing w:line="440" w:lineRule="exact"/>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（4）提起投诉的日期。</w:t>
      </w:r>
    </w:p>
    <w:p>
      <w:pPr>
        <w:pStyle w:val="14"/>
        <w:tabs>
          <w:tab w:val="right" w:pos="9638"/>
        </w:tabs>
        <w:spacing w:line="440" w:lineRule="exact"/>
        <w:ind w:left="2" w:firstLine="477" w:firstLineChars="199"/>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（5）附件材料：营业执照副本内页复印件（要求证件有效清晰和企业年度报告公示材料；近期三个月依法缴纳税收和在职职工社会保障资金证明材料（复印件，原件备查）。</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 xml:space="preserve">    投诉书应当署名。投诉人为法人或者其他组织的，应当由法定代表人或者主要负责人签字盖章并加盖公章。</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5.3  投诉人可以委托代理人办理投诉事务。代理人办理投诉事务时，除提交投诉书外，还应当提交投诉人的授权委托书，授权委托书应当载明委托代理的具体权限和事项。</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5.4  投诉人提起投诉应当符合下列条件：</w:t>
      </w:r>
    </w:p>
    <w:p>
      <w:pPr>
        <w:spacing w:line="44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（1）投诉人是参与所投诉政府采购活动的供应商；</w:t>
      </w:r>
    </w:p>
    <w:p>
      <w:pPr>
        <w:spacing w:line="44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（2）提起投诉前已依法进行质疑；</w:t>
      </w:r>
    </w:p>
    <w:p>
      <w:pPr>
        <w:spacing w:line="44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（3）投诉书内容符合本章第5.2项的规定；</w:t>
      </w:r>
    </w:p>
    <w:p>
      <w:pPr>
        <w:spacing w:line="44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（4）在投诉有效期限内提起投诉；</w:t>
      </w:r>
    </w:p>
    <w:p>
      <w:pPr>
        <w:spacing w:line="44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（5）属于</w:t>
      </w:r>
      <w:r>
        <w:rPr>
          <w:rFonts w:hint="eastAsia" w:asciiTheme="majorEastAsia" w:hAnsiTheme="majorEastAsia" w:eastAsiaTheme="majorEastAsia" w:cstheme="majorEastAsia"/>
          <w:bCs/>
          <w:sz w:val="24"/>
        </w:rPr>
        <w:t>南宁市良庆区</w:t>
      </w:r>
      <w:r>
        <w:rPr>
          <w:rFonts w:hint="eastAsia" w:asciiTheme="majorEastAsia" w:hAnsiTheme="majorEastAsia" w:eastAsiaTheme="majorEastAsia" w:cstheme="majorEastAsia"/>
          <w:sz w:val="24"/>
        </w:rPr>
        <w:t>政府采购监督管理部门管辖；</w:t>
      </w:r>
    </w:p>
    <w:p>
      <w:pPr>
        <w:spacing w:line="44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（6）同一投诉事项未经</w:t>
      </w:r>
      <w:r>
        <w:rPr>
          <w:rFonts w:hint="eastAsia" w:asciiTheme="majorEastAsia" w:hAnsiTheme="majorEastAsia" w:eastAsiaTheme="majorEastAsia" w:cstheme="majorEastAsia"/>
          <w:bCs/>
          <w:sz w:val="24"/>
        </w:rPr>
        <w:t>南宁市良庆区</w:t>
      </w:r>
      <w:r>
        <w:rPr>
          <w:rFonts w:hint="eastAsia" w:asciiTheme="majorEastAsia" w:hAnsiTheme="majorEastAsia" w:eastAsiaTheme="majorEastAsia" w:cstheme="majorEastAsia"/>
          <w:sz w:val="24"/>
        </w:rPr>
        <w:t>政府采购监督管理部门投诉处理；</w:t>
      </w:r>
    </w:p>
    <w:p>
      <w:pPr>
        <w:spacing w:line="44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（7）国务院财政部门规定的其他条件。</w:t>
      </w:r>
    </w:p>
    <w:p>
      <w:pPr>
        <w:spacing w:line="44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5.5  </w:t>
      </w:r>
      <w:r>
        <w:rPr>
          <w:rFonts w:hint="eastAsia" w:asciiTheme="majorEastAsia" w:hAnsiTheme="majorEastAsia" w:eastAsiaTheme="majorEastAsia" w:cstheme="majorEastAsia"/>
          <w:bCs/>
          <w:sz w:val="24"/>
        </w:rPr>
        <w:t>南宁市良庆区</w:t>
      </w:r>
      <w:r>
        <w:rPr>
          <w:rFonts w:hint="eastAsia" w:asciiTheme="majorEastAsia" w:hAnsiTheme="majorEastAsia" w:eastAsiaTheme="majorEastAsia" w:cstheme="majorEastAsia"/>
          <w:sz w:val="24"/>
        </w:rPr>
        <w:t>政府采购监督管理部门自受理投诉之日起三十个工作日内，对投诉事项作出处理决定，并以书面形式通知投诉人、被投诉人及其他与投诉处理结果有利害关系的政府采购当事人。</w:t>
      </w:r>
    </w:p>
    <w:p>
      <w:pPr>
        <w:spacing w:line="44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5.6  </w:t>
      </w:r>
      <w:r>
        <w:rPr>
          <w:rFonts w:hint="eastAsia" w:asciiTheme="majorEastAsia" w:hAnsiTheme="majorEastAsia" w:eastAsiaTheme="majorEastAsia" w:cstheme="majorEastAsia"/>
          <w:bCs/>
          <w:sz w:val="24"/>
        </w:rPr>
        <w:t>南宁市良庆区</w:t>
      </w:r>
      <w:r>
        <w:rPr>
          <w:rFonts w:hint="eastAsia" w:asciiTheme="majorEastAsia" w:hAnsiTheme="majorEastAsia" w:eastAsiaTheme="majorEastAsia" w:cstheme="majorEastAsia"/>
          <w:sz w:val="24"/>
        </w:rPr>
        <w:t>政府采购监督管理部门在处理投诉事项期间，可以视具体情况暂停采购活动。</w:t>
      </w:r>
    </w:p>
    <w:p>
      <w:pPr>
        <w:pStyle w:val="22"/>
        <w:outlineLvl w:val="1"/>
        <w:rPr>
          <w:rFonts w:asciiTheme="majorEastAsia" w:hAnsiTheme="majorEastAsia" w:eastAsiaTheme="majorEastAsia" w:cstheme="majorEastAsia"/>
        </w:rPr>
      </w:pPr>
      <w:bookmarkStart w:id="35" w:name="_Toc460253705"/>
      <w:bookmarkStart w:id="36" w:name="_Toc485920214"/>
      <w:bookmarkStart w:id="37" w:name="_Toc213326417"/>
      <w:bookmarkStart w:id="38" w:name="_Toc521096344"/>
      <w:r>
        <w:rPr>
          <w:rFonts w:hint="eastAsia" w:asciiTheme="majorEastAsia" w:hAnsiTheme="majorEastAsia" w:eastAsiaTheme="majorEastAsia" w:cstheme="majorEastAsia"/>
        </w:rPr>
        <w:t>二    竞争性磋商采购文件</w:t>
      </w:r>
      <w:bookmarkEnd w:id="35"/>
      <w:bookmarkEnd w:id="36"/>
      <w:bookmarkEnd w:id="37"/>
      <w:bookmarkEnd w:id="38"/>
    </w:p>
    <w:p>
      <w:pPr>
        <w:pStyle w:val="14"/>
        <w:spacing w:line="440" w:lineRule="exact"/>
        <w:outlineLvl w:val="2"/>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6.  竞争性磋商采购文件的组成</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6.1  本</w:t>
      </w:r>
      <w:r>
        <w:rPr>
          <w:rFonts w:hint="eastAsia" w:asciiTheme="majorEastAsia" w:hAnsiTheme="majorEastAsia" w:eastAsiaTheme="majorEastAsia" w:cstheme="majorEastAsia"/>
          <w:bCs/>
          <w:sz w:val="24"/>
          <w:szCs w:val="24"/>
        </w:rPr>
        <w:t>竞争性磋商采购文件</w:t>
      </w:r>
      <w:r>
        <w:rPr>
          <w:rFonts w:hint="eastAsia" w:asciiTheme="majorEastAsia" w:hAnsiTheme="majorEastAsia" w:eastAsiaTheme="majorEastAsia" w:cstheme="majorEastAsia"/>
          <w:sz w:val="24"/>
          <w:szCs w:val="24"/>
        </w:rPr>
        <w:t>包括六个章节，各章的内容如下：</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第一章  竞争性磋商公告</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第二章  服务需求一览表</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第三章  评审方法</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第四章  磋商供应商须知</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第五章  响应文件格式</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第六章  合同草案条款及格式</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6.2  根据本章第7.1项的规定对竞争性磋商文件所做的澄清、修改，构成竞争性磋商文件的组成部分。当竞争性磋商文件与澄清和修改的同一内容的表述不一致时，以最后发出的书面文件为准。</w:t>
      </w:r>
    </w:p>
    <w:p>
      <w:pPr>
        <w:pStyle w:val="14"/>
        <w:spacing w:line="440" w:lineRule="exact"/>
        <w:outlineLvl w:val="2"/>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7.  竞争性</w:t>
      </w:r>
      <w:r>
        <w:rPr>
          <w:rFonts w:hint="eastAsia" w:asciiTheme="majorEastAsia" w:hAnsiTheme="majorEastAsia" w:eastAsiaTheme="majorEastAsia" w:cstheme="majorEastAsia"/>
          <w:sz w:val="24"/>
          <w:szCs w:val="24"/>
        </w:rPr>
        <w:t>磋商</w:t>
      </w:r>
      <w:r>
        <w:rPr>
          <w:rFonts w:hint="eastAsia" w:asciiTheme="majorEastAsia" w:hAnsiTheme="majorEastAsia" w:eastAsiaTheme="majorEastAsia" w:cstheme="majorEastAsia"/>
          <w:bCs/>
          <w:sz w:val="24"/>
          <w:szCs w:val="24"/>
        </w:rPr>
        <w:t>采购文件的澄清和修改</w:t>
      </w:r>
    </w:p>
    <w:p>
      <w:pPr>
        <w:pStyle w:val="14"/>
        <w:spacing w:line="440" w:lineRule="exact"/>
        <w:ind w:left="2" w:leftChars="1" w:firstLine="480" w:firstLineChars="20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rPr>
        <w:t>7.1　提交首次响应文件截止之日前，采购人、采购代理机构或者磋商小组可以对已发出的磋商文件进行必要的澄清或者修改。澄清或者修改的内容可能影响响应文件编制的，采购人、采购代理机构应当在提交首次响应文件截止时间至少5日前；不足5日的，采购人、采购代理机构应当顺延提交首次响应文件截止时间。同时，采购代理机构在本章第2.1项规定的政府采购信息发布媒体上发布更正公告，</w:t>
      </w:r>
      <w:r>
        <w:rPr>
          <w:rFonts w:hint="eastAsia" w:asciiTheme="majorEastAsia" w:hAnsiTheme="majorEastAsia" w:eastAsiaTheme="majorEastAsia" w:cstheme="majorEastAsia"/>
          <w:b/>
          <w:sz w:val="24"/>
          <w:szCs w:val="24"/>
        </w:rPr>
        <w:t>请磋商供应商随时关注网站动态，代理机构将不再另行电话通知。</w:t>
      </w:r>
    </w:p>
    <w:p>
      <w:pPr>
        <w:pStyle w:val="14"/>
        <w:spacing w:line="440" w:lineRule="exact"/>
        <w:ind w:left="2" w:leftChars="1" w:firstLine="480" w:firstLineChars="20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rPr>
        <w:t>7.2采购人和采购代理机构可以视采购具体情况，变更递交响应文件截止时间，但应当在递交响应文件截止之日前，采购代理机构在本章第2.1项规定的政府采购信息发布媒体上发布更正公告，</w:t>
      </w:r>
      <w:r>
        <w:rPr>
          <w:rFonts w:hint="eastAsia" w:asciiTheme="majorEastAsia" w:hAnsiTheme="majorEastAsia" w:eastAsiaTheme="majorEastAsia" w:cstheme="majorEastAsia"/>
          <w:b/>
          <w:sz w:val="24"/>
          <w:szCs w:val="24"/>
        </w:rPr>
        <w:t>请磋商供应商随时关注网站动态，代理机构将不再另行电话通知。</w:t>
      </w:r>
    </w:p>
    <w:p>
      <w:pPr>
        <w:pStyle w:val="22"/>
        <w:outlineLvl w:val="1"/>
        <w:rPr>
          <w:rFonts w:asciiTheme="majorEastAsia" w:hAnsiTheme="majorEastAsia" w:eastAsiaTheme="majorEastAsia" w:cstheme="majorEastAsia"/>
        </w:rPr>
      </w:pPr>
      <w:bookmarkStart w:id="39" w:name="_Toc460253706"/>
      <w:bookmarkStart w:id="40" w:name="_Toc485920215"/>
      <w:bookmarkStart w:id="41" w:name="_Toc213326418"/>
      <w:bookmarkStart w:id="42" w:name="_Toc521096345"/>
      <w:r>
        <w:rPr>
          <w:rFonts w:hint="eastAsia" w:asciiTheme="majorEastAsia" w:hAnsiTheme="majorEastAsia" w:eastAsiaTheme="majorEastAsia" w:cstheme="majorEastAsia"/>
        </w:rPr>
        <w:t>三    响应文件</w:t>
      </w:r>
      <w:bookmarkEnd w:id="39"/>
      <w:bookmarkEnd w:id="40"/>
      <w:bookmarkEnd w:id="41"/>
      <w:bookmarkEnd w:id="42"/>
    </w:p>
    <w:p>
      <w:pPr>
        <w:pStyle w:val="14"/>
        <w:spacing w:line="440" w:lineRule="exact"/>
        <w:outlineLvl w:val="2"/>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8.  响应文件的编制</w:t>
      </w:r>
    </w:p>
    <w:p>
      <w:pPr>
        <w:pStyle w:val="14"/>
        <w:spacing w:line="440" w:lineRule="exact"/>
        <w:ind w:left="2" w:leftChars="1"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8.1 磋商供应商应仔细阅读竞争性磋商文件，在充分了解采购的内容、技术参数要求和商务条款以及实质性要求和条件后，编写响应文件。</w:t>
      </w:r>
    </w:p>
    <w:p>
      <w:pPr>
        <w:pStyle w:val="14"/>
        <w:spacing w:line="440" w:lineRule="exact"/>
        <w:ind w:left="2" w:leftChars="1"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8.2  对竞争性磋商文件的实质性要求和条件作出响应是指磋商供应商必须对竞争性磋商文件中标注为实质性要求和条件的技术参数要求、商务条款及其它内容</w:t>
      </w:r>
      <w:r>
        <w:rPr>
          <w:rFonts w:hint="eastAsia" w:asciiTheme="majorEastAsia" w:hAnsiTheme="majorEastAsia" w:eastAsiaTheme="majorEastAsia" w:cstheme="majorEastAsia"/>
          <w:b/>
          <w:sz w:val="24"/>
          <w:szCs w:val="24"/>
        </w:rPr>
        <w:t>作出满足或者优于原要求和条件的承诺</w:t>
      </w:r>
      <w:r>
        <w:rPr>
          <w:rFonts w:hint="eastAsia" w:asciiTheme="majorEastAsia" w:hAnsiTheme="majorEastAsia" w:eastAsiaTheme="majorEastAsia" w:cstheme="majorEastAsia"/>
          <w:sz w:val="24"/>
          <w:szCs w:val="24"/>
        </w:rPr>
        <w:t>。</w:t>
      </w:r>
    </w:p>
    <w:p>
      <w:pPr>
        <w:pStyle w:val="14"/>
        <w:spacing w:line="440" w:lineRule="exact"/>
        <w:ind w:left="2" w:leftChars="1"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8.3  竞争性磋商文件中标注★号的内容为实质性要求和条件。</w:t>
      </w:r>
    </w:p>
    <w:p>
      <w:pPr>
        <w:pStyle w:val="14"/>
        <w:spacing w:line="440" w:lineRule="exact"/>
        <w:ind w:left="2" w:leftChars="1"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8.4  响应文件应用不褪色的材料书写或打印，保证其清楚、工整，相关材料的复印件应清晰可辨认。响应文件字迹潦草、表达不清、模糊无法辨认而导致非唯一理解是磋商供应商的风险，很可能导致该响应无效。</w:t>
      </w:r>
    </w:p>
    <w:p>
      <w:pPr>
        <w:pStyle w:val="14"/>
        <w:spacing w:line="440" w:lineRule="exact"/>
        <w:ind w:left="2" w:leftChars="1"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8.5  第五章“响应文件格式”中规定了响应文件格式的，应按相应格式要求编写。</w:t>
      </w:r>
    </w:p>
    <w:p>
      <w:pPr>
        <w:pStyle w:val="14"/>
        <w:spacing w:line="440" w:lineRule="exact"/>
        <w:ind w:left="2" w:leftChars="1"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8.6  响应文件应由磋商供应商的法定代表人或其委托代理人在凡规定签章处逐一签字或盖章并加盖单位公章。响应文件应尽量避免涂改、行间插字或删除。如果出现上述情况，改动之处应加盖单位公章或由磋商供应商的法定代表人或其委托代理人签字或盖章确认。</w:t>
      </w:r>
    </w:p>
    <w:p>
      <w:pPr>
        <w:pStyle w:val="14"/>
        <w:spacing w:line="440" w:lineRule="exact"/>
        <w:ind w:left="2" w:leftChars="1"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8.7  响应文件应编制目录，且页码清晰准确。</w:t>
      </w:r>
    </w:p>
    <w:p>
      <w:pPr>
        <w:pStyle w:val="14"/>
        <w:spacing w:line="440" w:lineRule="exact"/>
        <w:ind w:left="2" w:leftChars="1"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8.8  响应文件的正本和副本应分别装订成册，封面上应清楚地标记“正本”或“副本”字样，并标明项目名称、项目编号、磋商供应商名称等内容。副本可以采用正本的复印件，当副本和正本不一致时，以正本为准。磋商供应商应准备首次报价文件正本、技术文件正本、商务文件正本各一份，副本份数见磋商供应商须知前附表。</w:t>
      </w:r>
    </w:p>
    <w:p>
      <w:pPr>
        <w:pStyle w:val="14"/>
        <w:spacing w:line="440" w:lineRule="exact"/>
        <w:outlineLvl w:val="2"/>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9.  响应文件语言文字及计量单位</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9.1  磋商供应商的响应文件以及磋商供应商与采购人、采购代理机构就有关磋商的所有往来函电统一使用中文（特别规定除外）。磋商供应商随响应文件或往来函电所提交的相关证明材料等可以使用其他语言，但必须同时提供由专业翻译机构出具的或经公证的中文译文，否则视同未提供该项证明材料。</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9.2  对不同文字文本响应文件的解释发生异议的，以中文文本为准。</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9.3  响应文件使用的计量单位除竞争性磋商文件中有特殊规定外，一律使用中华人民共和国法定计量单位。</w:t>
      </w:r>
    </w:p>
    <w:p>
      <w:pPr>
        <w:pStyle w:val="14"/>
        <w:spacing w:line="440" w:lineRule="exact"/>
        <w:outlineLvl w:val="2"/>
        <w:rPr>
          <w:rFonts w:asciiTheme="majorEastAsia" w:hAnsiTheme="majorEastAsia" w:eastAsiaTheme="majorEastAsia" w:cstheme="majorEastAsia"/>
          <w:bCs/>
          <w:sz w:val="24"/>
          <w:szCs w:val="24"/>
        </w:rPr>
      </w:pPr>
      <w:bookmarkStart w:id="43" w:name="_Toc485920221"/>
      <w:bookmarkStart w:id="44" w:name="_Toc213325925"/>
      <w:bookmarkStart w:id="45" w:name="_Toc213326424"/>
      <w:bookmarkStart w:id="46" w:name="_Toc213206176"/>
      <w:bookmarkStart w:id="47" w:name="_Toc460253715"/>
      <w:r>
        <w:rPr>
          <w:rFonts w:hint="eastAsia" w:asciiTheme="majorEastAsia" w:hAnsiTheme="majorEastAsia" w:eastAsiaTheme="majorEastAsia" w:cstheme="majorEastAsia"/>
          <w:bCs/>
          <w:sz w:val="24"/>
          <w:szCs w:val="24"/>
        </w:rPr>
        <w:t>10.  响应文件的组成</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10.1  磋商供应商需编制的响应文件包括首次报价文件、技术文件和商务文件三部分，磋商供应商应按下列说明编写和提交。应提交的有关文件如未特别注明为原件的，可提交复印件。</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10.1.1  首次报价文件，包括：</w:t>
      </w:r>
    </w:p>
    <w:p>
      <w:pPr>
        <w:pStyle w:val="14"/>
        <w:spacing w:line="440" w:lineRule="exact"/>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（1）响应函：按第五章“响应文件格式”提供的“响应函（格式）”的要求填写；</w:t>
      </w:r>
    </w:p>
    <w:p>
      <w:pPr>
        <w:pStyle w:val="14"/>
        <w:spacing w:line="440" w:lineRule="exact"/>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（2）响应报价表：按第五章“响应文件格式”提供的“响应报价表（格式）”的要求填写。</w:t>
      </w:r>
    </w:p>
    <w:p>
      <w:pPr>
        <w:pStyle w:val="14"/>
        <w:spacing w:line="440" w:lineRule="exact"/>
        <w:ind w:firstLine="360" w:firstLineChars="15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（3）中小企业声明函：按第五章“响应文件格式”提供的“中小企业声明函（格式）”的要求填写。</w:t>
      </w:r>
    </w:p>
    <w:p>
      <w:pPr>
        <w:pStyle w:val="14"/>
        <w:spacing w:line="440" w:lineRule="exact"/>
        <w:ind w:firstLine="360" w:firstLineChars="15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（4）残疾人福利性单位声明函：按第五章“响应文件格式”提供的“残疾人福利性单位声明函（格式）”的要求填写；</w:t>
      </w:r>
    </w:p>
    <w:p>
      <w:pPr>
        <w:pStyle w:val="14"/>
        <w:spacing w:after="165" w:line="440" w:lineRule="exact"/>
        <w:ind w:firstLine="360" w:firstLineChars="15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（5）监狱企业证明：提供由省级以上监狱管理局、戒毒管理局（含新疆生产建设兵团）出具的属于监狱企业的证明文件。</w:t>
      </w:r>
    </w:p>
    <w:p>
      <w:pPr>
        <w:pStyle w:val="14"/>
        <w:spacing w:line="440" w:lineRule="exact"/>
        <w:ind w:firstLine="482" w:firstLineChars="200"/>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sz w:val="24"/>
          <w:szCs w:val="24"/>
        </w:rPr>
        <w:t>其中，报价文件组成要求的第（1）～（2）项必须提交；第（3）～（5）项如有请提交。</w:t>
      </w:r>
      <w:r>
        <w:rPr>
          <w:rFonts w:hint="eastAsia" w:asciiTheme="majorEastAsia" w:hAnsiTheme="majorEastAsia" w:eastAsiaTheme="majorEastAsia" w:cstheme="majorEastAsia"/>
          <w:sz w:val="24"/>
          <w:szCs w:val="24"/>
        </w:rPr>
        <w:t>10.1.2  技术文件，包括：</w:t>
      </w:r>
    </w:p>
    <w:p>
      <w:pPr>
        <w:pStyle w:val="14"/>
        <w:spacing w:line="440" w:lineRule="exact"/>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（1）响应服务技术资料表：按第五章“响应文件格式”提供的“响应服务技术资料表（格式）”的要求填写；</w:t>
      </w:r>
    </w:p>
    <w:p>
      <w:pPr>
        <w:pStyle w:val="14"/>
        <w:spacing w:line="440" w:lineRule="exact"/>
        <w:ind w:firstLine="420"/>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sz w:val="24"/>
          <w:szCs w:val="24"/>
        </w:rPr>
        <w:t>（2）其它：针对所提供服务的主要技术指标方案等的详细说明，等等。</w:t>
      </w:r>
    </w:p>
    <w:p>
      <w:pPr>
        <w:pStyle w:val="14"/>
        <w:spacing w:line="440" w:lineRule="exact"/>
        <w:ind w:firstLine="420"/>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sz w:val="24"/>
          <w:szCs w:val="24"/>
        </w:rPr>
        <w:t>技术文件中的第（1）项必须提交；第（2）项如有请提交。</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10.1.3  商务文件，包括：</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（1）供应商资格文件：</w:t>
      </w:r>
    </w:p>
    <w:p>
      <w:pPr>
        <w:pStyle w:val="14"/>
        <w:spacing w:line="440" w:lineRule="exact"/>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①信用声明函。按第五章“响应文件格式”提供的“信用声明函（格式）”的要求填写。对列入失信被执行人、重大税收违法案件当事人名单、政府采购严重违法失信行为记录名单的供应商，将被拒绝参与本项目政府采购活动。</w:t>
      </w:r>
      <w:r>
        <w:rPr>
          <w:rFonts w:hint="eastAsia" w:asciiTheme="majorEastAsia" w:hAnsiTheme="majorEastAsia" w:eastAsiaTheme="majorEastAsia" w:cstheme="majorEastAsia"/>
          <w:b/>
          <w:sz w:val="24"/>
          <w:szCs w:val="24"/>
        </w:rPr>
        <w:t>(注：采购人或采购代理机构在对磋商供应商资格审查时进行信用查询，查询结果与响应文件不一致时，以采购人或采购代理机构查询结果为准。)</w:t>
      </w:r>
    </w:p>
    <w:p>
      <w:pPr>
        <w:pStyle w:val="14"/>
        <w:spacing w:line="440" w:lineRule="exact"/>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②根据本章第3.2项规定的磋商供应商应具备的特定条件提供，包括营业执照副本内页或事业单位法人证书复印件（磋商供应商如为企业的，要求证件有效并清晰反映企业法人经营范围）和磋商供应商资格的其他证明文件复印件；</w:t>
      </w:r>
    </w:p>
    <w:p>
      <w:pPr>
        <w:pStyle w:val="14"/>
        <w:spacing w:line="440" w:lineRule="exact"/>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（2）法定代表人身份证明复印件：如使用第二代身份证应提交正、反面复印件，如法定代表人非中国国籍应提交护照复印件，要求证件有效并与营业执照中的法定代表人相符； </w:t>
      </w:r>
    </w:p>
    <w:p>
      <w:pPr>
        <w:pStyle w:val="14"/>
        <w:spacing w:line="440" w:lineRule="exact"/>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（3）售后服务承诺书：按第五章“响应文件格式”提供的“售后服务承诺书（格式）” 的要求填写；</w:t>
      </w:r>
    </w:p>
    <w:p>
      <w:pPr>
        <w:pStyle w:val="14"/>
        <w:spacing w:line="440" w:lineRule="exact"/>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（4）商务条款偏离表：按第五章“响应文件格式”提供的“商务条款偏离表（格式）” 的要求填写；</w:t>
      </w:r>
    </w:p>
    <w:p>
      <w:pPr>
        <w:pStyle w:val="14"/>
        <w:spacing w:line="440" w:lineRule="exact"/>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响应文件递交截止之日前半年内磋商供应商连续三个月依法缴纳社保费的凭证复印件（如社保部门开具的证明、收款收据等，或银行缴款凭证、回单等，如为非社保部门开具的凭证或回单的，应清晰反映：缴款单位名称、社保单位名称、保险名称、缴款金额等内容）。无缴费记录的，应提供由供应商所在地社保部门出具的《依法缴纳或依法免缴社保费证明》（复印件，格式自拟）；</w:t>
      </w:r>
    </w:p>
    <w:p>
      <w:pPr>
        <w:pStyle w:val="14"/>
        <w:spacing w:line="440" w:lineRule="exact"/>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（6）法定代表人授权委托书：按第五章“响应文件格式”提供的“法定代表人授权委托书（格式）”的要求填写；</w:t>
      </w:r>
    </w:p>
    <w:p>
      <w:pPr>
        <w:pStyle w:val="14"/>
        <w:spacing w:line="440" w:lineRule="exact"/>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（7）委托代理人身份证明复印件：如使用第二代身份证应提交正、反面复印件，如委托代理人非中国国籍应提交护照复印件，要求证件有效并与法定代表人授权委托书中的委托代理人相符；</w:t>
      </w:r>
    </w:p>
    <w:p>
      <w:pPr>
        <w:pStyle w:val="14"/>
        <w:spacing w:line="440" w:lineRule="exact"/>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（8）联合体协议书原件：按第五章“响应文件格式”提供的“联合体协议书（格式）”的要求填写，协议中应清晰载明联合体各方合同履行过程中承担的工作和义务；</w:t>
      </w:r>
    </w:p>
    <w:p>
      <w:pPr>
        <w:pStyle w:val="14"/>
        <w:spacing w:line="440" w:lineRule="exact"/>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（9）财务会计报表复印件：磋商供应商近三年的经会计师事务所或审计机构审计的财务会计报表，包括资产负债表、现金流量表、利润表、财务情况说明书和审计报告；</w:t>
      </w:r>
    </w:p>
    <w:p>
      <w:pPr>
        <w:pStyle w:val="14"/>
        <w:spacing w:line="440" w:lineRule="exact"/>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其它：磋商供应商通过国家或国际认证资格证书复印件、银行出具的磋商供应商资信证明或信用等级证明复印件、磋商供应商近三年同类服务的实际业绩证明（附成交通知书复印件或合同复印件）、服务近三年的质量获奖荣誉证书复印件、环保体系认证证书复印件、磋商供应商近三年发生的诉讼及仲裁情况说明（附法院或仲裁机构作出的判决、裁决等有关法律文书复印件），等等。</w:t>
      </w:r>
    </w:p>
    <w:p>
      <w:pPr>
        <w:pStyle w:val="14"/>
        <w:spacing w:line="440" w:lineRule="exact"/>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商务文件中的第（1）～（5）项必须提交；第（6）、（7）项在委托代理时必须提交；</w:t>
      </w:r>
      <w:r>
        <w:rPr>
          <w:rFonts w:hAnsi="宋体" w:cs="宋体"/>
          <w:b/>
          <w:sz w:val="24"/>
          <w:szCs w:val="24"/>
        </w:rPr>
        <w:t>第（</w:t>
      </w:r>
      <w:r>
        <w:rPr>
          <w:rFonts w:hint="eastAsia" w:hAnsi="宋体" w:cs="宋体"/>
          <w:b/>
          <w:sz w:val="24"/>
          <w:szCs w:val="24"/>
        </w:rPr>
        <w:t>8</w:t>
      </w:r>
      <w:r>
        <w:rPr>
          <w:rFonts w:hAnsi="宋体" w:cs="宋体"/>
          <w:b/>
          <w:sz w:val="24"/>
          <w:szCs w:val="24"/>
        </w:rPr>
        <w:t>）</w:t>
      </w:r>
      <w:r>
        <w:rPr>
          <w:rFonts w:hAnsi="宋体"/>
          <w:b/>
          <w:sz w:val="24"/>
          <w:szCs w:val="24"/>
        </w:rPr>
        <w:t>项在联合体响应时必须提交（若项目不接受联合体响应的本项不适用）</w:t>
      </w:r>
      <w:r>
        <w:rPr>
          <w:rFonts w:hAnsi="宋体" w:cs="宋体"/>
          <w:b/>
          <w:sz w:val="24"/>
          <w:szCs w:val="24"/>
        </w:rPr>
        <w:t>、</w:t>
      </w:r>
      <w:r>
        <w:rPr>
          <w:rFonts w:hint="eastAsia" w:asciiTheme="majorEastAsia" w:hAnsiTheme="majorEastAsia" w:eastAsiaTheme="majorEastAsia" w:cstheme="majorEastAsia"/>
          <w:b/>
          <w:sz w:val="24"/>
          <w:szCs w:val="24"/>
        </w:rPr>
        <w:t>第（9）、（10）项如有请提交。</w:t>
      </w:r>
    </w:p>
    <w:p>
      <w:pPr>
        <w:pStyle w:val="14"/>
        <w:spacing w:line="440" w:lineRule="exact"/>
        <w:ind w:firstLine="480" w:firstLineChars="20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rPr>
        <w:t>10.2  磋商供应商应按上述顺序将首次报价文件、技术文件和商务文件</w:t>
      </w:r>
      <w:r>
        <w:rPr>
          <w:rFonts w:hint="eastAsia" w:asciiTheme="majorEastAsia" w:hAnsiTheme="majorEastAsia" w:eastAsiaTheme="majorEastAsia" w:cstheme="majorEastAsia"/>
          <w:b/>
          <w:sz w:val="24"/>
          <w:szCs w:val="24"/>
        </w:rPr>
        <w:t>分别装订成册</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b/>
          <w:sz w:val="24"/>
          <w:szCs w:val="24"/>
        </w:rPr>
        <w:t>特别注意响应报价不得出现在技术文件和商务文件中。</w:t>
      </w:r>
    </w:p>
    <w:p>
      <w:pPr>
        <w:pStyle w:val="14"/>
        <w:spacing w:line="440" w:lineRule="exact"/>
        <w:outlineLvl w:val="2"/>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11.  响应文件报价</w:t>
      </w:r>
    </w:p>
    <w:p>
      <w:pPr>
        <w:pStyle w:val="14"/>
        <w:spacing w:line="440" w:lineRule="exact"/>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11.1  磋商供应商应以人民币报价。</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11.2  磋商供应商可就第二章“服务需求一览表”中的</w:t>
      </w:r>
      <w:r>
        <w:rPr>
          <w:rFonts w:hint="eastAsia" w:asciiTheme="majorEastAsia" w:hAnsiTheme="majorEastAsia" w:eastAsiaTheme="majorEastAsia" w:cstheme="majorEastAsia"/>
          <w:b/>
          <w:sz w:val="24"/>
          <w:szCs w:val="24"/>
        </w:rPr>
        <w:t>某一个分项内容报出完整且唯一报价，也可就某几个或所有分项内容分别报出完整且唯一报价。</w:t>
      </w:r>
    </w:p>
    <w:p>
      <w:pPr>
        <w:pStyle w:val="14"/>
        <w:spacing w:line="440" w:lineRule="exact"/>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11.3  响应报价为在采购人指定地点提交服务成果所需的全部费用，其组成部分详见第二章“服务需求一览表”。采购人不再向成交供应商支付其响应报价之外的任何费用。</w:t>
      </w:r>
    </w:p>
    <w:p>
      <w:pPr>
        <w:pStyle w:val="14"/>
        <w:spacing w:line="440" w:lineRule="exact"/>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11.4  本项目的采购代理服务费按物价部门核准的收费标准执行，见磋商供应商须知前附表。</w:t>
      </w:r>
    </w:p>
    <w:p>
      <w:pPr>
        <w:pStyle w:val="14"/>
        <w:spacing w:line="440" w:lineRule="exact"/>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11.5  不论磋商结果如何，磋商供应商均应自行承担与编制和提交响应文件有关的全部费用。</w:t>
      </w:r>
    </w:p>
    <w:p>
      <w:pPr>
        <w:pStyle w:val="14"/>
        <w:spacing w:line="440" w:lineRule="exact"/>
        <w:outlineLvl w:val="2"/>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12.  响应有效期</w:t>
      </w:r>
    </w:p>
    <w:p>
      <w:pPr>
        <w:pStyle w:val="14"/>
        <w:spacing w:line="440" w:lineRule="exact"/>
        <w:ind w:firstLine="480" w:firstLineChars="20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12.1  在磋商供应商须知前附表规定的响应有效期内，磋商供应商不得要求撤销或修改其响应文件。</w:t>
      </w:r>
    </w:p>
    <w:p>
      <w:pPr>
        <w:pStyle w:val="14"/>
        <w:spacing w:line="440" w:lineRule="exact"/>
        <w:ind w:firstLine="480" w:firstLineChars="20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12.2  在特殊情况下，采购人或采购代理机构可与磋商供应商协商延长响应有效期，这种要求与答复均应使用书面形式。磋商供应商同意延长的，应相应延长其磋商有效期，但不得要求或被允许修改或撤销其响应文件；磋商供应商拒绝延长的，其响应失效。</w:t>
      </w:r>
    </w:p>
    <w:p>
      <w:pPr>
        <w:pStyle w:val="14"/>
        <w:spacing w:line="440" w:lineRule="exact"/>
        <w:outlineLvl w:val="2"/>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 xml:space="preserve">13.  </w:t>
      </w:r>
      <w:r>
        <w:rPr>
          <w:rFonts w:hint="eastAsia" w:asciiTheme="majorEastAsia" w:hAnsiTheme="majorEastAsia" w:eastAsiaTheme="majorEastAsia" w:cstheme="majorEastAsia"/>
          <w:sz w:val="24"/>
          <w:szCs w:val="24"/>
        </w:rPr>
        <w:t>磋商</w:t>
      </w:r>
      <w:r>
        <w:rPr>
          <w:rFonts w:hint="eastAsia" w:asciiTheme="majorEastAsia" w:hAnsiTheme="majorEastAsia" w:eastAsiaTheme="majorEastAsia" w:cstheme="majorEastAsia"/>
          <w:bCs/>
          <w:sz w:val="24"/>
          <w:szCs w:val="24"/>
        </w:rPr>
        <w:t>保证金</w:t>
      </w:r>
    </w:p>
    <w:p>
      <w:pPr>
        <w:pStyle w:val="14"/>
        <w:spacing w:line="500" w:lineRule="exact"/>
        <w:ind w:left="2" w:leftChars="1" w:firstLine="477" w:firstLineChars="19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本项目不收取磋商保证金。</w:t>
      </w:r>
    </w:p>
    <w:p>
      <w:pPr>
        <w:pStyle w:val="22"/>
        <w:outlineLvl w:val="1"/>
        <w:rPr>
          <w:rFonts w:asciiTheme="majorEastAsia" w:hAnsiTheme="majorEastAsia" w:eastAsiaTheme="majorEastAsia" w:cstheme="majorEastAsia"/>
        </w:rPr>
      </w:pPr>
      <w:bookmarkStart w:id="48" w:name="_Toc213326419"/>
      <w:bookmarkStart w:id="49" w:name="_Toc521096346"/>
      <w:bookmarkStart w:id="50" w:name="_Toc495334413"/>
      <w:bookmarkStart w:id="51" w:name="_Toc213326420"/>
      <w:r>
        <w:rPr>
          <w:rFonts w:hint="eastAsia" w:asciiTheme="majorEastAsia" w:hAnsiTheme="majorEastAsia" w:eastAsiaTheme="majorEastAsia" w:cstheme="majorEastAsia"/>
        </w:rPr>
        <w:t xml:space="preserve">四   </w:t>
      </w:r>
      <w:bookmarkEnd w:id="48"/>
      <w:r>
        <w:rPr>
          <w:rFonts w:hint="eastAsia" w:asciiTheme="majorEastAsia" w:hAnsiTheme="majorEastAsia" w:eastAsiaTheme="majorEastAsia" w:cstheme="majorEastAsia"/>
        </w:rPr>
        <w:t>磋商响应</w:t>
      </w:r>
      <w:bookmarkEnd w:id="49"/>
      <w:bookmarkEnd w:id="50"/>
    </w:p>
    <w:p>
      <w:pPr>
        <w:pStyle w:val="14"/>
        <w:spacing w:line="440" w:lineRule="exact"/>
        <w:outlineLvl w:val="2"/>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 xml:space="preserve">14.  </w:t>
      </w:r>
      <w:r>
        <w:rPr>
          <w:rFonts w:hint="eastAsia" w:asciiTheme="majorEastAsia" w:hAnsiTheme="majorEastAsia" w:eastAsiaTheme="majorEastAsia" w:cstheme="majorEastAsia"/>
          <w:sz w:val="24"/>
          <w:szCs w:val="24"/>
        </w:rPr>
        <w:t>响应</w:t>
      </w:r>
      <w:r>
        <w:rPr>
          <w:rFonts w:hint="eastAsia" w:asciiTheme="majorEastAsia" w:hAnsiTheme="majorEastAsia" w:eastAsiaTheme="majorEastAsia" w:cstheme="majorEastAsia"/>
          <w:bCs/>
          <w:sz w:val="24"/>
          <w:szCs w:val="24"/>
        </w:rPr>
        <w:t>文件的密封</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14.1  磋商供应商应将响应文件进行密封包装，并在包装面上加盖单位公章。</w:t>
      </w:r>
    </w:p>
    <w:p>
      <w:pPr>
        <w:pStyle w:val="14"/>
        <w:spacing w:line="440" w:lineRule="exact"/>
        <w:outlineLvl w:val="2"/>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15.  响应文件的提交</w:t>
      </w:r>
    </w:p>
    <w:p>
      <w:pPr>
        <w:pStyle w:val="14"/>
        <w:spacing w:line="440" w:lineRule="exact"/>
        <w:ind w:firstLine="480" w:firstLineChars="20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15.1 磋商供应商提交响应文件截止时间：见磋商供应商须知前附表。</w:t>
      </w:r>
    </w:p>
    <w:p>
      <w:pPr>
        <w:pStyle w:val="14"/>
        <w:spacing w:line="440" w:lineRule="exact"/>
        <w:ind w:firstLine="480" w:firstLineChars="20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15.2  磋商供应商提交响应文件地点：见磋商供应商须知前附表。</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15.3 磋商供应商提交响应文件时，应自行检查其响应文件的密封性。</w:t>
      </w:r>
    </w:p>
    <w:p>
      <w:pPr>
        <w:pStyle w:val="14"/>
        <w:spacing w:line="440" w:lineRule="exact"/>
        <w:jc w:val="center"/>
        <w:rPr>
          <w:rFonts w:asciiTheme="majorEastAsia" w:hAnsiTheme="majorEastAsia" w:eastAsiaTheme="majorEastAsia" w:cstheme="majorEastAsia"/>
        </w:rPr>
      </w:pPr>
    </w:p>
    <w:bookmarkEnd w:id="51"/>
    <w:p>
      <w:pPr>
        <w:pStyle w:val="22"/>
        <w:outlineLvl w:val="1"/>
        <w:rPr>
          <w:rFonts w:asciiTheme="majorEastAsia" w:hAnsiTheme="majorEastAsia" w:eastAsiaTheme="majorEastAsia" w:cstheme="majorEastAsia"/>
        </w:rPr>
      </w:pPr>
      <w:bookmarkStart w:id="52" w:name="_Toc495334414"/>
      <w:bookmarkStart w:id="53" w:name="_Toc521096347"/>
      <w:r>
        <w:rPr>
          <w:rFonts w:hint="eastAsia" w:asciiTheme="majorEastAsia" w:hAnsiTheme="majorEastAsia" w:eastAsiaTheme="majorEastAsia" w:cstheme="majorEastAsia"/>
        </w:rPr>
        <w:t>五    评审与磋商</w:t>
      </w:r>
      <w:bookmarkEnd w:id="52"/>
      <w:bookmarkEnd w:id="53"/>
    </w:p>
    <w:p>
      <w:pPr>
        <w:pStyle w:val="14"/>
        <w:spacing w:line="440" w:lineRule="exact"/>
        <w:outlineLvl w:val="2"/>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 xml:space="preserve">16.  </w:t>
      </w:r>
      <w:r>
        <w:rPr>
          <w:rFonts w:hint="eastAsia" w:asciiTheme="majorEastAsia" w:hAnsiTheme="majorEastAsia" w:eastAsiaTheme="majorEastAsia" w:cstheme="majorEastAsia"/>
          <w:sz w:val="24"/>
          <w:szCs w:val="24"/>
        </w:rPr>
        <w:t>响应文件</w:t>
      </w:r>
      <w:r>
        <w:rPr>
          <w:rFonts w:hint="eastAsia" w:asciiTheme="majorEastAsia" w:hAnsiTheme="majorEastAsia" w:eastAsiaTheme="majorEastAsia" w:cstheme="majorEastAsia"/>
          <w:bCs/>
          <w:sz w:val="24"/>
          <w:szCs w:val="24"/>
        </w:rPr>
        <w:t>截止</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16.1  磋商供应商的法定代表人或其委托代理人应在提交响应文件截止时间前到达响应文件递交响应文件。如未按时递交，由此产生的后果由磋商供应商自行负责。</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16.1.1 截标后由采购人或采购代理机构对磋商供应商进行信用查询。</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查询渠道：“信用中国”网站（www.creditchina.gov.cn）、中国政府采购网（www.ccgp.gov.cn） </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查询截止时点：响应截止时间   </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查询记录和证据留存方式：在查询网站中直接打印查询记录，打印材料作为评审资料保存。</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信用信息使用规则：对在“信用中国”网站（www.creditchina.gov.cn） 、中国政府采购网（www.ccgp.gov.cn）被列入失信被执行人、重大税收违法案件当事人名单、政府采购严重违法失信行为记录名单，将拒绝其参与政府采购活动。</w:t>
      </w:r>
    </w:p>
    <w:p>
      <w:pPr>
        <w:pStyle w:val="14"/>
        <w:spacing w:line="440" w:lineRule="exact"/>
        <w:outlineLvl w:val="2"/>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17.  评审与磋商</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17.1  成立磋商小组：评审与磋商活动由依法组建的磋商小组负责。磋商小组由采购人代表和有关技术、经济等方面的专家组成。采购人或采购代理机构根据本项目的特点，从同级或上一级财政部门设立的政府采购评审专家库中，通过随机方式抽取专家。</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17.2  评审原则：评审活动遵循公平、公正、科学和择优的原则。</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17.3  评审方法：磋商小组按照磋商供应商须知前附表和第三章“评审方法”规定的方法、评审因素和标准对响应文件进行评审。在评审中，不得改变第三章“评审办法”规定的方法、评审因素和标准；第三章“评审办法”没有规定的方法、评审因素和标准，不作为评审依据。</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17.4  </w:t>
      </w:r>
      <w:r>
        <w:rPr>
          <w:rFonts w:hint="eastAsia" w:asciiTheme="majorEastAsia" w:hAnsiTheme="majorEastAsia" w:eastAsiaTheme="majorEastAsia" w:cstheme="majorEastAsia"/>
          <w:bCs/>
          <w:sz w:val="24"/>
          <w:szCs w:val="24"/>
        </w:rPr>
        <w:t>评审程序：</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17.4.1  </w:t>
      </w:r>
      <w:r>
        <w:rPr>
          <w:rFonts w:hint="eastAsia" w:asciiTheme="majorEastAsia" w:hAnsiTheme="majorEastAsia" w:eastAsiaTheme="majorEastAsia" w:cstheme="majorEastAsia"/>
          <w:bCs/>
          <w:sz w:val="24"/>
          <w:szCs w:val="24"/>
        </w:rPr>
        <w:t>采购代理机构项目负责人宣读评审会场纪律要求，集中管理通讯工具，询问在场人员是否申请回避。</w:t>
      </w:r>
    </w:p>
    <w:p>
      <w:pPr>
        <w:pStyle w:val="14"/>
        <w:spacing w:line="440" w:lineRule="exact"/>
        <w:ind w:firstLine="480" w:firstLineChars="20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 xml:space="preserve">17.4.2  </w:t>
      </w:r>
      <w:r>
        <w:rPr>
          <w:rFonts w:hint="eastAsia" w:asciiTheme="majorEastAsia" w:hAnsiTheme="majorEastAsia" w:eastAsiaTheme="majorEastAsia" w:cstheme="majorEastAsia"/>
          <w:bCs/>
          <w:sz w:val="24"/>
          <w:szCs w:val="24"/>
        </w:rPr>
        <w:t>采购代理机构项目负责人介绍项目概况及</w:t>
      </w:r>
      <w:r>
        <w:rPr>
          <w:rFonts w:hint="eastAsia" w:asciiTheme="majorEastAsia" w:hAnsiTheme="majorEastAsia" w:eastAsiaTheme="majorEastAsia" w:cstheme="majorEastAsia"/>
          <w:sz w:val="24"/>
          <w:szCs w:val="24"/>
        </w:rPr>
        <w:t>磋商</w:t>
      </w:r>
      <w:r>
        <w:rPr>
          <w:rFonts w:hint="eastAsia" w:asciiTheme="majorEastAsia" w:hAnsiTheme="majorEastAsia" w:eastAsiaTheme="majorEastAsia" w:cstheme="majorEastAsia"/>
          <w:bCs/>
          <w:sz w:val="24"/>
          <w:szCs w:val="24"/>
        </w:rPr>
        <w:t>小组组成情况（但不得发表影响评审的倾向性、歧视性言论），推选</w:t>
      </w:r>
      <w:r>
        <w:rPr>
          <w:rFonts w:hint="eastAsia" w:asciiTheme="majorEastAsia" w:hAnsiTheme="majorEastAsia" w:eastAsiaTheme="majorEastAsia" w:cstheme="majorEastAsia"/>
          <w:sz w:val="24"/>
          <w:szCs w:val="24"/>
        </w:rPr>
        <w:t>磋商</w:t>
      </w:r>
      <w:r>
        <w:rPr>
          <w:rFonts w:hint="eastAsia" w:asciiTheme="majorEastAsia" w:hAnsiTheme="majorEastAsia" w:eastAsiaTheme="majorEastAsia" w:cstheme="majorEastAsia"/>
          <w:bCs/>
          <w:sz w:val="24"/>
          <w:szCs w:val="24"/>
        </w:rPr>
        <w:t>小组组长（原则上采购人不得担任</w:t>
      </w:r>
      <w:r>
        <w:rPr>
          <w:rFonts w:hint="eastAsia" w:asciiTheme="majorEastAsia" w:hAnsiTheme="majorEastAsia" w:eastAsiaTheme="majorEastAsia" w:cstheme="majorEastAsia"/>
          <w:sz w:val="24"/>
          <w:szCs w:val="24"/>
        </w:rPr>
        <w:t>磋商</w:t>
      </w:r>
      <w:r>
        <w:rPr>
          <w:rFonts w:hint="eastAsia" w:asciiTheme="majorEastAsia" w:hAnsiTheme="majorEastAsia" w:eastAsiaTheme="majorEastAsia" w:cstheme="majorEastAsia"/>
          <w:bCs/>
          <w:sz w:val="24"/>
          <w:szCs w:val="24"/>
        </w:rPr>
        <w:t>小组组长）。</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Cs/>
          <w:sz w:val="24"/>
          <w:szCs w:val="24"/>
        </w:rPr>
        <w:t xml:space="preserve">17.4.3  </w:t>
      </w:r>
      <w:r>
        <w:rPr>
          <w:rFonts w:hint="eastAsia" w:asciiTheme="majorEastAsia" w:hAnsiTheme="majorEastAsia" w:eastAsiaTheme="majorEastAsia" w:cstheme="majorEastAsia"/>
          <w:sz w:val="24"/>
          <w:szCs w:val="24"/>
        </w:rPr>
        <w:t>磋商小组在响应文件拆封前对响应文件做密封性检查，并签字确认。</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17.4.4  响应文件初审：初审分为资格性检查和符合性检查。</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（1）资格性检查：依据法律法规和采购文件的规定，对响应文件中的资格证明等进行审查，以确定磋商供应商是否具备响应的资格。</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（2）符合性检查：依据采购文件的规定，从响应文件的有效性、完整性和对响应文件的响应程度进行审查，以确定是否对响应文件的实质性要求和条件作出响应。</w:t>
      </w:r>
    </w:p>
    <w:p>
      <w:pPr>
        <w:spacing w:line="400" w:lineRule="exact"/>
        <w:ind w:firstLine="306"/>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(1)有下列情形之一的视为磋商供应商相互串通，响应文件将被视为无效。</w:t>
      </w:r>
    </w:p>
    <w:p>
      <w:pPr>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①不同磋商供应商的响应文件由同一单位或者个人编制；</w:t>
      </w:r>
    </w:p>
    <w:p>
      <w:pPr>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 2 \* GB3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②</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t>不同磋商供应商委托同一单位或者个人办理磋商事宜；</w:t>
      </w:r>
    </w:p>
    <w:p>
      <w:pPr>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 3 \* GB3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③</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t>不同的磋商供应商的响应文件载明的项目管理员为同一个人；</w:t>
      </w:r>
    </w:p>
    <w:p>
      <w:pPr>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 4 \* GB3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④</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t>不同磋商供应商的响应文件异常一致或报价呈规律性差异；</w:t>
      </w:r>
    </w:p>
    <w:p>
      <w:pPr>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 5 \* GB3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⑤</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t>不同磋商供应商的响应文件相互混装；</w:t>
      </w:r>
    </w:p>
    <w:p>
      <w:pPr>
        <w:spacing w:line="400" w:lineRule="exact"/>
        <w:ind w:firstLine="306"/>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（2）关联供应商不得参加同一合同项下政府采购活动，否则磋商文件将被视为无效</w:t>
      </w:r>
    </w:p>
    <w:p>
      <w:pPr>
        <w:spacing w:line="400" w:lineRule="exact"/>
        <w:ind w:firstLine="306"/>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①单位负责人为同一人或者存在直接控股、管理关系的不同的供应商，不得参加同一合同项下的政府采购活动;</w:t>
      </w:r>
    </w:p>
    <w:p>
      <w:pPr>
        <w:spacing w:line="400" w:lineRule="exact"/>
        <w:ind w:firstLine="306"/>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②生产厂商授权给供应商后自己不得参加同一合同项下的政府采购活动；生产厂商对同一品牌同一型号的货物，仅能委托一个代理商参加响应。</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17.4.5  澄清有关问题。对响应文件中含义不明确、同类问题表述不一致或者有明显文字和计算错误的内容，磋商小组可以书面形式（应当由磋商小组专家签字）要求磋商供应商作出必要的澄清、说明或者纠正。磋商供应商的澄清、说明或者纠正应当采用书面形式，由法定代表人或其委托代理人签字或盖章确认，且不得超出响应文件的范围或者改变响应文件的实质性内容。该澄清、说明或者纠正是响应文件的组成部分。</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17.4.6  制定磋商文件。磋商小组根据采购项目以及磋商供应商的实际情况制定磋商文件。磋商文件应当明确磋商程序、磋商内容、合同草案的条款以及评定成交的标准等事项。</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17.4.7  确定邀请参加磋商的供应商名单。磋商小组将所有通过资格性审查的供应商确定为邀请参加磋商的供应商，并向其提供磋商文件。</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17.4.8  磋商。</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（1）磋商小组将在磋商供应商须知前附表规定的地点与各磋商供应商进行每轮磋商。</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（2）磋商内容包括：响应报价、技术参数要求和商务条款、合同草案条款，其中磋商供应商资格条件除外。</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磋商小组所有成员集中与单一供应商分别进行磋商。在磋商中，磋商的任何一方不得透露与磋商有关的其他供应商的技术资料、价格和其他信息。对磋商文件做出的实质性变动（采购需求中的技术、服务要求以及合同草案条款）是磋商文件的有效组成部分，磋商小组应当及时以书面形式通知所有参加磋商的供应商。</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磋商供应商的法定代表人或其委托代理人以及技术人员必须参加每轮磋商。磋商供应商的法定代表人凭法定代表人资格证明书和本人身份证原件参加磋商，其委托代理人凭授权委托书和本人身份证原件参加磋商。磋商供应商未按时到达评审会场参加磋商或未能出示上述证件的，视为放弃响应。</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磋商小组与磋商供应商进行磋商的内容，磋商供应商除当场答复外，还应作出书面应答。书面应答文件必须由磋商供应商的法定代表人或其委托代理人签字（签章）或盖公章，按要求进行封装并在磋商文件规定的时间前提交至磋商小组，否则视为放弃响应。</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（6）未实质性响应磋商文件的响应文件按无效响应处理，磋商小组应当告知提交响应文件的供应商。</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磋商小组与磋商供应商可进行多轮磋商，磋商供应商的最后一次应答文件及最终报价应单独封装提交至磋商小组。在对商务、技术及其他内容的比较和评价结束前，磋商小组不能接触、比较和评价响应报价。最终报价在磋商小组完成商务、技术及其他内容的评审后才能拆封。</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（8）磋商供应商的应答文件经磋商小组代表确认后，变动竞争性磋商文件或响应文件中相应的内容，并构成响应文件的组成部分和评审的依据。如成交，则作为合同的组成部分。</w:t>
      </w:r>
    </w:p>
    <w:p>
      <w:pPr>
        <w:pStyle w:val="14"/>
        <w:spacing w:line="440" w:lineRule="exact"/>
        <w:ind w:firstLine="482" w:firstLineChars="20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17.4.9磋商小组认为，某磋商供应商的最低磋商报价明显不合理或者低于成本，有可能影响服务质量和不能诚信履约的，应当要求其在规定的期限内提供书面文件予以解释说明，并提交相关证明材料。磋商供应不能合理说明或者不能提供相关证明材料的，视作该磋商供供应商以低于成本报价响应，其响应无效。</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17.4.10  按顺序排列成交候选供应商，并编写评审报告。</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17.4.11  采购代理机构对评审过程和评分、评审结论进行核对和复核，如有错漏，请磋商小组进行校正，按校正后的结果确定成交供应商。</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17.5  评审过程的保密。评审在严格保密的情况下进行，任何单位和个人不得非法干预、影响评审办法的确定，以及评审过程和结果。磋商小组成员和参与评审的有关工作人员不得透露对响应文件的评审和比较、成交候选人的推荐情况以及与评审有关的其他情况。</w:t>
      </w:r>
    </w:p>
    <w:p>
      <w:pPr>
        <w:pStyle w:val="14"/>
        <w:spacing w:line="440" w:lineRule="exact"/>
        <w:outlineLvl w:val="2"/>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18.  响应文件的修正</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18.1  如果出现计算或表达上的错误，修正的原则如下：</w:t>
      </w:r>
    </w:p>
    <w:p>
      <w:pPr>
        <w:pStyle w:val="14"/>
        <w:spacing w:line="440" w:lineRule="exact"/>
        <w:ind w:firstLine="42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（1）响应文件中响应函内容与响应报价表内容不一致的，以响应报价表为准；</w:t>
      </w:r>
    </w:p>
    <w:p>
      <w:pPr>
        <w:pStyle w:val="14"/>
        <w:spacing w:line="440" w:lineRule="exact"/>
        <w:ind w:firstLine="42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（2）响应文件的大写金额和小写金额不一致的，以大写金额为准；</w:t>
      </w:r>
    </w:p>
    <w:p>
      <w:pPr>
        <w:pStyle w:val="14"/>
        <w:spacing w:line="440" w:lineRule="exact"/>
        <w:ind w:firstLine="42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（3）总价金额与按单价汇总金额不一致的，以单价金额计算结果为准；</w:t>
      </w:r>
    </w:p>
    <w:p>
      <w:pPr>
        <w:pStyle w:val="14"/>
        <w:spacing w:line="440" w:lineRule="exact"/>
        <w:ind w:firstLine="42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（4）单价金额小数点有明显错位的，应以总价为准，并修改单价。</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18.2  按上述修正原则修正后的响应报价经磋商供应商书面确认后对磋商供应商具有约束力。如果磋商供应商不接受修正后的响应报价，则其响应文件无效。</w:t>
      </w:r>
    </w:p>
    <w:p>
      <w:pPr>
        <w:pStyle w:val="14"/>
        <w:spacing w:line="440" w:lineRule="exact"/>
        <w:outlineLvl w:val="2"/>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19.  拒绝接收</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19.1  磋商供应商未在本章第15.1项规定的时间之前将响应文件送达至本章第15.2项指定地点的，采购代理机构应当拒绝接收该磋商供应商的响应文件。</w:t>
      </w:r>
    </w:p>
    <w:p>
      <w:pPr>
        <w:pStyle w:val="14"/>
        <w:spacing w:line="440" w:lineRule="exact"/>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20. 无效响应</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★属下列情形之一的，供应商的响应无效：</w:t>
      </w:r>
    </w:p>
    <w:p>
      <w:pPr>
        <w:pStyle w:val="14"/>
        <w:spacing w:line="440" w:lineRule="exact"/>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（1）供应商不具备本章第3项规定的供应商资格要求的；</w:t>
      </w:r>
    </w:p>
    <w:p>
      <w:pPr>
        <w:pStyle w:val="14"/>
        <w:spacing w:line="440" w:lineRule="exact"/>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（2）响应文件未按本章第8.8项的规定标识或未按规定的正、副本数量递交的； </w:t>
      </w:r>
    </w:p>
    <w:p>
      <w:pPr>
        <w:pStyle w:val="14"/>
        <w:spacing w:line="440" w:lineRule="exact"/>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（3）响应文件未按本章第10.1项的规定编写和提交的（包括缺少应提交的文件或格式不符合第五章“响应文件格式”的要求）；</w:t>
      </w:r>
    </w:p>
    <w:p>
      <w:pPr>
        <w:pStyle w:val="14"/>
        <w:spacing w:line="440" w:lineRule="exact"/>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（4）响应文件不符合本章第10.2项规定的；</w:t>
      </w:r>
    </w:p>
    <w:p>
      <w:pPr>
        <w:pStyle w:val="14"/>
        <w:spacing w:line="440" w:lineRule="exact"/>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（5）响应报价不符合本章第11项规定的或超过采购预算（包括分项预算）的或磋商小组认定低于成本报价的；</w:t>
      </w:r>
    </w:p>
    <w:p>
      <w:pPr>
        <w:pStyle w:val="14"/>
        <w:spacing w:line="440" w:lineRule="exact"/>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（6）响应文件不符合本章第14项规定的；</w:t>
      </w:r>
    </w:p>
    <w:p>
      <w:pPr>
        <w:pStyle w:val="14"/>
        <w:spacing w:line="440" w:lineRule="exact"/>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（7）供应商出现本章第17.4.4项所述的响应文件将被视为无效的情形的；</w:t>
      </w:r>
    </w:p>
    <w:p>
      <w:pPr>
        <w:pStyle w:val="14"/>
        <w:spacing w:line="440" w:lineRule="exact"/>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（8）供应商出现本章第18.2项所述情形的；</w:t>
      </w:r>
    </w:p>
    <w:p>
      <w:pPr>
        <w:pStyle w:val="14"/>
        <w:spacing w:line="440" w:lineRule="exact"/>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（9）响应文件未对竞争性磋商文件提出的要求和条件作出实质性响应的；</w:t>
      </w:r>
    </w:p>
    <w:p>
      <w:pPr>
        <w:pStyle w:val="14"/>
        <w:spacing w:line="440" w:lineRule="exact"/>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（10）磋商小组认为响应文件存在严重负偏离的；</w:t>
      </w:r>
    </w:p>
    <w:p>
      <w:pPr>
        <w:pStyle w:val="14"/>
        <w:spacing w:line="440" w:lineRule="exact"/>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（11）响应文件附有采购需求以外的条件使磋商小组认为不能接受的；</w:t>
      </w:r>
    </w:p>
    <w:p>
      <w:pPr>
        <w:pStyle w:val="14"/>
        <w:spacing w:line="440" w:lineRule="exact"/>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（12）供应商在响应过程中提供虚假材料的。</w:t>
      </w:r>
    </w:p>
    <w:p>
      <w:pPr>
        <w:pStyle w:val="14"/>
        <w:spacing w:line="440" w:lineRule="exact"/>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（13）响应文件含有违反国家法律、法规的内容。</w:t>
      </w:r>
    </w:p>
    <w:p>
      <w:pPr>
        <w:pStyle w:val="14"/>
        <w:spacing w:line="440" w:lineRule="exact"/>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供应商响应无效的，磋商小组应当告知有关供应商。 </w:t>
      </w:r>
    </w:p>
    <w:p>
      <w:pPr>
        <w:pStyle w:val="14"/>
        <w:spacing w:line="440" w:lineRule="exact"/>
        <w:ind w:firstLine="420"/>
        <w:rPr>
          <w:rFonts w:asciiTheme="majorEastAsia" w:hAnsiTheme="majorEastAsia" w:eastAsiaTheme="majorEastAsia" w:cstheme="majorEastAsia"/>
          <w:sz w:val="24"/>
          <w:szCs w:val="24"/>
        </w:rPr>
      </w:pPr>
    </w:p>
    <w:p>
      <w:pPr>
        <w:pStyle w:val="14"/>
        <w:spacing w:line="440" w:lineRule="exact"/>
        <w:outlineLvl w:val="2"/>
        <w:rPr>
          <w:rFonts w:asciiTheme="majorEastAsia" w:hAnsiTheme="majorEastAsia" w:eastAsiaTheme="majorEastAsia" w:cstheme="majorEastAsia"/>
          <w:sz w:val="24"/>
          <w:szCs w:val="24"/>
        </w:rPr>
      </w:pPr>
      <w:bookmarkStart w:id="54" w:name="_Toc495334415"/>
      <w:bookmarkStart w:id="55" w:name="_Toc213326421"/>
      <w:r>
        <w:rPr>
          <w:rFonts w:hint="eastAsia" w:asciiTheme="majorEastAsia" w:hAnsiTheme="majorEastAsia" w:eastAsiaTheme="majorEastAsia" w:cstheme="majorEastAsia"/>
          <w:sz w:val="24"/>
          <w:szCs w:val="24"/>
        </w:rPr>
        <w:t>21. 废标</w:t>
      </w:r>
    </w:p>
    <w:p>
      <w:pPr>
        <w:pStyle w:val="14"/>
        <w:spacing w:line="440" w:lineRule="exact"/>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21.1  在采购过程中，出现下列情形之一的，予以废标：</w:t>
      </w:r>
    </w:p>
    <w:p>
      <w:pPr>
        <w:pStyle w:val="14"/>
        <w:spacing w:line="440" w:lineRule="exact"/>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（1）采用竞争性磋商采购方式的政府购买服务项目或政府和社会资本合作项目对竞争性磋商文件作实质响应的供应商不足2家的；</w:t>
      </w:r>
    </w:p>
    <w:p>
      <w:pPr>
        <w:pStyle w:val="14"/>
        <w:spacing w:line="440" w:lineRule="exact"/>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（2）采用竞争性磋商采购方式的市场竞争不充分的科研项目或需要扶持科技成果转化项目对竞争性磋商文件作实质响应的供应商不足3家的；</w:t>
      </w:r>
    </w:p>
    <w:p>
      <w:pPr>
        <w:pStyle w:val="14"/>
        <w:spacing w:line="440" w:lineRule="exact"/>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（3）出现影响采购公正的违法、违规行为的；</w:t>
      </w:r>
    </w:p>
    <w:p>
      <w:pPr>
        <w:pStyle w:val="14"/>
        <w:spacing w:line="440" w:lineRule="exact"/>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（4）磋商供应商的报价均超过了采购预算，采购人不能支付的；</w:t>
      </w:r>
    </w:p>
    <w:p>
      <w:pPr>
        <w:pStyle w:val="14"/>
        <w:spacing w:line="440" w:lineRule="exact"/>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（5）因重大变故，采购任务取消的。</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21.2  废标后，采购代理机构将在本章第2项规定的政府采购信息发布媒体上公告废标理由，不再另行通知。</w:t>
      </w:r>
    </w:p>
    <w:p>
      <w:pPr>
        <w:pStyle w:val="22"/>
        <w:outlineLvl w:val="1"/>
        <w:rPr>
          <w:rFonts w:asciiTheme="majorEastAsia" w:hAnsiTheme="majorEastAsia" w:eastAsiaTheme="majorEastAsia" w:cstheme="majorEastAsia"/>
          <w:sz w:val="30"/>
          <w:szCs w:val="30"/>
        </w:rPr>
      </w:pPr>
      <w:bookmarkStart w:id="56" w:name="_Toc521096348"/>
      <w:r>
        <w:rPr>
          <w:rFonts w:hint="eastAsia" w:asciiTheme="majorEastAsia" w:hAnsiTheme="majorEastAsia" w:eastAsiaTheme="majorEastAsia" w:cstheme="majorEastAsia"/>
        </w:rPr>
        <w:t>六    合同授予</w:t>
      </w:r>
      <w:bookmarkEnd w:id="54"/>
      <w:bookmarkEnd w:id="55"/>
      <w:bookmarkEnd w:id="56"/>
    </w:p>
    <w:p>
      <w:pPr>
        <w:pStyle w:val="14"/>
        <w:spacing w:line="440" w:lineRule="exact"/>
        <w:outlineLvl w:val="2"/>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22.  成交供应商的确定</w:t>
      </w:r>
    </w:p>
    <w:p>
      <w:pPr>
        <w:spacing w:line="44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磋商小组按第三章“评审方法”的规定排列成交候选供应商顺序，并依照次序确定成交方。</w:t>
      </w:r>
    </w:p>
    <w:p>
      <w:pPr>
        <w:pStyle w:val="14"/>
        <w:spacing w:line="440" w:lineRule="exact"/>
        <w:outlineLvl w:val="2"/>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23.  成交公告及成交通知书</w:t>
      </w:r>
    </w:p>
    <w:p>
      <w:pPr>
        <w:pStyle w:val="14"/>
        <w:spacing w:line="440" w:lineRule="exact"/>
        <w:ind w:firstLine="360"/>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23.1采购代理机构应当自成交供应商确认之日起2个工作日内，在</w:t>
      </w:r>
      <w:r>
        <w:rPr>
          <w:rFonts w:hint="eastAsia" w:asciiTheme="majorEastAsia" w:hAnsiTheme="majorEastAsia" w:eastAsiaTheme="majorEastAsia" w:cstheme="majorEastAsia"/>
          <w:sz w:val="24"/>
        </w:rPr>
        <w:t>本章第2.1项规定的政府采购信息发布媒体上公示成交结果，成交公告期限为1个工作日，在公告成交结果的同时，采购代理机构应当向成交供应商发出成交通知书。</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23.2  成交通知书对采购人和成交供应商具有同等法律效力。成交通知书发出后，采购人改变成交结果，或者成交供应商放弃成交，应当承担相应的法律责任。</w:t>
      </w:r>
    </w:p>
    <w:p>
      <w:pPr>
        <w:pStyle w:val="14"/>
        <w:spacing w:line="440" w:lineRule="exact"/>
        <w:outlineLvl w:val="2"/>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24.  响应文件的退回</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24.1  采购人及采购代理机构无义务向未成交供应商退回响应文件。</w:t>
      </w:r>
    </w:p>
    <w:p>
      <w:pPr>
        <w:pStyle w:val="14"/>
        <w:spacing w:line="440" w:lineRule="exact"/>
        <w:outlineLvl w:val="2"/>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25.   签订合同</w:t>
      </w:r>
    </w:p>
    <w:p>
      <w:pPr>
        <w:pStyle w:val="14"/>
        <w:spacing w:line="440" w:lineRule="exact"/>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25.1  采购人和成交供应商应当在第二章“服务需求一览表”中商务条款要求载明的合同签订期内，根据竞争性磋商文件、成交供应商的响应文件及有关澄清承诺书的要求按第六章“合同条款及格式”订立书面合同。</w:t>
      </w:r>
      <w:r>
        <w:rPr>
          <w:rFonts w:hint="eastAsia" w:asciiTheme="majorEastAsia" w:hAnsiTheme="majorEastAsia" w:eastAsiaTheme="majorEastAsia" w:cstheme="majorEastAsia"/>
          <w:b/>
          <w:bCs/>
          <w:sz w:val="24"/>
          <w:szCs w:val="24"/>
        </w:rPr>
        <w:t>联合体响应的，联合体各方应当共同与采购人签订采购合同，</w:t>
      </w:r>
      <w:r>
        <w:rPr>
          <w:rFonts w:hint="eastAsia" w:asciiTheme="majorEastAsia" w:hAnsiTheme="majorEastAsia" w:eastAsiaTheme="majorEastAsia" w:cstheme="majorEastAsia"/>
          <w:sz w:val="24"/>
          <w:szCs w:val="24"/>
        </w:rPr>
        <w:t>就采购合同约定的事项对采购人承担连带责任。</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25.2  发出成交通知书后，采购人无正当理由拒签合同的，给成交供应商造成损失的，应当赔偿损失。</w:t>
      </w:r>
    </w:p>
    <w:p>
      <w:pPr>
        <w:widowControl/>
        <w:spacing w:before="100" w:beforeAutospacing="1" w:after="100" w:afterAutospacing="1" w:line="450" w:lineRule="atLeast"/>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25.3  成交供应商拒绝与采购人签订合同的，</w:t>
      </w:r>
      <w:r>
        <w:rPr>
          <w:rFonts w:hint="eastAsia" w:asciiTheme="majorEastAsia" w:hAnsiTheme="majorEastAsia" w:eastAsiaTheme="majorEastAsia" w:cstheme="majorEastAsia"/>
          <w:sz w:val="24"/>
        </w:rPr>
        <w:t>经</w:t>
      </w:r>
      <w:r>
        <w:rPr>
          <w:rFonts w:hint="eastAsia" w:asciiTheme="majorEastAsia" w:hAnsiTheme="majorEastAsia" w:eastAsiaTheme="majorEastAsia" w:cstheme="majorEastAsia"/>
          <w:bCs/>
          <w:sz w:val="24"/>
        </w:rPr>
        <w:t>南宁市良庆区</w:t>
      </w:r>
      <w:r>
        <w:rPr>
          <w:rFonts w:hint="eastAsia" w:asciiTheme="majorEastAsia" w:hAnsiTheme="majorEastAsia" w:eastAsiaTheme="majorEastAsia" w:cstheme="majorEastAsia"/>
          <w:sz w:val="24"/>
        </w:rPr>
        <w:t>政府采购监督管理部门同意，</w:t>
      </w:r>
      <w:r>
        <w:rPr>
          <w:rFonts w:hint="eastAsia" w:asciiTheme="majorEastAsia" w:hAnsiTheme="majorEastAsia" w:eastAsiaTheme="majorEastAsia" w:cstheme="majorEastAsia"/>
          <w:kern w:val="0"/>
          <w:sz w:val="24"/>
        </w:rPr>
        <w:t>采购人可以按照评审报告推荐的成交候选人名单排序，确定下一候选人为成交供应商，也可以重新开展政府采购活动。</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25.4  成交供应商因不可抗力或者自身原因不能履行政府采购合同的，采购人可以与排位在成交供应商之后第一位的成交候选供应商签订政府采购合同，以此类推。</w:t>
      </w:r>
    </w:p>
    <w:p>
      <w:pPr>
        <w:pStyle w:val="14"/>
        <w:spacing w:line="440" w:lineRule="exact"/>
        <w:outlineLvl w:val="2"/>
        <w:rPr>
          <w:rFonts w:asciiTheme="majorEastAsia" w:hAnsiTheme="majorEastAsia" w:eastAsiaTheme="majorEastAsia" w:cstheme="majorEastAsia"/>
          <w:bCs/>
          <w:sz w:val="24"/>
          <w:szCs w:val="24"/>
        </w:rPr>
      </w:pPr>
      <w:bookmarkStart w:id="57" w:name="_Toc213206175"/>
      <w:bookmarkStart w:id="58" w:name="_Toc213325924"/>
      <w:bookmarkStart w:id="59" w:name="_Toc213326423"/>
      <w:r>
        <w:rPr>
          <w:rFonts w:hint="eastAsia" w:asciiTheme="majorEastAsia" w:hAnsiTheme="majorEastAsia" w:eastAsiaTheme="majorEastAsia" w:cstheme="majorEastAsia"/>
          <w:bCs/>
          <w:sz w:val="24"/>
          <w:szCs w:val="24"/>
        </w:rPr>
        <w:t>26.  履约保证金及质量保证金</w:t>
      </w:r>
    </w:p>
    <w:p>
      <w:pPr>
        <w:pStyle w:val="14"/>
        <w:spacing w:line="440" w:lineRule="exact"/>
        <w:ind w:firstLine="360" w:firstLineChars="150"/>
        <w:jc w:val="left"/>
        <w:rPr>
          <w:rFonts w:asciiTheme="majorEastAsia" w:hAnsiTheme="majorEastAsia" w:eastAsiaTheme="majorEastAsia" w:cstheme="majorEastAsia"/>
          <w:szCs w:val="28"/>
        </w:rPr>
      </w:pPr>
      <w:bookmarkStart w:id="60" w:name="_Toc495334416"/>
      <w:bookmarkStart w:id="61" w:name="_Toc213326422"/>
      <w:r>
        <w:rPr>
          <w:rFonts w:hint="eastAsia" w:asciiTheme="majorEastAsia" w:hAnsiTheme="majorEastAsia" w:eastAsiaTheme="majorEastAsia" w:cstheme="majorEastAsia"/>
          <w:sz w:val="24"/>
          <w:szCs w:val="24"/>
        </w:rPr>
        <w:t>本项目不收取履约保证金及质量保证金</w:t>
      </w:r>
      <w:r>
        <w:rPr>
          <w:rFonts w:hint="eastAsia" w:asciiTheme="majorEastAsia" w:hAnsiTheme="majorEastAsia" w:eastAsiaTheme="majorEastAsia" w:cstheme="majorEastAsia"/>
          <w:szCs w:val="28"/>
        </w:rPr>
        <w:t>。</w:t>
      </w:r>
    </w:p>
    <w:p>
      <w:pPr>
        <w:pStyle w:val="14"/>
        <w:spacing w:line="440" w:lineRule="exact"/>
        <w:jc w:val="center"/>
        <w:rPr>
          <w:rFonts w:asciiTheme="majorEastAsia" w:hAnsiTheme="majorEastAsia" w:eastAsiaTheme="majorEastAsia" w:cstheme="majorEastAsia"/>
        </w:rPr>
      </w:pPr>
    </w:p>
    <w:p>
      <w:pPr>
        <w:pStyle w:val="22"/>
        <w:outlineLvl w:val="1"/>
        <w:rPr>
          <w:rFonts w:asciiTheme="majorEastAsia" w:hAnsiTheme="majorEastAsia" w:eastAsiaTheme="majorEastAsia" w:cstheme="majorEastAsia"/>
        </w:rPr>
      </w:pPr>
      <w:bookmarkStart w:id="62" w:name="_Toc521096349"/>
      <w:r>
        <w:rPr>
          <w:rFonts w:hint="eastAsia" w:asciiTheme="majorEastAsia" w:hAnsiTheme="majorEastAsia" w:eastAsiaTheme="majorEastAsia" w:cstheme="majorEastAsia"/>
        </w:rPr>
        <w:t>七    其他事项</w:t>
      </w:r>
      <w:bookmarkEnd w:id="60"/>
      <w:bookmarkEnd w:id="61"/>
      <w:bookmarkEnd w:id="62"/>
    </w:p>
    <w:p>
      <w:pPr>
        <w:pStyle w:val="14"/>
        <w:spacing w:line="440" w:lineRule="exact"/>
        <w:outlineLvl w:val="2"/>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27.  解释权</w:t>
      </w:r>
    </w:p>
    <w:p>
      <w:pPr>
        <w:pStyle w:val="14"/>
        <w:spacing w:line="440" w:lineRule="exact"/>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27.1  本竞争性磋商采购文件根据《中华人民共和国政府采购法》、《中华人民共和国政府采购法实施条例》、《政府采购竞争性磋商采购方式管理暂行办法》（财库〔2014〕214号）及相关法律法规编制，解释权属采购代理机构。</w:t>
      </w:r>
    </w:p>
    <w:p>
      <w:pPr>
        <w:pStyle w:val="14"/>
        <w:spacing w:line="440" w:lineRule="exact"/>
        <w:outlineLvl w:val="2"/>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28.  其他</w:t>
      </w:r>
    </w:p>
    <w:p>
      <w:pPr>
        <w:pStyle w:val="14"/>
        <w:spacing w:line="440" w:lineRule="exact"/>
        <w:ind w:firstLine="600" w:firstLineChars="25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只要磋商供应商参与响应并递交响应文件即视为已经理解并毫无保留地同意了本竞争性磋商文件的所有条文。</w:t>
      </w:r>
    </w:p>
    <w:p>
      <w:pPr>
        <w:pStyle w:val="14"/>
        <w:spacing w:line="440" w:lineRule="exact"/>
        <w:outlineLvl w:val="2"/>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29.   响应文件的退回</w:t>
      </w:r>
    </w:p>
    <w:p>
      <w:pPr>
        <w:pStyle w:val="14"/>
        <w:spacing w:line="440" w:lineRule="exact"/>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所有响应文件均不予退回。</w:t>
      </w:r>
    </w:p>
    <w:p>
      <w:pPr>
        <w:pStyle w:val="14"/>
        <w:spacing w:line="440" w:lineRule="exact"/>
        <w:jc w:val="left"/>
        <w:outlineLvl w:val="2"/>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30.  需要补充的其他内容</w:t>
      </w:r>
    </w:p>
    <w:p>
      <w:pPr>
        <w:pStyle w:val="14"/>
        <w:spacing w:line="440" w:lineRule="exact"/>
        <w:ind w:firstLine="600" w:firstLineChars="25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需要补充的其他内容：见磋商供应商须知前附表。</w:t>
      </w:r>
    </w:p>
    <w:p>
      <w:pPr>
        <w:pStyle w:val="22"/>
        <w:rPr>
          <w:rFonts w:asciiTheme="majorEastAsia" w:hAnsiTheme="majorEastAsia" w:eastAsiaTheme="majorEastAsia" w:cstheme="majorEastAsia"/>
        </w:rPr>
      </w:pPr>
      <w:r>
        <w:rPr>
          <w:rFonts w:hint="eastAsia" w:asciiTheme="majorEastAsia" w:hAnsiTheme="majorEastAsia" w:eastAsiaTheme="majorEastAsia" w:cstheme="majorEastAsia"/>
        </w:rPr>
        <w:br w:type="page"/>
      </w:r>
      <w:bookmarkEnd w:id="57"/>
      <w:bookmarkEnd w:id="58"/>
      <w:bookmarkEnd w:id="59"/>
      <w:bookmarkStart w:id="63" w:name="_Toc460253711"/>
      <w:bookmarkStart w:id="64" w:name="_Toc521096350"/>
      <w:r>
        <w:rPr>
          <w:rFonts w:hint="eastAsia" w:asciiTheme="majorEastAsia" w:hAnsiTheme="majorEastAsia" w:eastAsiaTheme="majorEastAsia" w:cstheme="majorEastAsia"/>
        </w:rPr>
        <w:t>第五章  响应文件格式</w:t>
      </w:r>
      <w:bookmarkEnd w:id="63"/>
      <w:bookmarkEnd w:id="64"/>
    </w:p>
    <w:p>
      <w:pPr>
        <w:pStyle w:val="14"/>
        <w:spacing w:line="500" w:lineRule="exact"/>
        <w:outlineLvl w:val="1"/>
        <w:rPr>
          <w:rFonts w:asciiTheme="majorEastAsia" w:hAnsiTheme="majorEastAsia" w:eastAsiaTheme="majorEastAsia" w:cstheme="majorEastAsia"/>
          <w:b/>
        </w:rPr>
      </w:pPr>
      <w:r>
        <w:rPr>
          <w:rFonts w:hint="eastAsia" w:asciiTheme="majorEastAsia" w:hAnsiTheme="majorEastAsia" w:eastAsiaTheme="majorEastAsia" w:cstheme="majorEastAsia"/>
          <w:b/>
        </w:rPr>
        <w:t>格式1：</w:t>
      </w:r>
    </w:p>
    <w:p>
      <w:pPr>
        <w:pStyle w:val="14"/>
        <w:spacing w:line="500" w:lineRule="exact"/>
        <w:jc w:val="center"/>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响应函（格式）</w:t>
      </w:r>
    </w:p>
    <w:p>
      <w:pPr>
        <w:pStyle w:val="14"/>
        <w:spacing w:line="500" w:lineRule="exact"/>
        <w:rPr>
          <w:rFonts w:asciiTheme="majorEastAsia" w:hAnsiTheme="majorEastAsia" w:eastAsiaTheme="majorEastAsia" w:cstheme="majorEastAsia"/>
          <w:sz w:val="32"/>
        </w:rPr>
      </w:pPr>
    </w:p>
    <w:p>
      <w:pPr>
        <w:pStyle w:val="14"/>
        <w:spacing w:line="44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致：</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（采购代理机构名称）</w:t>
      </w:r>
    </w:p>
    <w:p>
      <w:pPr>
        <w:pStyle w:val="14"/>
        <w:spacing w:line="440" w:lineRule="exact"/>
        <w:ind w:firstLine="480" w:firstLineChars="200"/>
        <w:rPr>
          <w:rFonts w:asciiTheme="majorEastAsia" w:hAnsiTheme="majorEastAsia" w:eastAsiaTheme="majorEastAsia" w:cstheme="majorEastAsia"/>
          <w:sz w:val="24"/>
          <w:szCs w:val="24"/>
        </w:rPr>
      </w:pP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我方已仔细阅读了贵方组织的</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项目（项目编号：</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 xml:space="preserve">）的竞争性磋商文件的全部内容，现正式提交下述响应文件参加贵方组织的本次政府采购活动： </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一、首次报价文件正本一份，副本</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份（包含按磋商供应商须知第10.1.1项要求提交的全部文件）；</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二、技术文件正本一份，副本</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份（包含按磋商供应商须知第10.1.2项要求提交的全部文件）；</w:t>
      </w: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三、商务文件正本一份，副本</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份（包含按磋商供应商须知第10.1.3项要求提交的全部文件）。</w:t>
      </w:r>
    </w:p>
    <w:p>
      <w:pPr>
        <w:pStyle w:val="14"/>
        <w:spacing w:line="440" w:lineRule="exact"/>
        <w:ind w:firstLine="482"/>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据此函，签字人兹宣布：</w:t>
      </w:r>
    </w:p>
    <w:p>
      <w:pPr>
        <w:pStyle w:val="14"/>
        <w:spacing w:line="440" w:lineRule="exact"/>
        <w:ind w:firstLine="482"/>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1、我方愿意以（大写）人民币 </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元)的响应总报价，服务期</w:t>
      </w:r>
      <w:r>
        <w:rPr>
          <w:rFonts w:hint="eastAsia" w:hAnsi="宋体" w:cs="宋体" w:eastAsiaTheme="majorEastAsia"/>
          <w:sz w:val="24"/>
        </w:rPr>
        <w:t>：</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 xml:space="preserve"> ，提供本项目竞争性磋商文件第二章“服务需求一览表”中相应的采购内容。</w:t>
      </w:r>
    </w:p>
    <w:p>
      <w:pPr>
        <w:pStyle w:val="14"/>
        <w:spacing w:line="440" w:lineRule="exact"/>
        <w:ind w:firstLine="482"/>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2、我方同意自本项目竞争性磋商文件“磋商供应商须知”第15.1项规定的提交响应文件截止时间起遵循本响应函，并承诺在“磋商供应商须知”第12.1项规定的响应有效期内不修改、撤销响应文件。</w:t>
      </w:r>
    </w:p>
    <w:p>
      <w:pPr>
        <w:pStyle w:val="14"/>
        <w:spacing w:line="440" w:lineRule="exact"/>
        <w:ind w:firstLine="482"/>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3、我方在此声明，所提交的响应文件及有关资料内容完整、真实和准确。</w:t>
      </w:r>
    </w:p>
    <w:p>
      <w:pPr>
        <w:pStyle w:val="14"/>
        <w:spacing w:line="440" w:lineRule="exact"/>
        <w:ind w:firstLine="482"/>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4、我方承诺未被列入失信被执行人、重大税收违法案件当事人名单、政府采购严重违法失信行为记录名单，并具备《中华人民共和国政府采购法》中规定的参加政府采购活动的供应商应当具备的条件：</w:t>
      </w:r>
    </w:p>
    <w:p>
      <w:pPr>
        <w:pStyle w:val="14"/>
        <w:numPr>
          <w:ilvl w:val="0"/>
          <w:numId w:val="3"/>
        </w:numPr>
        <w:spacing w:line="44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具有独立承担民事责任的能力；</w:t>
      </w:r>
    </w:p>
    <w:p>
      <w:pPr>
        <w:pStyle w:val="14"/>
        <w:numPr>
          <w:ilvl w:val="0"/>
          <w:numId w:val="3"/>
        </w:numPr>
        <w:spacing w:line="44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具有良好的商业信誉和健全的财务会计制度；</w:t>
      </w:r>
    </w:p>
    <w:p>
      <w:pPr>
        <w:pStyle w:val="14"/>
        <w:numPr>
          <w:ilvl w:val="0"/>
          <w:numId w:val="3"/>
        </w:numPr>
        <w:spacing w:line="44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具有履行合同所必需的设备和专业技术能力；</w:t>
      </w:r>
    </w:p>
    <w:p>
      <w:pPr>
        <w:pStyle w:val="14"/>
        <w:numPr>
          <w:ilvl w:val="0"/>
          <w:numId w:val="3"/>
        </w:numPr>
        <w:spacing w:line="44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有依法缴纳税收和社会保障资金的良好记录；</w:t>
      </w:r>
    </w:p>
    <w:p>
      <w:pPr>
        <w:pStyle w:val="14"/>
        <w:numPr>
          <w:ilvl w:val="0"/>
          <w:numId w:val="3"/>
        </w:numPr>
        <w:spacing w:line="44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参加政府采购活动前三年内，在经营活动中没有重大违法记录；</w:t>
      </w:r>
    </w:p>
    <w:p>
      <w:pPr>
        <w:pStyle w:val="14"/>
        <w:numPr>
          <w:ilvl w:val="0"/>
          <w:numId w:val="3"/>
        </w:numPr>
        <w:spacing w:line="44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法律、行政法规规定的其他条件。</w:t>
      </w:r>
    </w:p>
    <w:p>
      <w:pPr>
        <w:pStyle w:val="14"/>
        <w:spacing w:line="440" w:lineRule="exact"/>
        <w:ind w:firstLine="482"/>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如我方成交，我方承诺在收到成交通知书后，在成交通知书规定的期限内，根据竞争性磋商采购文件、我方的响应文件及有关澄清承诺书的要求按第六章“合同条款及格式”与采购人订立书面合同，并按照合同约定承担完成合同的责任和义务。</w:t>
      </w:r>
    </w:p>
    <w:p>
      <w:pPr>
        <w:pStyle w:val="14"/>
        <w:spacing w:line="440" w:lineRule="exact"/>
        <w:ind w:firstLine="482"/>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6、我方已详细审核竞争性磋商文件，我方知道必须放弃提出含糊不清或误解问题的权利。</w:t>
      </w:r>
    </w:p>
    <w:p>
      <w:pPr>
        <w:pStyle w:val="14"/>
        <w:spacing w:line="440" w:lineRule="exact"/>
        <w:ind w:firstLine="482"/>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7、我方承诺满足竞争性磋商文件第六章《南宁市政府采购合同》中的条款，承担完成合同的责任和义务。</w:t>
      </w:r>
    </w:p>
    <w:p>
      <w:pPr>
        <w:pStyle w:val="14"/>
        <w:spacing w:line="440" w:lineRule="exact"/>
        <w:ind w:firstLine="482"/>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8、我方同意应贵方要求提供与本磋商有关的任何数据或资料。若贵方需要，我方愿意提供我方作出的一切承诺的证明材料。</w:t>
      </w:r>
    </w:p>
    <w:p>
      <w:pPr>
        <w:pStyle w:val="14"/>
        <w:spacing w:line="440" w:lineRule="exact"/>
        <w:ind w:firstLine="482"/>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9、我方完全理解贵方不一定接受响应报价最低的磋商供应商为成交供应商的行为。</w:t>
      </w:r>
    </w:p>
    <w:p>
      <w:pPr>
        <w:pStyle w:val="14"/>
        <w:spacing w:line="440" w:lineRule="exact"/>
        <w:ind w:firstLine="482"/>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numPr>
          <w:ilvl w:val="0"/>
          <w:numId w:val="4"/>
        </w:numPr>
        <w:spacing w:line="44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提供虚假材料谋取中标、成交的；</w:t>
      </w:r>
    </w:p>
    <w:p>
      <w:pPr>
        <w:pStyle w:val="14"/>
        <w:numPr>
          <w:ilvl w:val="0"/>
          <w:numId w:val="4"/>
        </w:numPr>
        <w:spacing w:line="44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采取不正当手段诋毁、排挤其他供应商的；</w:t>
      </w:r>
    </w:p>
    <w:p>
      <w:pPr>
        <w:pStyle w:val="14"/>
        <w:numPr>
          <w:ilvl w:val="0"/>
          <w:numId w:val="4"/>
        </w:numPr>
        <w:spacing w:line="44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与采购人、其他供应商或者采购代理机构恶意串通的；</w:t>
      </w:r>
    </w:p>
    <w:p>
      <w:pPr>
        <w:pStyle w:val="14"/>
        <w:numPr>
          <w:ilvl w:val="0"/>
          <w:numId w:val="4"/>
        </w:numPr>
        <w:spacing w:line="44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向采购人、采购代理机构行贿或者提供其他不正当利益的；</w:t>
      </w:r>
    </w:p>
    <w:p>
      <w:pPr>
        <w:pStyle w:val="14"/>
        <w:numPr>
          <w:ilvl w:val="0"/>
          <w:numId w:val="4"/>
        </w:numPr>
        <w:spacing w:line="44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在采购过程中与采购人进行协商谈判的；</w:t>
      </w:r>
    </w:p>
    <w:p>
      <w:pPr>
        <w:pStyle w:val="14"/>
        <w:numPr>
          <w:ilvl w:val="0"/>
          <w:numId w:val="4"/>
        </w:numPr>
        <w:spacing w:line="44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拒绝有关部门监督检查或提供虚假情况的。</w:t>
      </w:r>
    </w:p>
    <w:p>
      <w:pPr>
        <w:pStyle w:val="14"/>
        <w:spacing w:line="360" w:lineRule="auto"/>
        <w:ind w:firstLine="420"/>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磋商供应商：（盖单位公章）</w:t>
      </w:r>
      <w:r>
        <w:rPr>
          <w:rFonts w:hint="eastAsia" w:asciiTheme="majorEastAsia" w:hAnsiTheme="majorEastAsia" w:eastAsiaTheme="majorEastAsia" w:cstheme="majorEastAsia"/>
          <w:sz w:val="24"/>
          <w:szCs w:val="24"/>
          <w:u w:val="single"/>
        </w:rPr>
        <w:t xml:space="preserve">                                    </w:t>
      </w:r>
    </w:p>
    <w:p>
      <w:pPr>
        <w:pStyle w:val="14"/>
        <w:spacing w:line="360" w:lineRule="auto"/>
        <w:ind w:firstLine="420"/>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法定代表人或其委托代理人：（签字或盖章）</w:t>
      </w:r>
      <w:r>
        <w:rPr>
          <w:rFonts w:hint="eastAsia" w:asciiTheme="majorEastAsia" w:hAnsiTheme="majorEastAsia" w:eastAsiaTheme="majorEastAsia" w:cstheme="majorEastAsia"/>
          <w:sz w:val="24"/>
          <w:szCs w:val="24"/>
          <w:u w:val="single"/>
        </w:rPr>
        <w:t xml:space="preserve">                      </w:t>
      </w:r>
    </w:p>
    <w:p>
      <w:pPr>
        <w:pStyle w:val="14"/>
        <w:spacing w:line="360" w:lineRule="auto"/>
        <w:ind w:firstLine="420"/>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地址：</w:t>
      </w:r>
      <w:r>
        <w:rPr>
          <w:rFonts w:hint="eastAsia" w:asciiTheme="majorEastAsia" w:hAnsiTheme="majorEastAsia" w:eastAsiaTheme="majorEastAsia" w:cstheme="majorEastAsia"/>
          <w:sz w:val="24"/>
          <w:szCs w:val="24"/>
          <w:u w:val="single"/>
        </w:rPr>
        <w:t xml:space="preserve">                                                         </w:t>
      </w:r>
    </w:p>
    <w:p>
      <w:pPr>
        <w:pStyle w:val="14"/>
        <w:spacing w:line="360" w:lineRule="auto"/>
        <w:ind w:firstLine="420"/>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电话：</w:t>
      </w:r>
      <w:r>
        <w:rPr>
          <w:rFonts w:hint="eastAsia" w:asciiTheme="majorEastAsia" w:hAnsiTheme="majorEastAsia" w:eastAsiaTheme="majorEastAsia" w:cstheme="majorEastAsia"/>
          <w:sz w:val="24"/>
          <w:szCs w:val="24"/>
          <w:u w:val="single"/>
        </w:rPr>
        <w:t xml:space="preserve">                                      　　　　　　　　　</w:t>
      </w:r>
    </w:p>
    <w:p>
      <w:pPr>
        <w:pStyle w:val="14"/>
        <w:spacing w:line="360" w:lineRule="auto"/>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传真：</w:t>
      </w:r>
      <w:r>
        <w:rPr>
          <w:rFonts w:hint="eastAsia" w:asciiTheme="majorEastAsia" w:hAnsiTheme="majorEastAsia" w:eastAsiaTheme="majorEastAsia" w:cstheme="majorEastAsia"/>
          <w:sz w:val="24"/>
          <w:szCs w:val="24"/>
          <w:u w:val="single"/>
        </w:rPr>
        <w:t>　　　　　　　　　　　　　　　　　　　　　　　　　　　　</w:t>
      </w:r>
    </w:p>
    <w:p>
      <w:pPr>
        <w:pStyle w:val="14"/>
        <w:spacing w:line="360" w:lineRule="auto"/>
        <w:ind w:firstLine="420"/>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 xml:space="preserve">邮政编码： </w:t>
      </w:r>
      <w:r>
        <w:rPr>
          <w:rFonts w:hint="eastAsia" w:asciiTheme="majorEastAsia" w:hAnsiTheme="majorEastAsia" w:eastAsiaTheme="majorEastAsia" w:cstheme="majorEastAsia"/>
          <w:sz w:val="24"/>
          <w:szCs w:val="24"/>
          <w:u w:val="single"/>
        </w:rPr>
        <w:t xml:space="preserve">                                                    </w:t>
      </w:r>
    </w:p>
    <w:p>
      <w:pPr>
        <w:pStyle w:val="14"/>
        <w:spacing w:line="360" w:lineRule="auto"/>
        <w:ind w:firstLine="420"/>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开户名称：</w:t>
      </w:r>
      <w:r>
        <w:rPr>
          <w:rFonts w:hint="eastAsia" w:asciiTheme="majorEastAsia" w:hAnsiTheme="majorEastAsia" w:eastAsiaTheme="majorEastAsia" w:cstheme="majorEastAsia"/>
          <w:sz w:val="24"/>
          <w:szCs w:val="24"/>
          <w:u w:val="single"/>
        </w:rPr>
        <w:t xml:space="preserve">                                                     </w:t>
      </w:r>
    </w:p>
    <w:p>
      <w:pPr>
        <w:pStyle w:val="14"/>
        <w:spacing w:line="360" w:lineRule="auto"/>
        <w:ind w:firstLine="420"/>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开户银行：</w:t>
      </w:r>
      <w:r>
        <w:rPr>
          <w:rFonts w:hint="eastAsia" w:asciiTheme="majorEastAsia" w:hAnsiTheme="majorEastAsia" w:eastAsiaTheme="majorEastAsia" w:cstheme="majorEastAsia"/>
          <w:sz w:val="24"/>
          <w:szCs w:val="24"/>
          <w:u w:val="single"/>
        </w:rPr>
        <w:t xml:space="preserve">                                                      </w:t>
      </w:r>
    </w:p>
    <w:p>
      <w:pPr>
        <w:pStyle w:val="14"/>
        <w:spacing w:line="360" w:lineRule="auto"/>
        <w:ind w:firstLine="420"/>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银行账号：</w:t>
      </w:r>
      <w:r>
        <w:rPr>
          <w:rFonts w:hint="eastAsia" w:asciiTheme="majorEastAsia" w:hAnsiTheme="majorEastAsia" w:eastAsiaTheme="majorEastAsia" w:cstheme="majorEastAsia"/>
          <w:sz w:val="24"/>
          <w:szCs w:val="24"/>
          <w:u w:val="single"/>
        </w:rPr>
        <w:t xml:space="preserve">                                                     </w:t>
      </w:r>
    </w:p>
    <w:p>
      <w:pPr>
        <w:pStyle w:val="14"/>
        <w:spacing w:line="360" w:lineRule="auto"/>
        <w:ind w:firstLine="420"/>
        <w:rPr>
          <w:rFonts w:asciiTheme="majorEastAsia" w:hAnsiTheme="majorEastAsia" w:eastAsiaTheme="majorEastAsia" w:cstheme="majorEastAsia"/>
          <w:sz w:val="24"/>
          <w:szCs w:val="24"/>
          <w:u w:val="single"/>
        </w:rPr>
      </w:pPr>
    </w:p>
    <w:p>
      <w:pPr>
        <w:pStyle w:val="14"/>
        <w:spacing w:line="360" w:lineRule="auto"/>
        <w:ind w:firstLine="420"/>
        <w:jc w:val="center"/>
        <w:rPr>
          <w:rFonts w:asciiTheme="majorEastAsia" w:hAnsiTheme="majorEastAsia" w:eastAsiaTheme="majorEastAsia" w:cstheme="majorEastAsia"/>
          <w:b/>
          <w:bCs/>
        </w:rPr>
      </w:pPr>
      <w:r>
        <w:rPr>
          <w:rFonts w:hint="eastAsia" w:asciiTheme="majorEastAsia" w:hAnsiTheme="majorEastAsia" w:eastAsiaTheme="majorEastAsia" w:cstheme="majorEastAsia"/>
          <w:bCs/>
          <w:sz w:val="24"/>
          <w:szCs w:val="24"/>
        </w:rPr>
        <w:t xml:space="preserve">                                                       年  月    日</w:t>
      </w:r>
    </w:p>
    <w:p>
      <w:pPr>
        <w:pStyle w:val="14"/>
        <w:outlineLvl w:val="1"/>
        <w:rPr>
          <w:rFonts w:asciiTheme="majorEastAsia" w:hAnsiTheme="majorEastAsia" w:eastAsiaTheme="majorEastAsia" w:cstheme="majorEastAsia"/>
          <w:u w:val="single"/>
        </w:rPr>
      </w:pPr>
      <w:r>
        <w:rPr>
          <w:rFonts w:hint="eastAsia" w:asciiTheme="majorEastAsia" w:hAnsiTheme="majorEastAsia" w:eastAsiaTheme="majorEastAsia" w:cstheme="majorEastAsia"/>
          <w:b/>
        </w:rPr>
        <w:br w:type="page"/>
      </w:r>
      <w:bookmarkStart w:id="65" w:name="_Toc460253712"/>
      <w:bookmarkStart w:id="66" w:name="_Toc521096351"/>
      <w:r>
        <w:rPr>
          <w:rFonts w:hint="eastAsia" w:asciiTheme="majorEastAsia" w:hAnsiTheme="majorEastAsia" w:eastAsiaTheme="majorEastAsia" w:cstheme="majorEastAsia"/>
          <w:b/>
        </w:rPr>
        <w:t>格式2：</w:t>
      </w:r>
      <w:bookmarkEnd w:id="65"/>
      <w:bookmarkEnd w:id="66"/>
    </w:p>
    <w:p>
      <w:pPr>
        <w:pStyle w:val="14"/>
        <w:jc w:val="center"/>
        <w:outlineLvl w:val="2"/>
        <w:rPr>
          <w:rFonts w:asciiTheme="majorEastAsia" w:hAnsiTheme="majorEastAsia" w:eastAsiaTheme="majorEastAsia" w:cstheme="majorEastAsia"/>
          <w:b/>
          <w:sz w:val="32"/>
        </w:rPr>
      </w:pPr>
      <w:r>
        <w:rPr>
          <w:rFonts w:hint="eastAsia" w:asciiTheme="majorEastAsia" w:hAnsiTheme="majorEastAsia" w:eastAsiaTheme="majorEastAsia" w:cstheme="majorEastAsia"/>
          <w:b/>
          <w:sz w:val="32"/>
        </w:rPr>
        <w:t>响应报价表（格式）</w:t>
      </w:r>
    </w:p>
    <w:p>
      <w:pPr>
        <w:pStyle w:val="14"/>
        <w:jc w:val="center"/>
        <w:rPr>
          <w:rFonts w:asciiTheme="majorEastAsia" w:hAnsiTheme="majorEastAsia" w:eastAsiaTheme="majorEastAsia" w:cstheme="majorEastAsia"/>
          <w:b/>
          <w:sz w:val="32"/>
        </w:rPr>
      </w:pPr>
    </w:p>
    <w:tbl>
      <w:tblPr>
        <w:tblStyle w:val="24"/>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100"/>
        <w:gridCol w:w="2520"/>
        <w:gridCol w:w="735"/>
        <w:gridCol w:w="1155"/>
        <w:gridCol w:w="157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630" w:type="dxa"/>
            <w:vAlign w:val="center"/>
          </w:tcPr>
          <w:p>
            <w:pPr>
              <w:pStyle w:val="14"/>
              <w:jc w:val="center"/>
              <w:rPr>
                <w:rFonts w:asciiTheme="majorEastAsia" w:hAnsiTheme="majorEastAsia" w:eastAsiaTheme="majorEastAsia" w:cstheme="majorEastAsia"/>
                <w:spacing w:val="-20"/>
                <w:sz w:val="24"/>
                <w:szCs w:val="24"/>
              </w:rPr>
            </w:pPr>
            <w:r>
              <w:rPr>
                <w:rFonts w:hint="eastAsia" w:asciiTheme="majorEastAsia" w:hAnsiTheme="majorEastAsia" w:eastAsiaTheme="majorEastAsia" w:cstheme="majorEastAsia"/>
                <w:spacing w:val="-20"/>
                <w:sz w:val="24"/>
                <w:szCs w:val="24"/>
              </w:rPr>
              <w:t>序号</w:t>
            </w:r>
          </w:p>
        </w:tc>
        <w:tc>
          <w:tcPr>
            <w:tcW w:w="2100" w:type="dxa"/>
            <w:vAlign w:val="center"/>
          </w:tcPr>
          <w:p>
            <w:pPr>
              <w:pStyle w:val="14"/>
              <w:jc w:val="center"/>
              <w:rPr>
                <w:rFonts w:asciiTheme="majorEastAsia" w:hAnsiTheme="majorEastAsia" w:eastAsiaTheme="majorEastAsia" w:cstheme="majorEastAsia"/>
                <w:spacing w:val="-20"/>
                <w:sz w:val="24"/>
                <w:szCs w:val="24"/>
              </w:rPr>
            </w:pPr>
            <w:r>
              <w:rPr>
                <w:rFonts w:hint="eastAsia" w:asciiTheme="majorEastAsia" w:hAnsiTheme="majorEastAsia" w:eastAsiaTheme="majorEastAsia" w:cstheme="majorEastAsia"/>
                <w:spacing w:val="-20"/>
                <w:sz w:val="24"/>
                <w:szCs w:val="24"/>
              </w:rPr>
              <w:t>服务名称</w:t>
            </w:r>
          </w:p>
        </w:tc>
        <w:tc>
          <w:tcPr>
            <w:tcW w:w="2520" w:type="dxa"/>
            <w:vAlign w:val="center"/>
          </w:tcPr>
          <w:p>
            <w:pPr>
              <w:pStyle w:val="14"/>
              <w:jc w:val="center"/>
              <w:rPr>
                <w:rFonts w:asciiTheme="majorEastAsia" w:hAnsiTheme="majorEastAsia" w:eastAsiaTheme="majorEastAsia" w:cstheme="majorEastAsia"/>
                <w:spacing w:val="-20"/>
                <w:sz w:val="24"/>
                <w:szCs w:val="24"/>
              </w:rPr>
            </w:pPr>
            <w:r>
              <w:rPr>
                <w:rFonts w:hint="eastAsia" w:asciiTheme="majorEastAsia" w:hAnsiTheme="majorEastAsia" w:eastAsiaTheme="majorEastAsia" w:cstheme="majorEastAsia"/>
                <w:spacing w:val="-20"/>
                <w:sz w:val="24"/>
                <w:szCs w:val="24"/>
              </w:rPr>
              <w:t>服务内容</w:t>
            </w:r>
          </w:p>
        </w:tc>
        <w:tc>
          <w:tcPr>
            <w:tcW w:w="735" w:type="dxa"/>
            <w:vAlign w:val="center"/>
          </w:tcPr>
          <w:p>
            <w:pPr>
              <w:pStyle w:val="14"/>
              <w:jc w:val="center"/>
              <w:rPr>
                <w:rFonts w:asciiTheme="majorEastAsia" w:hAnsiTheme="majorEastAsia" w:eastAsiaTheme="majorEastAsia" w:cstheme="majorEastAsia"/>
                <w:spacing w:val="-20"/>
                <w:sz w:val="24"/>
                <w:szCs w:val="24"/>
              </w:rPr>
            </w:pPr>
            <w:r>
              <w:rPr>
                <w:rFonts w:hint="eastAsia" w:asciiTheme="majorEastAsia" w:hAnsiTheme="majorEastAsia" w:eastAsiaTheme="majorEastAsia" w:cstheme="majorEastAsia"/>
                <w:spacing w:val="-20"/>
                <w:sz w:val="24"/>
                <w:szCs w:val="24"/>
              </w:rPr>
              <w:t>数量</w:t>
            </w:r>
          </w:p>
          <w:p>
            <w:pPr>
              <w:pStyle w:val="14"/>
              <w:jc w:val="center"/>
              <w:rPr>
                <w:rFonts w:asciiTheme="majorEastAsia" w:hAnsiTheme="majorEastAsia" w:eastAsiaTheme="majorEastAsia" w:cstheme="majorEastAsia"/>
                <w:spacing w:val="-20"/>
                <w:sz w:val="24"/>
                <w:szCs w:val="24"/>
              </w:rPr>
            </w:pPr>
            <w:r>
              <w:rPr>
                <w:rFonts w:hint="eastAsia" w:asciiTheme="majorEastAsia" w:hAnsiTheme="majorEastAsia" w:eastAsiaTheme="majorEastAsia" w:cstheme="majorEastAsia"/>
                <w:spacing w:val="-20"/>
                <w:sz w:val="24"/>
                <w:szCs w:val="24"/>
              </w:rPr>
              <w:t>①</w:t>
            </w:r>
          </w:p>
        </w:tc>
        <w:tc>
          <w:tcPr>
            <w:tcW w:w="1155" w:type="dxa"/>
            <w:vAlign w:val="center"/>
          </w:tcPr>
          <w:p>
            <w:pPr>
              <w:pStyle w:val="14"/>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单价(元)</w:t>
            </w:r>
          </w:p>
          <w:p>
            <w:pPr>
              <w:pStyle w:val="14"/>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②</w:t>
            </w:r>
          </w:p>
        </w:tc>
        <w:tc>
          <w:tcPr>
            <w:tcW w:w="1575" w:type="dxa"/>
            <w:vAlign w:val="center"/>
          </w:tcPr>
          <w:p>
            <w:pPr>
              <w:pStyle w:val="14"/>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单项合价（元）</w:t>
            </w:r>
          </w:p>
          <w:p>
            <w:pPr>
              <w:pStyle w:val="14"/>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③＝①×②</w:t>
            </w:r>
          </w:p>
        </w:tc>
        <w:tc>
          <w:tcPr>
            <w:tcW w:w="1005" w:type="dxa"/>
            <w:vAlign w:val="center"/>
          </w:tcPr>
          <w:p>
            <w:pPr>
              <w:pStyle w:val="14"/>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630"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2100" w:type="dxa"/>
            <w:vAlign w:val="center"/>
          </w:tcPr>
          <w:p>
            <w:pPr>
              <w:jc w:val="center"/>
              <w:rPr>
                <w:rFonts w:asciiTheme="majorEastAsia" w:hAnsiTheme="majorEastAsia" w:eastAsiaTheme="majorEastAsia" w:cstheme="majorEastAsia"/>
                <w:sz w:val="24"/>
              </w:rPr>
            </w:pPr>
          </w:p>
        </w:tc>
        <w:tc>
          <w:tcPr>
            <w:tcW w:w="2520" w:type="dxa"/>
            <w:vAlign w:val="center"/>
          </w:tcPr>
          <w:p>
            <w:pPr>
              <w:pStyle w:val="14"/>
              <w:rPr>
                <w:rFonts w:asciiTheme="majorEastAsia" w:hAnsiTheme="majorEastAsia" w:eastAsiaTheme="majorEastAsia" w:cstheme="majorEastAsia"/>
                <w:sz w:val="24"/>
                <w:szCs w:val="24"/>
              </w:rPr>
            </w:pPr>
          </w:p>
        </w:tc>
        <w:tc>
          <w:tcPr>
            <w:tcW w:w="735" w:type="dxa"/>
            <w:vAlign w:val="center"/>
          </w:tcPr>
          <w:p>
            <w:pPr>
              <w:pStyle w:val="14"/>
              <w:rPr>
                <w:rFonts w:asciiTheme="majorEastAsia" w:hAnsiTheme="majorEastAsia" w:eastAsiaTheme="majorEastAsia" w:cstheme="majorEastAsia"/>
                <w:sz w:val="24"/>
                <w:szCs w:val="24"/>
              </w:rPr>
            </w:pPr>
          </w:p>
        </w:tc>
        <w:tc>
          <w:tcPr>
            <w:tcW w:w="1155" w:type="dxa"/>
            <w:vAlign w:val="center"/>
          </w:tcPr>
          <w:p>
            <w:pPr>
              <w:pStyle w:val="14"/>
              <w:rPr>
                <w:rFonts w:asciiTheme="majorEastAsia" w:hAnsiTheme="majorEastAsia" w:eastAsiaTheme="majorEastAsia" w:cstheme="majorEastAsia"/>
                <w:sz w:val="24"/>
                <w:szCs w:val="24"/>
              </w:rPr>
            </w:pPr>
          </w:p>
        </w:tc>
        <w:tc>
          <w:tcPr>
            <w:tcW w:w="1575" w:type="dxa"/>
            <w:vAlign w:val="center"/>
          </w:tcPr>
          <w:p>
            <w:pPr>
              <w:pStyle w:val="14"/>
              <w:rPr>
                <w:rFonts w:asciiTheme="majorEastAsia" w:hAnsiTheme="majorEastAsia" w:eastAsiaTheme="majorEastAsia" w:cstheme="majorEastAsia"/>
                <w:sz w:val="24"/>
                <w:szCs w:val="24"/>
              </w:rPr>
            </w:pPr>
          </w:p>
        </w:tc>
        <w:tc>
          <w:tcPr>
            <w:tcW w:w="1005" w:type="dxa"/>
            <w:vAlign w:val="center"/>
          </w:tcPr>
          <w:p>
            <w:pPr>
              <w:pStyle w:val="14"/>
              <w:rPr>
                <w:rFonts w:asciiTheme="majorEastAsia" w:hAnsiTheme="majorEastAsia" w:eastAsiaTheme="majorEastAsia" w:cstheme="majorEastAsia"/>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30"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p>
        </w:tc>
        <w:tc>
          <w:tcPr>
            <w:tcW w:w="2100" w:type="dxa"/>
            <w:vAlign w:val="center"/>
          </w:tcPr>
          <w:p>
            <w:pPr>
              <w:jc w:val="center"/>
              <w:rPr>
                <w:rFonts w:asciiTheme="majorEastAsia" w:hAnsiTheme="majorEastAsia" w:eastAsiaTheme="majorEastAsia" w:cstheme="majorEastAsia"/>
                <w:sz w:val="24"/>
              </w:rPr>
            </w:pPr>
          </w:p>
        </w:tc>
        <w:tc>
          <w:tcPr>
            <w:tcW w:w="2520" w:type="dxa"/>
            <w:vAlign w:val="center"/>
          </w:tcPr>
          <w:p>
            <w:pPr>
              <w:pStyle w:val="14"/>
              <w:rPr>
                <w:rFonts w:asciiTheme="majorEastAsia" w:hAnsiTheme="majorEastAsia" w:eastAsiaTheme="majorEastAsia" w:cstheme="majorEastAsia"/>
                <w:sz w:val="24"/>
                <w:szCs w:val="24"/>
              </w:rPr>
            </w:pPr>
          </w:p>
        </w:tc>
        <w:tc>
          <w:tcPr>
            <w:tcW w:w="735" w:type="dxa"/>
            <w:vAlign w:val="center"/>
          </w:tcPr>
          <w:p>
            <w:pPr>
              <w:pStyle w:val="14"/>
              <w:rPr>
                <w:rFonts w:asciiTheme="majorEastAsia" w:hAnsiTheme="majorEastAsia" w:eastAsiaTheme="majorEastAsia" w:cstheme="majorEastAsia"/>
                <w:sz w:val="24"/>
                <w:szCs w:val="24"/>
              </w:rPr>
            </w:pPr>
          </w:p>
        </w:tc>
        <w:tc>
          <w:tcPr>
            <w:tcW w:w="1155" w:type="dxa"/>
            <w:vAlign w:val="center"/>
          </w:tcPr>
          <w:p>
            <w:pPr>
              <w:pStyle w:val="14"/>
              <w:rPr>
                <w:rFonts w:asciiTheme="majorEastAsia" w:hAnsiTheme="majorEastAsia" w:eastAsiaTheme="majorEastAsia" w:cstheme="majorEastAsia"/>
                <w:sz w:val="24"/>
                <w:szCs w:val="24"/>
              </w:rPr>
            </w:pPr>
          </w:p>
        </w:tc>
        <w:tc>
          <w:tcPr>
            <w:tcW w:w="1575" w:type="dxa"/>
            <w:vAlign w:val="center"/>
          </w:tcPr>
          <w:p>
            <w:pPr>
              <w:pStyle w:val="14"/>
              <w:rPr>
                <w:rFonts w:asciiTheme="majorEastAsia" w:hAnsiTheme="majorEastAsia" w:eastAsiaTheme="majorEastAsia" w:cstheme="majorEastAsia"/>
                <w:sz w:val="24"/>
                <w:szCs w:val="24"/>
              </w:rPr>
            </w:pPr>
          </w:p>
        </w:tc>
        <w:tc>
          <w:tcPr>
            <w:tcW w:w="1005" w:type="dxa"/>
            <w:vAlign w:val="center"/>
          </w:tcPr>
          <w:p>
            <w:pPr>
              <w:pStyle w:val="14"/>
              <w:rPr>
                <w:rFonts w:asciiTheme="majorEastAsia" w:hAnsiTheme="majorEastAsia" w:eastAsiaTheme="majorEastAsia" w:cstheme="majorEastAsia"/>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630"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w:t>
            </w:r>
          </w:p>
        </w:tc>
        <w:tc>
          <w:tcPr>
            <w:tcW w:w="2100" w:type="dxa"/>
            <w:vAlign w:val="center"/>
          </w:tcPr>
          <w:p>
            <w:pPr>
              <w:jc w:val="center"/>
              <w:rPr>
                <w:rFonts w:asciiTheme="majorEastAsia" w:hAnsiTheme="majorEastAsia" w:eastAsiaTheme="majorEastAsia" w:cstheme="majorEastAsia"/>
                <w:sz w:val="24"/>
              </w:rPr>
            </w:pPr>
          </w:p>
        </w:tc>
        <w:tc>
          <w:tcPr>
            <w:tcW w:w="2520" w:type="dxa"/>
            <w:vAlign w:val="center"/>
          </w:tcPr>
          <w:p>
            <w:pPr>
              <w:pStyle w:val="14"/>
              <w:rPr>
                <w:rFonts w:asciiTheme="majorEastAsia" w:hAnsiTheme="majorEastAsia" w:eastAsiaTheme="majorEastAsia" w:cstheme="majorEastAsia"/>
                <w:sz w:val="24"/>
                <w:szCs w:val="24"/>
              </w:rPr>
            </w:pPr>
          </w:p>
        </w:tc>
        <w:tc>
          <w:tcPr>
            <w:tcW w:w="735" w:type="dxa"/>
            <w:vAlign w:val="center"/>
          </w:tcPr>
          <w:p>
            <w:pPr>
              <w:pStyle w:val="14"/>
              <w:rPr>
                <w:rFonts w:asciiTheme="majorEastAsia" w:hAnsiTheme="majorEastAsia" w:eastAsiaTheme="majorEastAsia" w:cstheme="majorEastAsia"/>
                <w:sz w:val="24"/>
                <w:szCs w:val="24"/>
              </w:rPr>
            </w:pPr>
          </w:p>
        </w:tc>
        <w:tc>
          <w:tcPr>
            <w:tcW w:w="1155" w:type="dxa"/>
            <w:vAlign w:val="center"/>
          </w:tcPr>
          <w:p>
            <w:pPr>
              <w:pStyle w:val="14"/>
              <w:rPr>
                <w:rFonts w:asciiTheme="majorEastAsia" w:hAnsiTheme="majorEastAsia" w:eastAsiaTheme="majorEastAsia" w:cstheme="majorEastAsia"/>
                <w:sz w:val="24"/>
                <w:szCs w:val="24"/>
              </w:rPr>
            </w:pPr>
          </w:p>
        </w:tc>
        <w:tc>
          <w:tcPr>
            <w:tcW w:w="1575" w:type="dxa"/>
            <w:vAlign w:val="center"/>
          </w:tcPr>
          <w:p>
            <w:pPr>
              <w:pStyle w:val="14"/>
              <w:rPr>
                <w:rFonts w:asciiTheme="majorEastAsia" w:hAnsiTheme="majorEastAsia" w:eastAsiaTheme="majorEastAsia" w:cstheme="majorEastAsia"/>
                <w:sz w:val="24"/>
                <w:szCs w:val="24"/>
              </w:rPr>
            </w:pPr>
          </w:p>
        </w:tc>
        <w:tc>
          <w:tcPr>
            <w:tcW w:w="1005" w:type="dxa"/>
            <w:vAlign w:val="center"/>
          </w:tcPr>
          <w:p>
            <w:pPr>
              <w:pStyle w:val="14"/>
              <w:rPr>
                <w:rFonts w:asciiTheme="majorEastAsia" w:hAnsiTheme="majorEastAsia" w:eastAsiaTheme="majorEastAsia" w:cstheme="majorEastAsia"/>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720" w:type="dxa"/>
            <w:gridSpan w:val="7"/>
            <w:vAlign w:val="center"/>
          </w:tcPr>
          <w:p>
            <w:pPr>
              <w:pStyle w:val="14"/>
              <w:rPr>
                <w:rFonts w:asciiTheme="majorEastAsia" w:hAnsiTheme="majorEastAsia" w:eastAsiaTheme="majorEastAsia" w:cstheme="majorEastAsia"/>
                <w:spacing w:val="-6"/>
                <w:sz w:val="24"/>
                <w:szCs w:val="24"/>
              </w:rPr>
            </w:pPr>
            <w:r>
              <w:rPr>
                <w:rFonts w:hint="eastAsia" w:asciiTheme="majorEastAsia" w:hAnsiTheme="majorEastAsia" w:eastAsiaTheme="majorEastAsia" w:cstheme="majorEastAsia"/>
                <w:sz w:val="24"/>
              </w:rPr>
              <w:t>报价合计（包含税费等所有费用）：（大写）人民币</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720" w:type="dxa"/>
            <w:gridSpan w:val="7"/>
            <w:vAlign w:val="center"/>
          </w:tcPr>
          <w:p>
            <w:pPr>
              <w:pStyle w:val="14"/>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rPr>
              <w:t>分标（</w:t>
            </w:r>
            <w:r>
              <w:rPr>
                <w:rFonts w:hint="eastAsia" w:asciiTheme="majorEastAsia" w:hAnsiTheme="majorEastAsia" w:eastAsiaTheme="majorEastAsia" w:cstheme="majorEastAsia"/>
                <w:sz w:val="24"/>
              </w:rPr>
              <w:t>此处有分标时填写具体分标号，无分标时填写“无”</w:t>
            </w:r>
            <w:r>
              <w:rPr>
                <w:rFonts w:hint="eastAsia" w:asciiTheme="majorEastAsia" w:hAnsiTheme="majorEastAsia" w:eastAsiaTheme="majorEastAsia" w:cs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720" w:type="dxa"/>
            <w:gridSpan w:val="7"/>
            <w:vAlign w:val="center"/>
          </w:tcPr>
          <w:p>
            <w:pPr>
              <w:pStyle w:val="14"/>
              <w:spacing w:line="600" w:lineRule="exact"/>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磋商供应商（盖单位公章）：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720" w:type="dxa"/>
            <w:gridSpan w:val="7"/>
            <w:vAlign w:val="center"/>
          </w:tcPr>
          <w:p>
            <w:pPr>
              <w:pStyle w:val="14"/>
              <w:spacing w:line="500" w:lineRule="exact"/>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法定代表人或其委托代理人（签字或盖章）：</w:t>
            </w:r>
          </w:p>
        </w:tc>
      </w:tr>
    </w:tbl>
    <w:p>
      <w:pPr>
        <w:pStyle w:val="14"/>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注：表格内容均需按要求填写并盖章，不得留空, 否则按无效响应处理。</w:t>
      </w:r>
    </w:p>
    <w:p>
      <w:pPr>
        <w:pStyle w:val="14"/>
        <w:rPr>
          <w:rFonts w:asciiTheme="majorEastAsia" w:hAnsiTheme="majorEastAsia" w:eastAsiaTheme="majorEastAsia" w:cstheme="majorEastAsia"/>
          <w:sz w:val="24"/>
          <w:szCs w:val="24"/>
        </w:rPr>
      </w:pPr>
    </w:p>
    <w:p>
      <w:pPr>
        <w:pStyle w:val="14"/>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p>
      <w:pPr>
        <w:pStyle w:val="14"/>
        <w:rPr>
          <w:rFonts w:asciiTheme="majorEastAsia" w:hAnsiTheme="majorEastAsia" w:eastAsiaTheme="majorEastAsia" w:cstheme="majorEastAsia"/>
          <w:sz w:val="24"/>
          <w:szCs w:val="24"/>
        </w:rPr>
      </w:pPr>
    </w:p>
    <w:p>
      <w:pPr>
        <w:pStyle w:val="14"/>
        <w:rPr>
          <w:rFonts w:asciiTheme="majorEastAsia" w:hAnsiTheme="majorEastAsia" w:eastAsiaTheme="majorEastAsia" w:cstheme="majorEastAsia"/>
          <w:sz w:val="24"/>
          <w:szCs w:val="24"/>
        </w:rPr>
      </w:pPr>
    </w:p>
    <w:p>
      <w:pPr>
        <w:pStyle w:val="14"/>
        <w:rPr>
          <w:rFonts w:asciiTheme="majorEastAsia" w:hAnsiTheme="majorEastAsia" w:eastAsiaTheme="majorEastAsia" w:cstheme="majorEastAsia"/>
          <w:sz w:val="24"/>
          <w:szCs w:val="24"/>
        </w:rPr>
      </w:pPr>
    </w:p>
    <w:p>
      <w:pPr>
        <w:pStyle w:val="14"/>
        <w:rPr>
          <w:rFonts w:asciiTheme="majorEastAsia" w:hAnsiTheme="majorEastAsia" w:eastAsiaTheme="majorEastAsia" w:cstheme="majorEastAsia"/>
          <w:sz w:val="24"/>
          <w:szCs w:val="24"/>
        </w:rPr>
      </w:pPr>
    </w:p>
    <w:p>
      <w:pPr>
        <w:pStyle w:val="14"/>
        <w:rPr>
          <w:rFonts w:asciiTheme="majorEastAsia" w:hAnsiTheme="majorEastAsia" w:eastAsiaTheme="majorEastAsia" w:cstheme="majorEastAsia"/>
          <w:sz w:val="24"/>
          <w:szCs w:val="24"/>
        </w:rPr>
      </w:pPr>
    </w:p>
    <w:p>
      <w:pPr>
        <w:pStyle w:val="14"/>
        <w:rPr>
          <w:rFonts w:asciiTheme="majorEastAsia" w:hAnsiTheme="majorEastAsia" w:eastAsiaTheme="majorEastAsia" w:cstheme="majorEastAsia"/>
          <w:sz w:val="24"/>
          <w:szCs w:val="24"/>
        </w:rPr>
      </w:pPr>
    </w:p>
    <w:p>
      <w:pPr>
        <w:pStyle w:val="14"/>
        <w:spacing w:line="600" w:lineRule="exact"/>
        <w:rPr>
          <w:rFonts w:asciiTheme="majorEastAsia" w:hAnsiTheme="majorEastAsia" w:eastAsiaTheme="majorEastAsia" w:cstheme="majorEastAsia"/>
          <w:sz w:val="24"/>
          <w:szCs w:val="24"/>
          <w:u w:val="single"/>
        </w:rPr>
      </w:pPr>
    </w:p>
    <w:p>
      <w:pPr>
        <w:pStyle w:val="14"/>
        <w:spacing w:line="500" w:lineRule="exact"/>
        <w:outlineLvl w:val="1"/>
        <w:rPr>
          <w:rFonts w:asciiTheme="majorEastAsia" w:hAnsiTheme="majorEastAsia" w:eastAsiaTheme="majorEastAsia" w:cstheme="majorEastAsia"/>
          <w:b/>
        </w:rPr>
      </w:pPr>
      <w:r>
        <w:rPr>
          <w:rFonts w:hint="eastAsia" w:asciiTheme="majorEastAsia" w:hAnsiTheme="majorEastAsia" w:eastAsiaTheme="majorEastAsia" w:cstheme="majorEastAsia"/>
          <w:b/>
          <w:sz w:val="24"/>
          <w:szCs w:val="24"/>
        </w:rPr>
        <w:br w:type="page"/>
      </w:r>
      <w:r>
        <w:rPr>
          <w:rFonts w:hint="eastAsia" w:asciiTheme="majorEastAsia" w:hAnsiTheme="majorEastAsia" w:eastAsiaTheme="majorEastAsia" w:cstheme="majorEastAsia"/>
          <w:b/>
        </w:rPr>
        <w:t xml:space="preserve">格式3： </w:t>
      </w:r>
    </w:p>
    <w:p>
      <w:pPr>
        <w:pStyle w:val="14"/>
        <w:jc w:val="center"/>
        <w:outlineLvl w:val="2"/>
        <w:rPr>
          <w:rFonts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中小企业声明函（格式）</w:t>
      </w:r>
    </w:p>
    <w:p>
      <w:pPr>
        <w:pStyle w:val="12"/>
        <w:spacing w:line="240" w:lineRule="auto"/>
        <w:ind w:firstLine="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说明：</w:t>
      </w:r>
    </w:p>
    <w:p>
      <w:pPr>
        <w:pStyle w:val="12"/>
        <w:spacing w:line="240" w:lineRule="auto"/>
        <w:ind w:firstLine="464"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1、本声明函主要供参加政府采购活动的中小企业填写，非中小企业无需填写。</w:t>
      </w:r>
    </w:p>
    <w:p>
      <w:pPr>
        <w:pStyle w:val="12"/>
        <w:spacing w:line="240" w:lineRule="auto"/>
        <w:ind w:firstLine="464"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2、小型、微型企业提供中型企业制造的货物的，视同为中型企业。</w:t>
      </w:r>
    </w:p>
    <w:p>
      <w:pPr>
        <w:pStyle w:val="12"/>
        <w:spacing w:line="240" w:lineRule="auto"/>
        <w:ind w:firstLine="464"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磋商供应商按《财政部、司法部关于政府采购支持监狱企业发展有关问题的通知》（财库〔2014〕68号）认定为监狱企业，且提供由省级以上监狱管理局、戒毒管理局（含新疆生产建设兵团）出具的属于监狱企业的证明文件的，视同小型、微型企业。</w:t>
      </w:r>
    </w:p>
    <w:p>
      <w:pPr>
        <w:pStyle w:val="12"/>
        <w:spacing w:line="360" w:lineRule="auto"/>
        <w:ind w:firstLine="464" w:firstLineChars="200"/>
        <w:rPr>
          <w:rFonts w:asciiTheme="majorEastAsia" w:hAnsiTheme="majorEastAsia" w:eastAsiaTheme="majorEastAsia" w:cstheme="majorEastAsia"/>
          <w:sz w:val="24"/>
          <w:szCs w:val="24"/>
        </w:rPr>
      </w:pPr>
    </w:p>
    <w:p>
      <w:pPr>
        <w:pStyle w:val="14"/>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本公司郑重声明，根据《政府采购促进中小企业发展暂行办法》（财库〔2011〕181号）的规定，本公司为______（请填写：中型、小型、微型）企业。即，本公司同时满足以下条件：</w:t>
      </w:r>
    </w:p>
    <w:p>
      <w:pPr>
        <w:pStyle w:val="14"/>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pStyle w:val="14"/>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14"/>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本公司对上述声明的真实性负责。如有虚假，将依法承担相应责任。</w:t>
      </w:r>
    </w:p>
    <w:p>
      <w:pPr>
        <w:pStyle w:val="14"/>
        <w:spacing w:line="360" w:lineRule="auto"/>
        <w:ind w:firstLine="480" w:firstLineChars="200"/>
        <w:rPr>
          <w:rFonts w:asciiTheme="majorEastAsia" w:hAnsiTheme="majorEastAsia" w:eastAsiaTheme="majorEastAsia" w:cstheme="majorEastAsia"/>
          <w:sz w:val="24"/>
          <w:szCs w:val="24"/>
        </w:rPr>
      </w:pPr>
    </w:p>
    <w:p>
      <w:pPr>
        <w:pStyle w:val="14"/>
        <w:spacing w:line="360" w:lineRule="auto"/>
        <w:ind w:firstLine="480" w:firstLineChars="200"/>
        <w:rPr>
          <w:rFonts w:asciiTheme="majorEastAsia" w:hAnsiTheme="majorEastAsia" w:eastAsiaTheme="majorEastAsia" w:cstheme="majorEastAsia"/>
          <w:sz w:val="24"/>
          <w:szCs w:val="24"/>
        </w:rPr>
      </w:pPr>
    </w:p>
    <w:p>
      <w:pPr>
        <w:pStyle w:val="14"/>
        <w:spacing w:line="360" w:lineRule="auto"/>
        <w:ind w:firstLine="480" w:firstLineChars="200"/>
        <w:rPr>
          <w:rFonts w:asciiTheme="majorEastAsia" w:hAnsiTheme="majorEastAsia" w:eastAsiaTheme="majorEastAsia" w:cstheme="majorEastAsia"/>
          <w:sz w:val="24"/>
          <w:szCs w:val="24"/>
        </w:rPr>
      </w:pPr>
    </w:p>
    <w:p>
      <w:pPr>
        <w:pStyle w:val="14"/>
        <w:spacing w:line="600" w:lineRule="exact"/>
        <w:ind w:firstLine="120" w:firstLineChars="50"/>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磋商供应商（盖单位公章）：</w:t>
      </w:r>
    </w:p>
    <w:p>
      <w:pPr>
        <w:pStyle w:val="14"/>
        <w:spacing w:line="500" w:lineRule="exact"/>
        <w:rPr>
          <w:rFonts w:asciiTheme="majorEastAsia" w:hAnsiTheme="majorEastAsia" w:eastAsiaTheme="majorEastAsia" w:cstheme="majorEastAsia"/>
          <w:sz w:val="24"/>
          <w:szCs w:val="24"/>
        </w:rPr>
      </w:pPr>
    </w:p>
    <w:p>
      <w:pPr>
        <w:pStyle w:val="14"/>
        <w:spacing w:line="500" w:lineRule="exact"/>
        <w:ind w:firstLine="120" w:firstLineChars="50"/>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法定代表人或其委托代理人（签字或盖章）：</w:t>
      </w:r>
    </w:p>
    <w:p>
      <w:pPr>
        <w:pStyle w:val="14"/>
        <w:spacing w:line="500" w:lineRule="exact"/>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br w:type="page"/>
      </w:r>
    </w:p>
    <w:p>
      <w:pPr>
        <w:spacing w:line="588" w:lineRule="exact"/>
        <w:jc w:val="left"/>
        <w:outlineLvl w:val="1"/>
        <w:rPr>
          <w:rFonts w:asciiTheme="majorEastAsia" w:hAnsiTheme="majorEastAsia" w:eastAsiaTheme="majorEastAsia" w:cstheme="majorEastAsia"/>
          <w:sz w:val="24"/>
        </w:rPr>
      </w:pPr>
      <w:bookmarkStart w:id="67" w:name="OLE_LINK14"/>
      <w:bookmarkStart w:id="68" w:name="OLE_LINK13"/>
      <w:r>
        <w:rPr>
          <w:rFonts w:hint="eastAsia" w:asciiTheme="majorEastAsia" w:hAnsiTheme="majorEastAsia" w:eastAsiaTheme="majorEastAsia" w:cstheme="majorEastAsia"/>
          <w:b/>
          <w:szCs w:val="20"/>
        </w:rPr>
        <w:t>格式4：</w:t>
      </w:r>
    </w:p>
    <w:p>
      <w:pPr>
        <w:spacing w:line="588" w:lineRule="exact"/>
        <w:jc w:val="center"/>
        <w:outlineLvl w:val="2"/>
        <w:rPr>
          <w:rFonts w:asciiTheme="majorEastAsia" w:hAnsiTheme="majorEastAsia" w:eastAsiaTheme="majorEastAsia" w:cstheme="majorEastAsia"/>
          <w:b/>
          <w:spacing w:val="6"/>
          <w:sz w:val="32"/>
          <w:szCs w:val="32"/>
        </w:rPr>
      </w:pPr>
      <w:r>
        <w:rPr>
          <w:rFonts w:hint="eastAsia" w:asciiTheme="majorEastAsia" w:hAnsiTheme="majorEastAsia" w:eastAsiaTheme="majorEastAsia" w:cstheme="majorEastAsia"/>
          <w:b/>
          <w:spacing w:val="6"/>
          <w:sz w:val="32"/>
          <w:szCs w:val="32"/>
        </w:rPr>
        <w:t>残疾人福利性单位声明函</w:t>
      </w:r>
    </w:p>
    <w:bookmarkEnd w:id="67"/>
    <w:bookmarkEnd w:id="68"/>
    <w:p>
      <w:pPr>
        <w:spacing w:line="588" w:lineRule="exact"/>
        <w:rPr>
          <w:rFonts w:asciiTheme="majorEastAsia" w:hAnsiTheme="majorEastAsia" w:eastAsiaTheme="majorEastAsia" w:cstheme="majorEastAsia"/>
          <w:b/>
          <w:spacing w:val="6"/>
          <w:sz w:val="30"/>
          <w:szCs w:val="30"/>
        </w:rPr>
      </w:pPr>
    </w:p>
    <w:p>
      <w:pPr>
        <w:pStyle w:val="14"/>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14"/>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本单位对上述声明的真实性负责。如有虚假，将依法承担相应责任。</w:t>
      </w:r>
    </w:p>
    <w:p>
      <w:pPr>
        <w:pStyle w:val="14"/>
        <w:spacing w:line="360" w:lineRule="auto"/>
        <w:ind w:firstLine="480" w:firstLineChars="200"/>
        <w:rPr>
          <w:rFonts w:asciiTheme="majorEastAsia" w:hAnsiTheme="majorEastAsia" w:eastAsiaTheme="majorEastAsia" w:cstheme="majorEastAsia"/>
          <w:sz w:val="24"/>
          <w:szCs w:val="24"/>
        </w:rPr>
      </w:pPr>
    </w:p>
    <w:p>
      <w:pPr>
        <w:pStyle w:val="14"/>
        <w:spacing w:line="360" w:lineRule="auto"/>
        <w:ind w:firstLine="480" w:firstLineChars="200"/>
        <w:rPr>
          <w:rFonts w:asciiTheme="majorEastAsia" w:hAnsiTheme="majorEastAsia" w:eastAsiaTheme="majorEastAsia" w:cstheme="majorEastAsia"/>
          <w:sz w:val="24"/>
          <w:szCs w:val="24"/>
        </w:rPr>
      </w:pPr>
    </w:p>
    <w:p>
      <w:pPr>
        <w:pStyle w:val="14"/>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单位名称（盖章）：</w:t>
      </w:r>
    </w:p>
    <w:p>
      <w:pPr>
        <w:pStyle w:val="14"/>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日  期：</w:t>
      </w:r>
    </w:p>
    <w:p>
      <w:pPr>
        <w:pStyle w:val="14"/>
        <w:spacing w:line="500" w:lineRule="exact"/>
        <w:outlineLvl w:val="1"/>
        <w:rPr>
          <w:rFonts w:asciiTheme="majorEastAsia" w:hAnsiTheme="majorEastAsia" w:eastAsiaTheme="majorEastAsia" w:cstheme="majorEastAsia"/>
          <w:b/>
        </w:rPr>
      </w:pPr>
      <w:r>
        <w:rPr>
          <w:rFonts w:hint="eastAsia" w:asciiTheme="majorEastAsia" w:hAnsiTheme="majorEastAsia" w:eastAsiaTheme="majorEastAsia" w:cstheme="majorEastAsia"/>
          <w:b/>
          <w:sz w:val="24"/>
          <w:szCs w:val="24"/>
        </w:rPr>
        <w:br w:type="page"/>
      </w:r>
      <w:r>
        <w:rPr>
          <w:rFonts w:hint="eastAsia" w:asciiTheme="majorEastAsia" w:hAnsiTheme="majorEastAsia" w:eastAsiaTheme="majorEastAsia" w:cstheme="majorEastAsia"/>
          <w:b/>
        </w:rPr>
        <w:t>格式5：</w:t>
      </w:r>
    </w:p>
    <w:p>
      <w:pPr>
        <w:pStyle w:val="14"/>
        <w:spacing w:line="500" w:lineRule="exact"/>
        <w:jc w:val="center"/>
        <w:outlineLvl w:val="2"/>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响应服务技术资料表（格式）</w:t>
      </w:r>
    </w:p>
    <w:p>
      <w:pPr>
        <w:pStyle w:val="14"/>
        <w:ind w:firstLine="210" w:firstLineChars="100"/>
        <w:rPr>
          <w:rFonts w:asciiTheme="majorEastAsia" w:hAnsiTheme="majorEastAsia" w:eastAsiaTheme="majorEastAsia" w:cstheme="majorEastAsia"/>
        </w:rPr>
      </w:pPr>
    </w:p>
    <w:p>
      <w:pPr>
        <w:pStyle w:val="14"/>
        <w:spacing w:line="40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请根据所投服务的实际技术参数，逐条对应本项目竞争性磋商文件第二章“服务需求一览表”中的服务内容及要求详细填写相应的具体内容。“偏离说明”一栏应当选择“正偏离”、“负偏离”或“无偏离”进行填写。</w:t>
      </w:r>
    </w:p>
    <w:p>
      <w:pPr>
        <w:jc w:val="left"/>
        <w:rPr>
          <w:rFonts w:asciiTheme="majorEastAsia" w:hAnsiTheme="majorEastAsia" w:eastAsiaTheme="majorEastAsia" w:cstheme="majorEastAsia"/>
          <w:sz w:val="24"/>
        </w:rPr>
      </w:pPr>
    </w:p>
    <w:tbl>
      <w:tblPr>
        <w:tblStyle w:val="2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57"/>
        <w:gridCol w:w="2125"/>
        <w:gridCol w:w="1340"/>
        <w:gridCol w:w="276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35" w:type="dxa"/>
            <w:vMerge w:val="restart"/>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项号</w:t>
            </w:r>
          </w:p>
        </w:tc>
        <w:tc>
          <w:tcPr>
            <w:tcW w:w="3382" w:type="dxa"/>
            <w:gridSpan w:val="2"/>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竞争性磋商文件需求</w:t>
            </w:r>
          </w:p>
        </w:tc>
        <w:tc>
          <w:tcPr>
            <w:tcW w:w="4105" w:type="dxa"/>
            <w:gridSpan w:val="2"/>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响应文件承诺</w:t>
            </w:r>
          </w:p>
        </w:tc>
        <w:tc>
          <w:tcPr>
            <w:tcW w:w="1417" w:type="dxa"/>
            <w:vMerge w:val="restart"/>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735" w:type="dxa"/>
            <w:vMerge w:val="continue"/>
            <w:vAlign w:val="center"/>
          </w:tcPr>
          <w:p>
            <w:pPr>
              <w:pStyle w:val="14"/>
              <w:jc w:val="center"/>
              <w:rPr>
                <w:rFonts w:asciiTheme="majorEastAsia" w:hAnsiTheme="majorEastAsia" w:eastAsiaTheme="majorEastAsia" w:cstheme="majorEastAsia"/>
                <w:spacing w:val="-20"/>
                <w:sz w:val="24"/>
                <w:szCs w:val="24"/>
              </w:rPr>
            </w:pPr>
          </w:p>
        </w:tc>
        <w:tc>
          <w:tcPr>
            <w:tcW w:w="1257"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服务名称</w:t>
            </w:r>
          </w:p>
        </w:tc>
        <w:tc>
          <w:tcPr>
            <w:tcW w:w="2125"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服务内容及要求</w:t>
            </w:r>
          </w:p>
        </w:tc>
        <w:tc>
          <w:tcPr>
            <w:tcW w:w="1340"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服务名称</w:t>
            </w:r>
          </w:p>
        </w:tc>
        <w:tc>
          <w:tcPr>
            <w:tcW w:w="2765"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所提供服务的内容</w:t>
            </w:r>
          </w:p>
        </w:tc>
        <w:tc>
          <w:tcPr>
            <w:tcW w:w="1417" w:type="dxa"/>
            <w:vMerge w:val="continue"/>
            <w:vAlign w:val="center"/>
          </w:tcPr>
          <w:p>
            <w:pPr>
              <w:jc w:val="cente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14"/>
              <w:jc w:val="center"/>
              <w:rPr>
                <w:rFonts w:asciiTheme="majorEastAsia" w:hAnsiTheme="majorEastAsia" w:eastAsiaTheme="majorEastAsia" w:cstheme="majorEastAsia"/>
                <w:spacing w:val="-20"/>
                <w:sz w:val="24"/>
                <w:szCs w:val="24"/>
              </w:rPr>
            </w:pPr>
            <w:r>
              <w:rPr>
                <w:rFonts w:hint="eastAsia" w:asciiTheme="majorEastAsia" w:hAnsiTheme="majorEastAsia" w:eastAsiaTheme="majorEastAsia" w:cstheme="majorEastAsia"/>
                <w:spacing w:val="-20"/>
                <w:sz w:val="24"/>
                <w:szCs w:val="24"/>
              </w:rPr>
              <w:t>1</w:t>
            </w:r>
          </w:p>
        </w:tc>
        <w:tc>
          <w:tcPr>
            <w:tcW w:w="1257" w:type="dxa"/>
            <w:vAlign w:val="center"/>
          </w:tcPr>
          <w:p>
            <w:pPr>
              <w:pStyle w:val="14"/>
              <w:spacing w:line="600" w:lineRule="exact"/>
              <w:jc w:val="center"/>
              <w:rPr>
                <w:rFonts w:asciiTheme="majorEastAsia" w:hAnsiTheme="majorEastAsia" w:eastAsiaTheme="majorEastAsia" w:cstheme="majorEastAsia"/>
                <w:sz w:val="24"/>
                <w:szCs w:val="24"/>
              </w:rPr>
            </w:pPr>
          </w:p>
        </w:tc>
        <w:tc>
          <w:tcPr>
            <w:tcW w:w="2125" w:type="dxa"/>
            <w:vAlign w:val="center"/>
          </w:tcPr>
          <w:p>
            <w:pPr>
              <w:pStyle w:val="14"/>
              <w:spacing w:line="600" w:lineRule="exact"/>
              <w:jc w:val="center"/>
              <w:rPr>
                <w:rFonts w:asciiTheme="majorEastAsia" w:hAnsiTheme="majorEastAsia" w:eastAsiaTheme="majorEastAsia" w:cstheme="majorEastAsia"/>
                <w:sz w:val="24"/>
                <w:szCs w:val="24"/>
              </w:rPr>
            </w:pPr>
          </w:p>
        </w:tc>
        <w:tc>
          <w:tcPr>
            <w:tcW w:w="1340" w:type="dxa"/>
            <w:vAlign w:val="center"/>
          </w:tcPr>
          <w:p>
            <w:pPr>
              <w:pStyle w:val="14"/>
              <w:spacing w:line="600" w:lineRule="exact"/>
              <w:jc w:val="center"/>
              <w:rPr>
                <w:rFonts w:asciiTheme="majorEastAsia" w:hAnsiTheme="majorEastAsia" w:eastAsiaTheme="majorEastAsia" w:cstheme="majorEastAsia"/>
                <w:sz w:val="24"/>
                <w:szCs w:val="24"/>
              </w:rPr>
            </w:pPr>
          </w:p>
        </w:tc>
        <w:tc>
          <w:tcPr>
            <w:tcW w:w="2765" w:type="dxa"/>
            <w:vAlign w:val="center"/>
          </w:tcPr>
          <w:p>
            <w:pPr>
              <w:pStyle w:val="14"/>
              <w:spacing w:line="600" w:lineRule="exact"/>
              <w:jc w:val="center"/>
              <w:rPr>
                <w:rFonts w:asciiTheme="majorEastAsia" w:hAnsiTheme="majorEastAsia" w:eastAsiaTheme="majorEastAsia" w:cstheme="majorEastAsia"/>
                <w:sz w:val="24"/>
                <w:szCs w:val="24"/>
              </w:rPr>
            </w:pPr>
          </w:p>
        </w:tc>
        <w:tc>
          <w:tcPr>
            <w:tcW w:w="1417" w:type="dxa"/>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14"/>
              <w:jc w:val="center"/>
              <w:rPr>
                <w:rFonts w:asciiTheme="majorEastAsia" w:hAnsiTheme="majorEastAsia" w:eastAsiaTheme="majorEastAsia" w:cstheme="majorEastAsia"/>
                <w:spacing w:val="-20"/>
                <w:sz w:val="24"/>
                <w:szCs w:val="24"/>
              </w:rPr>
            </w:pPr>
            <w:r>
              <w:rPr>
                <w:rFonts w:hint="eastAsia" w:asciiTheme="majorEastAsia" w:hAnsiTheme="majorEastAsia" w:eastAsiaTheme="majorEastAsia" w:cstheme="majorEastAsia"/>
                <w:spacing w:val="-20"/>
                <w:sz w:val="24"/>
                <w:szCs w:val="24"/>
              </w:rPr>
              <w:t>2</w:t>
            </w:r>
          </w:p>
        </w:tc>
        <w:tc>
          <w:tcPr>
            <w:tcW w:w="1257" w:type="dxa"/>
            <w:vAlign w:val="center"/>
          </w:tcPr>
          <w:p>
            <w:pPr>
              <w:pStyle w:val="14"/>
              <w:spacing w:line="600" w:lineRule="exact"/>
              <w:jc w:val="center"/>
              <w:rPr>
                <w:rFonts w:asciiTheme="majorEastAsia" w:hAnsiTheme="majorEastAsia" w:eastAsiaTheme="majorEastAsia" w:cstheme="majorEastAsia"/>
                <w:sz w:val="24"/>
                <w:szCs w:val="24"/>
              </w:rPr>
            </w:pPr>
          </w:p>
        </w:tc>
        <w:tc>
          <w:tcPr>
            <w:tcW w:w="2125" w:type="dxa"/>
            <w:vAlign w:val="center"/>
          </w:tcPr>
          <w:p>
            <w:pPr>
              <w:pStyle w:val="14"/>
              <w:spacing w:line="600" w:lineRule="exact"/>
              <w:jc w:val="center"/>
              <w:rPr>
                <w:rFonts w:asciiTheme="majorEastAsia" w:hAnsiTheme="majorEastAsia" w:eastAsiaTheme="majorEastAsia" w:cstheme="majorEastAsia"/>
                <w:sz w:val="24"/>
                <w:szCs w:val="24"/>
              </w:rPr>
            </w:pPr>
          </w:p>
        </w:tc>
        <w:tc>
          <w:tcPr>
            <w:tcW w:w="1340" w:type="dxa"/>
            <w:vAlign w:val="center"/>
          </w:tcPr>
          <w:p>
            <w:pPr>
              <w:pStyle w:val="14"/>
              <w:spacing w:line="600" w:lineRule="exact"/>
              <w:jc w:val="center"/>
              <w:rPr>
                <w:rFonts w:asciiTheme="majorEastAsia" w:hAnsiTheme="majorEastAsia" w:eastAsiaTheme="majorEastAsia" w:cstheme="majorEastAsia"/>
                <w:sz w:val="24"/>
                <w:szCs w:val="24"/>
              </w:rPr>
            </w:pPr>
          </w:p>
        </w:tc>
        <w:tc>
          <w:tcPr>
            <w:tcW w:w="2765" w:type="dxa"/>
            <w:vAlign w:val="center"/>
          </w:tcPr>
          <w:p>
            <w:pPr>
              <w:pStyle w:val="14"/>
              <w:spacing w:line="600" w:lineRule="exact"/>
              <w:jc w:val="center"/>
              <w:rPr>
                <w:rFonts w:asciiTheme="majorEastAsia" w:hAnsiTheme="majorEastAsia" w:eastAsiaTheme="majorEastAsia" w:cstheme="majorEastAsia"/>
                <w:sz w:val="24"/>
                <w:szCs w:val="24"/>
              </w:rPr>
            </w:pPr>
          </w:p>
        </w:tc>
        <w:tc>
          <w:tcPr>
            <w:tcW w:w="1417" w:type="dxa"/>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14"/>
              <w:jc w:val="center"/>
              <w:rPr>
                <w:rFonts w:asciiTheme="majorEastAsia" w:hAnsiTheme="majorEastAsia" w:eastAsiaTheme="majorEastAsia" w:cstheme="majorEastAsia"/>
                <w:spacing w:val="-20"/>
                <w:sz w:val="24"/>
                <w:szCs w:val="24"/>
              </w:rPr>
            </w:pPr>
            <w:r>
              <w:rPr>
                <w:rFonts w:hint="eastAsia" w:asciiTheme="majorEastAsia" w:hAnsiTheme="majorEastAsia" w:eastAsiaTheme="majorEastAsia" w:cstheme="majorEastAsia"/>
                <w:spacing w:val="-20"/>
                <w:sz w:val="24"/>
                <w:szCs w:val="24"/>
              </w:rPr>
              <w:t>...</w:t>
            </w:r>
          </w:p>
        </w:tc>
        <w:tc>
          <w:tcPr>
            <w:tcW w:w="1257" w:type="dxa"/>
            <w:vAlign w:val="center"/>
          </w:tcPr>
          <w:p>
            <w:pPr>
              <w:pStyle w:val="14"/>
              <w:spacing w:line="600" w:lineRule="exact"/>
              <w:jc w:val="center"/>
              <w:rPr>
                <w:rFonts w:asciiTheme="majorEastAsia" w:hAnsiTheme="majorEastAsia" w:eastAsiaTheme="majorEastAsia" w:cstheme="majorEastAsia"/>
                <w:sz w:val="24"/>
                <w:szCs w:val="24"/>
              </w:rPr>
            </w:pPr>
          </w:p>
        </w:tc>
        <w:tc>
          <w:tcPr>
            <w:tcW w:w="2125" w:type="dxa"/>
            <w:vAlign w:val="center"/>
          </w:tcPr>
          <w:p>
            <w:pPr>
              <w:pStyle w:val="14"/>
              <w:spacing w:line="600" w:lineRule="exact"/>
              <w:jc w:val="center"/>
              <w:rPr>
                <w:rFonts w:asciiTheme="majorEastAsia" w:hAnsiTheme="majorEastAsia" w:eastAsiaTheme="majorEastAsia" w:cstheme="majorEastAsia"/>
                <w:sz w:val="24"/>
                <w:szCs w:val="24"/>
              </w:rPr>
            </w:pPr>
          </w:p>
        </w:tc>
        <w:tc>
          <w:tcPr>
            <w:tcW w:w="1340" w:type="dxa"/>
            <w:vAlign w:val="center"/>
          </w:tcPr>
          <w:p>
            <w:pPr>
              <w:pStyle w:val="14"/>
              <w:spacing w:line="600" w:lineRule="exact"/>
              <w:jc w:val="center"/>
              <w:rPr>
                <w:rFonts w:asciiTheme="majorEastAsia" w:hAnsiTheme="majorEastAsia" w:eastAsiaTheme="majorEastAsia" w:cstheme="majorEastAsia"/>
                <w:sz w:val="24"/>
                <w:szCs w:val="24"/>
              </w:rPr>
            </w:pPr>
          </w:p>
        </w:tc>
        <w:tc>
          <w:tcPr>
            <w:tcW w:w="2765" w:type="dxa"/>
            <w:vAlign w:val="center"/>
          </w:tcPr>
          <w:p>
            <w:pPr>
              <w:pStyle w:val="14"/>
              <w:spacing w:line="600" w:lineRule="exact"/>
              <w:jc w:val="center"/>
              <w:rPr>
                <w:rFonts w:asciiTheme="majorEastAsia" w:hAnsiTheme="majorEastAsia" w:eastAsiaTheme="majorEastAsia" w:cstheme="majorEastAsia"/>
                <w:sz w:val="24"/>
                <w:szCs w:val="24"/>
              </w:rPr>
            </w:pPr>
          </w:p>
        </w:tc>
        <w:tc>
          <w:tcPr>
            <w:tcW w:w="1417" w:type="dxa"/>
            <w:vAlign w:val="center"/>
          </w:tcPr>
          <w:p>
            <w:pPr>
              <w:pStyle w:val="14"/>
              <w:spacing w:line="600" w:lineRule="exact"/>
              <w:jc w:val="center"/>
              <w:rPr>
                <w:rFonts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39" w:type="dxa"/>
            <w:gridSpan w:val="6"/>
            <w:vAlign w:val="center"/>
          </w:tcPr>
          <w:p>
            <w:pPr>
              <w:pStyle w:val="14"/>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rPr>
              <w:t>分标（</w:t>
            </w:r>
            <w:r>
              <w:rPr>
                <w:rFonts w:hint="eastAsia" w:asciiTheme="majorEastAsia" w:hAnsiTheme="majorEastAsia" w:eastAsiaTheme="majorEastAsia" w:cstheme="majorEastAsia"/>
                <w:sz w:val="24"/>
              </w:rPr>
              <w:t>此处有分标时填写具体分标号，无分标时填写“无”</w:t>
            </w:r>
            <w:r>
              <w:rPr>
                <w:rFonts w:hint="eastAsia" w:asciiTheme="majorEastAsia" w:hAnsiTheme="majorEastAsia" w:eastAsiaTheme="majorEastAsia" w:cs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39" w:type="dxa"/>
            <w:gridSpan w:val="6"/>
            <w:vAlign w:val="center"/>
          </w:tcPr>
          <w:p>
            <w:pPr>
              <w:pStyle w:val="14"/>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磋商供应商（盖单位公章）：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39" w:type="dxa"/>
            <w:gridSpan w:val="6"/>
            <w:vAlign w:val="center"/>
          </w:tcPr>
          <w:p>
            <w:pPr>
              <w:pStyle w:val="14"/>
              <w:spacing w:line="600" w:lineRule="exact"/>
              <w:jc w:val="left"/>
              <w:rPr>
                <w:rFonts w:asciiTheme="majorEastAsia" w:hAnsiTheme="majorEastAsia" w:eastAsiaTheme="majorEastAsia" w:cstheme="majorEastAsia"/>
                <w:sz w:val="24"/>
                <w:szCs w:val="24"/>
                <w:u w:val="single"/>
              </w:rPr>
            </w:pPr>
            <w:bookmarkStart w:id="69" w:name="_Toc521096352"/>
            <w:bookmarkStart w:id="70" w:name="_Toc460253713"/>
            <w:r>
              <w:rPr>
                <w:rFonts w:hint="eastAsia" w:asciiTheme="majorEastAsia" w:hAnsiTheme="majorEastAsia" w:eastAsiaTheme="majorEastAsia" w:cstheme="majorEastAsia"/>
                <w:sz w:val="24"/>
                <w:szCs w:val="24"/>
              </w:rPr>
              <w:t>法定代表人或其委托代理人（签字或盖章）：</w:t>
            </w:r>
            <w:bookmarkEnd w:id="69"/>
            <w:bookmarkEnd w:id="70"/>
          </w:p>
        </w:tc>
      </w:tr>
    </w:tbl>
    <w:p>
      <w:pPr>
        <w:pStyle w:val="14"/>
        <w:rPr>
          <w:rFonts w:asciiTheme="majorEastAsia" w:hAnsiTheme="majorEastAsia" w:eastAsiaTheme="majorEastAsia" w:cstheme="majorEastAsia"/>
          <w:sz w:val="24"/>
          <w:szCs w:val="24"/>
        </w:rPr>
      </w:pPr>
    </w:p>
    <w:p>
      <w:pPr>
        <w:pStyle w:val="14"/>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p>
      <w:pPr>
        <w:pStyle w:val="14"/>
        <w:rPr>
          <w:rFonts w:asciiTheme="majorEastAsia" w:hAnsiTheme="majorEastAsia" w:eastAsiaTheme="majorEastAsia" w:cstheme="majorEastAsia"/>
          <w:sz w:val="24"/>
          <w:szCs w:val="24"/>
        </w:rPr>
      </w:pPr>
    </w:p>
    <w:p>
      <w:pPr>
        <w:pStyle w:val="14"/>
        <w:spacing w:line="40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注：⑴表格内容均需按要求填写并盖章，不得留空，</w:t>
      </w:r>
      <w:r>
        <w:rPr>
          <w:rFonts w:hint="eastAsia" w:asciiTheme="majorEastAsia" w:hAnsiTheme="majorEastAsia" w:eastAsiaTheme="majorEastAsia" w:cstheme="majorEastAsia"/>
          <w:bCs/>
          <w:sz w:val="24"/>
          <w:szCs w:val="24"/>
        </w:rPr>
        <w:t>否则按无效响应处理</w:t>
      </w:r>
      <w:r>
        <w:rPr>
          <w:rFonts w:hint="eastAsia" w:asciiTheme="majorEastAsia" w:hAnsiTheme="majorEastAsia" w:eastAsiaTheme="majorEastAsia" w:cstheme="majorEastAsia"/>
          <w:sz w:val="24"/>
          <w:szCs w:val="24"/>
        </w:rPr>
        <w:t>。</w:t>
      </w:r>
    </w:p>
    <w:p>
      <w:pPr>
        <w:pStyle w:val="14"/>
        <w:spacing w:line="400" w:lineRule="exact"/>
        <w:ind w:left="719" w:leftChars="228" w:hanging="240" w:hangingChars="10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⑵当响应文件的服务内容低于竞争性磋商文件要求时，供应商应当如实写明“负偏离”，否则视为虚假应标。</w:t>
      </w:r>
    </w:p>
    <w:p>
      <w:pPr>
        <w:pStyle w:val="14"/>
        <w:rPr>
          <w:rFonts w:asciiTheme="majorEastAsia" w:hAnsiTheme="majorEastAsia" w:eastAsiaTheme="majorEastAsia" w:cstheme="majorEastAsia"/>
          <w:sz w:val="24"/>
          <w:szCs w:val="24"/>
        </w:rPr>
      </w:pPr>
    </w:p>
    <w:p>
      <w:pPr>
        <w:pStyle w:val="14"/>
        <w:rPr>
          <w:rFonts w:asciiTheme="majorEastAsia" w:hAnsiTheme="majorEastAsia" w:eastAsiaTheme="majorEastAsia" w:cstheme="majorEastAsia"/>
          <w:sz w:val="24"/>
          <w:szCs w:val="24"/>
        </w:rPr>
      </w:pPr>
    </w:p>
    <w:p>
      <w:pPr>
        <w:pStyle w:val="14"/>
        <w:rPr>
          <w:rFonts w:asciiTheme="majorEastAsia" w:hAnsiTheme="majorEastAsia" w:eastAsiaTheme="majorEastAsia" w:cstheme="majorEastAsia"/>
          <w:sz w:val="24"/>
          <w:szCs w:val="24"/>
        </w:rPr>
      </w:pPr>
    </w:p>
    <w:p>
      <w:pPr>
        <w:pStyle w:val="14"/>
        <w:rPr>
          <w:rFonts w:asciiTheme="majorEastAsia" w:hAnsiTheme="majorEastAsia" w:eastAsiaTheme="majorEastAsia" w:cstheme="majorEastAsia"/>
          <w:sz w:val="24"/>
          <w:szCs w:val="24"/>
        </w:rPr>
      </w:pPr>
    </w:p>
    <w:p>
      <w:pPr>
        <w:pStyle w:val="14"/>
        <w:rPr>
          <w:rFonts w:asciiTheme="majorEastAsia" w:hAnsiTheme="majorEastAsia" w:eastAsiaTheme="majorEastAsia" w:cstheme="majorEastAsia"/>
          <w:sz w:val="24"/>
          <w:szCs w:val="24"/>
        </w:rPr>
      </w:pPr>
    </w:p>
    <w:p>
      <w:pPr>
        <w:pStyle w:val="14"/>
        <w:spacing w:line="600" w:lineRule="exact"/>
        <w:ind w:firstLine="120" w:firstLineChars="50"/>
        <w:rPr>
          <w:rFonts w:asciiTheme="majorEastAsia" w:hAnsiTheme="majorEastAsia" w:eastAsiaTheme="majorEastAsia" w:cstheme="majorEastAsia"/>
          <w:sz w:val="24"/>
          <w:szCs w:val="24"/>
          <w:u w:val="single"/>
        </w:rPr>
      </w:pPr>
    </w:p>
    <w:p>
      <w:pPr>
        <w:pStyle w:val="14"/>
        <w:spacing w:line="600" w:lineRule="exact"/>
        <w:jc w:val="left"/>
        <w:outlineLvl w:val="1"/>
        <w:rPr>
          <w:rFonts w:asciiTheme="majorEastAsia" w:hAnsiTheme="majorEastAsia" w:eastAsiaTheme="majorEastAsia" w:cstheme="majorEastAsia"/>
          <w:u w:val="single"/>
        </w:rPr>
      </w:pPr>
      <w:r>
        <w:rPr>
          <w:rFonts w:hint="eastAsia" w:asciiTheme="majorEastAsia" w:hAnsiTheme="majorEastAsia" w:eastAsiaTheme="majorEastAsia" w:cstheme="majorEastAsia"/>
          <w:sz w:val="24"/>
          <w:szCs w:val="24"/>
          <w:u w:val="single"/>
        </w:rPr>
        <w:br w:type="page"/>
      </w:r>
      <w:r>
        <w:rPr>
          <w:rFonts w:hint="eastAsia" w:asciiTheme="majorEastAsia" w:hAnsiTheme="majorEastAsia" w:eastAsiaTheme="majorEastAsia" w:cstheme="majorEastAsia"/>
          <w:b/>
        </w:rPr>
        <w:t>格式6：</w:t>
      </w:r>
    </w:p>
    <w:p>
      <w:pPr>
        <w:pStyle w:val="14"/>
        <w:spacing w:line="500" w:lineRule="exact"/>
        <w:jc w:val="center"/>
        <w:outlineLvl w:val="2"/>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商务条款偏离表（格式）</w:t>
      </w:r>
    </w:p>
    <w:p>
      <w:pPr>
        <w:pStyle w:val="14"/>
        <w:spacing w:line="440" w:lineRule="exact"/>
        <w:ind w:firstLine="420" w:firstLineChars="200"/>
        <w:rPr>
          <w:rFonts w:asciiTheme="majorEastAsia" w:hAnsiTheme="majorEastAsia" w:eastAsiaTheme="majorEastAsia" w:cstheme="majorEastAsia"/>
        </w:rPr>
      </w:pPr>
    </w:p>
    <w:p>
      <w:pPr>
        <w:pStyle w:val="14"/>
        <w:spacing w:line="440" w:lineRule="exact"/>
        <w:ind w:firstLine="480" w:firstLineChars="20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rPr>
        <w:t>请逐条对应本项目竞争性磋商文件第二章“服务需求一览表”中商务条款的要求，详细填写相应的具体内容。“偏离说明”一栏应当选择“正偏离”、“负偏离”或“无偏离”进行填写</w:t>
      </w:r>
      <w:r>
        <w:rPr>
          <w:rFonts w:hint="eastAsia" w:asciiTheme="majorEastAsia" w:hAnsiTheme="majorEastAsia" w:eastAsiaTheme="majorEastAsia" w:cstheme="majorEastAsia"/>
          <w:b/>
          <w:sz w:val="24"/>
          <w:szCs w:val="24"/>
        </w:rPr>
        <w:t>。</w:t>
      </w:r>
    </w:p>
    <w:p>
      <w:pPr>
        <w:pStyle w:val="14"/>
        <w:rPr>
          <w:rFonts w:asciiTheme="majorEastAsia" w:hAnsiTheme="majorEastAsia" w:eastAsiaTheme="majorEastAsia" w:cstheme="majorEastAsia"/>
          <w:sz w:val="24"/>
          <w:szCs w:val="24"/>
          <w:u w:val="single"/>
        </w:rPr>
      </w:pPr>
    </w:p>
    <w:p>
      <w:pPr>
        <w:pStyle w:val="14"/>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p>
    <w:tbl>
      <w:tblPr>
        <w:tblStyle w:val="24"/>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945"/>
        <w:gridCol w:w="325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35" w:type="dxa"/>
            <w:vAlign w:val="center"/>
          </w:tcPr>
          <w:p>
            <w:pPr>
              <w:pStyle w:val="14"/>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项号</w:t>
            </w:r>
          </w:p>
        </w:tc>
        <w:tc>
          <w:tcPr>
            <w:tcW w:w="3945" w:type="dxa"/>
            <w:vAlign w:val="center"/>
          </w:tcPr>
          <w:p>
            <w:pPr>
              <w:pStyle w:val="14"/>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竞争性磋商文件的商务需求</w:t>
            </w:r>
          </w:p>
        </w:tc>
        <w:tc>
          <w:tcPr>
            <w:tcW w:w="3258" w:type="dxa"/>
            <w:vAlign w:val="center"/>
          </w:tcPr>
          <w:p>
            <w:pPr>
              <w:pStyle w:val="14"/>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响应文件承诺的商务条款</w:t>
            </w:r>
          </w:p>
        </w:tc>
        <w:tc>
          <w:tcPr>
            <w:tcW w:w="1560" w:type="dxa"/>
            <w:vAlign w:val="center"/>
          </w:tcPr>
          <w:p>
            <w:pPr>
              <w:pStyle w:val="14"/>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14"/>
              <w:jc w:val="center"/>
              <w:rPr>
                <w:rFonts w:asciiTheme="majorEastAsia" w:hAnsiTheme="majorEastAsia" w:eastAsiaTheme="majorEastAsia" w:cstheme="majorEastAsia"/>
                <w:spacing w:val="-20"/>
                <w:sz w:val="24"/>
                <w:szCs w:val="24"/>
              </w:rPr>
            </w:pPr>
            <w:r>
              <w:rPr>
                <w:rFonts w:hint="eastAsia" w:asciiTheme="majorEastAsia" w:hAnsiTheme="majorEastAsia" w:eastAsiaTheme="majorEastAsia" w:cstheme="majorEastAsia"/>
                <w:spacing w:val="-20"/>
                <w:sz w:val="24"/>
                <w:szCs w:val="24"/>
              </w:rPr>
              <w:t>一</w:t>
            </w:r>
          </w:p>
        </w:tc>
        <w:tc>
          <w:tcPr>
            <w:tcW w:w="3945" w:type="dxa"/>
            <w:vAlign w:val="center"/>
          </w:tcPr>
          <w:p>
            <w:pPr>
              <w:spacing w:line="34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  ……</w:t>
            </w:r>
          </w:p>
          <w:p>
            <w:pPr>
              <w:spacing w:line="34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  ……</w:t>
            </w:r>
          </w:p>
          <w:p>
            <w:pPr>
              <w:spacing w:line="34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  ……</w:t>
            </w:r>
          </w:p>
        </w:tc>
        <w:tc>
          <w:tcPr>
            <w:tcW w:w="3258" w:type="dxa"/>
            <w:vAlign w:val="center"/>
          </w:tcPr>
          <w:p>
            <w:pPr>
              <w:spacing w:line="34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  ……</w:t>
            </w:r>
          </w:p>
          <w:p>
            <w:pPr>
              <w:spacing w:line="34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  ……</w:t>
            </w:r>
          </w:p>
          <w:p>
            <w:pPr>
              <w:spacing w:line="34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  ……</w:t>
            </w:r>
          </w:p>
        </w:tc>
        <w:tc>
          <w:tcPr>
            <w:tcW w:w="1560" w:type="dxa"/>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14"/>
              <w:jc w:val="center"/>
              <w:rPr>
                <w:rFonts w:asciiTheme="majorEastAsia" w:hAnsiTheme="majorEastAsia" w:eastAsiaTheme="majorEastAsia" w:cstheme="majorEastAsia"/>
                <w:spacing w:val="-20"/>
                <w:sz w:val="24"/>
                <w:szCs w:val="24"/>
              </w:rPr>
            </w:pPr>
            <w:r>
              <w:rPr>
                <w:rFonts w:hint="eastAsia" w:asciiTheme="majorEastAsia" w:hAnsiTheme="majorEastAsia" w:eastAsiaTheme="majorEastAsia" w:cstheme="majorEastAsia"/>
                <w:spacing w:val="-20"/>
                <w:sz w:val="24"/>
                <w:szCs w:val="24"/>
              </w:rPr>
              <w:t>二</w:t>
            </w:r>
          </w:p>
        </w:tc>
        <w:tc>
          <w:tcPr>
            <w:tcW w:w="3945" w:type="dxa"/>
            <w:vAlign w:val="center"/>
          </w:tcPr>
          <w:p>
            <w:pPr>
              <w:pStyle w:val="14"/>
              <w:spacing w:line="600" w:lineRule="exact"/>
              <w:jc w:val="center"/>
              <w:rPr>
                <w:rFonts w:asciiTheme="majorEastAsia" w:hAnsiTheme="majorEastAsia" w:eastAsiaTheme="majorEastAsia" w:cstheme="majorEastAsia"/>
                <w:sz w:val="24"/>
                <w:szCs w:val="24"/>
              </w:rPr>
            </w:pPr>
          </w:p>
        </w:tc>
        <w:tc>
          <w:tcPr>
            <w:tcW w:w="3258" w:type="dxa"/>
            <w:vAlign w:val="center"/>
          </w:tcPr>
          <w:p>
            <w:pPr>
              <w:pStyle w:val="14"/>
              <w:spacing w:line="600" w:lineRule="exact"/>
              <w:jc w:val="center"/>
              <w:rPr>
                <w:rFonts w:asciiTheme="majorEastAsia" w:hAnsiTheme="majorEastAsia" w:eastAsiaTheme="majorEastAsia" w:cstheme="majorEastAsia"/>
                <w:sz w:val="24"/>
                <w:szCs w:val="24"/>
              </w:rPr>
            </w:pPr>
          </w:p>
        </w:tc>
        <w:tc>
          <w:tcPr>
            <w:tcW w:w="1560" w:type="dxa"/>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14"/>
              <w:jc w:val="center"/>
              <w:rPr>
                <w:rFonts w:asciiTheme="majorEastAsia" w:hAnsiTheme="majorEastAsia" w:eastAsiaTheme="majorEastAsia" w:cstheme="majorEastAsia"/>
                <w:spacing w:val="-20"/>
                <w:sz w:val="24"/>
                <w:szCs w:val="24"/>
              </w:rPr>
            </w:pPr>
            <w:r>
              <w:rPr>
                <w:rFonts w:hint="eastAsia" w:asciiTheme="majorEastAsia" w:hAnsiTheme="majorEastAsia" w:eastAsiaTheme="majorEastAsia" w:cstheme="majorEastAsia"/>
                <w:spacing w:val="-20"/>
                <w:sz w:val="24"/>
                <w:szCs w:val="24"/>
              </w:rPr>
              <w:t>...</w:t>
            </w:r>
          </w:p>
        </w:tc>
        <w:tc>
          <w:tcPr>
            <w:tcW w:w="3945" w:type="dxa"/>
            <w:vAlign w:val="center"/>
          </w:tcPr>
          <w:p>
            <w:pPr>
              <w:pStyle w:val="14"/>
              <w:spacing w:line="600" w:lineRule="exact"/>
              <w:jc w:val="center"/>
              <w:rPr>
                <w:rFonts w:asciiTheme="majorEastAsia" w:hAnsiTheme="majorEastAsia" w:eastAsiaTheme="majorEastAsia" w:cstheme="majorEastAsia"/>
                <w:sz w:val="24"/>
                <w:szCs w:val="24"/>
              </w:rPr>
            </w:pPr>
          </w:p>
        </w:tc>
        <w:tc>
          <w:tcPr>
            <w:tcW w:w="3258" w:type="dxa"/>
            <w:vAlign w:val="center"/>
          </w:tcPr>
          <w:p>
            <w:pPr>
              <w:pStyle w:val="14"/>
              <w:spacing w:line="600" w:lineRule="exact"/>
              <w:jc w:val="center"/>
              <w:rPr>
                <w:rFonts w:asciiTheme="majorEastAsia" w:hAnsiTheme="majorEastAsia" w:eastAsiaTheme="majorEastAsia" w:cstheme="majorEastAsia"/>
                <w:sz w:val="24"/>
                <w:szCs w:val="24"/>
              </w:rPr>
            </w:pPr>
          </w:p>
        </w:tc>
        <w:tc>
          <w:tcPr>
            <w:tcW w:w="1560" w:type="dxa"/>
            <w:vAlign w:val="center"/>
          </w:tcPr>
          <w:p>
            <w:pPr>
              <w:pStyle w:val="14"/>
              <w:spacing w:line="600" w:lineRule="exact"/>
              <w:jc w:val="center"/>
              <w:rPr>
                <w:rFonts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4"/>
            <w:vAlign w:val="center"/>
          </w:tcPr>
          <w:p>
            <w:pPr>
              <w:pStyle w:val="14"/>
              <w:spacing w:line="600" w:lineRule="exact"/>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4"/>
            <w:vAlign w:val="center"/>
          </w:tcPr>
          <w:p>
            <w:pPr>
              <w:pStyle w:val="14"/>
              <w:spacing w:line="600" w:lineRule="exact"/>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磋商供应商（盖单位公章）：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4"/>
            <w:vAlign w:val="center"/>
          </w:tcPr>
          <w:p>
            <w:pPr>
              <w:pStyle w:val="14"/>
              <w:spacing w:line="600" w:lineRule="exact"/>
              <w:jc w:val="left"/>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法定代表人或其委托代理人（签字或盖章）：</w:t>
            </w:r>
          </w:p>
        </w:tc>
      </w:tr>
    </w:tbl>
    <w:p>
      <w:pPr>
        <w:pStyle w:val="14"/>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p>
      <w:pPr>
        <w:pStyle w:val="14"/>
        <w:spacing w:line="600" w:lineRule="exact"/>
        <w:rPr>
          <w:rFonts w:asciiTheme="majorEastAsia" w:hAnsiTheme="majorEastAsia" w:eastAsiaTheme="majorEastAsia" w:cstheme="majorEastAsia"/>
          <w:sz w:val="24"/>
          <w:szCs w:val="24"/>
        </w:rPr>
      </w:pPr>
    </w:p>
    <w:p>
      <w:pPr>
        <w:pStyle w:val="14"/>
        <w:spacing w:line="60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注：⑴表格内容均需按要求填写并盖章，不得留空，否则按无效响应处理。</w:t>
      </w:r>
    </w:p>
    <w:p>
      <w:pPr>
        <w:pStyle w:val="14"/>
        <w:spacing w:line="60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⑵如果响应文件需求小于或大于竞争性磋商文件某个数值标准时，响应文件不得直接复制竞争性磋商文件需求，响应文件对应内容应当写明商务响应的实际数值，否则按响应无效处理。</w:t>
      </w:r>
    </w:p>
    <w:p>
      <w:pPr>
        <w:pStyle w:val="14"/>
        <w:spacing w:line="60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⑶当响应文件的商务内容低于竞争性磋商文件要求时，磋商供应商应当如实写明“负偏离”，否则视为虚假应标。</w:t>
      </w:r>
    </w:p>
    <w:p>
      <w:pPr>
        <w:pStyle w:val="14"/>
        <w:spacing w:line="600" w:lineRule="exact"/>
        <w:rPr>
          <w:rFonts w:asciiTheme="majorEastAsia" w:hAnsiTheme="majorEastAsia" w:eastAsiaTheme="majorEastAsia" w:cstheme="majorEastAsia"/>
          <w:sz w:val="24"/>
          <w:szCs w:val="24"/>
        </w:rPr>
      </w:pPr>
    </w:p>
    <w:p>
      <w:pPr>
        <w:pStyle w:val="14"/>
        <w:spacing w:line="600" w:lineRule="exact"/>
        <w:rPr>
          <w:rFonts w:asciiTheme="majorEastAsia" w:hAnsiTheme="majorEastAsia" w:eastAsiaTheme="majorEastAsia" w:cstheme="majorEastAsia"/>
          <w:sz w:val="24"/>
          <w:szCs w:val="24"/>
          <w:u w:val="single"/>
        </w:rPr>
      </w:pPr>
    </w:p>
    <w:p>
      <w:pPr>
        <w:pStyle w:val="14"/>
        <w:spacing w:line="600" w:lineRule="exact"/>
        <w:rPr>
          <w:rFonts w:asciiTheme="majorEastAsia" w:hAnsiTheme="majorEastAsia" w:eastAsiaTheme="majorEastAsia" w:cstheme="majorEastAsia"/>
          <w:u w:val="single"/>
        </w:rPr>
      </w:pPr>
      <w:r>
        <w:rPr>
          <w:rFonts w:hint="eastAsia" w:asciiTheme="majorEastAsia" w:hAnsiTheme="majorEastAsia" w:eastAsiaTheme="majorEastAsia" w:cstheme="majorEastAsia"/>
          <w:b/>
          <w:sz w:val="32"/>
        </w:rPr>
        <w:br w:type="page"/>
      </w:r>
      <w:r>
        <w:rPr>
          <w:rFonts w:hint="eastAsia" w:asciiTheme="majorEastAsia" w:hAnsiTheme="majorEastAsia" w:eastAsiaTheme="majorEastAsia" w:cstheme="majorEastAsia"/>
          <w:b/>
        </w:rPr>
        <w:t>格式7：</w:t>
      </w:r>
    </w:p>
    <w:p>
      <w:pPr>
        <w:pStyle w:val="14"/>
        <w:spacing w:line="500" w:lineRule="exact"/>
        <w:jc w:val="center"/>
        <w:outlineLvl w:val="2"/>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法定代表人授权委托书（格式）</w:t>
      </w:r>
    </w:p>
    <w:p>
      <w:pPr>
        <w:pStyle w:val="14"/>
        <w:spacing w:line="500" w:lineRule="exact"/>
        <w:ind w:firstLine="420" w:firstLineChars="200"/>
        <w:rPr>
          <w:rFonts w:asciiTheme="majorEastAsia" w:hAnsiTheme="majorEastAsia" w:eastAsiaTheme="majorEastAsia" w:cstheme="majorEastAsia"/>
          <w:u w:val="single"/>
        </w:rPr>
      </w:pP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致：</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（采购代理机构名称）</w:t>
      </w:r>
    </w:p>
    <w:p>
      <w:pPr>
        <w:pStyle w:val="14"/>
        <w:spacing w:line="440" w:lineRule="exact"/>
        <w:ind w:firstLine="480" w:firstLineChars="200"/>
        <w:rPr>
          <w:rFonts w:asciiTheme="majorEastAsia" w:hAnsiTheme="majorEastAsia" w:eastAsiaTheme="majorEastAsia" w:cstheme="majorEastAsia"/>
          <w:sz w:val="24"/>
          <w:szCs w:val="24"/>
        </w:rPr>
      </w:pPr>
    </w:p>
    <w:p>
      <w:pPr>
        <w:pStyle w:val="14"/>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本人</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 xml:space="preserve"> （姓名）系</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（磋商供应商名称）的法定代表人，现授权</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（姓名和职务）为我方代理人。代理人根据授权，以我方名义签署、澄清、说明、补正、提交、撤回、修改贵方组织的项目</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（项目编号：</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）的响应文件、签订合同和处理一切有关事宜，其法律后果由我方承担。</w:t>
      </w:r>
    </w:p>
    <w:p>
      <w:pPr>
        <w:pStyle w:val="14"/>
        <w:spacing w:line="360" w:lineRule="auto"/>
        <w:ind w:firstLine="435"/>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本授权书于</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日签字生效，委托期限：</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w:t>
      </w:r>
    </w:p>
    <w:p>
      <w:pPr>
        <w:pStyle w:val="14"/>
        <w:spacing w:line="360" w:lineRule="auto"/>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代理人无转委托权。</w:t>
      </w:r>
    </w:p>
    <w:p>
      <w:pPr>
        <w:pStyle w:val="14"/>
        <w:spacing w:line="360" w:lineRule="auto"/>
        <w:ind w:firstLine="420"/>
        <w:rPr>
          <w:rFonts w:asciiTheme="majorEastAsia" w:hAnsiTheme="majorEastAsia" w:eastAsiaTheme="majorEastAsia" w:cstheme="majorEastAsia"/>
          <w:sz w:val="24"/>
          <w:szCs w:val="24"/>
        </w:rPr>
      </w:pPr>
    </w:p>
    <w:p>
      <w:pPr>
        <w:pStyle w:val="14"/>
        <w:spacing w:line="360" w:lineRule="auto"/>
        <w:ind w:firstLine="420"/>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磋商供应商（盖单位公章）：</w:t>
      </w:r>
      <w:r>
        <w:rPr>
          <w:rFonts w:hint="eastAsia" w:asciiTheme="majorEastAsia" w:hAnsiTheme="majorEastAsia" w:eastAsiaTheme="majorEastAsia" w:cstheme="majorEastAsia"/>
          <w:sz w:val="24"/>
          <w:szCs w:val="24"/>
          <w:u w:val="single"/>
        </w:rPr>
        <w:t xml:space="preserve">                                   </w:t>
      </w:r>
    </w:p>
    <w:p>
      <w:pPr>
        <w:pStyle w:val="14"/>
        <w:spacing w:line="360" w:lineRule="auto"/>
        <w:ind w:firstLine="420"/>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统一社会信用代码:</w:t>
      </w:r>
      <w:r>
        <w:rPr>
          <w:rFonts w:hint="eastAsia" w:asciiTheme="majorEastAsia" w:hAnsiTheme="majorEastAsia" w:eastAsiaTheme="majorEastAsia" w:cstheme="majorEastAsia"/>
          <w:sz w:val="24"/>
          <w:szCs w:val="24"/>
          <w:u w:val="single"/>
        </w:rPr>
        <w:t xml:space="preserve">                                            </w:t>
      </w:r>
    </w:p>
    <w:p>
      <w:pPr>
        <w:pStyle w:val="14"/>
        <w:spacing w:line="360" w:lineRule="auto"/>
        <w:ind w:firstLine="420"/>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法定代表人（签字或盖章）：</w:t>
      </w:r>
      <w:r>
        <w:rPr>
          <w:rFonts w:hint="eastAsia" w:asciiTheme="majorEastAsia" w:hAnsiTheme="majorEastAsia" w:eastAsiaTheme="majorEastAsia" w:cstheme="majorEastAsia"/>
          <w:sz w:val="24"/>
          <w:szCs w:val="24"/>
          <w:u w:val="single"/>
        </w:rPr>
        <w:t xml:space="preserve">                                   </w:t>
      </w:r>
    </w:p>
    <w:p>
      <w:pPr>
        <w:pStyle w:val="14"/>
        <w:spacing w:line="360" w:lineRule="auto"/>
        <w:ind w:firstLine="420"/>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法定代表人身份证号码：</w:t>
      </w:r>
      <w:r>
        <w:rPr>
          <w:rFonts w:hint="eastAsia" w:asciiTheme="majorEastAsia" w:hAnsiTheme="majorEastAsia" w:eastAsiaTheme="majorEastAsia" w:cstheme="majorEastAsia"/>
          <w:sz w:val="24"/>
          <w:szCs w:val="24"/>
          <w:u w:val="single"/>
        </w:rPr>
        <w:t xml:space="preserve">                                       </w:t>
      </w:r>
    </w:p>
    <w:p>
      <w:pPr>
        <w:pStyle w:val="14"/>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委托代理人（签字或盖章）：</w:t>
      </w:r>
      <w:r>
        <w:rPr>
          <w:rFonts w:hint="eastAsia" w:asciiTheme="majorEastAsia" w:hAnsiTheme="majorEastAsia" w:eastAsiaTheme="majorEastAsia" w:cstheme="majorEastAsia"/>
          <w:sz w:val="24"/>
          <w:szCs w:val="24"/>
          <w:u w:val="single"/>
        </w:rPr>
        <w:t xml:space="preserve">                                   </w:t>
      </w:r>
    </w:p>
    <w:p>
      <w:pPr>
        <w:pStyle w:val="14"/>
        <w:spacing w:line="360" w:lineRule="auto"/>
        <w:ind w:firstLine="420"/>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委托代理人身份证号码：</w:t>
      </w:r>
      <w:r>
        <w:rPr>
          <w:rFonts w:hint="eastAsia" w:asciiTheme="majorEastAsia" w:hAnsiTheme="majorEastAsia" w:eastAsiaTheme="majorEastAsia" w:cstheme="majorEastAsia"/>
          <w:sz w:val="24"/>
          <w:szCs w:val="24"/>
          <w:u w:val="single"/>
        </w:rPr>
        <w:t xml:space="preserve">                                       </w:t>
      </w:r>
    </w:p>
    <w:p>
      <w:pPr>
        <w:pStyle w:val="14"/>
        <w:spacing w:line="360" w:lineRule="auto"/>
        <w:ind w:firstLine="420"/>
        <w:jc w:val="right"/>
        <w:rPr>
          <w:rFonts w:asciiTheme="majorEastAsia" w:hAnsiTheme="majorEastAsia" w:eastAsiaTheme="majorEastAsia" w:cstheme="majorEastAsia"/>
          <w:sz w:val="24"/>
          <w:szCs w:val="24"/>
          <w:u w:val="single"/>
        </w:rPr>
      </w:pPr>
    </w:p>
    <w:p>
      <w:pPr>
        <w:pStyle w:val="22"/>
        <w:outlineLvl w:val="9"/>
        <w:rPr>
          <w:rFonts w:asciiTheme="majorEastAsia" w:hAnsiTheme="majorEastAsia" w:eastAsiaTheme="majorEastAsia" w:cstheme="majorEastAsia"/>
        </w:rPr>
        <w:sectPr>
          <w:pgSz w:w="11906" w:h="16838"/>
          <w:pgMar w:top="1440" w:right="1080" w:bottom="1118" w:left="1080" w:header="720" w:footer="720" w:gutter="0"/>
          <w:cols w:space="720" w:num="1"/>
          <w:docGrid w:type="lines" w:linePitch="331" w:charSpace="0"/>
        </w:sectPr>
      </w:pPr>
    </w:p>
    <w:p>
      <w:pPr>
        <w:pStyle w:val="14"/>
        <w:spacing w:line="360" w:lineRule="auto"/>
        <w:outlineLvl w:val="1"/>
        <w:rPr>
          <w:rFonts w:asciiTheme="majorEastAsia" w:hAnsiTheme="majorEastAsia" w:eastAsiaTheme="majorEastAsia" w:cstheme="majorEastAsia"/>
          <w:b/>
        </w:rPr>
      </w:pPr>
      <w:r>
        <w:rPr>
          <w:rFonts w:hint="eastAsia" w:asciiTheme="majorEastAsia" w:hAnsiTheme="majorEastAsia" w:eastAsiaTheme="majorEastAsia" w:cstheme="majorEastAsia"/>
          <w:b/>
        </w:rPr>
        <w:t>格式8：</w:t>
      </w:r>
    </w:p>
    <w:p>
      <w:pPr>
        <w:pStyle w:val="14"/>
        <w:jc w:val="center"/>
        <w:outlineLvl w:val="2"/>
        <w:rPr>
          <w:rFonts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信用声明函（格式）</w:t>
      </w:r>
    </w:p>
    <w:p>
      <w:pPr>
        <w:pStyle w:val="14"/>
        <w:jc w:val="center"/>
        <w:rPr>
          <w:rFonts w:asciiTheme="majorEastAsia" w:hAnsiTheme="majorEastAsia" w:eastAsiaTheme="majorEastAsia" w:cstheme="majorEastAsia"/>
          <w:b/>
          <w:sz w:val="24"/>
          <w:szCs w:val="24"/>
        </w:rPr>
      </w:pPr>
    </w:p>
    <w:p>
      <w:pPr>
        <w:tabs>
          <w:tab w:val="left" w:pos="7200"/>
        </w:tabs>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致：</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（采购代理机构名称）</w:t>
      </w:r>
    </w:p>
    <w:p>
      <w:pPr>
        <w:tabs>
          <w:tab w:val="left" w:pos="7200"/>
        </w:tabs>
        <w:spacing w:line="360" w:lineRule="auto"/>
        <w:ind w:firstLine="600" w:firstLineChars="250"/>
        <w:rPr>
          <w:rFonts w:asciiTheme="majorEastAsia" w:hAnsiTheme="majorEastAsia" w:eastAsiaTheme="majorEastAsia" w:cstheme="majorEastAsia"/>
          <w:sz w:val="24"/>
        </w:rPr>
      </w:pP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（供应商名称）系中华人民共和国合法企业,经营地址</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w:t>
      </w:r>
    </w:p>
    <w:p>
      <w:pPr>
        <w:tabs>
          <w:tab w:val="left" w:pos="7200"/>
        </w:tabs>
        <w:spacing w:line="360" w:lineRule="auto"/>
        <w:ind w:left="420" w:leftChars="200" w:firstLine="600" w:firstLineChars="2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我 </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（姓名）系</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（供应商名称）的法定代表人，我方愿意参加贵方组织的</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项目的本次政府采购活动，为便于贵方公正、择优地确定成交供应商及采购服务成果和服务，我方就本次政府采购活动有关事项郑重声明如下：</w:t>
      </w:r>
    </w:p>
    <w:p>
      <w:pPr>
        <w:tabs>
          <w:tab w:val="left" w:pos="7200"/>
        </w:tabs>
        <w:spacing w:line="360" w:lineRule="auto"/>
        <w:ind w:firstLine="480" w:firstLineChars="200"/>
        <w:rPr>
          <w:rFonts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1. 经查询，在“信用中国”和“中国政府采购网”网站我方未被列入失信被执行人、重大税收违法案件当事人名单、政府采购严重违法失信行为记录名单。</w:t>
      </w:r>
    </w:p>
    <w:p>
      <w:pPr>
        <w:tabs>
          <w:tab w:val="left" w:pos="7200"/>
        </w:tabs>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 以上事项如有虚假或隐瞒，我方愿意承担一切后果，并不再寻求任何旨在减轻或免除法律责任的辩解。</w:t>
      </w:r>
    </w:p>
    <w:p>
      <w:pPr>
        <w:tabs>
          <w:tab w:val="left" w:pos="7200"/>
        </w:tabs>
        <w:spacing w:line="360" w:lineRule="auto"/>
        <w:ind w:firstLine="480" w:firstLineChars="200"/>
        <w:rPr>
          <w:rFonts w:asciiTheme="majorEastAsia" w:hAnsiTheme="majorEastAsia" w:eastAsiaTheme="majorEastAsia" w:cstheme="majorEastAsia"/>
          <w:sz w:val="24"/>
        </w:rPr>
      </w:pPr>
    </w:p>
    <w:p>
      <w:pPr>
        <w:tabs>
          <w:tab w:val="left" w:pos="7200"/>
        </w:tabs>
        <w:spacing w:line="360" w:lineRule="auto"/>
        <w:ind w:firstLine="5040" w:firstLineChars="2100"/>
        <w:rPr>
          <w:rFonts w:asciiTheme="majorEastAsia" w:hAnsiTheme="majorEastAsia" w:eastAsiaTheme="majorEastAsia" w:cstheme="majorEastAsia"/>
          <w:sz w:val="24"/>
        </w:rPr>
      </w:pPr>
    </w:p>
    <w:p>
      <w:pPr>
        <w:tabs>
          <w:tab w:val="left" w:pos="7200"/>
        </w:tabs>
        <w:spacing w:line="360" w:lineRule="auto"/>
        <w:ind w:firstLine="5040" w:firstLineChars="2100"/>
        <w:rPr>
          <w:rFonts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法定代表人或委托代理人签字：</w:t>
      </w:r>
      <w:r>
        <w:rPr>
          <w:rFonts w:hint="eastAsia" w:asciiTheme="majorEastAsia" w:hAnsiTheme="majorEastAsia" w:eastAsiaTheme="majorEastAsia" w:cstheme="majorEastAsia"/>
          <w:sz w:val="24"/>
          <w:u w:val="single"/>
        </w:rPr>
        <w:t xml:space="preserve">        </w:t>
      </w:r>
    </w:p>
    <w:p>
      <w:pPr>
        <w:tabs>
          <w:tab w:val="left" w:pos="7200"/>
        </w:tabs>
        <w:spacing w:line="360" w:lineRule="auto"/>
        <w:ind w:firstLine="4668" w:firstLineChars="1945"/>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供应商（盖章）：</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 xml:space="preserve">                     </w:t>
      </w:r>
    </w:p>
    <w:p>
      <w:pPr>
        <w:tabs>
          <w:tab w:val="left" w:pos="7200"/>
        </w:tabs>
        <w:spacing w:line="360" w:lineRule="auto"/>
        <w:ind w:firstLine="955" w:firstLineChars="398"/>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年    月    日</w:t>
      </w:r>
    </w:p>
    <w:p>
      <w:pPr>
        <w:pStyle w:val="22"/>
        <w:outlineLvl w:val="9"/>
        <w:rPr>
          <w:rFonts w:asciiTheme="majorEastAsia" w:hAnsiTheme="majorEastAsia" w:eastAsiaTheme="majorEastAsia" w:cstheme="majorEastAsia"/>
        </w:rPr>
        <w:sectPr>
          <w:pgSz w:w="11906" w:h="16838"/>
          <w:pgMar w:top="1440" w:right="1080" w:bottom="1440" w:left="1080" w:header="720" w:footer="720" w:gutter="0"/>
          <w:cols w:space="720" w:num="1"/>
          <w:docGrid w:type="lines" w:linePitch="331" w:charSpace="0"/>
        </w:sectPr>
      </w:pPr>
      <w:bookmarkStart w:id="71" w:name="_Toc521096354"/>
    </w:p>
    <w:p>
      <w:pPr>
        <w:pStyle w:val="14"/>
        <w:spacing w:line="360" w:lineRule="auto"/>
        <w:rPr>
          <w:rFonts w:hAnsi="宋体"/>
          <w:b/>
        </w:rPr>
      </w:pPr>
      <w:r>
        <w:rPr>
          <w:rFonts w:hAnsi="宋体"/>
          <w:b/>
        </w:rPr>
        <w:t>格式</w:t>
      </w:r>
      <w:r>
        <w:rPr>
          <w:rFonts w:hint="eastAsia" w:hAnsi="宋体"/>
          <w:b/>
        </w:rPr>
        <w:t>9</w:t>
      </w:r>
      <w:r>
        <w:rPr>
          <w:rFonts w:hAnsi="宋体"/>
          <w:b/>
        </w:rPr>
        <w:t>：</w:t>
      </w:r>
    </w:p>
    <w:p>
      <w:pPr>
        <w:pStyle w:val="14"/>
        <w:spacing w:line="360" w:lineRule="auto"/>
        <w:jc w:val="center"/>
        <w:rPr>
          <w:rFonts w:hAnsi="宋体"/>
        </w:rPr>
      </w:pPr>
      <w:r>
        <w:rPr>
          <w:rFonts w:hAnsi="宋体"/>
          <w:b/>
          <w:sz w:val="30"/>
        </w:rPr>
        <w:t>联合体协议书（格式）</w:t>
      </w:r>
    </w:p>
    <w:p>
      <w:pPr>
        <w:autoSpaceDE w:val="0"/>
        <w:autoSpaceDN w:val="0"/>
        <w:spacing w:line="360" w:lineRule="auto"/>
        <w:jc w:val="left"/>
        <w:rPr>
          <w:rFonts w:ascii="宋体" w:hAnsi="宋体" w:cs="宋体"/>
          <w:kern w:val="0"/>
          <w:szCs w:val="21"/>
        </w:rPr>
      </w:pPr>
      <w:r>
        <w:rPr>
          <w:rFonts w:hint="eastAsia" w:ascii="宋体" w:hAnsi="宋体"/>
        </w:rPr>
        <w:t>　　</w:t>
      </w:r>
      <w:r>
        <w:rPr>
          <w:rFonts w:hint="eastAsia" w:ascii="宋体" w:hAnsi="宋体" w:cs="宋体"/>
          <w:kern w:val="0"/>
          <w:szCs w:val="21"/>
        </w:rPr>
        <w:t xml:space="preserve">     </w:t>
      </w:r>
    </w:p>
    <w:p>
      <w:pPr>
        <w:autoSpaceDE w:val="0"/>
        <w:autoSpaceDN w:val="0"/>
        <w:spacing w:line="360" w:lineRule="exact"/>
        <w:jc w:val="left"/>
        <w:rPr>
          <w:rFonts w:ascii="宋体" w:hAnsi="宋体" w:cs="宋体"/>
          <w:kern w:val="0"/>
          <w:sz w:val="24"/>
        </w:rPr>
      </w:pPr>
      <w:r>
        <w:rPr>
          <w:rFonts w:hint="eastAsia" w:ascii="宋体" w:hAnsi="宋体" w:cs="宋体"/>
          <w:kern w:val="0"/>
          <w:szCs w:val="21"/>
        </w:rPr>
        <w:t xml:space="preserve">   </w:t>
      </w:r>
      <w:r>
        <w:rPr>
          <w:rFonts w:hint="eastAsia" w:ascii="宋体" w:hAnsi="宋体" w:cs="宋体"/>
          <w:kern w:val="0"/>
          <w:sz w:val="24"/>
        </w:rPr>
        <w:t xml:space="preserve"> </w:t>
      </w:r>
      <w:r>
        <w:rPr>
          <w:rFonts w:hint="eastAsia" w:ascii="宋体" w:hAnsi="宋体" w:cs="宋体"/>
          <w:kern w:val="0"/>
          <w:sz w:val="24"/>
          <w:u w:val="single"/>
        </w:rPr>
        <w:t xml:space="preserve">                     </w:t>
      </w:r>
      <w:r>
        <w:rPr>
          <w:rFonts w:hint="eastAsia" w:ascii="宋体" w:hAnsi="宋体" w:cs="宋体"/>
          <w:kern w:val="0"/>
          <w:sz w:val="24"/>
        </w:rPr>
        <w:t>（所有成员单位名称）自愿组成联合体，共同参加</w:t>
      </w:r>
      <w:r>
        <w:rPr>
          <w:rFonts w:hint="eastAsia" w:ascii="宋体" w:hAnsi="宋体" w:cs="宋体"/>
          <w:kern w:val="0"/>
          <w:sz w:val="24"/>
          <w:u w:val="single"/>
        </w:rPr>
        <w:t xml:space="preserve">   （采购代理机构名称）  </w:t>
      </w:r>
      <w:r>
        <w:rPr>
          <w:rFonts w:hint="eastAsia" w:ascii="宋体" w:hAnsi="宋体" w:cs="宋体"/>
          <w:kern w:val="0"/>
          <w:sz w:val="24"/>
        </w:rPr>
        <w:t>组织的</w:t>
      </w:r>
      <w:r>
        <w:rPr>
          <w:rFonts w:hint="eastAsia" w:ascii="宋体" w:hAnsi="宋体" w:cs="宋体"/>
          <w:kern w:val="0"/>
          <w:sz w:val="24"/>
          <w:u w:val="single"/>
        </w:rPr>
        <w:t xml:space="preserve">     （项目名称）     </w:t>
      </w:r>
      <w:r>
        <w:rPr>
          <w:rFonts w:hint="eastAsia" w:ascii="宋体" w:hAnsi="宋体" w:cs="宋体"/>
          <w:kern w:val="0"/>
          <w:sz w:val="24"/>
        </w:rPr>
        <w:t>（项目编号：</w:t>
      </w:r>
      <w:r>
        <w:rPr>
          <w:rFonts w:hint="eastAsia" w:ascii="宋体" w:hAnsi="宋体" w:cs="宋体"/>
          <w:kern w:val="0"/>
          <w:sz w:val="24"/>
          <w:u w:val="single"/>
        </w:rPr>
        <w:t xml:space="preserve">          </w:t>
      </w:r>
      <w:r>
        <w:rPr>
          <w:rFonts w:hint="eastAsia" w:ascii="宋体" w:hAnsi="宋体" w:cs="宋体"/>
          <w:kern w:val="0"/>
          <w:sz w:val="24"/>
        </w:rPr>
        <w:t>）响应。现就联合体</w:t>
      </w:r>
      <w:r>
        <w:rPr>
          <w:rFonts w:hint="eastAsia" w:hAnsi="宋体"/>
          <w:sz w:val="24"/>
        </w:rPr>
        <w:t>响应</w:t>
      </w:r>
      <w:r>
        <w:rPr>
          <w:rFonts w:hint="eastAsia" w:ascii="宋体" w:hAnsi="宋体" w:cs="宋体"/>
          <w:kern w:val="0"/>
          <w:sz w:val="24"/>
        </w:rPr>
        <w:t>事宜订立如下协议：</w:t>
      </w:r>
    </w:p>
    <w:p>
      <w:pPr>
        <w:autoSpaceDE w:val="0"/>
        <w:autoSpaceDN w:val="0"/>
        <w:spacing w:line="360" w:lineRule="exact"/>
        <w:ind w:firstLine="420"/>
        <w:jc w:val="left"/>
        <w:rPr>
          <w:rFonts w:ascii="宋体" w:hAnsi="宋体" w:cs="宋体"/>
          <w:kern w:val="0"/>
          <w:sz w:val="24"/>
        </w:rPr>
      </w:pPr>
      <w:r>
        <w:rPr>
          <w:rFonts w:ascii="宋体" w:hAnsi="宋体" w:cs="TimesNewRomanPSMT"/>
          <w:kern w:val="0"/>
          <w:sz w:val="24"/>
        </w:rPr>
        <w:t>1</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（某成员单位名称）为联合体名称牵头人。</w:t>
      </w:r>
    </w:p>
    <w:p>
      <w:pPr>
        <w:autoSpaceDE w:val="0"/>
        <w:autoSpaceDN w:val="0"/>
        <w:spacing w:line="360" w:lineRule="exact"/>
        <w:ind w:firstLine="420"/>
        <w:jc w:val="left"/>
        <w:rPr>
          <w:rFonts w:ascii="宋体" w:hAnsi="宋体" w:cs="宋体"/>
          <w:kern w:val="0"/>
          <w:sz w:val="24"/>
        </w:rPr>
      </w:pPr>
      <w:r>
        <w:rPr>
          <w:rFonts w:ascii="宋体" w:hAnsi="宋体" w:cs="TimesNewRomanPSMT"/>
          <w:kern w:val="0"/>
          <w:sz w:val="24"/>
        </w:rPr>
        <w:t>2</w:t>
      </w:r>
      <w:r>
        <w:rPr>
          <w:rFonts w:hint="eastAsia" w:ascii="宋体" w:hAnsi="宋体" w:cs="宋体"/>
          <w:kern w:val="0"/>
          <w:sz w:val="24"/>
        </w:rPr>
        <w:t>、联合体牵头人合法代表联合体各成员负责本采购项目</w:t>
      </w:r>
      <w:r>
        <w:rPr>
          <w:rFonts w:hint="eastAsia" w:hAnsi="宋体"/>
          <w:sz w:val="24"/>
        </w:rPr>
        <w:t>响应</w:t>
      </w:r>
      <w:r>
        <w:rPr>
          <w:rFonts w:hint="eastAsia" w:ascii="宋体" w:hAnsi="宋体" w:cs="宋体"/>
          <w:kern w:val="0"/>
          <w:sz w:val="24"/>
        </w:rPr>
        <w:t>文件编制和合同谈判活动，并代表联合体提交和接收相关的资料、信息及指示，并处理与之有关的一切事务，负责合同实施阶段的主办、组织和协调工作。</w:t>
      </w:r>
    </w:p>
    <w:p>
      <w:pPr>
        <w:autoSpaceDE w:val="0"/>
        <w:autoSpaceDN w:val="0"/>
        <w:spacing w:line="360" w:lineRule="exact"/>
        <w:ind w:firstLine="420"/>
        <w:jc w:val="left"/>
        <w:rPr>
          <w:rFonts w:ascii="宋体" w:hAnsi="宋体" w:cs="宋体"/>
          <w:kern w:val="0"/>
          <w:sz w:val="24"/>
        </w:rPr>
      </w:pPr>
      <w:r>
        <w:rPr>
          <w:rFonts w:ascii="宋体" w:hAnsi="宋体" w:cs="TimesNewRomanPSMT"/>
          <w:kern w:val="0"/>
          <w:sz w:val="24"/>
        </w:rPr>
        <w:t>3</w:t>
      </w:r>
      <w:r>
        <w:rPr>
          <w:rFonts w:hint="eastAsia" w:ascii="宋体" w:hAnsi="宋体" w:cs="宋体"/>
          <w:kern w:val="0"/>
          <w:sz w:val="24"/>
        </w:rPr>
        <w:t>、联合体将严格按照采购文件的各项要求，递交</w:t>
      </w:r>
      <w:r>
        <w:rPr>
          <w:rFonts w:hint="eastAsia" w:hAnsi="宋体"/>
          <w:sz w:val="24"/>
        </w:rPr>
        <w:t>响应</w:t>
      </w:r>
      <w:r>
        <w:rPr>
          <w:rFonts w:hint="eastAsia" w:ascii="宋体" w:hAnsi="宋体" w:cs="宋体"/>
          <w:kern w:val="0"/>
          <w:sz w:val="24"/>
        </w:rPr>
        <w:t>文件，履行合同，并对外承担连带责任。</w:t>
      </w:r>
    </w:p>
    <w:p>
      <w:pPr>
        <w:autoSpaceDE w:val="0"/>
        <w:autoSpaceDN w:val="0"/>
        <w:spacing w:line="360" w:lineRule="exact"/>
        <w:ind w:firstLine="420"/>
        <w:jc w:val="left"/>
        <w:rPr>
          <w:rFonts w:ascii="宋体" w:hAnsi="宋体" w:cs="宋体"/>
          <w:kern w:val="0"/>
          <w:sz w:val="24"/>
        </w:rPr>
      </w:pPr>
      <w:r>
        <w:rPr>
          <w:rFonts w:ascii="宋体" w:hAnsi="宋体" w:cs="TimesNewRomanPSMT"/>
          <w:kern w:val="0"/>
          <w:sz w:val="24"/>
        </w:rPr>
        <w:t>4</w:t>
      </w:r>
      <w:r>
        <w:rPr>
          <w:rFonts w:hint="eastAsia" w:ascii="宋体" w:hAnsi="宋体" w:cs="宋体"/>
          <w:kern w:val="0"/>
          <w:sz w:val="24"/>
        </w:rPr>
        <w:t>、联合体各成员单位内部的职责分工如下：</w:t>
      </w:r>
      <w:r>
        <w:rPr>
          <w:rFonts w:hint="eastAsia" w:ascii="宋体" w:hAnsi="宋体" w:cs="宋体"/>
          <w:kern w:val="0"/>
          <w:sz w:val="24"/>
          <w:u w:val="single"/>
        </w:rPr>
        <w:t xml:space="preserve">                                          </w:t>
      </w:r>
      <w:r>
        <w:rPr>
          <w:rFonts w:hint="eastAsia" w:ascii="宋体" w:hAnsi="宋体" w:cs="宋体"/>
          <w:kern w:val="0"/>
          <w:sz w:val="24"/>
        </w:rPr>
        <w:t>。</w:t>
      </w:r>
    </w:p>
    <w:p>
      <w:pPr>
        <w:autoSpaceDE w:val="0"/>
        <w:autoSpaceDN w:val="0"/>
        <w:spacing w:line="360" w:lineRule="exact"/>
        <w:ind w:firstLine="420"/>
        <w:jc w:val="left"/>
        <w:rPr>
          <w:rFonts w:ascii="宋体" w:hAnsi="宋体" w:cs="宋体"/>
          <w:kern w:val="0"/>
          <w:sz w:val="24"/>
        </w:rPr>
      </w:pPr>
      <w:r>
        <w:rPr>
          <w:rFonts w:ascii="宋体" w:hAnsi="宋体" w:cs="TimesNewRomanPSMT"/>
          <w:kern w:val="0"/>
          <w:sz w:val="24"/>
        </w:rPr>
        <w:t>5</w:t>
      </w:r>
      <w:r>
        <w:rPr>
          <w:rFonts w:hint="eastAsia" w:ascii="宋体" w:hAnsi="宋体" w:cs="宋体"/>
          <w:kern w:val="0"/>
          <w:sz w:val="24"/>
        </w:rPr>
        <w:t>、本协议书自签署之日起生效，合同履行完毕后自动失效。</w:t>
      </w:r>
    </w:p>
    <w:p>
      <w:pPr>
        <w:autoSpaceDE w:val="0"/>
        <w:autoSpaceDN w:val="0"/>
        <w:spacing w:line="360" w:lineRule="exact"/>
        <w:ind w:firstLine="420"/>
        <w:jc w:val="left"/>
        <w:rPr>
          <w:rFonts w:ascii="宋体" w:hAnsi="宋体" w:cs="宋体"/>
          <w:kern w:val="0"/>
          <w:sz w:val="24"/>
        </w:rPr>
      </w:pPr>
      <w:r>
        <w:rPr>
          <w:rFonts w:ascii="宋体" w:hAnsi="宋体" w:cs="TimesNewRomanPSMT"/>
          <w:kern w:val="0"/>
          <w:sz w:val="24"/>
        </w:rPr>
        <w:t>6</w:t>
      </w:r>
      <w:r>
        <w:rPr>
          <w:rFonts w:hint="eastAsia" w:ascii="宋体" w:hAnsi="宋体" w:cs="宋体"/>
          <w:kern w:val="0"/>
          <w:sz w:val="24"/>
        </w:rPr>
        <w:t>、本协议书一式</w:t>
      </w:r>
      <w:r>
        <w:rPr>
          <w:rFonts w:hint="eastAsia" w:ascii="宋体" w:hAnsi="宋体" w:cs="宋体"/>
          <w:kern w:val="0"/>
          <w:sz w:val="24"/>
          <w:u w:val="single"/>
        </w:rPr>
        <w:t xml:space="preserve">    </w:t>
      </w:r>
      <w:r>
        <w:rPr>
          <w:rFonts w:hint="eastAsia" w:ascii="宋体" w:hAnsi="宋体" w:cs="宋体"/>
          <w:kern w:val="0"/>
          <w:sz w:val="24"/>
        </w:rPr>
        <w:t>份，联合体成员和采购代理机构各执一份。</w:t>
      </w:r>
    </w:p>
    <w:p>
      <w:pPr>
        <w:autoSpaceDE w:val="0"/>
        <w:autoSpaceDN w:val="0"/>
        <w:spacing w:line="360" w:lineRule="exact"/>
        <w:ind w:firstLine="420"/>
        <w:jc w:val="left"/>
        <w:rPr>
          <w:rFonts w:ascii="宋体" w:hAnsi="宋体" w:cs="宋体"/>
          <w:kern w:val="0"/>
          <w:sz w:val="24"/>
        </w:rPr>
      </w:pPr>
    </w:p>
    <w:p>
      <w:pPr>
        <w:autoSpaceDE w:val="0"/>
        <w:autoSpaceDN w:val="0"/>
        <w:spacing w:line="360" w:lineRule="exact"/>
        <w:ind w:firstLine="420"/>
        <w:jc w:val="left"/>
        <w:rPr>
          <w:rFonts w:ascii="宋体" w:hAnsi="宋体" w:cs="宋体"/>
          <w:kern w:val="0"/>
          <w:sz w:val="24"/>
        </w:rPr>
      </w:pPr>
      <w:r>
        <w:rPr>
          <w:rFonts w:hint="eastAsia" w:ascii="宋体" w:hAnsi="宋体" w:cs="宋体"/>
          <w:kern w:val="0"/>
          <w:sz w:val="24"/>
        </w:rPr>
        <w:t>注：本协议书由委托代理人签字的，应附法定代表人授权委托书。</w:t>
      </w:r>
    </w:p>
    <w:p>
      <w:pPr>
        <w:autoSpaceDE w:val="0"/>
        <w:autoSpaceDN w:val="0"/>
        <w:spacing w:line="360" w:lineRule="exact"/>
        <w:ind w:firstLine="420"/>
        <w:jc w:val="left"/>
        <w:rPr>
          <w:rFonts w:ascii="宋体" w:hAnsi="宋体" w:cs="宋体"/>
          <w:kern w:val="0"/>
          <w:sz w:val="24"/>
        </w:rPr>
      </w:pPr>
    </w:p>
    <w:p>
      <w:pPr>
        <w:autoSpaceDE w:val="0"/>
        <w:autoSpaceDN w:val="0"/>
        <w:spacing w:line="360" w:lineRule="exact"/>
        <w:jc w:val="left"/>
        <w:rPr>
          <w:rFonts w:ascii="宋体" w:hAnsi="宋体" w:cs="宋体"/>
          <w:kern w:val="0"/>
          <w:sz w:val="24"/>
        </w:rPr>
      </w:pPr>
      <w:r>
        <w:rPr>
          <w:rFonts w:hint="eastAsia" w:ascii="宋体" w:hAnsi="宋体" w:cs="宋体"/>
          <w:kern w:val="0"/>
          <w:sz w:val="24"/>
        </w:rPr>
        <w:t>牵头人名称：</w:t>
      </w:r>
      <w:r>
        <w:rPr>
          <w:rFonts w:hint="eastAsia" w:ascii="宋体" w:hAnsi="宋体" w:cs="宋体"/>
          <w:kern w:val="0"/>
          <w:sz w:val="24"/>
          <w:u w:val="single"/>
        </w:rPr>
        <w:t xml:space="preserve">                                       </w:t>
      </w:r>
      <w:r>
        <w:rPr>
          <w:rFonts w:hint="eastAsia" w:ascii="宋体" w:hAnsi="宋体" w:cs="宋体"/>
          <w:kern w:val="0"/>
          <w:sz w:val="24"/>
        </w:rPr>
        <w:t>（盖单位公章）</w:t>
      </w:r>
    </w:p>
    <w:p>
      <w:pPr>
        <w:autoSpaceDE w:val="0"/>
        <w:autoSpaceDN w:val="0"/>
        <w:spacing w:line="360" w:lineRule="exact"/>
        <w:jc w:val="left"/>
        <w:rPr>
          <w:rFonts w:ascii="宋体" w:hAnsi="宋体" w:cs="宋体"/>
          <w:kern w:val="0"/>
          <w:sz w:val="24"/>
        </w:rPr>
      </w:pPr>
      <w:r>
        <w:rPr>
          <w:rFonts w:hint="eastAsia" w:ascii="宋体" w:hAnsi="宋体" w:cs="宋体"/>
          <w:kern w:val="0"/>
          <w:sz w:val="24"/>
        </w:rPr>
        <w:t>法定代表人或其委托代理人：</w:t>
      </w:r>
      <w:r>
        <w:rPr>
          <w:rFonts w:hint="eastAsia" w:ascii="宋体" w:hAnsi="宋体" w:cs="宋体"/>
          <w:kern w:val="0"/>
          <w:sz w:val="24"/>
          <w:u w:val="single"/>
        </w:rPr>
        <w:t xml:space="preserve">                         </w:t>
      </w:r>
      <w:r>
        <w:rPr>
          <w:rFonts w:hint="eastAsia" w:ascii="宋体" w:hAnsi="宋体" w:cs="宋体"/>
          <w:kern w:val="0"/>
          <w:sz w:val="24"/>
        </w:rPr>
        <w:t>（签字或盖章）</w:t>
      </w:r>
    </w:p>
    <w:p>
      <w:pPr>
        <w:autoSpaceDE w:val="0"/>
        <w:autoSpaceDN w:val="0"/>
        <w:spacing w:line="360" w:lineRule="exact"/>
        <w:jc w:val="left"/>
        <w:rPr>
          <w:rFonts w:ascii="宋体" w:hAnsi="宋体" w:cs="宋体"/>
          <w:kern w:val="0"/>
          <w:sz w:val="24"/>
        </w:rPr>
      </w:pPr>
    </w:p>
    <w:p>
      <w:pPr>
        <w:autoSpaceDE w:val="0"/>
        <w:autoSpaceDN w:val="0"/>
        <w:spacing w:line="360" w:lineRule="exact"/>
        <w:jc w:val="left"/>
        <w:rPr>
          <w:rFonts w:ascii="宋体" w:hAnsi="宋体" w:cs="宋体"/>
          <w:kern w:val="0"/>
          <w:sz w:val="24"/>
        </w:rPr>
      </w:pPr>
      <w:r>
        <w:rPr>
          <w:rFonts w:hint="eastAsia" w:ascii="宋体" w:hAnsi="宋体" w:cs="宋体"/>
          <w:kern w:val="0"/>
          <w:sz w:val="24"/>
        </w:rPr>
        <w:t>成员一名称：</w:t>
      </w:r>
      <w:r>
        <w:rPr>
          <w:rFonts w:hint="eastAsia" w:ascii="宋体" w:hAnsi="宋体" w:cs="宋体"/>
          <w:kern w:val="0"/>
          <w:sz w:val="24"/>
          <w:u w:val="single"/>
        </w:rPr>
        <w:t xml:space="preserve">                                       </w:t>
      </w:r>
      <w:r>
        <w:rPr>
          <w:rFonts w:hint="eastAsia" w:ascii="宋体" w:hAnsi="宋体" w:cs="宋体"/>
          <w:kern w:val="0"/>
          <w:sz w:val="24"/>
        </w:rPr>
        <w:t>（盖单位公章）</w:t>
      </w:r>
    </w:p>
    <w:p>
      <w:pPr>
        <w:autoSpaceDE w:val="0"/>
        <w:autoSpaceDN w:val="0"/>
        <w:spacing w:line="360" w:lineRule="exact"/>
        <w:jc w:val="left"/>
        <w:rPr>
          <w:rFonts w:ascii="宋体" w:hAnsi="宋体" w:cs="宋体"/>
          <w:kern w:val="0"/>
          <w:sz w:val="24"/>
        </w:rPr>
      </w:pPr>
      <w:r>
        <w:rPr>
          <w:rFonts w:hint="eastAsia" w:ascii="宋体" w:hAnsi="宋体" w:cs="宋体"/>
          <w:kern w:val="0"/>
          <w:sz w:val="24"/>
        </w:rPr>
        <w:t>法定代表人或其委托代理人：</w:t>
      </w:r>
      <w:r>
        <w:rPr>
          <w:rFonts w:hint="eastAsia" w:ascii="宋体" w:hAnsi="宋体" w:cs="宋体"/>
          <w:kern w:val="0"/>
          <w:sz w:val="24"/>
          <w:u w:val="single"/>
        </w:rPr>
        <w:t xml:space="preserve">                         </w:t>
      </w:r>
      <w:r>
        <w:rPr>
          <w:rFonts w:hint="eastAsia" w:ascii="宋体" w:hAnsi="宋体" w:cs="宋体"/>
          <w:kern w:val="0"/>
          <w:sz w:val="24"/>
        </w:rPr>
        <w:t>（签字或盖章）</w:t>
      </w:r>
    </w:p>
    <w:p>
      <w:pPr>
        <w:autoSpaceDE w:val="0"/>
        <w:autoSpaceDN w:val="0"/>
        <w:spacing w:line="360" w:lineRule="exact"/>
        <w:jc w:val="left"/>
        <w:rPr>
          <w:rFonts w:ascii="宋体" w:hAnsi="宋体" w:cs="宋体"/>
          <w:kern w:val="0"/>
          <w:sz w:val="24"/>
        </w:rPr>
      </w:pPr>
    </w:p>
    <w:p>
      <w:pPr>
        <w:autoSpaceDE w:val="0"/>
        <w:autoSpaceDN w:val="0"/>
        <w:spacing w:line="360" w:lineRule="exact"/>
        <w:jc w:val="left"/>
        <w:rPr>
          <w:rFonts w:ascii="宋体" w:hAnsi="宋体" w:cs="宋体"/>
          <w:kern w:val="0"/>
          <w:sz w:val="24"/>
        </w:rPr>
      </w:pPr>
      <w:r>
        <w:rPr>
          <w:rFonts w:hint="eastAsia" w:ascii="宋体" w:hAnsi="宋体" w:cs="宋体"/>
          <w:kern w:val="0"/>
          <w:sz w:val="24"/>
        </w:rPr>
        <w:t>成员二名称：</w:t>
      </w:r>
      <w:r>
        <w:rPr>
          <w:rFonts w:hint="eastAsia" w:ascii="宋体" w:hAnsi="宋体" w:cs="宋体"/>
          <w:kern w:val="0"/>
          <w:sz w:val="24"/>
          <w:u w:val="single"/>
        </w:rPr>
        <w:t xml:space="preserve">                                       </w:t>
      </w:r>
      <w:r>
        <w:rPr>
          <w:rFonts w:hint="eastAsia" w:ascii="宋体" w:hAnsi="宋体" w:cs="宋体"/>
          <w:kern w:val="0"/>
          <w:sz w:val="24"/>
        </w:rPr>
        <w:t>（盖单位公章）</w:t>
      </w:r>
    </w:p>
    <w:p>
      <w:pPr>
        <w:autoSpaceDE w:val="0"/>
        <w:autoSpaceDN w:val="0"/>
        <w:spacing w:line="360" w:lineRule="exact"/>
        <w:jc w:val="left"/>
        <w:rPr>
          <w:rFonts w:ascii="宋体" w:hAnsi="宋体" w:cs="宋体"/>
          <w:kern w:val="0"/>
          <w:sz w:val="24"/>
        </w:rPr>
      </w:pPr>
      <w:r>
        <w:rPr>
          <w:rFonts w:hint="eastAsia" w:ascii="宋体" w:hAnsi="宋体" w:cs="宋体"/>
          <w:kern w:val="0"/>
          <w:sz w:val="24"/>
        </w:rPr>
        <w:t>法定代表人或其委托代理人：</w:t>
      </w:r>
      <w:r>
        <w:rPr>
          <w:rFonts w:hint="eastAsia" w:ascii="宋体" w:hAnsi="宋体" w:cs="宋体"/>
          <w:kern w:val="0"/>
          <w:sz w:val="24"/>
          <w:u w:val="single"/>
        </w:rPr>
        <w:t xml:space="preserve">                         </w:t>
      </w:r>
      <w:r>
        <w:rPr>
          <w:rFonts w:hint="eastAsia" w:ascii="宋体" w:hAnsi="宋体" w:cs="宋体"/>
          <w:kern w:val="0"/>
          <w:sz w:val="24"/>
        </w:rPr>
        <w:t>（签字或盖章）</w:t>
      </w:r>
    </w:p>
    <w:p>
      <w:pPr>
        <w:autoSpaceDE w:val="0"/>
        <w:autoSpaceDN w:val="0"/>
        <w:spacing w:line="360" w:lineRule="exact"/>
        <w:jc w:val="left"/>
        <w:rPr>
          <w:rFonts w:ascii="宋体" w:hAnsi="宋体" w:cs="宋体"/>
          <w:kern w:val="0"/>
          <w:sz w:val="24"/>
        </w:rPr>
      </w:pPr>
    </w:p>
    <w:p>
      <w:pPr>
        <w:pStyle w:val="14"/>
        <w:spacing w:line="360" w:lineRule="exact"/>
        <w:rPr>
          <w:rFonts w:hAnsi="宋体"/>
          <w:sz w:val="24"/>
          <w:szCs w:val="24"/>
        </w:rPr>
      </w:pPr>
      <w:r>
        <w:rPr>
          <w:rFonts w:hAnsi="宋体"/>
          <w:sz w:val="24"/>
          <w:szCs w:val="24"/>
        </w:rPr>
        <w:t>......</w:t>
      </w:r>
    </w:p>
    <w:p>
      <w:pPr>
        <w:pStyle w:val="14"/>
        <w:spacing w:line="360" w:lineRule="exact"/>
        <w:rPr>
          <w:rFonts w:hAnsi="宋体"/>
          <w:bCs/>
          <w:sz w:val="24"/>
          <w:szCs w:val="24"/>
          <w:u w:val="single"/>
        </w:rPr>
      </w:pPr>
    </w:p>
    <w:p>
      <w:pPr>
        <w:pStyle w:val="14"/>
        <w:spacing w:line="360" w:lineRule="exact"/>
        <w:rPr>
          <w:rFonts w:hAnsi="宋体"/>
          <w:sz w:val="24"/>
          <w:szCs w:val="24"/>
        </w:rPr>
      </w:pPr>
    </w:p>
    <w:p>
      <w:pPr>
        <w:pStyle w:val="14"/>
        <w:spacing w:line="360" w:lineRule="exact"/>
        <w:rPr>
          <w:rFonts w:hAnsi="宋体"/>
          <w:bCs/>
          <w:sz w:val="24"/>
          <w:szCs w:val="24"/>
          <w:u w:val="single"/>
        </w:rPr>
      </w:pPr>
      <w:r>
        <w:rPr>
          <w:rFonts w:hAnsi="宋体"/>
          <w:sz w:val="24"/>
          <w:szCs w:val="24"/>
        </w:rPr>
        <w:t>说明：若项目不接受联合体</w:t>
      </w:r>
      <w:r>
        <w:rPr>
          <w:rFonts w:hint="eastAsia" w:hAnsi="宋体"/>
          <w:sz w:val="24"/>
          <w:szCs w:val="24"/>
        </w:rPr>
        <w:t>响应</w:t>
      </w:r>
      <w:r>
        <w:rPr>
          <w:rFonts w:hAnsi="宋体"/>
          <w:sz w:val="24"/>
          <w:szCs w:val="24"/>
        </w:rPr>
        <w:t>的本项不适用。</w:t>
      </w:r>
    </w:p>
    <w:p>
      <w:pPr>
        <w:pStyle w:val="14"/>
        <w:spacing w:line="360" w:lineRule="exact"/>
        <w:ind w:firstLine="6240" w:firstLineChars="2600"/>
        <w:rPr>
          <w:rFonts w:hAnsi="宋体"/>
          <w:bCs/>
          <w:sz w:val="24"/>
          <w:szCs w:val="24"/>
          <w:u w:val="single"/>
        </w:rPr>
      </w:pPr>
    </w:p>
    <w:p>
      <w:pPr>
        <w:pStyle w:val="14"/>
        <w:spacing w:line="360" w:lineRule="exact"/>
        <w:ind w:firstLine="6240" w:firstLineChars="2600"/>
        <w:rPr>
          <w:rFonts w:hAnsi="宋体"/>
          <w:bCs/>
          <w:sz w:val="24"/>
          <w:szCs w:val="24"/>
          <w:u w:val="single"/>
        </w:rPr>
      </w:pPr>
    </w:p>
    <w:p>
      <w:pPr>
        <w:pStyle w:val="14"/>
        <w:spacing w:line="360" w:lineRule="exact"/>
        <w:ind w:firstLine="6240" w:firstLineChars="2600"/>
        <w:rPr>
          <w:rFonts w:hAnsi="宋体"/>
          <w:sz w:val="24"/>
          <w:szCs w:val="24"/>
          <w:u w:val="single"/>
        </w:rPr>
      </w:pPr>
      <w:r>
        <w:rPr>
          <w:rFonts w:hAnsi="宋体"/>
          <w:bCs/>
          <w:sz w:val="24"/>
          <w:szCs w:val="24"/>
          <w:u w:val="single"/>
        </w:rPr>
        <w:t xml:space="preserve">    </w:t>
      </w:r>
      <w:r>
        <w:rPr>
          <w:rFonts w:hAnsi="宋体"/>
          <w:bCs/>
          <w:sz w:val="24"/>
          <w:szCs w:val="24"/>
        </w:rPr>
        <w:t>年</w:t>
      </w:r>
      <w:r>
        <w:rPr>
          <w:rFonts w:hAnsi="宋体"/>
          <w:bCs/>
          <w:sz w:val="24"/>
          <w:szCs w:val="24"/>
          <w:u w:val="single"/>
        </w:rPr>
        <w:t xml:space="preserve">    </w:t>
      </w:r>
      <w:r>
        <w:rPr>
          <w:rFonts w:hAnsi="宋体"/>
          <w:bCs/>
          <w:sz w:val="24"/>
          <w:szCs w:val="24"/>
        </w:rPr>
        <w:t>月</w:t>
      </w:r>
      <w:r>
        <w:rPr>
          <w:rFonts w:hAnsi="宋体"/>
          <w:bCs/>
          <w:sz w:val="24"/>
          <w:szCs w:val="24"/>
          <w:u w:val="single"/>
        </w:rPr>
        <w:t xml:space="preserve">    </w:t>
      </w:r>
      <w:r>
        <w:rPr>
          <w:rFonts w:hAnsi="宋体"/>
          <w:bCs/>
          <w:sz w:val="24"/>
          <w:szCs w:val="24"/>
        </w:rPr>
        <w:t>日</w:t>
      </w:r>
    </w:p>
    <w:p>
      <w:pPr>
        <w:pStyle w:val="14"/>
        <w:spacing w:line="360" w:lineRule="auto"/>
        <w:ind w:firstLine="420"/>
        <w:rPr>
          <w:rFonts w:hAnsi="宋体" w:cs="宋体"/>
          <w:sz w:val="24"/>
          <w:szCs w:val="24"/>
          <w:u w:val="single"/>
        </w:rPr>
      </w:pPr>
    </w:p>
    <w:p>
      <w:pPr>
        <w:sectPr>
          <w:pgSz w:w="11906" w:h="16838"/>
          <w:pgMar w:top="1440" w:right="1080" w:bottom="1440" w:left="1080" w:header="720" w:footer="720" w:gutter="0"/>
          <w:cols w:space="720" w:num="1"/>
          <w:docGrid w:type="lines" w:linePitch="331" w:charSpace="0"/>
        </w:sectPr>
      </w:pPr>
    </w:p>
    <w:p>
      <w:pPr>
        <w:pStyle w:val="22"/>
        <w:rPr>
          <w:rFonts w:asciiTheme="majorEastAsia" w:hAnsiTheme="majorEastAsia" w:eastAsiaTheme="majorEastAsia" w:cstheme="majorEastAsia"/>
          <w:u w:val="single"/>
        </w:rPr>
      </w:pPr>
      <w:r>
        <w:rPr>
          <w:rFonts w:hint="eastAsia" w:asciiTheme="majorEastAsia" w:hAnsiTheme="majorEastAsia" w:eastAsiaTheme="majorEastAsia" w:cstheme="majorEastAsia"/>
        </w:rPr>
        <w:t>第六章  合同条款及格式</w:t>
      </w:r>
      <w:bookmarkEnd w:id="43"/>
      <w:bookmarkEnd w:id="71"/>
    </w:p>
    <w:p>
      <w:pPr>
        <w:spacing w:line="360" w:lineRule="auto"/>
        <w:ind w:firstLine="880" w:firstLineChars="200"/>
        <w:rPr>
          <w:rFonts w:asciiTheme="majorEastAsia" w:hAnsiTheme="majorEastAsia" w:eastAsiaTheme="majorEastAsia" w:cstheme="majorEastAsia"/>
          <w:sz w:val="44"/>
        </w:rPr>
      </w:pPr>
    </w:p>
    <w:p>
      <w:pPr>
        <w:spacing w:line="360" w:lineRule="auto"/>
        <w:jc w:val="center"/>
        <w:outlineLvl w:val="0"/>
        <w:rPr>
          <w:rFonts w:asciiTheme="majorEastAsia" w:hAnsiTheme="majorEastAsia" w:eastAsiaTheme="majorEastAsia" w:cstheme="majorEastAsia"/>
          <w:b/>
          <w:bCs/>
          <w:sz w:val="52"/>
        </w:rPr>
      </w:pPr>
      <w:r>
        <w:rPr>
          <w:rFonts w:hint="eastAsia" w:asciiTheme="majorEastAsia" w:hAnsiTheme="majorEastAsia" w:eastAsiaTheme="majorEastAsia" w:cstheme="majorEastAsia"/>
          <w:b/>
          <w:bCs/>
          <w:sz w:val="52"/>
        </w:rPr>
        <w:t xml:space="preserve"> 良 庆 区 政 府 采 购</w:t>
      </w:r>
    </w:p>
    <w:p>
      <w:pPr>
        <w:spacing w:line="360" w:lineRule="auto"/>
        <w:ind w:firstLine="420" w:firstLineChars="200"/>
        <w:rPr>
          <w:rFonts w:asciiTheme="majorEastAsia" w:hAnsiTheme="majorEastAsia" w:eastAsiaTheme="majorEastAsia" w:cstheme="majorEastAsia"/>
        </w:rPr>
      </w:pPr>
    </w:p>
    <w:p>
      <w:pPr>
        <w:spacing w:line="360" w:lineRule="auto"/>
        <w:ind w:firstLine="400" w:firstLineChars="200"/>
        <w:rPr>
          <w:rFonts w:asciiTheme="majorEastAsia" w:hAnsiTheme="majorEastAsia" w:eastAsiaTheme="majorEastAsia" w:cstheme="majorEastAsia"/>
          <w:sz w:val="22"/>
          <w:szCs w:val="28"/>
        </w:rPr>
      </w:pPr>
      <w:r>
        <w:rPr>
          <w:rFonts w:hint="eastAsia" w:asciiTheme="majorEastAsia" w:hAnsiTheme="majorEastAsia" w:eastAsiaTheme="majorEastAsia" w:cstheme="majorEastAsia"/>
          <w:sz w:val="20"/>
          <w:szCs w:val="22"/>
        </w:rPr>
        <w:t xml:space="preserve">           </w:t>
      </w:r>
      <w:r>
        <w:rPr>
          <w:rFonts w:hint="eastAsia" w:asciiTheme="majorEastAsia" w:hAnsiTheme="majorEastAsia" w:eastAsiaTheme="majorEastAsia" w:cstheme="majorEastAsia"/>
          <w:sz w:val="22"/>
          <w:szCs w:val="28"/>
        </w:rPr>
        <w:t xml:space="preserve">                                      </w:t>
      </w:r>
    </w:p>
    <w:p>
      <w:pPr>
        <w:jc w:val="center"/>
        <w:outlineLvl w:val="0"/>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
          <w:bCs/>
          <w:sz w:val="32"/>
          <w:szCs w:val="32"/>
          <w:u w:val="single"/>
        </w:rPr>
        <w:t xml:space="preserve"> 第九届中国创新创业大赛广西赛区南宁市选拔赛暨第五届南宁市创新创业大赛服务</w:t>
      </w:r>
      <w:r>
        <w:rPr>
          <w:rFonts w:hint="eastAsia" w:asciiTheme="majorEastAsia" w:hAnsiTheme="majorEastAsia" w:eastAsiaTheme="majorEastAsia" w:cstheme="majorEastAsia"/>
          <w:b/>
          <w:bCs/>
          <w:sz w:val="32"/>
          <w:szCs w:val="32"/>
        </w:rPr>
        <w:t>合同</w:t>
      </w:r>
    </w:p>
    <w:p>
      <w:pPr>
        <w:spacing w:line="360" w:lineRule="auto"/>
        <w:ind w:firstLine="2570" w:firstLineChars="800"/>
        <w:rPr>
          <w:rFonts w:asciiTheme="majorEastAsia" w:hAnsiTheme="majorEastAsia" w:eastAsiaTheme="majorEastAsia" w:cstheme="majorEastAsia"/>
          <w:b/>
          <w:sz w:val="32"/>
          <w:szCs w:val="32"/>
        </w:rPr>
      </w:pPr>
    </w:p>
    <w:p>
      <w:pPr>
        <w:spacing w:line="360" w:lineRule="auto"/>
        <w:ind w:firstLine="2570" w:firstLineChars="800"/>
        <w:rPr>
          <w:rFonts w:asciiTheme="majorEastAsia" w:hAnsiTheme="majorEastAsia" w:eastAsiaTheme="majorEastAsia" w:cstheme="majorEastAsia"/>
          <w:b/>
          <w:sz w:val="32"/>
          <w:szCs w:val="32"/>
          <w:u w:val="single"/>
        </w:rPr>
      </w:pPr>
      <w:r>
        <w:rPr>
          <w:rFonts w:hint="eastAsia" w:asciiTheme="majorEastAsia" w:hAnsiTheme="majorEastAsia" w:eastAsiaTheme="majorEastAsia" w:cstheme="majorEastAsia"/>
          <w:b/>
          <w:sz w:val="32"/>
          <w:szCs w:val="32"/>
        </w:rPr>
        <w:t xml:space="preserve">合同类别：服务竞争性磋商 </w:t>
      </w:r>
    </w:p>
    <w:p>
      <w:pPr>
        <w:spacing w:line="360" w:lineRule="auto"/>
        <w:ind w:firstLine="2570" w:firstLineChars="800"/>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 xml:space="preserve">合同编号：NNZC2020-C3-080001-GXYZ  </w:t>
      </w:r>
    </w:p>
    <w:p>
      <w:pPr>
        <w:spacing w:line="360" w:lineRule="auto"/>
        <w:ind w:firstLine="2570" w:firstLineChars="800"/>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采购计划文号：LQZC2020-C3-00289-001</w:t>
      </w:r>
    </w:p>
    <w:p>
      <w:pPr>
        <w:ind w:left="2520" w:leftChars="1200"/>
        <w:rPr>
          <w:rFonts w:asciiTheme="majorEastAsia" w:hAnsiTheme="majorEastAsia" w:eastAsiaTheme="majorEastAsia" w:cstheme="majorEastAsia"/>
          <w:b/>
          <w:sz w:val="32"/>
          <w:szCs w:val="32"/>
          <w:u w:val="single"/>
        </w:rPr>
      </w:pPr>
    </w:p>
    <w:p>
      <w:pPr>
        <w:ind w:firstLine="2605" w:firstLineChars="811"/>
        <w:rPr>
          <w:rFonts w:asciiTheme="majorEastAsia" w:hAnsiTheme="majorEastAsia" w:eastAsiaTheme="majorEastAsia" w:cstheme="majorEastAsia"/>
          <w:b/>
          <w:sz w:val="32"/>
          <w:szCs w:val="32"/>
          <w:u w:val="single"/>
        </w:rPr>
      </w:pPr>
    </w:p>
    <w:p>
      <w:pPr>
        <w:spacing w:line="360" w:lineRule="auto"/>
        <w:rPr>
          <w:rFonts w:asciiTheme="majorEastAsia" w:hAnsiTheme="majorEastAsia" w:eastAsiaTheme="majorEastAsia" w:cstheme="majorEastAsia"/>
          <w:b/>
          <w:sz w:val="32"/>
          <w:szCs w:val="32"/>
        </w:rPr>
      </w:pPr>
    </w:p>
    <w:p>
      <w:pPr>
        <w:spacing w:line="360" w:lineRule="auto"/>
        <w:rPr>
          <w:rFonts w:asciiTheme="majorEastAsia" w:hAnsiTheme="majorEastAsia" w:eastAsiaTheme="majorEastAsia" w:cstheme="majorEastAsia"/>
          <w:b/>
          <w:bCs/>
          <w:sz w:val="36"/>
          <w:szCs w:val="36"/>
        </w:rPr>
      </w:pPr>
    </w:p>
    <w:p>
      <w:pPr>
        <w:pStyle w:val="11"/>
        <w:rPr>
          <w:rFonts w:asciiTheme="majorEastAsia" w:hAnsiTheme="majorEastAsia" w:eastAsiaTheme="majorEastAsia" w:cstheme="majorEastAsia"/>
          <w:sz w:val="28"/>
          <w:szCs w:val="28"/>
        </w:rPr>
      </w:pPr>
    </w:p>
    <w:p>
      <w:pPr>
        <w:tabs>
          <w:tab w:val="left" w:pos="7200"/>
        </w:tabs>
        <w:spacing w:line="360" w:lineRule="auto"/>
        <w:ind w:firstLine="1552" w:firstLineChars="552"/>
        <w:outlineLvl w:val="0"/>
        <w:rPr>
          <w:rFonts w:asciiTheme="majorEastAsia" w:hAnsiTheme="majorEastAsia" w:eastAsiaTheme="majorEastAsia" w:cstheme="majorEastAsia"/>
          <w:b/>
          <w:sz w:val="28"/>
          <w:szCs w:val="28"/>
        </w:rPr>
      </w:pPr>
    </w:p>
    <w:p>
      <w:pPr>
        <w:tabs>
          <w:tab w:val="left" w:pos="7200"/>
        </w:tabs>
        <w:spacing w:line="360" w:lineRule="auto"/>
        <w:ind w:firstLine="1552" w:firstLineChars="552"/>
        <w:outlineLvl w:val="0"/>
        <w:rPr>
          <w:rFonts w:asciiTheme="majorEastAsia" w:hAnsiTheme="majorEastAsia" w:eastAsiaTheme="majorEastAsia" w:cstheme="majorEastAsia"/>
          <w:b/>
          <w:sz w:val="28"/>
          <w:szCs w:val="28"/>
        </w:rPr>
      </w:pPr>
    </w:p>
    <w:p>
      <w:pPr>
        <w:tabs>
          <w:tab w:val="left" w:pos="7200"/>
        </w:tabs>
        <w:spacing w:line="360" w:lineRule="auto"/>
        <w:ind w:firstLine="1928" w:firstLineChars="600"/>
        <w:outlineLvl w:val="0"/>
        <w:rPr>
          <w:rFonts w:asciiTheme="majorEastAsia" w:hAnsiTheme="majorEastAsia" w:eastAsiaTheme="majorEastAsia" w:cstheme="majorEastAsia"/>
          <w:b/>
          <w:sz w:val="32"/>
          <w:szCs w:val="32"/>
          <w:u w:val="single"/>
        </w:rPr>
      </w:pPr>
      <w:r>
        <w:rPr>
          <w:rFonts w:hint="eastAsia" w:asciiTheme="majorEastAsia" w:hAnsiTheme="majorEastAsia" w:eastAsiaTheme="majorEastAsia" w:cstheme="majorEastAsia"/>
          <w:b/>
          <w:sz w:val="32"/>
          <w:szCs w:val="32"/>
        </w:rPr>
        <w:t>采购人：</w:t>
      </w:r>
      <w:r>
        <w:rPr>
          <w:rFonts w:hint="eastAsia" w:asciiTheme="majorEastAsia" w:hAnsiTheme="majorEastAsia" w:eastAsiaTheme="majorEastAsia" w:cstheme="majorEastAsia"/>
          <w:b/>
          <w:sz w:val="32"/>
          <w:szCs w:val="32"/>
          <w:u w:val="single"/>
        </w:rPr>
        <w:t xml:space="preserve">南宁市良庆区科学技术局  </w:t>
      </w:r>
    </w:p>
    <w:p>
      <w:pPr>
        <w:widowControl/>
        <w:tabs>
          <w:tab w:val="left" w:pos="7380"/>
        </w:tabs>
        <w:spacing w:line="360" w:lineRule="auto"/>
        <w:ind w:firstLine="1928" w:firstLineChars="600"/>
        <w:jc w:val="left"/>
        <w:outlineLvl w:val="0"/>
        <w:rPr>
          <w:rFonts w:asciiTheme="majorEastAsia" w:hAnsiTheme="majorEastAsia" w:eastAsiaTheme="majorEastAsia" w:cstheme="majorEastAsia"/>
          <w:b/>
          <w:sz w:val="36"/>
          <w:szCs w:val="36"/>
        </w:rPr>
        <w:sectPr>
          <w:footerReference r:id="rId7" w:type="default"/>
          <w:pgSz w:w="11906" w:h="16838"/>
          <w:pgMar w:top="1440" w:right="1080" w:bottom="1440" w:left="880" w:header="720" w:footer="720" w:gutter="0"/>
          <w:cols w:space="720" w:num="1"/>
          <w:docGrid w:type="lines" w:linePitch="331" w:charSpace="0"/>
        </w:sectPr>
      </w:pPr>
      <w:r>
        <w:rPr>
          <w:rFonts w:hint="eastAsia" w:asciiTheme="majorEastAsia" w:hAnsiTheme="majorEastAsia" w:eastAsiaTheme="majorEastAsia" w:cstheme="majorEastAsia"/>
          <w:b/>
          <w:sz w:val="32"/>
          <w:szCs w:val="32"/>
        </w:rPr>
        <w:t>成交供应商：</w:t>
      </w:r>
      <w:r>
        <w:rPr>
          <w:rFonts w:hint="eastAsia" w:asciiTheme="majorEastAsia" w:hAnsiTheme="majorEastAsia" w:eastAsiaTheme="majorEastAsia" w:cstheme="majorEastAsia"/>
          <w:b/>
          <w:sz w:val="32"/>
          <w:szCs w:val="32"/>
          <w:u w:val="single"/>
        </w:rPr>
        <w:t xml:space="preserve">                              </w:t>
      </w:r>
    </w:p>
    <w:p>
      <w:pPr>
        <w:widowControl/>
        <w:jc w:val="center"/>
        <w:rPr>
          <w:rFonts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目  录</w:t>
      </w:r>
    </w:p>
    <w:p>
      <w:pPr>
        <w:tabs>
          <w:tab w:val="left" w:pos="1170"/>
        </w:tabs>
        <w:spacing w:line="360" w:lineRule="auto"/>
        <w:ind w:left="359" w:leftChars="171" w:firstLine="198" w:firstLineChars="71"/>
        <w:rPr>
          <w:rFonts w:asciiTheme="majorEastAsia" w:hAnsiTheme="majorEastAsia" w:eastAsiaTheme="majorEastAsia" w:cstheme="majorEastAsia"/>
          <w:sz w:val="28"/>
        </w:rPr>
      </w:pPr>
      <w:r>
        <w:rPr>
          <w:rFonts w:hint="eastAsia" w:asciiTheme="majorEastAsia" w:hAnsiTheme="majorEastAsia" w:eastAsiaTheme="majorEastAsia" w:cstheme="majorEastAsia"/>
          <w:sz w:val="28"/>
        </w:rPr>
        <w:tab/>
      </w:r>
    </w:p>
    <w:p>
      <w:pPr>
        <w:outlineLvl w:val="0"/>
        <w:rPr>
          <w:rFonts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一、良庆区政府采购合同书</w:t>
      </w:r>
    </w:p>
    <w:p>
      <w:pPr>
        <w:outlineLvl w:val="0"/>
        <w:rPr>
          <w:rFonts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二、合同附件</w:t>
      </w:r>
    </w:p>
    <w:p>
      <w:pPr>
        <w:numPr>
          <w:ilvl w:val="0"/>
          <w:numId w:val="5"/>
        </w:numPr>
        <w:spacing w:line="360" w:lineRule="auto"/>
        <w:ind w:left="357" w:firstLine="543"/>
        <w:outlineLvl w:val="1"/>
        <w:rPr>
          <w:rFonts w:asciiTheme="majorEastAsia" w:hAnsiTheme="majorEastAsia" w:eastAsiaTheme="majorEastAsia" w:cstheme="majorEastAsia"/>
          <w:sz w:val="28"/>
        </w:rPr>
      </w:pPr>
      <w:r>
        <w:rPr>
          <w:rFonts w:hint="eastAsia" w:asciiTheme="majorEastAsia" w:hAnsiTheme="majorEastAsia" w:eastAsiaTheme="majorEastAsia" w:cstheme="majorEastAsia"/>
          <w:sz w:val="28"/>
        </w:rPr>
        <w:t>成交通知书</w:t>
      </w:r>
    </w:p>
    <w:p>
      <w:pPr>
        <w:numPr>
          <w:ilvl w:val="0"/>
          <w:numId w:val="5"/>
        </w:numPr>
        <w:spacing w:line="360" w:lineRule="auto"/>
        <w:ind w:left="357" w:firstLine="543"/>
        <w:outlineLvl w:val="1"/>
        <w:rPr>
          <w:rFonts w:asciiTheme="majorEastAsia" w:hAnsiTheme="majorEastAsia" w:eastAsiaTheme="majorEastAsia" w:cstheme="majorEastAsia"/>
          <w:sz w:val="28"/>
        </w:rPr>
      </w:pPr>
      <w:r>
        <w:rPr>
          <w:rFonts w:hint="eastAsia" w:asciiTheme="majorEastAsia" w:hAnsiTheme="majorEastAsia" w:eastAsiaTheme="majorEastAsia" w:cstheme="majorEastAsia"/>
          <w:sz w:val="28"/>
        </w:rPr>
        <w:t>竞争性磋商文件服务需求一览表（见竞争性磋商文件）</w:t>
      </w:r>
    </w:p>
    <w:p>
      <w:pPr>
        <w:numPr>
          <w:ilvl w:val="0"/>
          <w:numId w:val="5"/>
        </w:numPr>
        <w:spacing w:line="360" w:lineRule="auto"/>
        <w:ind w:left="357" w:firstLine="543"/>
        <w:outlineLvl w:val="1"/>
        <w:rPr>
          <w:rFonts w:asciiTheme="majorEastAsia" w:hAnsiTheme="majorEastAsia" w:eastAsiaTheme="majorEastAsia" w:cstheme="majorEastAsia"/>
          <w:sz w:val="28"/>
        </w:rPr>
      </w:pPr>
      <w:r>
        <w:rPr>
          <w:rFonts w:hint="eastAsia" w:asciiTheme="majorEastAsia" w:hAnsiTheme="majorEastAsia" w:eastAsiaTheme="majorEastAsia" w:cstheme="majorEastAsia"/>
          <w:sz w:val="28"/>
        </w:rPr>
        <w:t>竞争性磋商文件的澄清和修改（如有请提供）</w:t>
      </w:r>
    </w:p>
    <w:p>
      <w:pPr>
        <w:numPr>
          <w:ilvl w:val="0"/>
          <w:numId w:val="5"/>
        </w:numPr>
        <w:spacing w:line="360" w:lineRule="auto"/>
        <w:ind w:left="357" w:firstLine="543"/>
        <w:outlineLvl w:val="1"/>
        <w:rPr>
          <w:rFonts w:asciiTheme="majorEastAsia" w:hAnsiTheme="majorEastAsia" w:eastAsiaTheme="majorEastAsia" w:cstheme="majorEastAsia"/>
          <w:sz w:val="28"/>
        </w:rPr>
      </w:pPr>
      <w:r>
        <w:rPr>
          <w:rFonts w:hint="eastAsia" w:asciiTheme="majorEastAsia" w:hAnsiTheme="majorEastAsia" w:eastAsiaTheme="majorEastAsia" w:cstheme="majorEastAsia"/>
          <w:sz w:val="28"/>
        </w:rPr>
        <w:t>响应文件报价表（见响应文件）、响应文件最终报价表</w:t>
      </w:r>
    </w:p>
    <w:p>
      <w:pPr>
        <w:numPr>
          <w:ilvl w:val="0"/>
          <w:numId w:val="5"/>
        </w:numPr>
        <w:spacing w:line="360" w:lineRule="auto"/>
        <w:ind w:left="357" w:firstLine="543"/>
        <w:outlineLvl w:val="1"/>
        <w:rPr>
          <w:rFonts w:asciiTheme="majorEastAsia" w:hAnsiTheme="majorEastAsia" w:eastAsiaTheme="majorEastAsia" w:cstheme="majorEastAsia"/>
          <w:sz w:val="28"/>
        </w:rPr>
      </w:pPr>
      <w:r>
        <w:rPr>
          <w:rFonts w:hint="eastAsia" w:asciiTheme="majorEastAsia" w:hAnsiTheme="majorEastAsia" w:eastAsiaTheme="majorEastAsia" w:cstheme="majorEastAsia"/>
          <w:sz w:val="28"/>
        </w:rPr>
        <w:t>响应文件中的服务技术资料表、商务条款偏离表（见响应文件）</w:t>
      </w:r>
    </w:p>
    <w:p>
      <w:pPr>
        <w:numPr>
          <w:ilvl w:val="0"/>
          <w:numId w:val="5"/>
        </w:numPr>
        <w:spacing w:line="360" w:lineRule="auto"/>
        <w:ind w:left="357" w:firstLine="543"/>
        <w:outlineLvl w:val="1"/>
        <w:rPr>
          <w:rFonts w:asciiTheme="majorEastAsia" w:hAnsiTheme="majorEastAsia" w:eastAsiaTheme="majorEastAsia" w:cstheme="majorEastAsia"/>
          <w:sz w:val="28"/>
        </w:rPr>
      </w:pPr>
      <w:r>
        <w:rPr>
          <w:rFonts w:hint="eastAsia" w:asciiTheme="majorEastAsia" w:hAnsiTheme="majorEastAsia" w:eastAsiaTheme="majorEastAsia" w:cstheme="majorEastAsia"/>
          <w:sz w:val="28"/>
        </w:rPr>
        <w:t>成交供应商澄清函</w:t>
      </w:r>
      <w:r>
        <w:rPr>
          <w:rFonts w:hint="eastAsia" w:asciiTheme="majorEastAsia" w:hAnsiTheme="majorEastAsia" w:eastAsiaTheme="majorEastAsia" w:cstheme="majorEastAsia"/>
          <w:sz w:val="28"/>
          <w:szCs w:val="28"/>
        </w:rPr>
        <w:t>（如有请提</w:t>
      </w:r>
      <w:r>
        <w:rPr>
          <w:rFonts w:hint="eastAsia" w:asciiTheme="majorEastAsia" w:hAnsiTheme="majorEastAsia" w:eastAsiaTheme="majorEastAsia" w:cstheme="majorEastAsia"/>
          <w:sz w:val="30"/>
          <w:szCs w:val="30"/>
        </w:rPr>
        <w:t>供</w:t>
      </w:r>
      <w:r>
        <w:rPr>
          <w:rFonts w:hint="eastAsia" w:asciiTheme="majorEastAsia" w:hAnsiTheme="majorEastAsia" w:eastAsiaTheme="majorEastAsia" w:cstheme="majorEastAsia"/>
          <w:sz w:val="28"/>
          <w:szCs w:val="28"/>
        </w:rPr>
        <w:t>）</w:t>
      </w:r>
    </w:p>
    <w:p>
      <w:pPr>
        <w:numPr>
          <w:ilvl w:val="0"/>
          <w:numId w:val="5"/>
        </w:numPr>
        <w:spacing w:line="360" w:lineRule="auto"/>
        <w:ind w:left="357" w:firstLine="543"/>
        <w:outlineLvl w:val="1"/>
        <w:rPr>
          <w:rFonts w:asciiTheme="majorEastAsia" w:hAnsiTheme="majorEastAsia" w:eastAsiaTheme="majorEastAsia" w:cstheme="majorEastAsia"/>
          <w:sz w:val="28"/>
        </w:rPr>
      </w:pPr>
      <w:r>
        <w:rPr>
          <w:rFonts w:hint="eastAsia" w:asciiTheme="majorEastAsia" w:hAnsiTheme="majorEastAsia" w:eastAsiaTheme="majorEastAsia" w:cstheme="majorEastAsia"/>
          <w:sz w:val="28"/>
        </w:rPr>
        <w:t>其他与本合同相关的资料（如有请提供）</w:t>
      </w:r>
    </w:p>
    <w:p>
      <w:pPr>
        <w:spacing w:line="360" w:lineRule="auto"/>
        <w:jc w:val="center"/>
        <w:rPr>
          <w:rFonts w:asciiTheme="majorEastAsia" w:hAnsiTheme="majorEastAsia" w:eastAsiaTheme="majorEastAsia" w:cstheme="majorEastAsia"/>
          <w:b/>
          <w:bCs/>
          <w:sz w:val="28"/>
        </w:rPr>
      </w:pPr>
    </w:p>
    <w:p>
      <w:pPr>
        <w:spacing w:line="360" w:lineRule="auto"/>
        <w:jc w:val="center"/>
        <w:outlineLvl w:val="2"/>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Cs/>
          <w:sz w:val="28"/>
        </w:rPr>
        <w:br w:type="page"/>
      </w:r>
      <w:r>
        <w:rPr>
          <w:rFonts w:hint="eastAsia" w:asciiTheme="majorEastAsia" w:hAnsiTheme="majorEastAsia" w:eastAsiaTheme="majorEastAsia" w:cstheme="majorEastAsia"/>
          <w:b/>
          <w:sz w:val="30"/>
          <w:szCs w:val="30"/>
        </w:rPr>
        <w:t>南宁市政府采购合同书</w:t>
      </w:r>
    </w:p>
    <w:p>
      <w:pPr>
        <w:pStyle w:val="14"/>
        <w:spacing w:line="360" w:lineRule="auto"/>
        <w:rPr>
          <w:rFonts w:asciiTheme="majorEastAsia" w:hAnsiTheme="majorEastAsia" w:eastAsiaTheme="majorEastAsia" w:cstheme="majorEastAsia"/>
        </w:rPr>
      </w:pPr>
    </w:p>
    <w:p>
      <w:pPr>
        <w:pStyle w:val="14"/>
        <w:spacing w:line="360" w:lineRule="auto"/>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项目名称：</w:t>
      </w:r>
      <w:r>
        <w:rPr>
          <w:rFonts w:hint="eastAsia" w:asciiTheme="majorEastAsia" w:hAnsiTheme="majorEastAsia" w:eastAsiaTheme="majorEastAsia" w:cstheme="majorEastAsia"/>
          <w:sz w:val="24"/>
          <w:szCs w:val="24"/>
          <w:u w:val="single"/>
        </w:rPr>
        <w:t xml:space="preserve"> 第九届中国创新创业大赛广西赛区南宁市选拔赛暨第五届南宁市创新创业大赛服务 </w:t>
      </w:r>
    </w:p>
    <w:p>
      <w:pPr>
        <w:pStyle w:val="14"/>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项目编号：</w:t>
      </w:r>
      <w:r>
        <w:rPr>
          <w:rFonts w:hint="eastAsia" w:asciiTheme="majorEastAsia" w:hAnsiTheme="majorEastAsia" w:eastAsiaTheme="majorEastAsia" w:cstheme="majorEastAsia"/>
          <w:sz w:val="24"/>
          <w:szCs w:val="24"/>
          <w:u w:val="single"/>
        </w:rPr>
        <w:t xml:space="preserve"> NNZC2020-C3-080001-GXYZ  </w:t>
      </w:r>
    </w:p>
    <w:p>
      <w:pPr>
        <w:pStyle w:val="14"/>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分标号（有分标时填写）：</w:t>
      </w:r>
      <w:r>
        <w:rPr>
          <w:rFonts w:hint="eastAsia" w:asciiTheme="majorEastAsia" w:hAnsiTheme="majorEastAsia" w:eastAsiaTheme="majorEastAsia" w:cstheme="majorEastAsia"/>
          <w:sz w:val="24"/>
          <w:szCs w:val="24"/>
          <w:u w:val="single"/>
        </w:rPr>
        <w:t xml:space="preserve"> / </w:t>
      </w:r>
    </w:p>
    <w:p>
      <w:pPr>
        <w:pStyle w:val="14"/>
        <w:spacing w:line="360" w:lineRule="auto"/>
        <w:rPr>
          <w:rFonts w:asciiTheme="majorEastAsia" w:hAnsiTheme="majorEastAsia" w:eastAsiaTheme="majorEastAsia" w:cstheme="majorEastAsia"/>
          <w:sz w:val="24"/>
          <w:szCs w:val="24"/>
        </w:rPr>
      </w:pPr>
    </w:p>
    <w:p>
      <w:pPr>
        <w:pStyle w:val="14"/>
        <w:tabs>
          <w:tab w:val="left" w:pos="5250"/>
        </w:tabs>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采购人（甲方）：</w:t>
      </w:r>
      <w:r>
        <w:rPr>
          <w:rFonts w:hint="eastAsia" w:asciiTheme="majorEastAsia" w:hAnsiTheme="majorEastAsia" w:eastAsiaTheme="majorEastAsia" w:cstheme="majorEastAsia"/>
          <w:sz w:val="24"/>
          <w:szCs w:val="24"/>
          <w:u w:val="single"/>
        </w:rPr>
        <w:t xml:space="preserve">南宁市良庆区科学技术局 </w:t>
      </w:r>
    </w:p>
    <w:p>
      <w:pPr>
        <w:pStyle w:val="14"/>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成交供应商（乙方）：</w:t>
      </w:r>
      <w:r>
        <w:rPr>
          <w:rFonts w:hint="eastAsia" w:asciiTheme="majorEastAsia" w:hAnsiTheme="majorEastAsia" w:eastAsiaTheme="majorEastAsia" w:cstheme="majorEastAsia"/>
          <w:sz w:val="24"/>
          <w:szCs w:val="24"/>
          <w:u w:val="single"/>
        </w:rPr>
        <w:t xml:space="preserve">                             </w:t>
      </w:r>
    </w:p>
    <w:p>
      <w:pPr>
        <w:pStyle w:val="14"/>
        <w:spacing w:line="360" w:lineRule="auto"/>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 xml:space="preserve">    </w:t>
      </w:r>
    </w:p>
    <w:p>
      <w:pPr>
        <w:pStyle w:val="14"/>
        <w:spacing w:line="360" w:lineRule="auto"/>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rPr>
        <w:t xml:space="preserve">   </w:t>
      </w:r>
      <w:bookmarkEnd w:id="44"/>
      <w:bookmarkEnd w:id="45"/>
      <w:bookmarkEnd w:id="46"/>
      <w:bookmarkEnd w:id="47"/>
      <w:r>
        <w:rPr>
          <w:rFonts w:hint="eastAsia" w:asciiTheme="majorEastAsia" w:hAnsiTheme="majorEastAsia" w:eastAsiaTheme="majorEastAsia" w:cstheme="majorEastAsia"/>
          <w:sz w:val="24"/>
          <w:szCs w:val="24"/>
        </w:rPr>
        <w:t xml:space="preserve">    根据</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日良庆区政府采购项目的采购结果，甲方接受乙方对本项目的响应，甲、乙双方同意签署本合同（以下简称合同）。</w:t>
      </w:r>
    </w:p>
    <w:p>
      <w:pPr>
        <w:pStyle w:val="14"/>
        <w:spacing w:line="360" w:lineRule="auto"/>
        <w:rPr>
          <w:rFonts w:asciiTheme="majorEastAsia" w:hAnsiTheme="majorEastAsia" w:eastAsiaTheme="majorEastAsia" w:cstheme="majorEastAsia"/>
          <w:b/>
          <w:sz w:val="24"/>
          <w:szCs w:val="24"/>
        </w:rPr>
      </w:pPr>
    </w:p>
    <w:p>
      <w:pPr>
        <w:pStyle w:val="14"/>
        <w:spacing w:line="360" w:lineRule="auto"/>
        <w:outlineLvl w:val="1"/>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1.  采购内容</w:t>
      </w:r>
    </w:p>
    <w:p>
      <w:pPr>
        <w:pStyle w:val="14"/>
        <w:tabs>
          <w:tab w:val="left" w:pos="5220"/>
        </w:tabs>
        <w:spacing w:line="360" w:lineRule="auto"/>
        <w:ind w:firstLine="480" w:firstLineChars="200"/>
        <w:outlineLvl w:val="2"/>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1.1 服务名称：</w:t>
      </w:r>
      <w:r>
        <w:rPr>
          <w:rFonts w:hint="eastAsia" w:asciiTheme="majorEastAsia" w:hAnsiTheme="majorEastAsia" w:eastAsiaTheme="majorEastAsia" w:cstheme="majorEastAsia"/>
          <w:sz w:val="24"/>
          <w:szCs w:val="24"/>
          <w:u w:val="single"/>
        </w:rPr>
        <w:t xml:space="preserve">  详见合同附件中响应报价表       </w:t>
      </w:r>
    </w:p>
    <w:p>
      <w:pPr>
        <w:pStyle w:val="14"/>
        <w:tabs>
          <w:tab w:val="left" w:pos="5220"/>
        </w:tabs>
        <w:spacing w:line="360" w:lineRule="auto"/>
        <w:ind w:firstLine="480" w:firstLineChars="200"/>
        <w:outlineLvl w:val="2"/>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 数量：</w:t>
      </w:r>
      <w:r>
        <w:rPr>
          <w:rFonts w:hint="eastAsia" w:asciiTheme="majorEastAsia" w:hAnsiTheme="majorEastAsia" w:eastAsiaTheme="majorEastAsia" w:cstheme="majorEastAsia"/>
          <w:sz w:val="24"/>
          <w:szCs w:val="24"/>
          <w:u w:val="single"/>
        </w:rPr>
        <w:t xml:space="preserve">  详见合同附件中响应报价表           </w:t>
      </w:r>
    </w:p>
    <w:p>
      <w:pPr>
        <w:pStyle w:val="14"/>
        <w:tabs>
          <w:tab w:val="left" w:pos="5220"/>
        </w:tabs>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1.2服务内容：</w:t>
      </w:r>
      <w:r>
        <w:rPr>
          <w:rFonts w:hint="eastAsia" w:asciiTheme="majorEastAsia" w:hAnsiTheme="majorEastAsia" w:eastAsiaTheme="majorEastAsia" w:cstheme="majorEastAsia"/>
          <w:sz w:val="24"/>
          <w:szCs w:val="24"/>
          <w:u w:val="single"/>
        </w:rPr>
        <w:t xml:space="preserve">详见合同附件中响应服务技术资料表及澄清函（响应服务技术资料表与澄清函不一致的以澄清函为准） </w:t>
      </w:r>
    </w:p>
    <w:p>
      <w:pPr>
        <w:pStyle w:val="14"/>
        <w:spacing w:line="360" w:lineRule="auto"/>
        <w:outlineLvl w:val="1"/>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2.  合同金额</w:t>
      </w:r>
    </w:p>
    <w:p>
      <w:pPr>
        <w:pStyle w:val="14"/>
        <w:spacing w:line="360" w:lineRule="auto"/>
        <w:ind w:left="2" w:firstLine="410" w:firstLineChars="171"/>
        <w:outlineLvl w:val="2"/>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2.1 本合同金额为（大写）人民币</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rPr>
        <w:t>元）。（详见响应文件最终报价表）</w:t>
      </w:r>
    </w:p>
    <w:p>
      <w:pPr>
        <w:pStyle w:val="14"/>
        <w:tabs>
          <w:tab w:val="left" w:pos="5940"/>
        </w:tabs>
        <w:spacing w:line="360" w:lineRule="auto"/>
        <w:outlineLvl w:val="1"/>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3.  提交服务成果要求</w:t>
      </w:r>
    </w:p>
    <w:p>
      <w:pPr>
        <w:pStyle w:val="14"/>
        <w:tabs>
          <w:tab w:val="left" w:pos="5220"/>
        </w:tabs>
        <w:spacing w:line="360" w:lineRule="auto"/>
        <w:ind w:firstLine="360"/>
        <w:outlineLvl w:val="2"/>
        <w:rPr>
          <w:rFonts w:asciiTheme="majorEastAsia" w:hAnsiTheme="majorEastAsia" w:eastAsiaTheme="majorEastAsia" w:cstheme="majorEastAsia"/>
          <w:bCs/>
          <w:sz w:val="24"/>
          <w:szCs w:val="24"/>
          <w:u w:val="single"/>
        </w:rPr>
      </w:pPr>
      <w:r>
        <w:rPr>
          <w:rFonts w:hint="eastAsia" w:asciiTheme="majorEastAsia" w:hAnsiTheme="majorEastAsia" w:eastAsiaTheme="majorEastAsia" w:cstheme="majorEastAsia"/>
          <w:sz w:val="24"/>
          <w:szCs w:val="24"/>
        </w:rPr>
        <w:t>3.1 服务期：</w:t>
      </w:r>
      <w:r>
        <w:rPr>
          <w:rFonts w:hint="eastAsia" w:asciiTheme="majorEastAsia" w:hAnsiTheme="majorEastAsia" w:eastAsiaTheme="majorEastAsia" w:cstheme="majorEastAsia"/>
          <w:sz w:val="24"/>
          <w:szCs w:val="24"/>
          <w:u w:val="single"/>
        </w:rPr>
        <w:t xml:space="preserve">                  </w:t>
      </w:r>
    </w:p>
    <w:p>
      <w:pPr>
        <w:pStyle w:val="14"/>
        <w:spacing w:line="360" w:lineRule="auto"/>
        <w:ind w:firstLine="360"/>
        <w:outlineLvl w:val="2"/>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 xml:space="preserve">3.2 </w:t>
      </w:r>
      <w:r>
        <w:rPr>
          <w:rFonts w:hint="eastAsia" w:cs="宋体" w:asciiTheme="majorEastAsia" w:hAnsiTheme="majorEastAsia" w:eastAsiaTheme="majorEastAsia"/>
          <w:sz w:val="24"/>
        </w:rPr>
        <w:t>服务地点</w:t>
      </w:r>
      <w:r>
        <w:rPr>
          <w:rFonts w:hint="eastAsia" w:asciiTheme="majorEastAsia" w:hAnsiTheme="majorEastAsia" w:eastAsiaTheme="majorEastAsia" w:cstheme="majorEastAsia"/>
          <w:bCs/>
          <w:sz w:val="24"/>
          <w:szCs w:val="24"/>
        </w:rPr>
        <w:t>：</w:t>
      </w:r>
      <w:r>
        <w:rPr>
          <w:rFonts w:hint="eastAsia" w:asciiTheme="majorEastAsia" w:hAnsiTheme="majorEastAsia" w:eastAsiaTheme="majorEastAsia" w:cstheme="majorEastAsia"/>
          <w:sz w:val="24"/>
          <w:szCs w:val="24"/>
          <w:u w:val="single"/>
        </w:rPr>
        <w:t xml:space="preserve">                  </w:t>
      </w:r>
    </w:p>
    <w:p>
      <w:pPr>
        <w:pStyle w:val="14"/>
        <w:spacing w:line="360" w:lineRule="auto"/>
        <w:ind w:firstLine="360"/>
        <w:outlineLvl w:val="2"/>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Cs/>
          <w:sz w:val="24"/>
          <w:szCs w:val="24"/>
        </w:rPr>
        <w:t xml:space="preserve">3.3 </w:t>
      </w:r>
      <w:r>
        <w:rPr>
          <w:rFonts w:hint="eastAsia" w:asciiTheme="majorEastAsia" w:hAnsiTheme="majorEastAsia" w:eastAsiaTheme="majorEastAsia" w:cstheme="majorEastAsia"/>
          <w:sz w:val="24"/>
          <w:szCs w:val="24"/>
        </w:rPr>
        <w:t>乙方必须按响应文件承诺的服务响应条款向甲方提供服务。</w:t>
      </w:r>
    </w:p>
    <w:p>
      <w:pPr>
        <w:pStyle w:val="14"/>
        <w:spacing w:line="360" w:lineRule="auto"/>
        <w:ind w:left="408" w:hanging="410" w:hangingChars="170"/>
        <w:outlineLvl w:val="1"/>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bCs/>
          <w:sz w:val="24"/>
          <w:szCs w:val="24"/>
        </w:rPr>
        <w:t>4.  履约保证金</w:t>
      </w:r>
    </w:p>
    <w:p>
      <w:pPr>
        <w:pStyle w:val="14"/>
        <w:spacing w:line="440" w:lineRule="exact"/>
        <w:ind w:firstLine="360" w:firstLineChars="150"/>
        <w:jc w:val="left"/>
        <w:rPr>
          <w:rFonts w:asciiTheme="majorEastAsia" w:hAnsiTheme="majorEastAsia" w:eastAsiaTheme="majorEastAsia" w:cstheme="majorEastAsia"/>
          <w:szCs w:val="28"/>
        </w:rPr>
      </w:pPr>
      <w:r>
        <w:rPr>
          <w:rFonts w:hint="eastAsia" w:asciiTheme="majorEastAsia" w:hAnsiTheme="majorEastAsia" w:eastAsiaTheme="majorEastAsia" w:cstheme="majorEastAsia"/>
          <w:sz w:val="24"/>
          <w:szCs w:val="24"/>
        </w:rPr>
        <w:t>本项目不收取履约保证金</w:t>
      </w:r>
      <w:r>
        <w:rPr>
          <w:rFonts w:hint="eastAsia" w:asciiTheme="majorEastAsia" w:hAnsiTheme="majorEastAsia" w:eastAsiaTheme="majorEastAsia" w:cstheme="majorEastAsia"/>
          <w:szCs w:val="28"/>
        </w:rPr>
        <w:t>。</w:t>
      </w:r>
    </w:p>
    <w:p>
      <w:pPr>
        <w:pStyle w:val="14"/>
        <w:spacing w:line="360" w:lineRule="auto"/>
        <w:ind w:left="410" w:hanging="412" w:hangingChars="171"/>
        <w:outlineLvl w:val="1"/>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bCs/>
          <w:sz w:val="24"/>
          <w:szCs w:val="24"/>
        </w:rPr>
        <w:t>5.  产权</w:t>
      </w:r>
    </w:p>
    <w:p>
      <w:pPr>
        <w:pStyle w:val="14"/>
        <w:spacing w:line="360" w:lineRule="auto"/>
        <w:ind w:firstLine="480" w:firstLineChars="20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rPr>
        <w:t>5.1 乙方应保证所提供的服务或其任何一部分均不会侵犯任何第三方的专利权、商标权或著作权</w:t>
      </w:r>
      <w:r>
        <w:rPr>
          <w:rFonts w:hint="eastAsia" w:asciiTheme="majorEastAsia" w:hAnsiTheme="majorEastAsia" w:eastAsiaTheme="majorEastAsia" w:cstheme="majorEastAsia"/>
          <w:bCs/>
          <w:sz w:val="24"/>
          <w:szCs w:val="24"/>
        </w:rPr>
        <w:t>。</w:t>
      </w:r>
    </w:p>
    <w:p>
      <w:pPr>
        <w:pStyle w:val="14"/>
        <w:spacing w:line="360" w:lineRule="auto"/>
        <w:ind w:firstLine="480" w:firstLineChars="20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14"/>
        <w:spacing w:line="360" w:lineRule="auto"/>
        <w:outlineLvl w:val="1"/>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bCs/>
          <w:sz w:val="24"/>
          <w:szCs w:val="24"/>
        </w:rPr>
        <w:t>6.  技术资料</w:t>
      </w:r>
    </w:p>
    <w:p>
      <w:pPr>
        <w:pStyle w:val="14"/>
        <w:tabs>
          <w:tab w:val="left" w:pos="0"/>
        </w:tabs>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6.1 甲方应向乙方提供提交服务成果所必需的有关数据、资料等。</w:t>
      </w:r>
    </w:p>
    <w:p>
      <w:pPr>
        <w:pStyle w:val="14"/>
        <w:tabs>
          <w:tab w:val="left" w:pos="0"/>
        </w:tabs>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spacing w:line="360" w:lineRule="auto"/>
        <w:outlineLvl w:val="1"/>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7.  验收</w:t>
      </w:r>
    </w:p>
    <w:p>
      <w:pPr>
        <w:pStyle w:val="14"/>
        <w:tabs>
          <w:tab w:val="left" w:pos="0"/>
        </w:tabs>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7.1 乙方应对提交的服务成果作出全面检查和整理，并列出清单，作为甲方验收和使用的技术条件依据，清单应随提交的服务成果交给甲方。</w:t>
      </w:r>
    </w:p>
    <w:p>
      <w:pPr>
        <w:pStyle w:val="14"/>
        <w:tabs>
          <w:tab w:val="left" w:pos="0"/>
        </w:tabs>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 乙方在指定地点提交服务成果后，甲方应在五个工作日内依据竞争性磋商采购文件、乙方的响应文件等组织验收，验收完毕后作出书面验收报告。验收时乙方必须在现场。</w:t>
      </w:r>
    </w:p>
    <w:p>
      <w:pPr>
        <w:pStyle w:val="14"/>
        <w:tabs>
          <w:tab w:val="left" w:pos="0"/>
        </w:tabs>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7.3 对复杂的服务，甲方可请国家认可的专业机构参与验收，并由其出具验收报告，相关费用由甲方承担。</w:t>
      </w:r>
    </w:p>
    <w:p>
      <w:pPr>
        <w:pStyle w:val="14"/>
        <w:spacing w:line="360" w:lineRule="auto"/>
        <w:outlineLvl w:val="1"/>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8.  合同款支付</w:t>
      </w:r>
    </w:p>
    <w:p>
      <w:pPr>
        <w:tabs>
          <w:tab w:val="left" w:pos="2101"/>
        </w:tabs>
        <w:spacing w:line="360" w:lineRule="auto"/>
        <w:ind w:firstLine="480" w:firstLineChars="200"/>
        <w:rPr>
          <w:rFonts w:asciiTheme="majorEastAsia" w:hAnsiTheme="majorEastAsia" w:eastAsiaTheme="majorEastAsia" w:cstheme="majorEastAsia"/>
          <w:sz w:val="24"/>
          <w:u w:val="single"/>
        </w:rPr>
      </w:pPr>
      <w:r>
        <w:rPr>
          <w:rFonts w:hint="eastAsia" w:asciiTheme="majorEastAsia" w:hAnsiTheme="majorEastAsia" w:eastAsiaTheme="majorEastAsia" w:cstheme="majorEastAsia"/>
          <w:bCs/>
          <w:sz w:val="24"/>
        </w:rPr>
        <w:t>8.1 付款方式：</w:t>
      </w:r>
      <w:r>
        <w:rPr>
          <w:rFonts w:hint="eastAsia" w:ascii="宋体" w:hAnsi="宋体" w:cs="宋体"/>
          <w:sz w:val="24"/>
          <w:u w:val="single"/>
        </w:rPr>
        <w:t>本项目无预付款，成交供应商交付完毕并验收合格后，一次性支付合同款。</w:t>
      </w:r>
    </w:p>
    <w:p>
      <w:pPr>
        <w:pStyle w:val="14"/>
        <w:tabs>
          <w:tab w:val="left" w:pos="5145"/>
          <w:tab w:val="left" w:pos="5355"/>
          <w:tab w:val="left" w:pos="6195"/>
        </w:tabs>
        <w:spacing w:line="360" w:lineRule="auto"/>
        <w:ind w:firstLine="480" w:firstLineChars="200"/>
        <w:rPr>
          <w:rFonts w:asciiTheme="majorEastAsia" w:hAnsiTheme="majorEastAsia" w:eastAsiaTheme="majorEastAsia" w:cstheme="majorEastAsia"/>
          <w:bCs/>
          <w:sz w:val="24"/>
          <w:szCs w:val="24"/>
          <w:u w:val="single"/>
        </w:rPr>
      </w:pPr>
      <w:r>
        <w:rPr>
          <w:rFonts w:hint="eastAsia" w:asciiTheme="majorEastAsia" w:hAnsiTheme="majorEastAsia" w:eastAsiaTheme="majorEastAsia" w:cstheme="majorEastAsia"/>
          <w:sz w:val="24"/>
          <w:szCs w:val="24"/>
        </w:rPr>
        <w:t>8.2 支付合同款时，由甲方按照合同约定向良庆区财政局提交《政府采购履约验收证明和资金支付申请表》等完整且合格的支付申请材料；良庆区财政局按财政国库直接支付程序将款项直接支付给供应商。</w:t>
      </w:r>
    </w:p>
    <w:p>
      <w:pPr>
        <w:pStyle w:val="14"/>
        <w:tabs>
          <w:tab w:val="left" w:pos="5145"/>
          <w:tab w:val="left" w:pos="5355"/>
          <w:tab w:val="left" w:pos="6195"/>
        </w:tabs>
        <w:spacing w:line="360" w:lineRule="auto"/>
        <w:ind w:firstLine="480" w:firstLineChars="200"/>
        <w:rPr>
          <w:rFonts w:asciiTheme="majorEastAsia" w:hAnsiTheme="majorEastAsia" w:eastAsiaTheme="majorEastAsia" w:cstheme="majorEastAsia"/>
          <w:bCs/>
          <w:sz w:val="24"/>
          <w:szCs w:val="24"/>
          <w:u w:val="single"/>
        </w:rPr>
      </w:pPr>
      <w:r>
        <w:rPr>
          <w:rFonts w:hint="eastAsia" w:asciiTheme="majorEastAsia" w:hAnsiTheme="majorEastAsia" w:eastAsiaTheme="majorEastAsia" w:cstheme="majorEastAsia"/>
          <w:sz w:val="24"/>
          <w:szCs w:val="24"/>
        </w:rPr>
        <w:t xml:space="preserve">8.3 </w:t>
      </w:r>
      <w:r>
        <w:rPr>
          <w:rFonts w:hint="eastAsia" w:asciiTheme="majorEastAsia" w:hAnsiTheme="majorEastAsia" w:eastAsiaTheme="majorEastAsia" w:cstheme="majorEastAsia"/>
          <w:bCs/>
          <w:sz w:val="24"/>
          <w:szCs w:val="24"/>
        </w:rPr>
        <w:t>南宁市良庆区</w:t>
      </w:r>
      <w:r>
        <w:rPr>
          <w:rFonts w:hint="eastAsia" w:asciiTheme="majorEastAsia" w:hAnsiTheme="majorEastAsia" w:eastAsiaTheme="majorEastAsia" w:cstheme="majorEastAsia"/>
          <w:sz w:val="24"/>
          <w:szCs w:val="24"/>
        </w:rPr>
        <w:t>政府采购监督管理部门在处理投诉事项期间，可以视具体情况书面通知采购人暂停采购活动</w:t>
      </w:r>
      <w:r>
        <w:rPr>
          <w:rFonts w:hint="eastAsia" w:asciiTheme="majorEastAsia" w:hAnsiTheme="majorEastAsia" w:eastAsiaTheme="majorEastAsia" w:cstheme="majorEastAsia"/>
          <w:bCs/>
          <w:sz w:val="24"/>
          <w:szCs w:val="24"/>
        </w:rPr>
        <w:t>，并延期支付合同款。</w:t>
      </w:r>
    </w:p>
    <w:p>
      <w:pPr>
        <w:pStyle w:val="14"/>
        <w:spacing w:line="360" w:lineRule="auto"/>
        <w:outlineLvl w:val="1"/>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9.  售后服务要求</w:t>
      </w:r>
    </w:p>
    <w:p>
      <w:pPr>
        <w:pStyle w:val="14"/>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9.1 乙方提供服务的质量保证期为：</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（自提交服务验收合格之日起计）</w:t>
      </w:r>
    </w:p>
    <w:p>
      <w:pPr>
        <w:pStyle w:val="14"/>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9.2在本合同第9.1项约定的质量保证期内，乙方应对服务出现的问题负责处理解决并承担一切费用。</w:t>
      </w:r>
    </w:p>
    <w:p>
      <w:pPr>
        <w:pStyle w:val="14"/>
        <w:tabs>
          <w:tab w:val="left" w:pos="5250"/>
        </w:tabs>
        <w:spacing w:line="360" w:lineRule="auto"/>
        <w:ind w:firstLine="480" w:firstLineChars="200"/>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9.5 其他售后服务要求：</w:t>
      </w:r>
      <w:r>
        <w:rPr>
          <w:rFonts w:hint="eastAsia" w:asciiTheme="majorEastAsia" w:hAnsiTheme="majorEastAsia" w:eastAsiaTheme="majorEastAsia" w:cstheme="majorEastAsia"/>
          <w:sz w:val="24"/>
          <w:szCs w:val="24"/>
          <w:u w:val="single"/>
        </w:rPr>
        <w:t xml:space="preserve">                                                    </w:t>
      </w:r>
    </w:p>
    <w:p>
      <w:pPr>
        <w:pStyle w:val="14"/>
        <w:spacing w:line="360" w:lineRule="auto"/>
        <w:outlineLvl w:val="1"/>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10.  违约责任</w:t>
      </w:r>
    </w:p>
    <w:p>
      <w:pPr>
        <w:pStyle w:val="14"/>
        <w:spacing w:line="360" w:lineRule="auto"/>
        <w:ind w:firstLine="410" w:firstLineChars="171"/>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10.1甲方无正当理由拒收服务的，甲方向乙方偿付拒收服务费总值的百分之五违约金。</w:t>
      </w:r>
    </w:p>
    <w:p>
      <w:pPr>
        <w:pStyle w:val="14"/>
        <w:spacing w:line="360" w:lineRule="auto"/>
        <w:ind w:firstLine="410" w:firstLineChars="171"/>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10.2 甲方无故逾期接收和办理服务费支付手续的,甲方应按逾期付款总额每日万分之五向乙方支付违约金。</w:t>
      </w:r>
    </w:p>
    <w:p>
      <w:pPr>
        <w:pStyle w:val="14"/>
        <w:spacing w:line="360" w:lineRule="auto"/>
        <w:ind w:firstLine="410" w:firstLineChars="171"/>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10.3 乙方逾期交付服务的，乙方应按逾期提供服务总额每日千分之六向甲方支付违约金，由甲方从待付服务费中扣除。逾期超过约定日期10个工作日不能提供服务的，甲方可解除本合同。乙方因逾期提供服务或因其他违约行为导致甲方解除合同的，乙方应向甲方支付合同总值5%的违约金，如造成甲方损失超过违约金的，超出部分由乙方继续承担赔偿责任。</w:t>
      </w:r>
    </w:p>
    <w:p>
      <w:pPr>
        <w:pStyle w:val="14"/>
        <w:spacing w:line="360" w:lineRule="auto"/>
        <w:outlineLvl w:val="1"/>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11.  不可抗力事件处理</w:t>
      </w:r>
    </w:p>
    <w:p>
      <w:pPr>
        <w:pStyle w:val="14"/>
        <w:spacing w:line="360" w:lineRule="auto"/>
        <w:ind w:firstLine="410" w:firstLineChars="171"/>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11.1 在合同有效期内，任何一方因不可抗力事件导致不能履行合同，则合同履行期可延长，其延长期与不可抗力影响期相同。</w:t>
      </w:r>
    </w:p>
    <w:p>
      <w:pPr>
        <w:pStyle w:val="14"/>
        <w:spacing w:line="360" w:lineRule="auto"/>
        <w:ind w:firstLine="410" w:firstLineChars="171"/>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11.2 不可抗力事件发生后，应立即通知对方，并寄送有关权威机构出具的证明。</w:t>
      </w:r>
    </w:p>
    <w:p>
      <w:pPr>
        <w:pStyle w:val="14"/>
        <w:spacing w:line="360" w:lineRule="auto"/>
        <w:ind w:firstLine="410" w:firstLineChars="171"/>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11.3 不可抗力事件延续120天以上，双方应通过友好协商，确定是否继续履行合同。</w:t>
      </w:r>
    </w:p>
    <w:p>
      <w:pPr>
        <w:pStyle w:val="14"/>
        <w:spacing w:line="360" w:lineRule="auto"/>
        <w:outlineLvl w:val="1"/>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12.  诉讼</w:t>
      </w:r>
    </w:p>
    <w:p>
      <w:pPr>
        <w:pStyle w:val="14"/>
        <w:tabs>
          <w:tab w:val="left" w:pos="0"/>
        </w:tabs>
        <w:spacing w:line="360" w:lineRule="auto"/>
        <w:ind w:firstLine="410" w:firstLineChars="171"/>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12.1 双方在执行合同中所发生的一切争议，应通过协商解决。如协商不成，可向合同签订地法院起诉，合同签订地在此约定为广西南宁市。</w:t>
      </w:r>
    </w:p>
    <w:p>
      <w:pPr>
        <w:pStyle w:val="14"/>
        <w:spacing w:line="360" w:lineRule="auto"/>
        <w:outlineLvl w:val="1"/>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13.  合同生效及其它</w:t>
      </w:r>
    </w:p>
    <w:p>
      <w:pPr>
        <w:pStyle w:val="14"/>
        <w:spacing w:line="360" w:lineRule="auto"/>
        <w:ind w:firstLine="36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13.1 合同经双方法定代表人或授权委托代理人签字并加盖单位公章后生效。</w:t>
      </w:r>
    </w:p>
    <w:p>
      <w:pPr>
        <w:pStyle w:val="14"/>
        <w:spacing w:line="360" w:lineRule="auto"/>
        <w:ind w:firstLine="36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13.2 合同执行中涉及采购资金和采购内容修改或补充的，须经市财政部门审批，并签书面补充协议报</w:t>
      </w:r>
      <w:r>
        <w:rPr>
          <w:rFonts w:hint="eastAsia" w:asciiTheme="majorEastAsia" w:hAnsiTheme="majorEastAsia" w:eastAsiaTheme="majorEastAsia" w:cstheme="majorEastAsia"/>
          <w:bCs/>
          <w:sz w:val="24"/>
          <w:szCs w:val="24"/>
        </w:rPr>
        <w:t>南宁市良庆区</w:t>
      </w:r>
      <w:r>
        <w:rPr>
          <w:rFonts w:hint="eastAsia" w:asciiTheme="majorEastAsia" w:hAnsiTheme="majorEastAsia" w:eastAsiaTheme="majorEastAsia" w:cstheme="majorEastAsia"/>
          <w:sz w:val="24"/>
          <w:szCs w:val="24"/>
        </w:rPr>
        <w:t>政府采购监督管理部门备案，方可作为主合同不可分割的一部分。</w:t>
      </w:r>
    </w:p>
    <w:p>
      <w:pPr>
        <w:pStyle w:val="14"/>
        <w:spacing w:line="360" w:lineRule="auto"/>
        <w:ind w:firstLine="36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13.3 下述合同附件为本合同不可分割的部分并与本合同具有同等效力：</w:t>
      </w:r>
    </w:p>
    <w:p>
      <w:pPr>
        <w:pStyle w:val="14"/>
        <w:spacing w:line="360" w:lineRule="auto"/>
        <w:ind w:firstLine="360"/>
        <w:outlineLvl w:val="2"/>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（1）成交通知书；</w:t>
      </w:r>
    </w:p>
    <w:p>
      <w:pPr>
        <w:pStyle w:val="14"/>
        <w:spacing w:line="360" w:lineRule="auto"/>
        <w:ind w:firstLine="360"/>
        <w:outlineLvl w:val="2"/>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（2）竞争性磋商采购文件服务需求一览表；</w:t>
      </w:r>
    </w:p>
    <w:p>
      <w:pPr>
        <w:pStyle w:val="14"/>
        <w:spacing w:line="360" w:lineRule="auto"/>
        <w:ind w:firstLine="360"/>
        <w:outlineLvl w:val="2"/>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（3）竞争性磋商采购文件的澄清和修改；</w:t>
      </w:r>
    </w:p>
    <w:p>
      <w:pPr>
        <w:pStyle w:val="14"/>
        <w:spacing w:line="360" w:lineRule="auto"/>
        <w:ind w:firstLine="360"/>
        <w:outlineLvl w:val="2"/>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（4）响应文件报价表、响应文件最后报价表；</w:t>
      </w:r>
    </w:p>
    <w:p>
      <w:pPr>
        <w:pStyle w:val="14"/>
        <w:spacing w:line="360" w:lineRule="auto"/>
        <w:ind w:firstLine="360"/>
        <w:outlineLvl w:val="2"/>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（5）响应文件中的服务技术资料表、商务条款偏离表；</w:t>
      </w:r>
    </w:p>
    <w:p>
      <w:pPr>
        <w:pStyle w:val="14"/>
        <w:spacing w:line="360" w:lineRule="auto"/>
        <w:ind w:firstLine="360"/>
        <w:outlineLvl w:val="2"/>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（6）成交供应商澄清函；</w:t>
      </w:r>
    </w:p>
    <w:p>
      <w:pPr>
        <w:pStyle w:val="14"/>
        <w:spacing w:line="360" w:lineRule="auto"/>
        <w:ind w:firstLine="360"/>
        <w:outlineLvl w:val="2"/>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（7）其他与本合同相关的资料。</w:t>
      </w:r>
    </w:p>
    <w:p>
      <w:pPr>
        <w:pStyle w:val="14"/>
        <w:spacing w:line="360" w:lineRule="auto"/>
        <w:ind w:firstLine="36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13.4 本合同未尽事宜，遵照《中华人民共和国合同法》有关条文执行。</w:t>
      </w:r>
    </w:p>
    <w:p>
      <w:pPr>
        <w:pStyle w:val="14"/>
        <w:spacing w:line="360" w:lineRule="auto"/>
        <w:ind w:firstLine="36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rPr>
        <w:t>13.5本合同正本一式</w:t>
      </w:r>
      <w:r>
        <w:rPr>
          <w:rFonts w:hint="eastAsia" w:asciiTheme="majorEastAsia" w:hAnsiTheme="majorEastAsia" w:eastAsiaTheme="majorEastAsia" w:cstheme="majorEastAsia"/>
          <w:b/>
          <w:sz w:val="24"/>
        </w:rPr>
        <w:t>陆份</w:t>
      </w:r>
      <w:r>
        <w:rPr>
          <w:rFonts w:hint="eastAsia" w:asciiTheme="majorEastAsia" w:hAnsiTheme="majorEastAsia" w:eastAsiaTheme="majorEastAsia" w:cstheme="majorEastAsia"/>
          <w:sz w:val="24"/>
        </w:rPr>
        <w:t>，具有同等法律效力，甲乙双方各执</w:t>
      </w:r>
      <w:r>
        <w:rPr>
          <w:rFonts w:hint="eastAsia" w:asciiTheme="majorEastAsia" w:hAnsiTheme="majorEastAsia" w:eastAsiaTheme="majorEastAsia" w:cstheme="majorEastAsia"/>
          <w:b/>
          <w:sz w:val="24"/>
        </w:rPr>
        <w:t>叁份</w:t>
      </w:r>
      <w:r>
        <w:rPr>
          <w:rFonts w:hint="eastAsia" w:asciiTheme="majorEastAsia" w:hAnsiTheme="majorEastAsia" w:eastAsiaTheme="majorEastAsia" w:cstheme="majorEastAsia"/>
          <w:sz w:val="24"/>
        </w:rPr>
        <w:t>；副本</w:t>
      </w:r>
      <w:r>
        <w:rPr>
          <w:rFonts w:hint="eastAsia" w:asciiTheme="majorEastAsia" w:hAnsiTheme="majorEastAsia" w:eastAsiaTheme="majorEastAsia" w:cstheme="majorEastAsia"/>
          <w:b/>
          <w:sz w:val="24"/>
        </w:rPr>
        <w:t>肆份</w:t>
      </w:r>
      <w:r>
        <w:rPr>
          <w:rFonts w:hint="eastAsia" w:asciiTheme="majorEastAsia" w:hAnsiTheme="majorEastAsia" w:eastAsiaTheme="majorEastAsia" w:cstheme="majorEastAsia"/>
          <w:sz w:val="24"/>
        </w:rPr>
        <w:t>，甲乙双方各执</w:t>
      </w:r>
      <w:r>
        <w:rPr>
          <w:rFonts w:hint="eastAsia" w:asciiTheme="majorEastAsia" w:hAnsiTheme="majorEastAsia" w:eastAsiaTheme="majorEastAsia" w:cstheme="majorEastAsia"/>
          <w:b/>
          <w:sz w:val="24"/>
        </w:rPr>
        <w:t>壹份</w:t>
      </w:r>
      <w:r>
        <w:rPr>
          <w:rFonts w:hint="eastAsia" w:asciiTheme="majorEastAsia" w:hAnsiTheme="majorEastAsia" w:eastAsiaTheme="majorEastAsia" w:cstheme="majorEastAsia"/>
          <w:sz w:val="24"/>
        </w:rPr>
        <w:t>，采购代理</w:t>
      </w:r>
      <w:r>
        <w:rPr>
          <w:rFonts w:hint="eastAsia" w:asciiTheme="majorEastAsia" w:hAnsiTheme="majorEastAsia" w:eastAsiaTheme="majorEastAsia" w:cstheme="majorEastAsia"/>
          <w:b/>
          <w:sz w:val="24"/>
        </w:rPr>
        <w:t>贰份</w:t>
      </w:r>
      <w:r>
        <w:rPr>
          <w:rFonts w:hint="eastAsia" w:asciiTheme="majorEastAsia" w:hAnsiTheme="majorEastAsia" w:eastAsiaTheme="majorEastAsia" w:cstheme="majorEastAsia"/>
          <w:sz w:val="24"/>
          <w:szCs w:val="24"/>
        </w:rPr>
        <w:t>。自合同签订之日起2个工作日内由成交供应商将合同送至采购代理机构处，</w:t>
      </w:r>
      <w:r>
        <w:rPr>
          <w:rFonts w:hint="eastAsia" w:hAnsi="宋体"/>
          <w:sz w:val="24"/>
          <w:szCs w:val="24"/>
        </w:rPr>
        <w:t>采购代理机构将政府采购合同在省级以上人民政府财政部门指定的媒体上公告</w:t>
      </w:r>
      <w:r>
        <w:rPr>
          <w:rFonts w:hint="eastAsia" w:asciiTheme="majorEastAsia" w:hAnsiTheme="majorEastAsia" w:eastAsiaTheme="majorEastAsia" w:cstheme="majorEastAsia"/>
          <w:sz w:val="24"/>
          <w:szCs w:val="24"/>
        </w:rPr>
        <w:t>。甲方自合同签订之日起五个工作日内将合同副本报良庆区财政局备案。</w:t>
      </w:r>
    </w:p>
    <w:p>
      <w:pPr>
        <w:spacing w:line="360" w:lineRule="auto"/>
        <w:rPr>
          <w:rFonts w:asciiTheme="majorEastAsia" w:hAnsiTheme="majorEastAsia" w:eastAsiaTheme="majorEastAsia" w:cstheme="majorEastAsia"/>
          <w:sz w:val="24"/>
        </w:rPr>
      </w:pPr>
    </w:p>
    <w:p>
      <w:pPr>
        <w:pStyle w:val="14"/>
        <w:spacing w:line="360" w:lineRule="auto"/>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甲方：</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 xml:space="preserve">    乙方：</w:t>
      </w:r>
      <w:r>
        <w:rPr>
          <w:rFonts w:hint="eastAsia" w:asciiTheme="majorEastAsia" w:hAnsiTheme="majorEastAsia" w:eastAsiaTheme="majorEastAsia" w:cstheme="majorEastAsia"/>
          <w:sz w:val="24"/>
          <w:szCs w:val="24"/>
          <w:u w:val="single"/>
        </w:rPr>
        <w:t xml:space="preserve">                                    </w:t>
      </w:r>
    </w:p>
    <w:p>
      <w:pPr>
        <w:pStyle w:val="14"/>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地址：</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 xml:space="preserve">    地址：</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 xml:space="preserve">     </w:t>
      </w:r>
    </w:p>
    <w:p>
      <w:pPr>
        <w:pStyle w:val="14"/>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 xml:space="preserve">    法定代表人：</w:t>
      </w:r>
      <w:r>
        <w:rPr>
          <w:rFonts w:hint="eastAsia" w:asciiTheme="majorEastAsia" w:hAnsiTheme="majorEastAsia" w:eastAsiaTheme="majorEastAsia" w:cstheme="majorEastAsia"/>
          <w:sz w:val="24"/>
          <w:szCs w:val="24"/>
          <w:u w:val="single"/>
        </w:rPr>
        <w:t xml:space="preserve">                              </w:t>
      </w:r>
    </w:p>
    <w:p>
      <w:pPr>
        <w:pStyle w:val="14"/>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委托代理人：</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 xml:space="preserve">    委托代理人：</w:t>
      </w:r>
      <w:r>
        <w:rPr>
          <w:rFonts w:hint="eastAsia" w:asciiTheme="majorEastAsia" w:hAnsiTheme="majorEastAsia" w:eastAsiaTheme="majorEastAsia" w:cstheme="majorEastAsia"/>
          <w:sz w:val="24"/>
          <w:szCs w:val="24"/>
          <w:u w:val="single"/>
        </w:rPr>
        <w:t xml:space="preserve">                              </w:t>
      </w:r>
    </w:p>
    <w:p>
      <w:pPr>
        <w:pStyle w:val="14"/>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电话：</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 xml:space="preserve">    电话：</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 xml:space="preserve">       </w:t>
      </w:r>
    </w:p>
    <w:p>
      <w:pPr>
        <w:pStyle w:val="14"/>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传真：</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 xml:space="preserve">    传真：</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 xml:space="preserve">    </w:t>
      </w:r>
    </w:p>
    <w:p>
      <w:pPr>
        <w:pStyle w:val="14"/>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邮政编码：</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 xml:space="preserve">    邮政编码：</w:t>
      </w:r>
      <w:r>
        <w:rPr>
          <w:rFonts w:hint="eastAsia" w:asciiTheme="majorEastAsia" w:hAnsiTheme="majorEastAsia" w:eastAsiaTheme="majorEastAsia" w:cstheme="majorEastAsia"/>
          <w:sz w:val="24"/>
          <w:szCs w:val="24"/>
          <w:u w:val="single"/>
        </w:rPr>
        <w:t xml:space="preserve">                                </w:t>
      </w:r>
    </w:p>
    <w:p>
      <w:pPr>
        <w:pStyle w:val="14"/>
        <w:spacing w:line="360" w:lineRule="auto"/>
        <w:ind w:firstLine="5520" w:firstLineChars="2300"/>
        <w:rPr>
          <w:rFonts w:asciiTheme="majorEastAsia" w:hAnsiTheme="majorEastAsia" w:eastAsiaTheme="majorEastAsia" w:cstheme="majorEastAsia"/>
          <w:u w:val="single"/>
        </w:rPr>
      </w:pPr>
      <w:r>
        <w:rPr>
          <w:rFonts w:hint="eastAsia" w:asciiTheme="majorEastAsia" w:hAnsiTheme="majorEastAsia" w:eastAsiaTheme="majorEastAsia" w:cstheme="majorEastAsia"/>
          <w:sz w:val="24"/>
          <w:szCs w:val="24"/>
        </w:rPr>
        <w:t>统一社会代码：</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u w:val="single"/>
        </w:rPr>
        <w:t xml:space="preserve">                   </w:t>
      </w:r>
    </w:p>
    <w:p>
      <w:pPr>
        <w:pStyle w:val="14"/>
        <w:spacing w:line="360" w:lineRule="auto"/>
        <w:ind w:firstLine="5520" w:firstLineChars="2300"/>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开户银行：</w:t>
      </w:r>
      <w:r>
        <w:rPr>
          <w:rFonts w:hint="eastAsia" w:asciiTheme="majorEastAsia" w:hAnsiTheme="majorEastAsia" w:eastAsiaTheme="majorEastAsia" w:cstheme="majorEastAsia"/>
          <w:sz w:val="24"/>
          <w:szCs w:val="24"/>
          <w:u w:val="single"/>
        </w:rPr>
        <w:t xml:space="preserve">                                </w:t>
      </w:r>
    </w:p>
    <w:p>
      <w:pPr>
        <w:pStyle w:val="14"/>
        <w:spacing w:line="360" w:lineRule="auto"/>
        <w:ind w:firstLine="5520" w:firstLineChars="2300"/>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开户名称：</w:t>
      </w:r>
      <w:r>
        <w:rPr>
          <w:rFonts w:hint="eastAsia" w:asciiTheme="majorEastAsia" w:hAnsiTheme="majorEastAsia" w:eastAsiaTheme="majorEastAsia" w:cstheme="majorEastAsia"/>
          <w:sz w:val="24"/>
          <w:szCs w:val="24"/>
          <w:u w:val="single"/>
        </w:rPr>
        <w:t xml:space="preserve">                                </w:t>
      </w:r>
    </w:p>
    <w:p>
      <w:pPr>
        <w:pStyle w:val="14"/>
        <w:spacing w:line="360" w:lineRule="auto"/>
        <w:ind w:firstLine="5520" w:firstLineChars="2300"/>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银行账号：</w:t>
      </w:r>
      <w:r>
        <w:rPr>
          <w:rFonts w:hint="eastAsia" w:asciiTheme="majorEastAsia" w:hAnsiTheme="majorEastAsia" w:eastAsiaTheme="majorEastAsia" w:cstheme="majorEastAsia"/>
          <w:sz w:val="24"/>
          <w:szCs w:val="24"/>
          <w:u w:val="single"/>
        </w:rPr>
        <w:t xml:space="preserve">                                </w:t>
      </w:r>
    </w:p>
    <w:p>
      <w:pPr>
        <w:pStyle w:val="14"/>
        <w:spacing w:line="360" w:lineRule="auto"/>
        <w:rPr>
          <w:rFonts w:asciiTheme="majorEastAsia" w:hAnsiTheme="majorEastAsia" w:eastAsiaTheme="majorEastAsia" w:cstheme="majorEastAsia"/>
          <w:sz w:val="24"/>
          <w:szCs w:val="24"/>
        </w:rPr>
      </w:pPr>
    </w:p>
    <w:p>
      <w:pPr>
        <w:pStyle w:val="14"/>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合同签订地点：广西南宁市 </w:t>
      </w:r>
    </w:p>
    <w:p>
      <w:pPr>
        <w:pStyle w:val="14"/>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合同签订日期：</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日</w:t>
      </w:r>
    </w:p>
    <w:sectPr>
      <w:pgSz w:w="11906" w:h="16838"/>
      <w:pgMar w:top="1440" w:right="1080" w:bottom="1440" w:left="1080"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onsolas">
    <w:panose1 w:val="020B0609020204030204"/>
    <w:charset w:val="00"/>
    <w:family w:val="auto"/>
    <w:pitch w:val="default"/>
    <w:sig w:usb0="E00006FF" w:usb1="0000FCFF" w:usb2="00000001" w:usb3="00000000" w:csb0="6000019F" w:csb1="DFD7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26954"/>
    </w:sdtPr>
    <w:sdtContent>
      <w:p>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2"/>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672210"/>
    </w:sdtPr>
    <w:sdtContent>
      <w:p>
        <w:pPr>
          <w:pStyle w:val="2"/>
          <w:jc w:val="center"/>
        </w:pPr>
        <w:r>
          <w:fldChar w:fldCharType="begin"/>
        </w:r>
        <w:r>
          <w:instrText xml:space="preserve"> PAGE   \* MERGEFORMAT </w:instrText>
        </w:r>
        <w:r>
          <w:fldChar w:fldCharType="separate"/>
        </w:r>
        <w:r>
          <w:rPr>
            <w:lang w:val="zh-CN"/>
          </w:rPr>
          <w:t>29</w:t>
        </w:r>
        <w:r>
          <w:rPr>
            <w:lang w:val="zh-CN"/>
          </w:rPr>
          <w:fldChar w:fldCharType="end"/>
        </w:r>
      </w:p>
    </w:sdtContent>
  </w:sdt>
  <w:p>
    <w:pPr>
      <w:pStyle w:val="2"/>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2"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2"/>
                          </w:pPr>
                          <w:r>
                            <w:fldChar w:fldCharType="begin"/>
                          </w:r>
                          <w:r>
                            <w:instrText xml:space="preserve"> PAGE  \* MERGEFORMAT </w:instrText>
                          </w:r>
                          <w:r>
                            <w:fldChar w:fldCharType="separate"/>
                          </w:r>
                          <w:r>
                            <w:t>50</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D5X5J0AAA&#10;AAMBAAAPAAAAAAAAAAEAIAAAACIAAABkcnMvZG93bnJldi54bWxQSwECFAAUAAAACACHTuJAu/XT&#10;jLQBAABJAwAADgAAAAAAAAABACAAAAAfAQAAZHJzL2Uyb0RvYy54bWxQSwUGAAAAAAYABgBZAQAA&#10;RQ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outlineLvl w:val="0"/>
      <w:rPr>
        <w:rFonts w:asciiTheme="minorEastAsia" w:hAnsiTheme="minorEastAsia" w:eastAsiaTheme="minorEastAsia"/>
        <w:b/>
        <w:color w:val="000000" w:themeColor="text1"/>
        <w:sz w:val="18"/>
        <w:szCs w:val="18"/>
        <w:u w:val="single"/>
        <w14:textFill>
          <w14:solidFill>
            <w14:schemeClr w14:val="tx1"/>
          </w14:solidFill>
        </w14:textFill>
      </w:rPr>
    </w:pPr>
    <w:r>
      <w:rPr>
        <w:rFonts w:hint="eastAsia" w:asciiTheme="minorEastAsia" w:hAnsiTheme="minorEastAsia" w:eastAsiaTheme="minorEastAsia"/>
        <w:b/>
        <w:color w:val="000000" w:themeColor="text1"/>
        <w:sz w:val="16"/>
        <w:szCs w:val="16"/>
        <w:u w:val="single"/>
        <w14:textFill>
          <w14:solidFill>
            <w14:schemeClr w14:val="tx1"/>
          </w14:solidFill>
        </w14:textFill>
      </w:rPr>
      <w:t>项目名称：第九届中国创新创业大赛广西赛区南宁市选拔赛暨第五届南宁市创新创业大赛服务    项目编号：NNZC2020-C3-080001-GXYZ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outlineLvl w:val="0"/>
      <w:rPr>
        <w:rFonts w:asciiTheme="minorEastAsia" w:hAnsiTheme="minorEastAsia" w:eastAsiaTheme="minorEastAsia"/>
        <w:b/>
        <w:color w:val="000000" w:themeColor="text1"/>
        <w:sz w:val="16"/>
        <w:szCs w:val="16"/>
        <w:u w:val="single"/>
        <w14:textFill>
          <w14:solidFill>
            <w14:schemeClr w14:val="tx1"/>
          </w14:solidFill>
        </w14:textFill>
      </w:rPr>
    </w:pPr>
    <w:r>
      <w:rPr>
        <w:rFonts w:hint="eastAsia" w:asciiTheme="minorEastAsia" w:hAnsiTheme="minorEastAsia" w:eastAsiaTheme="minorEastAsia"/>
        <w:b/>
        <w:color w:val="000000" w:themeColor="text1"/>
        <w:sz w:val="16"/>
        <w:szCs w:val="16"/>
        <w:u w:val="single"/>
        <w14:textFill>
          <w14:solidFill>
            <w14:schemeClr w14:val="tx1"/>
          </w14:solidFill>
        </w14:textFill>
      </w:rPr>
      <w:t>项目名称：第九届中国创新创业大赛广西赛区南宁市选拔赛暨第五届南宁市创新创业大赛服务        项目编号：NNZC2020-C3-080001-GXYZ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4"/>
      <w:lvlText w:val="%1.%2"/>
      <w:lvlJc w:val="left"/>
      <w:pPr>
        <w:tabs>
          <w:tab w:val="left" w:pos="1021"/>
        </w:tabs>
        <w:ind w:left="1021" w:hanging="596"/>
      </w:pPr>
      <w:rPr>
        <w:rFonts w:hint="default" w:ascii="Times New Roman" w:hAnsi="Times New Roman"/>
        <w:b/>
        <w:i w:val="0"/>
        <w:sz w:val="28"/>
      </w:rPr>
    </w:lvl>
    <w:lvl w:ilvl="2" w:tentative="0">
      <w:start w:val="1"/>
      <w:numFmt w:val="decimal"/>
      <w:pStyle w:val="5"/>
      <w:lvlText w:val="%1.%2.%3"/>
      <w:lvlJc w:val="left"/>
      <w:pPr>
        <w:tabs>
          <w:tab w:val="left" w:pos="1588"/>
        </w:tabs>
        <w:ind w:left="1588" w:hanging="737"/>
      </w:pPr>
      <w:rPr>
        <w:rFonts w:hint="default" w:ascii="Times New Roman" w:hAnsi="Times New Roman"/>
        <w:b/>
        <w:i w:val="0"/>
        <w:sz w:val="24"/>
      </w:rPr>
    </w:lvl>
    <w:lvl w:ilvl="3" w:tentative="0">
      <w:start w:val="1"/>
      <w:numFmt w:val="decimal"/>
      <w:pStyle w:val="6"/>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20B6157B"/>
    <w:multiLevelType w:val="multilevel"/>
    <w:tmpl w:val="20B6157B"/>
    <w:lvl w:ilvl="0" w:tentative="0">
      <w:start w:val="1"/>
      <w:numFmt w:val="decimal"/>
      <w:lvlText w:val="%1、"/>
      <w:lvlJc w:val="left"/>
      <w:pPr>
        <w:tabs>
          <w:tab w:val="left" w:pos="1778"/>
        </w:tabs>
        <w:ind w:left="1778"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0D07223"/>
    <w:multiLevelType w:val="multilevel"/>
    <w:tmpl w:val="20D07223"/>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22B364E5"/>
    <w:multiLevelType w:val="multilevel"/>
    <w:tmpl w:val="22B364E5"/>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562339E0"/>
    <w:multiLevelType w:val="multilevel"/>
    <w:tmpl w:val="562339E0"/>
    <w:lvl w:ilvl="0" w:tentative="0">
      <w:start w:val="1"/>
      <w:numFmt w:val="chineseCountingThousand"/>
      <w:pStyle w:val="68"/>
      <w:suff w:val="nothing"/>
      <w:lvlText w:val="%1、"/>
      <w:lvlJc w:val="left"/>
      <w:pPr>
        <w:ind w:left="0" w:firstLine="0"/>
      </w:pPr>
      <w:rPr>
        <w:rFonts w:hint="eastAsia" w:eastAsia="楷体_GB2312"/>
        <w:b/>
        <w:i w:val="0"/>
        <w:sz w:val="32"/>
        <w:szCs w:val="32"/>
      </w:rPr>
    </w:lvl>
    <w:lvl w:ilvl="1" w:tentative="0">
      <w:start w:val="1"/>
      <w:numFmt w:val="decimal"/>
      <w:isLgl/>
      <w:suff w:val="space"/>
      <w:lvlText w:val="%1.%2 "/>
      <w:lvlJc w:val="left"/>
      <w:pPr>
        <w:ind w:left="0" w:firstLine="0"/>
      </w:pPr>
      <w:rPr>
        <w:rFonts w:hint="eastAsia" w:eastAsia="黑体"/>
        <w:b/>
        <w:i w:val="0"/>
        <w:sz w:val="30"/>
        <w:szCs w:val="30"/>
      </w:rPr>
    </w:lvl>
    <w:lvl w:ilvl="2" w:tentative="0">
      <w:start w:val="1"/>
      <w:numFmt w:val="decimal"/>
      <w:isLgl/>
      <w:suff w:val="space"/>
      <w:lvlText w:val="%1.%2.%3 "/>
      <w:lvlJc w:val="left"/>
      <w:pPr>
        <w:ind w:left="0" w:firstLine="0"/>
      </w:pPr>
      <w:rPr>
        <w:rFonts w:hint="eastAsia" w:eastAsia="黑体"/>
        <w:b/>
        <w:i w:val="0"/>
        <w:spacing w:val="-20"/>
        <w:sz w:val="30"/>
        <w:szCs w:val="30"/>
      </w:rPr>
    </w:lvl>
    <w:lvl w:ilvl="3" w:tentative="0">
      <w:start w:val="1"/>
      <w:numFmt w:val="decimal"/>
      <w:isLgl/>
      <w:suff w:val="space"/>
      <w:lvlText w:val="%1.%2.%3.%4 "/>
      <w:lvlJc w:val="left"/>
      <w:pPr>
        <w:ind w:left="0" w:firstLine="0"/>
      </w:pPr>
      <w:rPr>
        <w:rFonts w:hint="eastAsia"/>
      </w:rPr>
    </w:lvl>
    <w:lvl w:ilvl="4" w:tentative="0">
      <w:start w:val="1"/>
      <w:numFmt w:val="none"/>
      <w:suff w:val="nothing"/>
      <w:lvlText w:val=""/>
      <w:lvlJc w:val="left"/>
      <w:pPr>
        <w:ind w:left="-425" w:firstLine="0"/>
      </w:pPr>
      <w:rPr>
        <w:rFonts w:hint="eastAsia"/>
      </w:rPr>
    </w:lvl>
    <w:lvl w:ilvl="5" w:tentative="0">
      <w:start w:val="1"/>
      <w:numFmt w:val="none"/>
      <w:suff w:val="nothing"/>
      <w:lvlText w:val=""/>
      <w:lvlJc w:val="left"/>
      <w:pPr>
        <w:ind w:left="-425" w:firstLine="0"/>
      </w:pPr>
      <w:rPr>
        <w:rFonts w:hint="eastAsia"/>
      </w:rPr>
    </w:lvl>
    <w:lvl w:ilvl="6" w:tentative="0">
      <w:start w:val="1"/>
      <w:numFmt w:val="none"/>
      <w:suff w:val="nothing"/>
      <w:lvlText w:val=""/>
      <w:lvlJc w:val="left"/>
      <w:pPr>
        <w:ind w:left="-425" w:firstLine="0"/>
      </w:pPr>
      <w:rPr>
        <w:rFonts w:hint="eastAsia"/>
      </w:rPr>
    </w:lvl>
    <w:lvl w:ilvl="7" w:tentative="0">
      <w:start w:val="1"/>
      <w:numFmt w:val="none"/>
      <w:suff w:val="nothing"/>
      <w:lvlText w:val=""/>
      <w:lvlJc w:val="left"/>
      <w:pPr>
        <w:ind w:left="-425" w:firstLine="0"/>
      </w:pPr>
      <w:rPr>
        <w:rFonts w:hint="eastAsia"/>
      </w:rPr>
    </w:lvl>
    <w:lvl w:ilvl="8" w:tentative="0">
      <w:start w:val="1"/>
      <w:numFmt w:val="decimal"/>
      <w:pStyle w:val="8"/>
      <w:isLgl/>
      <w:suff w:val="nothing"/>
      <w:lvlText w:val="%9、"/>
      <w:lvlJc w:val="left"/>
      <w:pPr>
        <w:ind w:left="567" w:firstLine="0"/>
      </w:pPr>
      <w:rPr>
        <w:rFonts w:hint="eastAsia"/>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oNotDisplayPageBoundaries w:val="1"/>
  <w:bordersDoNotSurroundHeader w:val="0"/>
  <w:bordersDoNotSurroundFooter w:val="0"/>
  <w:revisionView w:markup="0"/>
  <w:documentProtection w:edit="readOnly" w:formatting="1" w:enforcement="1" w:cryptProviderType="rsaFull" w:cryptAlgorithmClass="hash" w:cryptAlgorithmType="typeAny" w:cryptAlgorithmSid="4" w:cryptSpinCount="0" w:hash="MG5DXqX7orz3Jaojje/8OqtOL9o=" w:salt="diJmQMxtet1DDKnhAE2cP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617"/>
    <w:rsid w:val="00055906"/>
    <w:rsid w:val="000636D9"/>
    <w:rsid w:val="000B2592"/>
    <w:rsid w:val="001E00C9"/>
    <w:rsid w:val="001F0EF3"/>
    <w:rsid w:val="001F0F8A"/>
    <w:rsid w:val="00265AB0"/>
    <w:rsid w:val="00291AE6"/>
    <w:rsid w:val="002960C4"/>
    <w:rsid w:val="002E713F"/>
    <w:rsid w:val="002F0B59"/>
    <w:rsid w:val="003001F9"/>
    <w:rsid w:val="00332EA8"/>
    <w:rsid w:val="00381E20"/>
    <w:rsid w:val="00417EDB"/>
    <w:rsid w:val="004E5BE0"/>
    <w:rsid w:val="005323FB"/>
    <w:rsid w:val="005740A0"/>
    <w:rsid w:val="0059309D"/>
    <w:rsid w:val="005D7ECA"/>
    <w:rsid w:val="006014EC"/>
    <w:rsid w:val="00602A81"/>
    <w:rsid w:val="00610C7D"/>
    <w:rsid w:val="0061101B"/>
    <w:rsid w:val="006341FD"/>
    <w:rsid w:val="007163F0"/>
    <w:rsid w:val="00720569"/>
    <w:rsid w:val="007774E4"/>
    <w:rsid w:val="007B213F"/>
    <w:rsid w:val="007D7D95"/>
    <w:rsid w:val="007E55AC"/>
    <w:rsid w:val="009611F1"/>
    <w:rsid w:val="00A11303"/>
    <w:rsid w:val="00A50A7B"/>
    <w:rsid w:val="00A718AA"/>
    <w:rsid w:val="00AA1384"/>
    <w:rsid w:val="00AD6373"/>
    <w:rsid w:val="00AD6852"/>
    <w:rsid w:val="00AF2D17"/>
    <w:rsid w:val="00B34F5D"/>
    <w:rsid w:val="00B6293C"/>
    <w:rsid w:val="00B63B87"/>
    <w:rsid w:val="00C02EA5"/>
    <w:rsid w:val="00C1025D"/>
    <w:rsid w:val="00C4517B"/>
    <w:rsid w:val="00C64550"/>
    <w:rsid w:val="00C750D2"/>
    <w:rsid w:val="00C77420"/>
    <w:rsid w:val="00C900F2"/>
    <w:rsid w:val="00CA00A8"/>
    <w:rsid w:val="00CE263F"/>
    <w:rsid w:val="00D25935"/>
    <w:rsid w:val="00D67540"/>
    <w:rsid w:val="00D721CD"/>
    <w:rsid w:val="00DB7617"/>
    <w:rsid w:val="00E518B0"/>
    <w:rsid w:val="00E64A5C"/>
    <w:rsid w:val="00E818BA"/>
    <w:rsid w:val="00EB00F5"/>
    <w:rsid w:val="00EC73B1"/>
    <w:rsid w:val="00EE2B45"/>
    <w:rsid w:val="00EE51B5"/>
    <w:rsid w:val="00F166EE"/>
    <w:rsid w:val="00F50A4D"/>
    <w:rsid w:val="00F656CC"/>
    <w:rsid w:val="00F83A2F"/>
    <w:rsid w:val="00F86DB7"/>
    <w:rsid w:val="01B40240"/>
    <w:rsid w:val="01B708C0"/>
    <w:rsid w:val="01D36C51"/>
    <w:rsid w:val="01E158CC"/>
    <w:rsid w:val="02423742"/>
    <w:rsid w:val="025E1E42"/>
    <w:rsid w:val="030E21AF"/>
    <w:rsid w:val="03367D03"/>
    <w:rsid w:val="03416A29"/>
    <w:rsid w:val="03FD2B29"/>
    <w:rsid w:val="0439322C"/>
    <w:rsid w:val="043E47E4"/>
    <w:rsid w:val="04422344"/>
    <w:rsid w:val="048837E4"/>
    <w:rsid w:val="04B93E4E"/>
    <w:rsid w:val="05145611"/>
    <w:rsid w:val="05E26EAC"/>
    <w:rsid w:val="0739265D"/>
    <w:rsid w:val="074944EE"/>
    <w:rsid w:val="085C3985"/>
    <w:rsid w:val="08990C7B"/>
    <w:rsid w:val="090669D4"/>
    <w:rsid w:val="09300BEE"/>
    <w:rsid w:val="09513654"/>
    <w:rsid w:val="099B6DDE"/>
    <w:rsid w:val="09CF143F"/>
    <w:rsid w:val="09D721F5"/>
    <w:rsid w:val="0A175940"/>
    <w:rsid w:val="0A4C3EA0"/>
    <w:rsid w:val="0B5C5C72"/>
    <w:rsid w:val="0BB2238C"/>
    <w:rsid w:val="0BDD5D3C"/>
    <w:rsid w:val="0C6515E5"/>
    <w:rsid w:val="0C8267E0"/>
    <w:rsid w:val="0D3C46EE"/>
    <w:rsid w:val="0D4660D5"/>
    <w:rsid w:val="0D4F63B3"/>
    <w:rsid w:val="0D7F5BB2"/>
    <w:rsid w:val="0D961E60"/>
    <w:rsid w:val="0DC92F4A"/>
    <w:rsid w:val="0DD4678F"/>
    <w:rsid w:val="0E5F3BA8"/>
    <w:rsid w:val="0EA0702A"/>
    <w:rsid w:val="0EB7017E"/>
    <w:rsid w:val="0F2969C2"/>
    <w:rsid w:val="0F8F3CCC"/>
    <w:rsid w:val="0FC849F1"/>
    <w:rsid w:val="0FD073B7"/>
    <w:rsid w:val="101463C7"/>
    <w:rsid w:val="101E3820"/>
    <w:rsid w:val="10AC6641"/>
    <w:rsid w:val="10E2798F"/>
    <w:rsid w:val="10F535AE"/>
    <w:rsid w:val="10F7571E"/>
    <w:rsid w:val="11E35E64"/>
    <w:rsid w:val="12B163EF"/>
    <w:rsid w:val="12F00E42"/>
    <w:rsid w:val="13045C84"/>
    <w:rsid w:val="137145EE"/>
    <w:rsid w:val="13AB783E"/>
    <w:rsid w:val="14726569"/>
    <w:rsid w:val="14FC5376"/>
    <w:rsid w:val="15D21F80"/>
    <w:rsid w:val="163B278D"/>
    <w:rsid w:val="1667010F"/>
    <w:rsid w:val="167506EC"/>
    <w:rsid w:val="16AC0629"/>
    <w:rsid w:val="16CB4613"/>
    <w:rsid w:val="16E41004"/>
    <w:rsid w:val="16FE62AB"/>
    <w:rsid w:val="171E4B9F"/>
    <w:rsid w:val="173B2BD7"/>
    <w:rsid w:val="173E1942"/>
    <w:rsid w:val="175F1099"/>
    <w:rsid w:val="17842AFB"/>
    <w:rsid w:val="183B6691"/>
    <w:rsid w:val="183F041E"/>
    <w:rsid w:val="18AD0742"/>
    <w:rsid w:val="18E70D5D"/>
    <w:rsid w:val="18ED1783"/>
    <w:rsid w:val="18FA7577"/>
    <w:rsid w:val="19780438"/>
    <w:rsid w:val="19DC34C1"/>
    <w:rsid w:val="19EB4180"/>
    <w:rsid w:val="1A4E57B4"/>
    <w:rsid w:val="1A581919"/>
    <w:rsid w:val="1A774653"/>
    <w:rsid w:val="1B8E63E7"/>
    <w:rsid w:val="1BCB7ACD"/>
    <w:rsid w:val="1BF31990"/>
    <w:rsid w:val="1C463F4C"/>
    <w:rsid w:val="1C742243"/>
    <w:rsid w:val="1C800EDB"/>
    <w:rsid w:val="1C8F17F1"/>
    <w:rsid w:val="1CA936E4"/>
    <w:rsid w:val="1D097873"/>
    <w:rsid w:val="1D1749BB"/>
    <w:rsid w:val="1DE45B9F"/>
    <w:rsid w:val="1E4C747D"/>
    <w:rsid w:val="1E60233B"/>
    <w:rsid w:val="1E9B684E"/>
    <w:rsid w:val="1EB42B1F"/>
    <w:rsid w:val="1EBC32AD"/>
    <w:rsid w:val="1EFA7267"/>
    <w:rsid w:val="1F0C5740"/>
    <w:rsid w:val="1F56122B"/>
    <w:rsid w:val="20493FDC"/>
    <w:rsid w:val="20FD45FC"/>
    <w:rsid w:val="210E5498"/>
    <w:rsid w:val="211F5C6D"/>
    <w:rsid w:val="21672E9E"/>
    <w:rsid w:val="22361D86"/>
    <w:rsid w:val="22A753AD"/>
    <w:rsid w:val="22BD0D2A"/>
    <w:rsid w:val="22C62762"/>
    <w:rsid w:val="22FA57ED"/>
    <w:rsid w:val="234537F6"/>
    <w:rsid w:val="239B01DE"/>
    <w:rsid w:val="23F44AE1"/>
    <w:rsid w:val="24592C2A"/>
    <w:rsid w:val="245E2394"/>
    <w:rsid w:val="24AE3EE8"/>
    <w:rsid w:val="25D22591"/>
    <w:rsid w:val="261118D3"/>
    <w:rsid w:val="26583AD3"/>
    <w:rsid w:val="26660982"/>
    <w:rsid w:val="278D492E"/>
    <w:rsid w:val="27BC1576"/>
    <w:rsid w:val="27BC3837"/>
    <w:rsid w:val="285E465E"/>
    <w:rsid w:val="28A02AB9"/>
    <w:rsid w:val="28D84A0E"/>
    <w:rsid w:val="29CB42B8"/>
    <w:rsid w:val="2A843416"/>
    <w:rsid w:val="2A91425C"/>
    <w:rsid w:val="2AB70367"/>
    <w:rsid w:val="2AC37139"/>
    <w:rsid w:val="2BCE2A33"/>
    <w:rsid w:val="2BED425D"/>
    <w:rsid w:val="2BF74E82"/>
    <w:rsid w:val="2C06631A"/>
    <w:rsid w:val="2C574D85"/>
    <w:rsid w:val="2C5A6F1D"/>
    <w:rsid w:val="2CBA6D9C"/>
    <w:rsid w:val="2CD768D8"/>
    <w:rsid w:val="2CE035B8"/>
    <w:rsid w:val="2D164642"/>
    <w:rsid w:val="2D3C3570"/>
    <w:rsid w:val="2D6A0517"/>
    <w:rsid w:val="2D997138"/>
    <w:rsid w:val="2D9C4F85"/>
    <w:rsid w:val="2DBF209A"/>
    <w:rsid w:val="2DCE09D3"/>
    <w:rsid w:val="2E1B5F59"/>
    <w:rsid w:val="2E7862F5"/>
    <w:rsid w:val="2E8D33F0"/>
    <w:rsid w:val="2ECB1C79"/>
    <w:rsid w:val="30113253"/>
    <w:rsid w:val="302F1D0E"/>
    <w:rsid w:val="30365545"/>
    <w:rsid w:val="30CC070C"/>
    <w:rsid w:val="312D2C25"/>
    <w:rsid w:val="31754E2C"/>
    <w:rsid w:val="31C75486"/>
    <w:rsid w:val="32097E9B"/>
    <w:rsid w:val="320A4256"/>
    <w:rsid w:val="32575EF9"/>
    <w:rsid w:val="325D2794"/>
    <w:rsid w:val="325F2926"/>
    <w:rsid w:val="32917674"/>
    <w:rsid w:val="32A85A27"/>
    <w:rsid w:val="334254E1"/>
    <w:rsid w:val="33743A98"/>
    <w:rsid w:val="33BD78FE"/>
    <w:rsid w:val="33FD11EA"/>
    <w:rsid w:val="344D31ED"/>
    <w:rsid w:val="34F41874"/>
    <w:rsid w:val="359754BF"/>
    <w:rsid w:val="35D01A3C"/>
    <w:rsid w:val="361246B3"/>
    <w:rsid w:val="36340BD5"/>
    <w:rsid w:val="363E4BFD"/>
    <w:rsid w:val="365855C1"/>
    <w:rsid w:val="36803C09"/>
    <w:rsid w:val="36FD326A"/>
    <w:rsid w:val="371F619F"/>
    <w:rsid w:val="372F3E8A"/>
    <w:rsid w:val="377437E3"/>
    <w:rsid w:val="3780081B"/>
    <w:rsid w:val="378F0912"/>
    <w:rsid w:val="38BA301D"/>
    <w:rsid w:val="38BE3794"/>
    <w:rsid w:val="397F37E6"/>
    <w:rsid w:val="39A478A6"/>
    <w:rsid w:val="39DA00E8"/>
    <w:rsid w:val="3A3F6CC6"/>
    <w:rsid w:val="3A7F4F5E"/>
    <w:rsid w:val="3AFF2D4C"/>
    <w:rsid w:val="3B1E06B8"/>
    <w:rsid w:val="3B4573C7"/>
    <w:rsid w:val="3B4D6516"/>
    <w:rsid w:val="3B5373E3"/>
    <w:rsid w:val="3BAC4E14"/>
    <w:rsid w:val="3BE633CC"/>
    <w:rsid w:val="3C3003B9"/>
    <w:rsid w:val="3C8232C9"/>
    <w:rsid w:val="3C891396"/>
    <w:rsid w:val="3CB9758A"/>
    <w:rsid w:val="3D3C2190"/>
    <w:rsid w:val="3D453A2C"/>
    <w:rsid w:val="3D600475"/>
    <w:rsid w:val="3D6239F0"/>
    <w:rsid w:val="3D650535"/>
    <w:rsid w:val="3DE2451E"/>
    <w:rsid w:val="3E03146D"/>
    <w:rsid w:val="3ECE34CC"/>
    <w:rsid w:val="3F1B0F75"/>
    <w:rsid w:val="3F2449B7"/>
    <w:rsid w:val="3F9211CC"/>
    <w:rsid w:val="3FD13239"/>
    <w:rsid w:val="3FD25512"/>
    <w:rsid w:val="400A29F3"/>
    <w:rsid w:val="402A2DA7"/>
    <w:rsid w:val="404047E7"/>
    <w:rsid w:val="40C265E3"/>
    <w:rsid w:val="40F82009"/>
    <w:rsid w:val="41052575"/>
    <w:rsid w:val="411C3AFE"/>
    <w:rsid w:val="419703EA"/>
    <w:rsid w:val="42863626"/>
    <w:rsid w:val="42B61153"/>
    <w:rsid w:val="42E16749"/>
    <w:rsid w:val="433B53D9"/>
    <w:rsid w:val="43506047"/>
    <w:rsid w:val="439819C4"/>
    <w:rsid w:val="44624A66"/>
    <w:rsid w:val="44B47835"/>
    <w:rsid w:val="45240B77"/>
    <w:rsid w:val="45891773"/>
    <w:rsid w:val="45B10A1C"/>
    <w:rsid w:val="45C27ED9"/>
    <w:rsid w:val="45E75D52"/>
    <w:rsid w:val="468B1AB1"/>
    <w:rsid w:val="46D95401"/>
    <w:rsid w:val="46E336AD"/>
    <w:rsid w:val="470D66BD"/>
    <w:rsid w:val="47733EE9"/>
    <w:rsid w:val="480D7EA0"/>
    <w:rsid w:val="48971369"/>
    <w:rsid w:val="4A0E765C"/>
    <w:rsid w:val="4A9C3CC1"/>
    <w:rsid w:val="4AEE1B86"/>
    <w:rsid w:val="4BF90DDC"/>
    <w:rsid w:val="4C1B7C66"/>
    <w:rsid w:val="4C8B5DFE"/>
    <w:rsid w:val="4CB43457"/>
    <w:rsid w:val="4CE049AF"/>
    <w:rsid w:val="4CE348C5"/>
    <w:rsid w:val="4CEF3F49"/>
    <w:rsid w:val="4CF12F55"/>
    <w:rsid w:val="4CF71CBA"/>
    <w:rsid w:val="4D521FC3"/>
    <w:rsid w:val="4DA40057"/>
    <w:rsid w:val="4E3F3F67"/>
    <w:rsid w:val="4E6605B8"/>
    <w:rsid w:val="4E6E01E1"/>
    <w:rsid w:val="4F05196A"/>
    <w:rsid w:val="4F1D220B"/>
    <w:rsid w:val="4F390297"/>
    <w:rsid w:val="4F9E7DFC"/>
    <w:rsid w:val="4FF34709"/>
    <w:rsid w:val="50656586"/>
    <w:rsid w:val="51DD64F2"/>
    <w:rsid w:val="51EE40BC"/>
    <w:rsid w:val="52A1669E"/>
    <w:rsid w:val="53661BCB"/>
    <w:rsid w:val="545315C1"/>
    <w:rsid w:val="548A387E"/>
    <w:rsid w:val="54A54859"/>
    <w:rsid w:val="54CD3F44"/>
    <w:rsid w:val="573C1D4D"/>
    <w:rsid w:val="574C002F"/>
    <w:rsid w:val="578204E2"/>
    <w:rsid w:val="57AA739F"/>
    <w:rsid w:val="585E5F37"/>
    <w:rsid w:val="586B1208"/>
    <w:rsid w:val="58B11988"/>
    <w:rsid w:val="58CE5B78"/>
    <w:rsid w:val="59574F29"/>
    <w:rsid w:val="5A861B74"/>
    <w:rsid w:val="5A9B185D"/>
    <w:rsid w:val="5AA07546"/>
    <w:rsid w:val="5AEC6CEF"/>
    <w:rsid w:val="5B0B35E7"/>
    <w:rsid w:val="5B2909DA"/>
    <w:rsid w:val="5B533CCE"/>
    <w:rsid w:val="5B560B49"/>
    <w:rsid w:val="5B5D542D"/>
    <w:rsid w:val="5B663111"/>
    <w:rsid w:val="5CAE3071"/>
    <w:rsid w:val="5D5610A3"/>
    <w:rsid w:val="5D756543"/>
    <w:rsid w:val="5D824B89"/>
    <w:rsid w:val="5DD75C10"/>
    <w:rsid w:val="5E17778A"/>
    <w:rsid w:val="5ECD56C0"/>
    <w:rsid w:val="5EF57F27"/>
    <w:rsid w:val="5F0C680E"/>
    <w:rsid w:val="5F8608DC"/>
    <w:rsid w:val="60297E11"/>
    <w:rsid w:val="603372E1"/>
    <w:rsid w:val="603F6772"/>
    <w:rsid w:val="60B0426D"/>
    <w:rsid w:val="61442C95"/>
    <w:rsid w:val="614A3E27"/>
    <w:rsid w:val="6233204E"/>
    <w:rsid w:val="62570466"/>
    <w:rsid w:val="626E7660"/>
    <w:rsid w:val="629B7067"/>
    <w:rsid w:val="62C63E5D"/>
    <w:rsid w:val="62D02188"/>
    <w:rsid w:val="63407299"/>
    <w:rsid w:val="63A17F5F"/>
    <w:rsid w:val="643F4E24"/>
    <w:rsid w:val="648D12BB"/>
    <w:rsid w:val="652D0BE1"/>
    <w:rsid w:val="65506772"/>
    <w:rsid w:val="65984521"/>
    <w:rsid w:val="65A55603"/>
    <w:rsid w:val="664432D6"/>
    <w:rsid w:val="66741717"/>
    <w:rsid w:val="66C547E3"/>
    <w:rsid w:val="674009BD"/>
    <w:rsid w:val="67756784"/>
    <w:rsid w:val="6783079D"/>
    <w:rsid w:val="68111CEB"/>
    <w:rsid w:val="68771C5E"/>
    <w:rsid w:val="69532F5F"/>
    <w:rsid w:val="69624739"/>
    <w:rsid w:val="69D16F02"/>
    <w:rsid w:val="6A2C15B3"/>
    <w:rsid w:val="6A4535CF"/>
    <w:rsid w:val="6A5F353F"/>
    <w:rsid w:val="6A64688E"/>
    <w:rsid w:val="6A723DCF"/>
    <w:rsid w:val="6AB023F7"/>
    <w:rsid w:val="6ABD0A37"/>
    <w:rsid w:val="6AEC775B"/>
    <w:rsid w:val="6B347ED1"/>
    <w:rsid w:val="6BA57BC3"/>
    <w:rsid w:val="6BCC4C82"/>
    <w:rsid w:val="6BDE6A33"/>
    <w:rsid w:val="6BF8101E"/>
    <w:rsid w:val="6C7A1687"/>
    <w:rsid w:val="6CA009C9"/>
    <w:rsid w:val="6CF00A8A"/>
    <w:rsid w:val="6CF51C19"/>
    <w:rsid w:val="6D0E7012"/>
    <w:rsid w:val="6E8226F6"/>
    <w:rsid w:val="6E9C1F64"/>
    <w:rsid w:val="6EE20760"/>
    <w:rsid w:val="700051EE"/>
    <w:rsid w:val="70325143"/>
    <w:rsid w:val="70F84654"/>
    <w:rsid w:val="711C579A"/>
    <w:rsid w:val="71632EEC"/>
    <w:rsid w:val="71AE28C0"/>
    <w:rsid w:val="71C6013E"/>
    <w:rsid w:val="72387327"/>
    <w:rsid w:val="72777EF8"/>
    <w:rsid w:val="72884900"/>
    <w:rsid w:val="72C2339E"/>
    <w:rsid w:val="739F19A1"/>
    <w:rsid w:val="74A408BE"/>
    <w:rsid w:val="74F50175"/>
    <w:rsid w:val="75D3213D"/>
    <w:rsid w:val="75EC38F7"/>
    <w:rsid w:val="76BB30B1"/>
    <w:rsid w:val="77874C4A"/>
    <w:rsid w:val="77971E16"/>
    <w:rsid w:val="787D6BEF"/>
    <w:rsid w:val="78876EAF"/>
    <w:rsid w:val="78971AB8"/>
    <w:rsid w:val="78B946F7"/>
    <w:rsid w:val="78C475C8"/>
    <w:rsid w:val="78F75FF6"/>
    <w:rsid w:val="793A2C00"/>
    <w:rsid w:val="793D3919"/>
    <w:rsid w:val="79684003"/>
    <w:rsid w:val="79C13F05"/>
    <w:rsid w:val="79D0358B"/>
    <w:rsid w:val="7AF10411"/>
    <w:rsid w:val="7B593BBA"/>
    <w:rsid w:val="7B5A44A9"/>
    <w:rsid w:val="7B6B476F"/>
    <w:rsid w:val="7BA56C1E"/>
    <w:rsid w:val="7BB673B5"/>
    <w:rsid w:val="7C2F1092"/>
    <w:rsid w:val="7C5E3017"/>
    <w:rsid w:val="7C686DCB"/>
    <w:rsid w:val="7CD95C10"/>
    <w:rsid w:val="7D0B5A12"/>
    <w:rsid w:val="7D5F33EF"/>
    <w:rsid w:val="7D641E95"/>
    <w:rsid w:val="7DF541F5"/>
    <w:rsid w:val="7E472E9C"/>
    <w:rsid w:val="7F1D7777"/>
    <w:rsid w:val="7F373D3B"/>
    <w:rsid w:val="7F5A0D79"/>
    <w:rsid w:val="7F705EB3"/>
    <w:rsid w:val="7FAE3EA7"/>
    <w:rsid w:val="7FC361CF"/>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iPriority="99" w:name="HTML Keyboard"/>
    <w:lsdException w:uiPriority="99" w:name="HTML Preformatted"/>
    <w:lsdException w:qFormat="1" w:uiPriority="99" w:name="HTML Sample"/>
    <w:lsdException w:uiPriority="99"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2"/>
    <w:qFormat/>
    <w:uiPriority w:val="99"/>
    <w:pPr>
      <w:keepNext/>
      <w:keepLines/>
      <w:adjustRightInd w:val="0"/>
      <w:spacing w:before="120" w:line="360" w:lineRule="auto"/>
      <w:ind w:left="284"/>
      <w:textAlignment w:val="baseline"/>
      <w:outlineLvl w:val="0"/>
    </w:pPr>
    <w:rPr>
      <w:rFonts w:eastAsia="黑体"/>
      <w:color w:val="000000"/>
      <w:kern w:val="44"/>
      <w:sz w:val="36"/>
      <w:szCs w:val="20"/>
    </w:rPr>
  </w:style>
  <w:style w:type="paragraph" w:styleId="4">
    <w:name w:val="heading 2"/>
    <w:basedOn w:val="1"/>
    <w:next w:val="1"/>
    <w:link w:val="43"/>
    <w:qFormat/>
    <w:uiPriority w:val="99"/>
    <w:pPr>
      <w:keepNext/>
      <w:numPr>
        <w:ilvl w:val="1"/>
        <w:numId w:val="1"/>
      </w:numPr>
      <w:adjustRightInd w:val="0"/>
      <w:spacing w:before="120" w:line="360" w:lineRule="auto"/>
      <w:textAlignment w:val="baseline"/>
      <w:outlineLvl w:val="1"/>
    </w:pPr>
    <w:rPr>
      <w:rFonts w:eastAsia="黑体"/>
      <w:b/>
      <w:kern w:val="0"/>
      <w:sz w:val="28"/>
      <w:szCs w:val="20"/>
    </w:rPr>
  </w:style>
  <w:style w:type="paragraph" w:styleId="5">
    <w:name w:val="heading 3"/>
    <w:basedOn w:val="1"/>
    <w:next w:val="1"/>
    <w:link w:val="44"/>
    <w:qFormat/>
    <w:uiPriority w:val="99"/>
    <w:pPr>
      <w:numPr>
        <w:ilvl w:val="2"/>
        <w:numId w:val="1"/>
      </w:numPr>
      <w:tabs>
        <w:tab w:val="left" w:pos="900"/>
      </w:tabs>
      <w:adjustRightInd w:val="0"/>
      <w:spacing w:before="120" w:line="360" w:lineRule="auto"/>
      <w:textAlignment w:val="baseline"/>
      <w:outlineLvl w:val="2"/>
    </w:pPr>
    <w:rPr>
      <w:rFonts w:eastAsia="黑体"/>
      <w:b/>
      <w:kern w:val="0"/>
      <w:sz w:val="28"/>
      <w:szCs w:val="20"/>
    </w:rPr>
  </w:style>
  <w:style w:type="paragraph" w:styleId="6">
    <w:name w:val="heading 4"/>
    <w:basedOn w:val="1"/>
    <w:next w:val="1"/>
    <w:link w:val="45"/>
    <w:qFormat/>
    <w:uiPriority w:val="99"/>
    <w:pPr>
      <w:numPr>
        <w:ilvl w:val="3"/>
        <w:numId w:val="1"/>
      </w:numPr>
      <w:adjustRightInd w:val="0"/>
      <w:spacing w:before="120" w:line="360" w:lineRule="auto"/>
      <w:textAlignment w:val="baseline"/>
      <w:outlineLvl w:val="3"/>
    </w:pPr>
    <w:rPr>
      <w:rFonts w:ascii="Arial" w:eastAsia="黑体"/>
      <w:kern w:val="0"/>
      <w:sz w:val="28"/>
      <w:szCs w:val="20"/>
    </w:rPr>
  </w:style>
  <w:style w:type="paragraph" w:styleId="7">
    <w:name w:val="heading 8"/>
    <w:basedOn w:val="1"/>
    <w:next w:val="1"/>
    <w:link w:val="74"/>
    <w:unhideWhenUsed/>
    <w:qFormat/>
    <w:uiPriority w:val="99"/>
    <w:pPr>
      <w:keepNext/>
      <w:keepLines/>
      <w:spacing w:before="240" w:after="64" w:line="320" w:lineRule="auto"/>
      <w:outlineLvl w:val="7"/>
    </w:pPr>
    <w:rPr>
      <w:rFonts w:asciiTheme="majorHAnsi" w:hAnsiTheme="majorHAnsi" w:eastAsiaTheme="majorEastAsia" w:cstheme="majorBidi"/>
      <w:sz w:val="24"/>
    </w:rPr>
  </w:style>
  <w:style w:type="paragraph" w:styleId="8">
    <w:name w:val="heading 9"/>
    <w:basedOn w:val="1"/>
    <w:next w:val="1"/>
    <w:link w:val="46"/>
    <w:qFormat/>
    <w:uiPriority w:val="99"/>
    <w:pPr>
      <w:numPr>
        <w:ilvl w:val="8"/>
        <w:numId w:val="2"/>
      </w:numPr>
      <w:outlineLvl w:val="8"/>
    </w:pPr>
    <w:rPr>
      <w:szCs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41"/>
    <w:unhideWhenUsed/>
    <w:qFormat/>
    <w:uiPriority w:val="99"/>
    <w:pPr>
      <w:tabs>
        <w:tab w:val="center" w:pos="4153"/>
        <w:tab w:val="right" w:pos="8306"/>
      </w:tabs>
      <w:snapToGrid w:val="0"/>
      <w:jc w:val="left"/>
    </w:pPr>
    <w:rPr>
      <w:sz w:val="18"/>
      <w:szCs w:val="18"/>
    </w:rPr>
  </w:style>
  <w:style w:type="paragraph" w:styleId="9">
    <w:name w:val="Document Map"/>
    <w:basedOn w:val="1"/>
    <w:link w:val="49"/>
    <w:qFormat/>
    <w:uiPriority w:val="99"/>
    <w:rPr>
      <w:rFonts w:ascii="宋体"/>
      <w:sz w:val="18"/>
      <w:szCs w:val="18"/>
    </w:rPr>
  </w:style>
  <w:style w:type="paragraph" w:styleId="10">
    <w:name w:val="annotation text"/>
    <w:basedOn w:val="1"/>
    <w:link w:val="47"/>
    <w:unhideWhenUsed/>
    <w:qFormat/>
    <w:uiPriority w:val="99"/>
    <w:pPr>
      <w:jc w:val="left"/>
    </w:pPr>
  </w:style>
  <w:style w:type="paragraph" w:styleId="11">
    <w:name w:val="Body Text"/>
    <w:basedOn w:val="1"/>
    <w:link w:val="50"/>
    <w:qFormat/>
    <w:uiPriority w:val="99"/>
    <w:pPr>
      <w:spacing w:after="120"/>
    </w:pPr>
  </w:style>
  <w:style w:type="paragraph" w:styleId="12">
    <w:name w:val="Body Text Indent"/>
    <w:basedOn w:val="1"/>
    <w:link w:val="51"/>
    <w:qFormat/>
    <w:uiPriority w:val="0"/>
    <w:pPr>
      <w:spacing w:line="200" w:lineRule="exact"/>
      <w:ind w:firstLine="301"/>
    </w:pPr>
    <w:rPr>
      <w:rFonts w:ascii="宋体" w:hAnsi="Courier New"/>
      <w:spacing w:val="-4"/>
      <w:sz w:val="18"/>
      <w:szCs w:val="20"/>
    </w:rPr>
  </w:style>
  <w:style w:type="paragraph" w:styleId="13">
    <w:name w:val="toc 3"/>
    <w:basedOn w:val="1"/>
    <w:next w:val="1"/>
    <w:unhideWhenUsed/>
    <w:qFormat/>
    <w:uiPriority w:val="99"/>
    <w:pPr>
      <w:widowControl/>
      <w:spacing w:after="100" w:line="276" w:lineRule="auto"/>
      <w:ind w:left="440"/>
      <w:jc w:val="left"/>
    </w:pPr>
    <w:rPr>
      <w:rFonts w:ascii="Calibri" w:hAnsi="Calibri"/>
      <w:kern w:val="0"/>
      <w:sz w:val="22"/>
      <w:szCs w:val="22"/>
    </w:rPr>
  </w:style>
  <w:style w:type="paragraph" w:styleId="14">
    <w:name w:val="Plain Text"/>
    <w:basedOn w:val="1"/>
    <w:link w:val="52"/>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1"/>
      <w:lang w:val="en-US" w:eastAsia="zh-CN" w:bidi="ar"/>
    </w:rPr>
  </w:style>
  <w:style w:type="paragraph" w:styleId="15">
    <w:name w:val="Date"/>
    <w:basedOn w:val="1"/>
    <w:next w:val="1"/>
    <w:link w:val="53"/>
    <w:qFormat/>
    <w:uiPriority w:val="99"/>
  </w:style>
  <w:style w:type="paragraph" w:styleId="16">
    <w:name w:val="Body Text Indent 2"/>
    <w:basedOn w:val="1"/>
    <w:link w:val="54"/>
    <w:qFormat/>
    <w:uiPriority w:val="99"/>
    <w:pPr>
      <w:spacing w:after="120" w:line="480" w:lineRule="auto"/>
      <w:ind w:left="420" w:leftChars="200"/>
    </w:pPr>
  </w:style>
  <w:style w:type="paragraph" w:styleId="17">
    <w:name w:val="Balloon Text"/>
    <w:basedOn w:val="1"/>
    <w:link w:val="55"/>
    <w:qFormat/>
    <w:uiPriority w:val="0"/>
    <w:rPr>
      <w:sz w:val="18"/>
      <w:szCs w:val="18"/>
    </w:rPr>
  </w:style>
  <w:style w:type="paragraph" w:styleId="18">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99"/>
    <w:pPr>
      <w:spacing w:before="120" w:after="120"/>
      <w:jc w:val="left"/>
      <w:outlineLvl w:val="0"/>
    </w:pPr>
    <w:rPr>
      <w:b/>
      <w:color w:val="000000"/>
      <w:sz w:val="48"/>
      <w:szCs w:val="48"/>
    </w:rPr>
  </w:style>
  <w:style w:type="paragraph" w:styleId="20">
    <w:name w:val="toc 2"/>
    <w:basedOn w:val="1"/>
    <w:next w:val="1"/>
    <w:qFormat/>
    <w:uiPriority w:val="99"/>
    <w:pPr>
      <w:tabs>
        <w:tab w:val="right" w:leader="dot" w:pos="9628"/>
      </w:tabs>
      <w:ind w:left="420" w:firstLine="120"/>
      <w:jc w:val="left"/>
    </w:pPr>
    <w:rPr>
      <w:smallCaps/>
      <w:sz w:val="20"/>
      <w:szCs w:val="20"/>
    </w:r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2">
    <w:name w:val="Title"/>
    <w:basedOn w:val="1"/>
    <w:next w:val="1"/>
    <w:link w:val="56"/>
    <w:qFormat/>
    <w:uiPriority w:val="99"/>
    <w:pPr>
      <w:spacing w:before="240" w:after="60"/>
      <w:jc w:val="center"/>
      <w:outlineLvl w:val="0"/>
    </w:pPr>
    <w:rPr>
      <w:rFonts w:ascii="Cambria" w:hAnsi="Cambria"/>
      <w:b/>
      <w:bCs/>
      <w:sz w:val="32"/>
      <w:szCs w:val="32"/>
    </w:rPr>
  </w:style>
  <w:style w:type="paragraph" w:styleId="23">
    <w:name w:val="annotation subject"/>
    <w:basedOn w:val="10"/>
    <w:next w:val="10"/>
    <w:link w:val="48"/>
    <w:semiHidden/>
    <w:qFormat/>
    <w:uiPriority w:val="99"/>
    <w:rPr>
      <w:b/>
      <w:bCs/>
    </w:r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99"/>
    <w:rPr>
      <w:rFonts w:cs="Times New Roman"/>
    </w:rPr>
  </w:style>
  <w:style w:type="character" w:styleId="28">
    <w:name w:val="page number"/>
    <w:basedOn w:val="26"/>
    <w:qFormat/>
    <w:uiPriority w:val="99"/>
  </w:style>
  <w:style w:type="character" w:styleId="29">
    <w:name w:val="FollowedHyperlink"/>
    <w:basedOn w:val="26"/>
    <w:unhideWhenUsed/>
    <w:qFormat/>
    <w:uiPriority w:val="99"/>
    <w:rPr>
      <w:color w:val="800080"/>
      <w:u w:val="none"/>
    </w:rPr>
  </w:style>
  <w:style w:type="character" w:styleId="30">
    <w:name w:val="Emphasis"/>
    <w:qFormat/>
    <w:uiPriority w:val="99"/>
    <w:rPr>
      <w:rFonts w:cs="Times New Roman"/>
    </w:rPr>
  </w:style>
  <w:style w:type="character" w:styleId="31">
    <w:name w:val="HTML Definition"/>
    <w:qFormat/>
    <w:uiPriority w:val="99"/>
    <w:rPr>
      <w:rFonts w:cs="Times New Roman"/>
    </w:rPr>
  </w:style>
  <w:style w:type="character" w:styleId="32">
    <w:name w:val="HTML Acronym"/>
    <w:qFormat/>
    <w:uiPriority w:val="99"/>
    <w:rPr>
      <w:rFonts w:cs="Times New Roman"/>
    </w:rPr>
  </w:style>
  <w:style w:type="character" w:styleId="33">
    <w:name w:val="HTML Variable"/>
    <w:qFormat/>
    <w:uiPriority w:val="99"/>
    <w:rPr>
      <w:rFonts w:cs="Times New Roman"/>
      <w:color w:val="FFFFFF"/>
      <w:u w:val="none"/>
      <w:shd w:val="clear" w:color="auto" w:fill="FF9933"/>
    </w:rPr>
  </w:style>
  <w:style w:type="character" w:styleId="34">
    <w:name w:val="Hyperlink"/>
    <w:basedOn w:val="26"/>
    <w:qFormat/>
    <w:uiPriority w:val="99"/>
    <w:rPr>
      <w:color w:val="0000FF"/>
      <w:u w:val="none"/>
    </w:rPr>
  </w:style>
  <w:style w:type="character" w:styleId="35">
    <w:name w:val="HTML Code"/>
    <w:qFormat/>
    <w:uiPriority w:val="99"/>
    <w:rPr>
      <w:rFonts w:ascii="Courier New" w:hAnsi="Courier New" w:cs="Times New Roman"/>
      <w:sz w:val="20"/>
    </w:rPr>
  </w:style>
  <w:style w:type="character" w:styleId="36">
    <w:name w:val="annotation reference"/>
    <w:semiHidden/>
    <w:qFormat/>
    <w:uiPriority w:val="99"/>
    <w:rPr>
      <w:sz w:val="21"/>
      <w:szCs w:val="21"/>
    </w:rPr>
  </w:style>
  <w:style w:type="character" w:styleId="37">
    <w:name w:val="HTML Cite"/>
    <w:qFormat/>
    <w:uiPriority w:val="99"/>
    <w:rPr>
      <w:rFonts w:cs="Times New Roman"/>
    </w:rPr>
  </w:style>
  <w:style w:type="character" w:styleId="38">
    <w:name w:val="HTML Keyboard"/>
    <w:basedOn w:val="26"/>
    <w:semiHidden/>
    <w:unhideWhenUsed/>
    <w:qFormat/>
    <w:uiPriority w:val="99"/>
    <w:rPr>
      <w:rFonts w:hint="default" w:ascii="Consolas" w:hAnsi="Consolas" w:eastAsia="Consolas" w:cs="Consolas"/>
      <w:sz w:val="21"/>
      <w:szCs w:val="21"/>
    </w:rPr>
  </w:style>
  <w:style w:type="character" w:styleId="39">
    <w:name w:val="HTML Sample"/>
    <w:basedOn w:val="26"/>
    <w:semiHidden/>
    <w:unhideWhenUsed/>
    <w:qFormat/>
    <w:uiPriority w:val="99"/>
    <w:rPr>
      <w:rFonts w:ascii="Consolas" w:hAnsi="Consolas" w:eastAsia="Consolas" w:cs="Consolas"/>
      <w:sz w:val="21"/>
      <w:szCs w:val="21"/>
    </w:rPr>
  </w:style>
  <w:style w:type="character" w:customStyle="1" w:styleId="40">
    <w:name w:val="页眉字符"/>
    <w:basedOn w:val="26"/>
    <w:link w:val="18"/>
    <w:qFormat/>
    <w:uiPriority w:val="99"/>
    <w:rPr>
      <w:sz w:val="18"/>
      <w:szCs w:val="18"/>
    </w:rPr>
  </w:style>
  <w:style w:type="character" w:customStyle="1" w:styleId="41">
    <w:name w:val="页脚字符"/>
    <w:basedOn w:val="26"/>
    <w:link w:val="2"/>
    <w:qFormat/>
    <w:uiPriority w:val="99"/>
    <w:rPr>
      <w:sz w:val="18"/>
      <w:szCs w:val="18"/>
    </w:rPr>
  </w:style>
  <w:style w:type="character" w:customStyle="1" w:styleId="42">
    <w:name w:val="标题 1字符"/>
    <w:basedOn w:val="26"/>
    <w:link w:val="3"/>
    <w:qFormat/>
    <w:uiPriority w:val="99"/>
    <w:rPr>
      <w:rFonts w:ascii="Times New Roman" w:hAnsi="Times New Roman" w:eastAsia="黑体" w:cs="Times New Roman"/>
      <w:color w:val="000000"/>
      <w:kern w:val="44"/>
      <w:sz w:val="36"/>
      <w:szCs w:val="20"/>
    </w:rPr>
  </w:style>
  <w:style w:type="character" w:customStyle="1" w:styleId="43">
    <w:name w:val="标题 2字符"/>
    <w:basedOn w:val="26"/>
    <w:link w:val="4"/>
    <w:qFormat/>
    <w:uiPriority w:val="99"/>
    <w:rPr>
      <w:rFonts w:ascii="Times New Roman" w:hAnsi="Times New Roman" w:eastAsia="黑体" w:cs="Times New Roman"/>
      <w:b/>
      <w:kern w:val="0"/>
      <w:sz w:val="28"/>
      <w:szCs w:val="20"/>
    </w:rPr>
  </w:style>
  <w:style w:type="character" w:customStyle="1" w:styleId="44">
    <w:name w:val="标题 3字符"/>
    <w:basedOn w:val="26"/>
    <w:link w:val="5"/>
    <w:qFormat/>
    <w:uiPriority w:val="99"/>
    <w:rPr>
      <w:rFonts w:ascii="Times New Roman" w:hAnsi="Times New Roman" w:eastAsia="黑体" w:cs="Times New Roman"/>
      <w:b/>
      <w:kern w:val="0"/>
      <w:sz w:val="28"/>
      <w:szCs w:val="20"/>
    </w:rPr>
  </w:style>
  <w:style w:type="character" w:customStyle="1" w:styleId="45">
    <w:name w:val="标题 4字符"/>
    <w:basedOn w:val="26"/>
    <w:link w:val="6"/>
    <w:qFormat/>
    <w:uiPriority w:val="99"/>
    <w:rPr>
      <w:rFonts w:ascii="Arial" w:hAnsi="Times New Roman" w:eastAsia="黑体" w:cs="Times New Roman"/>
      <w:kern w:val="0"/>
      <w:sz w:val="28"/>
      <w:szCs w:val="20"/>
    </w:rPr>
  </w:style>
  <w:style w:type="character" w:customStyle="1" w:styleId="46">
    <w:name w:val="标题 9字符"/>
    <w:basedOn w:val="26"/>
    <w:link w:val="8"/>
    <w:qFormat/>
    <w:uiPriority w:val="99"/>
    <w:rPr>
      <w:rFonts w:ascii="Times New Roman" w:hAnsi="Times New Roman" w:eastAsia="宋体" w:cs="Times New Roman"/>
      <w:szCs w:val="21"/>
    </w:rPr>
  </w:style>
  <w:style w:type="character" w:customStyle="1" w:styleId="47">
    <w:name w:val="批注文字字符"/>
    <w:basedOn w:val="26"/>
    <w:link w:val="10"/>
    <w:qFormat/>
    <w:uiPriority w:val="99"/>
    <w:rPr>
      <w:rFonts w:ascii="Times New Roman" w:hAnsi="Times New Roman" w:eastAsia="宋体" w:cs="Times New Roman"/>
      <w:szCs w:val="24"/>
    </w:rPr>
  </w:style>
  <w:style w:type="character" w:customStyle="1" w:styleId="48">
    <w:name w:val="批注主题字符"/>
    <w:basedOn w:val="47"/>
    <w:link w:val="23"/>
    <w:semiHidden/>
    <w:qFormat/>
    <w:uiPriority w:val="99"/>
    <w:rPr>
      <w:rFonts w:ascii="Times New Roman" w:hAnsi="Times New Roman" w:eastAsia="宋体" w:cs="Times New Roman"/>
      <w:b/>
      <w:bCs/>
      <w:szCs w:val="24"/>
    </w:rPr>
  </w:style>
  <w:style w:type="character" w:customStyle="1" w:styleId="49">
    <w:name w:val="文档结构图字符"/>
    <w:basedOn w:val="26"/>
    <w:link w:val="9"/>
    <w:qFormat/>
    <w:uiPriority w:val="99"/>
    <w:rPr>
      <w:rFonts w:ascii="宋体" w:hAnsi="Times New Roman" w:eastAsia="宋体" w:cs="Times New Roman"/>
      <w:sz w:val="18"/>
      <w:szCs w:val="18"/>
    </w:rPr>
  </w:style>
  <w:style w:type="character" w:customStyle="1" w:styleId="50">
    <w:name w:val="正文文本字符"/>
    <w:basedOn w:val="26"/>
    <w:link w:val="11"/>
    <w:qFormat/>
    <w:uiPriority w:val="99"/>
    <w:rPr>
      <w:rFonts w:ascii="Times New Roman" w:hAnsi="Times New Roman" w:eastAsia="宋体" w:cs="Times New Roman"/>
      <w:szCs w:val="24"/>
    </w:rPr>
  </w:style>
  <w:style w:type="character" w:customStyle="1" w:styleId="51">
    <w:name w:val="正文文本缩进字符"/>
    <w:basedOn w:val="26"/>
    <w:link w:val="12"/>
    <w:qFormat/>
    <w:uiPriority w:val="0"/>
    <w:rPr>
      <w:rFonts w:ascii="宋体" w:hAnsi="Courier New" w:eastAsia="宋体" w:cs="Times New Roman"/>
      <w:spacing w:val="-4"/>
      <w:sz w:val="18"/>
      <w:szCs w:val="20"/>
    </w:rPr>
  </w:style>
  <w:style w:type="character" w:customStyle="1" w:styleId="52">
    <w:name w:val="纯文本字符"/>
    <w:basedOn w:val="26"/>
    <w:link w:val="14"/>
    <w:qFormat/>
    <w:uiPriority w:val="0"/>
    <w:rPr>
      <w:rFonts w:ascii="宋体" w:hAnsi="Courier New" w:eastAsia="宋体" w:cs="Times New Roman"/>
      <w:szCs w:val="20"/>
    </w:rPr>
  </w:style>
  <w:style w:type="character" w:customStyle="1" w:styleId="53">
    <w:name w:val="日期字符"/>
    <w:basedOn w:val="26"/>
    <w:link w:val="15"/>
    <w:qFormat/>
    <w:uiPriority w:val="99"/>
    <w:rPr>
      <w:rFonts w:ascii="Times New Roman" w:hAnsi="Times New Roman" w:eastAsia="宋体" w:cs="Times New Roman"/>
      <w:szCs w:val="24"/>
    </w:rPr>
  </w:style>
  <w:style w:type="character" w:customStyle="1" w:styleId="54">
    <w:name w:val="正文文本缩进 2字符"/>
    <w:basedOn w:val="26"/>
    <w:link w:val="16"/>
    <w:qFormat/>
    <w:uiPriority w:val="99"/>
    <w:rPr>
      <w:rFonts w:ascii="Times New Roman" w:hAnsi="Times New Roman" w:eastAsia="宋体" w:cs="Times New Roman"/>
      <w:szCs w:val="24"/>
    </w:rPr>
  </w:style>
  <w:style w:type="character" w:customStyle="1" w:styleId="55">
    <w:name w:val="批注框文本字符"/>
    <w:basedOn w:val="26"/>
    <w:link w:val="17"/>
    <w:qFormat/>
    <w:uiPriority w:val="0"/>
    <w:rPr>
      <w:rFonts w:ascii="Times New Roman" w:hAnsi="Times New Roman" w:eastAsia="宋体" w:cs="Times New Roman"/>
      <w:sz w:val="18"/>
      <w:szCs w:val="18"/>
    </w:rPr>
  </w:style>
  <w:style w:type="character" w:customStyle="1" w:styleId="56">
    <w:name w:val="标题字符"/>
    <w:basedOn w:val="26"/>
    <w:link w:val="22"/>
    <w:qFormat/>
    <w:uiPriority w:val="99"/>
    <w:rPr>
      <w:rFonts w:ascii="Cambria" w:hAnsi="Cambria" w:eastAsia="宋体" w:cs="Times New Roman"/>
      <w:b/>
      <w:bCs/>
      <w:sz w:val="32"/>
      <w:szCs w:val="32"/>
    </w:rPr>
  </w:style>
  <w:style w:type="paragraph" w:customStyle="1" w:styleId="57">
    <w:name w:val="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8">
    <w:name w:val="正文段"/>
    <w:basedOn w:val="1"/>
    <w:qFormat/>
    <w:uiPriority w:val="99"/>
    <w:pPr>
      <w:widowControl/>
      <w:snapToGrid w:val="0"/>
      <w:spacing w:afterLines="50"/>
      <w:ind w:firstLine="200" w:firstLineChars="200"/>
    </w:pPr>
    <w:rPr>
      <w:kern w:val="0"/>
      <w:sz w:val="24"/>
      <w:szCs w:val="20"/>
    </w:rPr>
  </w:style>
  <w:style w:type="paragraph" w:customStyle="1" w:styleId="59">
    <w:name w:val="Char Char Char Char Char Char Char"/>
    <w:basedOn w:val="1"/>
    <w:qFormat/>
    <w:uiPriority w:val="99"/>
    <w:rPr>
      <w:szCs w:val="21"/>
    </w:rPr>
  </w:style>
  <w:style w:type="paragraph" w:customStyle="1" w:styleId="60">
    <w:name w:val="Char"/>
    <w:basedOn w:val="1"/>
    <w:qFormat/>
    <w:uiPriority w:val="99"/>
    <w:rPr>
      <w:szCs w:val="21"/>
    </w:rPr>
  </w:style>
  <w:style w:type="paragraph" w:customStyle="1" w:styleId="61">
    <w:name w:val="Char Char Char1"/>
    <w:basedOn w:val="1"/>
    <w:qFormat/>
    <w:uiPriority w:val="99"/>
    <w:rPr>
      <w:rFonts w:ascii="Tahoma" w:hAnsi="Tahoma"/>
      <w:sz w:val="24"/>
      <w:szCs w:val="20"/>
    </w:rPr>
  </w:style>
  <w:style w:type="paragraph" w:customStyle="1" w:styleId="62">
    <w:name w:val="_Style 33"/>
    <w:basedOn w:val="3"/>
    <w:next w:val="1"/>
    <w:unhideWhenUsed/>
    <w:qFormat/>
    <w:uiPriority w:val="99"/>
    <w:pPr>
      <w:widowControl/>
      <w:adjustRightInd/>
      <w:spacing w:before="480" w:line="276" w:lineRule="auto"/>
      <w:ind w:left="0"/>
      <w:jc w:val="left"/>
      <w:textAlignment w:val="auto"/>
      <w:outlineLvl w:val="9"/>
    </w:pPr>
    <w:rPr>
      <w:rFonts w:ascii="Cambria" w:hAnsi="Cambria" w:eastAsia="宋体"/>
      <w:bCs/>
      <w:color w:val="365F91"/>
      <w:kern w:val="0"/>
      <w:szCs w:val="28"/>
    </w:rPr>
  </w:style>
  <w:style w:type="character" w:customStyle="1" w:styleId="63">
    <w:name w:val="纯文本 Char2"/>
    <w:qFormat/>
    <w:uiPriority w:val="99"/>
    <w:rPr>
      <w:rFonts w:ascii="宋体" w:hAnsi="Courier New" w:eastAsia="宋体"/>
      <w:kern w:val="2"/>
      <w:sz w:val="21"/>
      <w:lang w:val="en-US" w:eastAsia="zh-CN" w:bidi="ar-SA"/>
    </w:rPr>
  </w:style>
  <w:style w:type="paragraph" w:customStyle="1" w:styleId="64">
    <w:name w:val="p16"/>
    <w:basedOn w:val="1"/>
    <w:qFormat/>
    <w:uiPriority w:val="99"/>
    <w:pPr>
      <w:widowControl/>
    </w:pPr>
    <w:rPr>
      <w:rFonts w:ascii="宋体" w:hAnsi="宋体" w:cs="宋体"/>
      <w:kern w:val="0"/>
      <w:szCs w:val="21"/>
    </w:rPr>
  </w:style>
  <w:style w:type="paragraph" w:customStyle="1" w:styleId="65">
    <w:name w:val="列出段落1"/>
    <w:basedOn w:val="1"/>
    <w:unhideWhenUsed/>
    <w:qFormat/>
    <w:uiPriority w:val="99"/>
    <w:pPr>
      <w:ind w:firstLine="420" w:firstLineChars="200"/>
    </w:pPr>
  </w:style>
  <w:style w:type="character" w:customStyle="1" w:styleId="66">
    <w:name w:val="纯文本 Char1"/>
    <w:qFormat/>
    <w:uiPriority w:val="0"/>
    <w:rPr>
      <w:rFonts w:ascii="宋体" w:hAnsi="Courier New" w:eastAsia="宋体"/>
    </w:rPr>
  </w:style>
  <w:style w:type="paragraph" w:customStyle="1" w:styleId="67">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68">
    <w:name w:val="#"/>
    <w:basedOn w:val="1"/>
    <w:qFormat/>
    <w:uiPriority w:val="99"/>
    <w:pPr>
      <w:numPr>
        <w:ilvl w:val="0"/>
        <w:numId w:val="2"/>
      </w:numPr>
      <w:tabs>
        <w:tab w:val="left" w:pos="964"/>
      </w:tabs>
      <w:spacing w:line="360" w:lineRule="auto"/>
    </w:pPr>
    <w:rPr>
      <w:sz w:val="24"/>
    </w:rPr>
  </w:style>
  <w:style w:type="paragraph" w:customStyle="1" w:styleId="69">
    <w:name w:val="列出段落2"/>
    <w:basedOn w:val="1"/>
    <w:link w:val="70"/>
    <w:unhideWhenUsed/>
    <w:qFormat/>
    <w:uiPriority w:val="99"/>
    <w:pPr>
      <w:ind w:firstLine="420" w:firstLineChars="200"/>
    </w:pPr>
  </w:style>
  <w:style w:type="character" w:customStyle="1" w:styleId="70">
    <w:name w:val="列出段落 Char"/>
    <w:link w:val="69"/>
    <w:qFormat/>
    <w:uiPriority w:val="99"/>
    <w:rPr>
      <w:rFonts w:ascii="Times New Roman" w:hAnsi="Times New Roman" w:eastAsia="宋体" w:cs="Times New Roman"/>
      <w:szCs w:val="24"/>
    </w:rPr>
  </w:style>
  <w:style w:type="paragraph" w:customStyle="1" w:styleId="71">
    <w:name w:val="列出段落21"/>
    <w:basedOn w:val="1"/>
    <w:qFormat/>
    <w:uiPriority w:val="99"/>
    <w:pPr>
      <w:ind w:firstLine="420" w:firstLineChars="200"/>
    </w:pPr>
  </w:style>
  <w:style w:type="paragraph" w:customStyle="1" w:styleId="72">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列出段落3"/>
    <w:basedOn w:val="1"/>
    <w:unhideWhenUsed/>
    <w:qFormat/>
    <w:uiPriority w:val="99"/>
    <w:pPr>
      <w:ind w:firstLine="420" w:firstLineChars="200"/>
    </w:pPr>
    <w:rPr>
      <w:rFonts w:asciiTheme="minorHAnsi" w:hAnsiTheme="minorHAnsi" w:eastAsiaTheme="minorEastAsia" w:cstheme="minorBidi"/>
    </w:rPr>
  </w:style>
  <w:style w:type="character" w:customStyle="1" w:styleId="74">
    <w:name w:val="标题 8字符"/>
    <w:basedOn w:val="26"/>
    <w:link w:val="7"/>
    <w:qFormat/>
    <w:uiPriority w:val="99"/>
    <w:rPr>
      <w:rFonts w:asciiTheme="majorHAnsi" w:hAnsiTheme="majorHAnsi" w:eastAsiaTheme="majorEastAsia" w:cstheme="majorBidi"/>
      <w:sz w:val="24"/>
      <w:szCs w:val="24"/>
    </w:rPr>
  </w:style>
  <w:style w:type="paragraph" w:customStyle="1" w:styleId="75">
    <w:name w:val="_Style 1"/>
    <w:basedOn w:val="1"/>
    <w:qFormat/>
    <w:uiPriority w:val="99"/>
    <w:pPr>
      <w:ind w:firstLine="420" w:firstLineChars="200"/>
    </w:pPr>
  </w:style>
  <w:style w:type="character" w:customStyle="1" w:styleId="76">
    <w:name w:val="now1"/>
    <w:qFormat/>
    <w:uiPriority w:val="99"/>
    <w:rPr>
      <w:rFonts w:cs="Times New Roman"/>
    </w:rPr>
  </w:style>
  <w:style w:type="character" w:customStyle="1" w:styleId="77">
    <w:name w:val="now2"/>
    <w:qFormat/>
    <w:uiPriority w:val="99"/>
    <w:rPr>
      <w:rFonts w:cs="Times New Roman"/>
    </w:rPr>
  </w:style>
  <w:style w:type="character" w:customStyle="1" w:styleId="78">
    <w:name w:val="reason"/>
    <w:qFormat/>
    <w:uiPriority w:val="99"/>
    <w:rPr>
      <w:rFonts w:cs="Times New Roman"/>
      <w:color w:val="999999"/>
    </w:rPr>
  </w:style>
  <w:style w:type="character" w:customStyle="1" w:styleId="79">
    <w:name w:val="inq"/>
    <w:qFormat/>
    <w:uiPriority w:val="99"/>
    <w:rPr>
      <w:rFonts w:cs="Times New Roman"/>
      <w:color w:val="333333"/>
    </w:rPr>
  </w:style>
  <w:style w:type="character" w:customStyle="1" w:styleId="80">
    <w:name w:val="inq1"/>
    <w:qFormat/>
    <w:uiPriority w:val="99"/>
    <w:rPr>
      <w:rFonts w:cs="Times New Roman"/>
    </w:rPr>
  </w:style>
  <w:style w:type="character" w:customStyle="1" w:styleId="81">
    <w:name w:val="submit4"/>
    <w:qFormat/>
    <w:uiPriority w:val="99"/>
    <w:rPr>
      <w:rFonts w:cs="Times New Roman"/>
    </w:rPr>
  </w:style>
  <w:style w:type="character" w:customStyle="1" w:styleId="82">
    <w:name w:val="pl9"/>
    <w:qFormat/>
    <w:uiPriority w:val="99"/>
    <w:rPr>
      <w:rFonts w:cs="Times New Roman"/>
    </w:rPr>
  </w:style>
  <w:style w:type="character" w:customStyle="1" w:styleId="83">
    <w:name w:val="pl10"/>
    <w:qFormat/>
    <w:uiPriority w:val="99"/>
    <w:rPr>
      <w:rFonts w:cs="Times New Roman"/>
    </w:rPr>
  </w:style>
  <w:style w:type="character" w:customStyle="1" w:styleId="84">
    <w:name w:val="info"/>
    <w:qFormat/>
    <w:uiPriority w:val="99"/>
    <w:rPr>
      <w:rFonts w:cs="Times New Roman"/>
      <w:color w:val="666666"/>
    </w:rPr>
  </w:style>
  <w:style w:type="character" w:customStyle="1" w:styleId="85">
    <w:name w:val="up2"/>
    <w:qFormat/>
    <w:uiPriority w:val="99"/>
    <w:rPr>
      <w:rFonts w:cs="Times New Roman"/>
    </w:rPr>
  </w:style>
  <w:style w:type="character" w:customStyle="1" w:styleId="86">
    <w:name w:val="subject-rate2"/>
    <w:qFormat/>
    <w:uiPriority w:val="99"/>
    <w:rPr>
      <w:rFonts w:cs="Times New Roman"/>
      <w:color w:val="E09015"/>
    </w:rPr>
  </w:style>
  <w:style w:type="character" w:customStyle="1" w:styleId="87">
    <w:name w:val="up"/>
    <w:qFormat/>
    <w:uiPriority w:val="99"/>
    <w:rPr>
      <w:rFonts w:cs="Times New Roman"/>
    </w:rPr>
  </w:style>
  <w:style w:type="character" w:customStyle="1" w:styleId="88">
    <w:name w:val="now"/>
    <w:qFormat/>
    <w:uiPriority w:val="99"/>
    <w:rPr>
      <w:rFonts w:cs="Times New Roman"/>
    </w:rPr>
  </w:style>
  <w:style w:type="character" w:customStyle="1" w:styleId="89">
    <w:name w:val="submit"/>
    <w:qFormat/>
    <w:uiPriority w:val="99"/>
    <w:rPr>
      <w:rFonts w:cs="Times New Roman"/>
      <w:vanish/>
    </w:rPr>
  </w:style>
  <w:style w:type="character" w:customStyle="1" w:styleId="90">
    <w:name w:val="pl7"/>
    <w:qFormat/>
    <w:uiPriority w:val="99"/>
    <w:rPr>
      <w:rFonts w:cs="Times New Roman"/>
    </w:rPr>
  </w:style>
  <w:style w:type="character" w:customStyle="1" w:styleId="91">
    <w:name w:val="info12"/>
    <w:qFormat/>
    <w:uiPriority w:val="99"/>
    <w:rPr>
      <w:rFonts w:cs="Times New Roman"/>
      <w:color w:val="666666"/>
    </w:rPr>
  </w:style>
  <w:style w:type="character" w:customStyle="1" w:styleId="92">
    <w:name w:val="pl8"/>
    <w:qFormat/>
    <w:uiPriority w:val="99"/>
    <w:rPr>
      <w:rFonts w:cs="Times New Roman"/>
    </w:rPr>
  </w:style>
  <w:style w:type="paragraph" w:customStyle="1" w:styleId="93">
    <w:name w:val="列出段落31"/>
    <w:basedOn w:val="1"/>
    <w:qFormat/>
    <w:uiPriority w:val="99"/>
    <w:pPr>
      <w:spacing w:afterLines="50" w:line="560" w:lineRule="exact"/>
      <w:ind w:firstLine="420" w:firstLineChars="200"/>
      <w:jc w:val="center"/>
    </w:pPr>
    <w:rPr>
      <w:rFonts w:ascii="Calibri" w:hAnsi="Calibri"/>
      <w:szCs w:val="22"/>
    </w:rPr>
  </w:style>
  <w:style w:type="paragraph" w:customStyle="1" w:styleId="94">
    <w:name w:val="修订1"/>
    <w:hidden/>
    <w:unhideWhenUsed/>
    <w:qFormat/>
    <w:uiPriority w:val="99"/>
    <w:rPr>
      <w:rFonts w:ascii="Times New Roman" w:hAnsi="Times New Roman" w:eastAsia="宋体" w:cs="Times New Roman"/>
      <w:kern w:val="2"/>
      <w:sz w:val="21"/>
      <w:szCs w:val="24"/>
      <w:lang w:val="en-US" w:eastAsia="zh-CN" w:bidi="ar-SA"/>
    </w:rPr>
  </w:style>
  <w:style w:type="paragraph" w:styleId="95">
    <w:name w:val="List Paragraph"/>
    <w:basedOn w:val="1"/>
    <w:unhideWhenUsed/>
    <w:qFormat/>
    <w:uiPriority w:val="99"/>
    <w:pPr>
      <w:ind w:firstLine="420" w:firstLineChars="200"/>
    </w:pPr>
  </w:style>
  <w:style w:type="character" w:customStyle="1" w:styleId="96">
    <w:name w:val="first-child"/>
    <w:basedOn w:val="26"/>
    <w:qFormat/>
    <w:uiPriority w:val="0"/>
  </w:style>
  <w:style w:type="character" w:customStyle="1" w:styleId="97">
    <w:name w:val="dot"/>
    <w:basedOn w:val="26"/>
    <w:qFormat/>
    <w:uiPriority w:val="0"/>
  </w:style>
  <w:style w:type="character" w:customStyle="1" w:styleId="98">
    <w:name w:val="layui-layer-tabnow"/>
    <w:basedOn w:val="26"/>
    <w:qFormat/>
    <w:uiPriority w:val="0"/>
    <w:rPr>
      <w:bdr w:val="single" w:color="CCCCCC" w:sz="6" w:space="0"/>
      <w:shd w:val="clear" w:color="auto" w:fill="FFFFFF"/>
    </w:rPr>
  </w:style>
  <w:style w:type="character" w:customStyle="1" w:styleId="99">
    <w:name w:val="time2"/>
    <w:basedOn w:val="26"/>
    <w:qFormat/>
    <w:uiPriority w:val="0"/>
    <w:rPr>
      <w:color w:val="999999"/>
    </w:rPr>
  </w:style>
  <w:style w:type="character" w:customStyle="1" w:styleId="100">
    <w:name w:val="time"/>
    <w:basedOn w:val="26"/>
    <w:qFormat/>
    <w:uiPriority w:val="0"/>
    <w:rPr>
      <w:color w:val="999999"/>
    </w:rPr>
  </w:style>
  <w:style w:type="character" w:customStyle="1" w:styleId="101">
    <w:name w:val="ant-select-tree-switcher"/>
    <w:basedOn w:val="26"/>
    <w:qFormat/>
    <w:uiPriority w:val="0"/>
  </w:style>
  <w:style w:type="character" w:customStyle="1" w:styleId="102">
    <w:name w:val="ant-select-tree-iconele"/>
    <w:basedOn w:val="26"/>
    <w:qFormat/>
    <w:uiPriority w:val="0"/>
  </w:style>
  <w:style w:type="character" w:customStyle="1" w:styleId="103">
    <w:name w:val="ant-input14"/>
    <w:basedOn w:val="26"/>
    <w:qFormat/>
    <w:uiPriority w:val="0"/>
  </w:style>
  <w:style w:type="character" w:customStyle="1" w:styleId="104">
    <w:name w:val="ant-tree-switcher"/>
    <w:basedOn w:val="26"/>
    <w:qFormat/>
    <w:uiPriority w:val="0"/>
  </w:style>
  <w:style w:type="character" w:customStyle="1" w:styleId="105">
    <w:name w:val="ant-select-tree-checkbox2"/>
    <w:basedOn w:val="26"/>
    <w:qFormat/>
    <w:uiPriority w:val="0"/>
  </w:style>
  <w:style w:type="character" w:customStyle="1" w:styleId="106">
    <w:name w:val="ant-transfer-list-search-action"/>
    <w:basedOn w:val="26"/>
    <w:qFormat/>
    <w:uiPriority w:val="0"/>
  </w:style>
  <w:style w:type="character" w:customStyle="1" w:styleId="107">
    <w:name w:val="ant-tree-checkbox2"/>
    <w:basedOn w:val="26"/>
    <w:qFormat/>
    <w:uiPriority w:val="0"/>
  </w:style>
  <w:style w:type="character" w:customStyle="1" w:styleId="108">
    <w:name w:val="ant-tree-iconele"/>
    <w:basedOn w:val="26"/>
    <w:qFormat/>
    <w:uiPriority w:val="0"/>
  </w:style>
  <w:style w:type="character" w:customStyle="1" w:styleId="109">
    <w:name w:val="ant-tree-icon_loading"/>
    <w:basedOn w:val="26"/>
    <w:qFormat/>
    <w:uiPriority w:val="0"/>
    <w:rPr>
      <w:shd w:val="clear" w:color="auto" w:fill="FFFFFF"/>
    </w:rPr>
  </w:style>
  <w:style w:type="character" w:customStyle="1" w:styleId="110">
    <w:name w:val="ant-form-item-children1"/>
    <w:basedOn w:val="26"/>
    <w:qFormat/>
    <w:uiPriority w:val="0"/>
  </w:style>
  <w:style w:type="character" w:customStyle="1" w:styleId="111">
    <w:name w:val="ant-select-tree-checkbox"/>
    <w:basedOn w:val="26"/>
    <w:qFormat/>
    <w:uiPriority w:val="0"/>
  </w:style>
  <w:style w:type="character" w:customStyle="1" w:styleId="112">
    <w:name w:val="ant-input16"/>
    <w:basedOn w:val="26"/>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5240</Words>
  <Characters>29868</Characters>
  <Lines>1</Lines>
  <Paragraphs>1</Paragraphs>
  <TotalTime>180</TotalTime>
  <ScaleCrop>false</ScaleCrop>
  <LinksUpToDate>false</LinksUpToDate>
  <CharactersWithSpaces>35038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2020-06-19T07:33:00Z</dcterms:created>
  <dc:creator>NTKO</dc:creator>
  <cp:lastModifiedBy>Administrator</cp:lastModifiedBy>
  <cp:lastPrinted>2020-06-10T13:41:00Z</cp:lastPrinted>
  <dcterms:modified xsi:type="dcterms:W3CDTF">2020-07-09T01:19:03Z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