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center" w:pos="4950"/>
          <w:tab w:val="right" w:pos="9781"/>
        </w:tabs>
        <w:jc w:val="left"/>
        <w:rPr>
          <w:rFonts w:asciiTheme="majorEastAsia" w:hAnsiTheme="majorEastAsia" w:eastAsiaTheme="majorEastAsia"/>
        </w:rPr>
      </w:pPr>
      <w:permStart w:id="0" w:edGrp="everyone"/>
      <w:permEnd w:id="0"/>
    </w:p>
    <w:p>
      <w:pPr>
        <w:pStyle w:val="17"/>
        <w:tabs>
          <w:tab w:val="center" w:pos="4950"/>
          <w:tab w:val="right" w:pos="9781"/>
        </w:tabs>
        <w:ind w:firstLine="2940" w:firstLineChars="350"/>
        <w:jc w:val="left"/>
        <w:rPr>
          <w:rFonts w:asciiTheme="majorEastAsia" w:hAnsiTheme="majorEastAsia" w:eastAsiaTheme="majorEastAsia"/>
          <w:sz w:val="84"/>
          <w:szCs w:val="84"/>
        </w:rPr>
      </w:pPr>
    </w:p>
    <w:p>
      <w:pPr>
        <w:pStyle w:val="17"/>
        <w:tabs>
          <w:tab w:val="center" w:pos="4950"/>
          <w:tab w:val="right" w:pos="9781"/>
        </w:tabs>
        <w:ind w:firstLine="2419" w:firstLineChars="288"/>
        <w:jc w:val="left"/>
        <w:rPr>
          <w:rFonts w:asciiTheme="majorEastAsia" w:hAnsiTheme="majorEastAsia" w:eastAsiaTheme="majorEastAsia"/>
          <w:b/>
          <w:bCs/>
          <w:sz w:val="84"/>
          <w:szCs w:val="84"/>
        </w:rPr>
      </w:pPr>
      <w:r>
        <w:rPr>
          <w:rFonts w:hint="eastAsia" w:asciiTheme="majorEastAsia" w:hAnsiTheme="majorEastAsia" w:eastAsiaTheme="majorEastAsia"/>
          <w:sz w:val="84"/>
          <w:szCs w:val="84"/>
        </w:rPr>
        <w:t>公开招标文件</w:t>
      </w:r>
      <w:permStart w:id="1" w:edGrp="everyone"/>
      <w:permEnd w:id="1"/>
    </w:p>
    <w:p>
      <w:pPr>
        <w:jc w:val="center"/>
        <w:rPr>
          <w:rFonts w:asciiTheme="majorEastAsia" w:hAnsiTheme="majorEastAsia" w:eastAsiaTheme="majorEastAsia"/>
          <w:sz w:val="52"/>
          <w:szCs w:val="52"/>
        </w:rPr>
      </w:pPr>
    </w:p>
    <w:p>
      <w:pPr>
        <w:jc w:val="center"/>
        <w:rPr>
          <w:rFonts w:asciiTheme="majorEastAsia" w:hAnsiTheme="majorEastAsia" w:eastAsiaTheme="majorEastAsia"/>
          <w:b/>
          <w:bCs/>
          <w:sz w:val="32"/>
          <w:szCs w:val="32"/>
        </w:rPr>
      </w:pPr>
    </w:p>
    <w:p>
      <w:pPr>
        <w:pStyle w:val="17"/>
        <w:rPr>
          <w:rFonts w:asciiTheme="majorEastAsia" w:hAnsiTheme="majorEastAsia" w:eastAsiaTheme="majorEastAsia"/>
          <w:sz w:val="32"/>
          <w:szCs w:val="32"/>
        </w:rPr>
      </w:pPr>
    </w:p>
    <w:p>
      <w:pPr>
        <w:ind w:left="3541" w:leftChars="900" w:hanging="1561" w:hangingChars="486"/>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项目名称：南宁市住房租赁服务监管平台</w:t>
      </w:r>
    </w:p>
    <w:p>
      <w:pPr>
        <w:ind w:left="2822" w:leftChars="900" w:hanging="842" w:hangingChars="262"/>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项目编号：NNZC2020-G3-990364-GXYZ</w:t>
      </w:r>
    </w:p>
    <w:p>
      <w:pPr>
        <w:ind w:left="2822" w:leftChars="900" w:hanging="842" w:hangingChars="262"/>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 xml:space="preserve">采购计划文号：[2020]NCCJB518001/3823-001 </w:t>
      </w:r>
    </w:p>
    <w:p>
      <w:pPr>
        <w:rPr>
          <w:rFonts w:asciiTheme="majorEastAsia" w:hAnsiTheme="majorEastAsia" w:eastAsiaTheme="majorEastAsia"/>
          <w:b/>
          <w:bCs/>
          <w:sz w:val="32"/>
          <w:szCs w:val="32"/>
        </w:rPr>
      </w:pPr>
    </w:p>
    <w:p>
      <w:pPr>
        <w:ind w:left="2822" w:leftChars="900" w:hanging="842" w:hangingChars="262"/>
        <w:rPr>
          <w:rFonts w:asciiTheme="majorEastAsia" w:hAnsiTheme="majorEastAsia" w:eastAsiaTheme="majorEastAsia"/>
          <w:b/>
          <w:bCs/>
          <w:sz w:val="32"/>
          <w:szCs w:val="32"/>
        </w:rPr>
      </w:pPr>
    </w:p>
    <w:p>
      <w:pPr>
        <w:ind w:left="2556" w:leftChars="900" w:hanging="576" w:hangingChars="262"/>
        <w:rPr>
          <w:rFonts w:asciiTheme="majorEastAsia" w:hAnsiTheme="majorEastAsia" w:eastAsiaTheme="majorEastAsia"/>
          <w:b/>
          <w:bCs/>
          <w:sz w:val="32"/>
          <w:szCs w:val="32"/>
        </w:rPr>
      </w:pPr>
      <w:r>
        <w:drawing>
          <wp:anchor distT="0" distB="0" distL="114300" distR="114300" simplePos="0" relativeHeight="251667456" behindDoc="1" locked="0" layoutInCell="1" allowOverlap="1">
            <wp:simplePos x="0" y="0"/>
            <wp:positionH relativeFrom="column">
              <wp:posOffset>549910</wp:posOffset>
            </wp:positionH>
            <wp:positionV relativeFrom="paragraph">
              <wp:posOffset>201930</wp:posOffset>
            </wp:positionV>
            <wp:extent cx="5857875" cy="2905125"/>
            <wp:effectExtent l="0" t="0" r="9525" b="952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a:stretch>
                      <a:fillRect/>
                    </a:stretch>
                  </pic:blipFill>
                  <pic:spPr>
                    <a:xfrm>
                      <a:off x="0" y="0"/>
                      <a:ext cx="5857875" cy="2905125"/>
                    </a:xfrm>
                    <a:prstGeom prst="rect">
                      <a:avLst/>
                    </a:prstGeom>
                    <a:noFill/>
                    <a:ln>
                      <a:noFill/>
                    </a:ln>
                  </pic:spPr>
                </pic:pic>
              </a:graphicData>
            </a:graphic>
          </wp:anchor>
        </w:drawing>
      </w:r>
    </w:p>
    <w:p>
      <w:pPr>
        <w:ind w:left="2822" w:leftChars="900" w:hanging="842" w:hangingChars="262"/>
        <w:rPr>
          <w:rFonts w:asciiTheme="majorEastAsia" w:hAnsiTheme="majorEastAsia" w:eastAsiaTheme="majorEastAsia"/>
          <w:b/>
          <w:bCs/>
          <w:sz w:val="32"/>
          <w:szCs w:val="32"/>
        </w:rPr>
      </w:pPr>
    </w:p>
    <w:p>
      <w:pPr>
        <w:ind w:left="2822" w:leftChars="900" w:hanging="842" w:hangingChars="262"/>
        <w:rPr>
          <w:rFonts w:asciiTheme="majorEastAsia" w:hAnsiTheme="majorEastAsia" w:eastAsiaTheme="majorEastAsia"/>
          <w:b/>
          <w:bCs/>
          <w:sz w:val="32"/>
          <w:szCs w:val="32"/>
        </w:rPr>
      </w:pPr>
    </w:p>
    <w:p>
      <w:pPr>
        <w:ind w:left="2822" w:leftChars="900" w:hanging="842" w:hangingChars="262"/>
        <w:rPr>
          <w:rFonts w:asciiTheme="majorEastAsia" w:hAnsiTheme="majorEastAsia" w:eastAsiaTheme="majorEastAsia"/>
          <w:b/>
          <w:bCs/>
          <w:sz w:val="32"/>
          <w:szCs w:val="32"/>
        </w:rPr>
      </w:pPr>
    </w:p>
    <w:p>
      <w:pPr>
        <w:rPr>
          <w:rFonts w:asciiTheme="majorEastAsia" w:hAnsiTheme="majorEastAsia" w:eastAsiaTheme="majorEastAsia"/>
          <w:b/>
          <w:bCs/>
          <w:sz w:val="32"/>
          <w:szCs w:val="32"/>
        </w:rPr>
        <w:sectPr>
          <w:headerReference r:id="rId5" w:type="first"/>
          <w:headerReference r:id="rId3" w:type="default"/>
          <w:footerReference r:id="rId6" w:type="default"/>
          <w:headerReference r:id="rId4" w:type="even"/>
          <w:footerReference r:id="rId7" w:type="even"/>
          <w:pgSz w:w="11906" w:h="16838"/>
          <w:pgMar w:top="1440" w:right="1366" w:bottom="1440" w:left="1080" w:header="851" w:footer="907" w:gutter="0"/>
          <w:cols w:space="720" w:num="1"/>
          <w:titlePg/>
          <w:docGrid w:type="lines" w:linePitch="312" w:charSpace="0"/>
        </w:sectPr>
      </w:pPr>
    </w:p>
    <w:p>
      <w:pPr>
        <w:spacing w:line="440" w:lineRule="exact"/>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关于投标文件邮寄形式的通知</w:t>
      </w:r>
    </w:p>
    <w:p>
      <w:pPr>
        <w:spacing w:line="44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为做好新型冠状病毒肺炎疫情防控工作，根据南宁市财政局《关于做好疫情防控期间政府采购工作有关事项的通知》（南财采〔2020〕12号）要求，现对本项目相关事项通知如下：</w:t>
      </w:r>
    </w:p>
    <w:p>
      <w:pPr>
        <w:spacing w:line="44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（一）本项目投标截止（开标）时间为：</w:t>
      </w:r>
      <w:r>
        <w:rPr>
          <w:rFonts w:hint="eastAsia" w:asciiTheme="majorEastAsia" w:hAnsiTheme="majorEastAsia" w:eastAsiaTheme="majorEastAsia"/>
          <w:b/>
          <w:bCs/>
          <w:sz w:val="24"/>
          <w:szCs w:val="24"/>
        </w:rPr>
        <w:t>2020年</w:t>
      </w:r>
      <w:r>
        <w:rPr>
          <w:rFonts w:hint="eastAsia" w:asciiTheme="majorEastAsia" w:hAnsiTheme="majorEastAsia" w:eastAsiaTheme="majorEastAsia"/>
          <w:b/>
          <w:bCs/>
          <w:sz w:val="24"/>
          <w:szCs w:val="24"/>
          <w:lang w:val="en-US" w:eastAsia="zh-CN"/>
        </w:rPr>
        <w:t>11</w:t>
      </w:r>
      <w:r>
        <w:rPr>
          <w:rFonts w:hint="eastAsia" w:asciiTheme="majorEastAsia" w:hAnsiTheme="majorEastAsia" w:eastAsiaTheme="majorEastAsia"/>
          <w:b/>
          <w:bCs/>
          <w:sz w:val="24"/>
          <w:szCs w:val="24"/>
        </w:rPr>
        <w:t>月</w:t>
      </w:r>
      <w:r>
        <w:rPr>
          <w:rFonts w:hint="eastAsia" w:asciiTheme="majorEastAsia" w:hAnsiTheme="majorEastAsia" w:eastAsiaTheme="majorEastAsia"/>
          <w:b/>
          <w:bCs/>
          <w:sz w:val="24"/>
          <w:szCs w:val="24"/>
          <w:lang w:val="en-US" w:eastAsia="zh-CN"/>
        </w:rPr>
        <w:t>26</w:t>
      </w:r>
      <w:r>
        <w:rPr>
          <w:rFonts w:hint="eastAsia" w:asciiTheme="majorEastAsia" w:hAnsiTheme="majorEastAsia" w:eastAsiaTheme="majorEastAsia"/>
          <w:b/>
          <w:bCs/>
          <w:sz w:val="24"/>
          <w:szCs w:val="24"/>
        </w:rPr>
        <w:t>日</w:t>
      </w:r>
      <w:r>
        <w:rPr>
          <w:rFonts w:hint="eastAsia" w:asciiTheme="majorEastAsia" w:hAnsiTheme="majorEastAsia" w:eastAsiaTheme="majorEastAsia"/>
          <w:b/>
          <w:bCs/>
          <w:sz w:val="24"/>
          <w:szCs w:val="24"/>
          <w:lang w:val="en-US" w:eastAsia="zh-CN"/>
        </w:rPr>
        <w:t>09</w:t>
      </w:r>
      <w:r>
        <w:rPr>
          <w:rFonts w:hint="eastAsia" w:asciiTheme="majorEastAsia" w:hAnsiTheme="majorEastAsia" w:eastAsiaTheme="majorEastAsia"/>
          <w:b/>
          <w:bCs/>
          <w:sz w:val="24"/>
          <w:szCs w:val="24"/>
        </w:rPr>
        <w:t>时</w:t>
      </w:r>
      <w:r>
        <w:rPr>
          <w:rFonts w:hint="eastAsia" w:asciiTheme="majorEastAsia" w:hAnsiTheme="majorEastAsia" w:eastAsiaTheme="majorEastAsia"/>
          <w:b/>
          <w:bCs/>
          <w:sz w:val="24"/>
          <w:szCs w:val="24"/>
          <w:lang w:val="en-US" w:eastAsia="zh-CN"/>
        </w:rPr>
        <w:t>30</w:t>
      </w:r>
      <w:r>
        <w:rPr>
          <w:rFonts w:hint="eastAsia" w:asciiTheme="majorEastAsia" w:hAnsiTheme="majorEastAsia" w:eastAsiaTheme="majorEastAsia"/>
          <w:b/>
          <w:bCs/>
          <w:sz w:val="24"/>
          <w:szCs w:val="24"/>
        </w:rPr>
        <w:t>分。</w:t>
      </w:r>
    </w:p>
    <w:p>
      <w:pPr>
        <w:spacing w:line="44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（二）本项目的投标文件通过邮寄快递的方式送达。</w:t>
      </w:r>
    </w:p>
    <w:p>
      <w:pPr>
        <w:spacing w:line="440" w:lineRule="exact"/>
        <w:ind w:firstLine="723" w:firstLineChars="300"/>
        <w:rPr>
          <w:rFonts w:asciiTheme="majorEastAsia" w:hAnsiTheme="majorEastAsia" w:eastAsiaTheme="majorEastAsia"/>
          <w:b/>
          <w:sz w:val="24"/>
          <w:szCs w:val="24"/>
        </w:rPr>
      </w:pPr>
      <w:r>
        <w:rPr>
          <w:rFonts w:hint="eastAsia" w:asciiTheme="majorEastAsia" w:hAnsiTheme="majorEastAsia" w:eastAsiaTheme="majorEastAsia"/>
          <w:b/>
          <w:sz w:val="24"/>
          <w:szCs w:val="24"/>
        </w:rPr>
        <w:t>1、接收邮寄快递包裹的时间为工作日上午9：00～12：00，下午15：00～18:00，投标人应对自己的投标文件的快递包封和密封性负责，如送达的快递包裹出现破损导致投标文件密封性包封破损的，后果由投标人自行承担。</w:t>
      </w:r>
    </w:p>
    <w:p>
      <w:pPr>
        <w:spacing w:line="440" w:lineRule="exact"/>
        <w:ind w:firstLine="720" w:firstLineChars="300"/>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hint="eastAsia" w:asciiTheme="majorEastAsia" w:hAnsiTheme="majorEastAsia" w:eastAsiaTheme="majorEastAsia"/>
          <w:b/>
          <w:bCs/>
          <w:sz w:val="24"/>
          <w:szCs w:val="24"/>
        </w:rPr>
        <w:t>投标文件必须在投标截止时间前一小时（即</w:t>
      </w:r>
      <w:r>
        <w:rPr>
          <w:rFonts w:hint="eastAsia" w:asciiTheme="majorEastAsia" w:hAnsiTheme="majorEastAsia" w:eastAsiaTheme="majorEastAsia"/>
          <w:b/>
          <w:bCs/>
          <w:sz w:val="24"/>
          <w:szCs w:val="24"/>
          <w:lang w:val="en-US" w:eastAsia="zh-CN"/>
        </w:rPr>
        <w:t>08</w:t>
      </w:r>
      <w:r>
        <w:rPr>
          <w:rFonts w:hint="eastAsia" w:asciiTheme="majorEastAsia" w:hAnsiTheme="majorEastAsia" w:eastAsiaTheme="majorEastAsia"/>
          <w:b/>
          <w:bCs/>
          <w:sz w:val="24"/>
          <w:szCs w:val="24"/>
        </w:rPr>
        <w:t>时</w:t>
      </w:r>
      <w:r>
        <w:rPr>
          <w:rFonts w:hint="eastAsia" w:asciiTheme="majorEastAsia" w:hAnsiTheme="majorEastAsia" w:eastAsiaTheme="majorEastAsia"/>
          <w:b/>
          <w:bCs/>
          <w:sz w:val="24"/>
          <w:szCs w:val="24"/>
          <w:lang w:val="en-US" w:eastAsia="zh-CN"/>
        </w:rPr>
        <w:t>30</w:t>
      </w:r>
      <w:r>
        <w:rPr>
          <w:rFonts w:hint="eastAsia" w:asciiTheme="majorEastAsia" w:hAnsiTheme="majorEastAsia" w:eastAsiaTheme="majorEastAsia"/>
          <w:b/>
          <w:bCs/>
          <w:sz w:val="24"/>
          <w:szCs w:val="24"/>
        </w:rPr>
        <w:t>分）送达。</w:t>
      </w:r>
      <w:r>
        <w:rPr>
          <w:rFonts w:hint="eastAsia" w:asciiTheme="majorEastAsia" w:hAnsiTheme="majorEastAsia" w:eastAsiaTheme="majorEastAsia"/>
          <w:sz w:val="24"/>
          <w:szCs w:val="24"/>
        </w:rPr>
        <w:t>采购代理机构工作人员签收邮寄包裹的时间即为投标人投标文件的送达时间，逾期送达的投标文件无效，后果由投标人自行承担。</w:t>
      </w:r>
    </w:p>
    <w:p>
      <w:pPr>
        <w:spacing w:line="440" w:lineRule="exact"/>
        <w:ind w:firstLine="720" w:firstLineChars="300"/>
        <w:rPr>
          <w:rFonts w:asciiTheme="majorEastAsia" w:hAnsiTheme="majorEastAsia" w:eastAsiaTheme="majorEastAsia"/>
          <w:b/>
          <w:sz w:val="24"/>
          <w:szCs w:val="24"/>
        </w:rPr>
      </w:pPr>
      <w:r>
        <w:rPr>
          <w:rFonts w:hint="eastAsia" w:asciiTheme="majorEastAsia" w:hAnsiTheme="majorEastAsia" w:eastAsiaTheme="majorEastAsia"/>
          <w:sz w:val="24"/>
          <w:szCs w:val="24"/>
        </w:rPr>
        <w:t>3、</w:t>
      </w:r>
      <w:r>
        <w:rPr>
          <w:rFonts w:asciiTheme="majorEastAsia" w:hAnsiTheme="majorEastAsia" w:eastAsiaTheme="majorEastAsia"/>
          <w:sz w:val="24"/>
          <w:szCs w:val="24"/>
        </w:rPr>
        <w:t>投标人应充分预留投标文件邮寄、送达所需要的时间。为确保疫情防控期间邮寄包裹能及时送达，</w:t>
      </w:r>
      <w:r>
        <w:rPr>
          <w:rFonts w:asciiTheme="majorEastAsia" w:hAnsiTheme="majorEastAsia" w:eastAsiaTheme="majorEastAsia"/>
          <w:b/>
          <w:sz w:val="24"/>
          <w:szCs w:val="24"/>
        </w:rPr>
        <w:t>应选择邮寄运送时间有保障的快递公司寄送投标文件。</w:t>
      </w:r>
    </w:p>
    <w:p>
      <w:pPr>
        <w:spacing w:line="440" w:lineRule="exact"/>
        <w:ind w:firstLine="720" w:firstLineChars="300"/>
        <w:rPr>
          <w:rFonts w:asciiTheme="majorEastAsia" w:hAnsiTheme="majorEastAsia" w:eastAsiaTheme="majorEastAsia"/>
          <w:sz w:val="24"/>
          <w:szCs w:val="24"/>
        </w:rPr>
      </w:pPr>
      <w:r>
        <w:rPr>
          <w:rFonts w:hint="eastAsia" w:asciiTheme="majorEastAsia" w:hAnsiTheme="majorEastAsia" w:eastAsiaTheme="majorEastAsia"/>
          <w:sz w:val="24"/>
          <w:szCs w:val="24"/>
        </w:rPr>
        <w:t>4、</w:t>
      </w:r>
      <w:r>
        <w:rPr>
          <w:rFonts w:asciiTheme="majorEastAsia" w:hAnsiTheme="majorEastAsia" w:eastAsiaTheme="majorEastAsia"/>
          <w:sz w:val="24"/>
          <w:szCs w:val="24"/>
        </w:rPr>
        <w:t>投标人在按照</w:t>
      </w:r>
      <w:r>
        <w:rPr>
          <w:rFonts w:asciiTheme="majorEastAsia" w:hAnsiTheme="majorEastAsia" w:eastAsiaTheme="majorEastAsia"/>
          <w:b/>
          <w:sz w:val="24"/>
          <w:szCs w:val="24"/>
        </w:rPr>
        <w:t>招标文件的要求</w:t>
      </w:r>
      <w:r>
        <w:rPr>
          <w:rFonts w:asciiTheme="majorEastAsia" w:hAnsiTheme="majorEastAsia" w:eastAsiaTheme="majorEastAsia"/>
          <w:sz w:val="24"/>
          <w:szCs w:val="24"/>
        </w:rPr>
        <w:t>装订、密封好投标文件后，应使用不透明、防水的邮寄袋（或箱）再次包裹已密封好的投标文件，并在邮寄袋（或箱）上粘牢注明项目名称、项目编号、</w:t>
      </w:r>
      <w:r>
        <w:rPr>
          <w:rFonts w:hint="eastAsia" w:asciiTheme="majorEastAsia" w:hAnsiTheme="majorEastAsia" w:eastAsiaTheme="majorEastAsia"/>
          <w:sz w:val="24"/>
          <w:szCs w:val="24"/>
        </w:rPr>
        <w:t>项目开标日期、</w:t>
      </w:r>
      <w:r>
        <w:rPr>
          <w:rFonts w:asciiTheme="majorEastAsia" w:hAnsiTheme="majorEastAsia" w:eastAsiaTheme="majorEastAsia"/>
          <w:sz w:val="24"/>
          <w:szCs w:val="24"/>
        </w:rPr>
        <w:t>有效的电子邮箱等内容的纸质表格</w:t>
      </w:r>
      <w:r>
        <w:rPr>
          <w:rFonts w:asciiTheme="majorEastAsia" w:hAnsiTheme="majorEastAsia" w:eastAsiaTheme="majorEastAsia"/>
          <w:b/>
          <w:sz w:val="24"/>
          <w:szCs w:val="24"/>
        </w:rPr>
        <w:t>（表格格式详见附件）</w:t>
      </w:r>
      <w:r>
        <w:rPr>
          <w:rFonts w:asciiTheme="majorEastAsia" w:hAnsiTheme="majorEastAsia" w:eastAsiaTheme="majorEastAsia"/>
          <w:sz w:val="24"/>
          <w:szCs w:val="24"/>
        </w:rPr>
        <w:t>。</w:t>
      </w:r>
    </w:p>
    <w:p>
      <w:pPr>
        <w:spacing w:line="440" w:lineRule="exact"/>
        <w:ind w:firstLine="723" w:firstLineChars="300"/>
        <w:rPr>
          <w:rFonts w:asciiTheme="majorEastAsia" w:hAnsiTheme="majorEastAsia" w:eastAsiaTheme="majorEastAsia"/>
          <w:b/>
          <w:sz w:val="24"/>
          <w:szCs w:val="24"/>
        </w:rPr>
      </w:pPr>
      <w:r>
        <w:rPr>
          <w:rFonts w:hint="eastAsia" w:asciiTheme="majorEastAsia" w:hAnsiTheme="majorEastAsia" w:eastAsiaTheme="majorEastAsia"/>
          <w:b/>
          <w:sz w:val="24"/>
          <w:szCs w:val="24"/>
        </w:rPr>
        <w:t>5、</w:t>
      </w:r>
      <w:r>
        <w:rPr>
          <w:rFonts w:asciiTheme="majorEastAsia" w:hAnsiTheme="majorEastAsia" w:eastAsiaTheme="majorEastAsia"/>
          <w:b/>
          <w:sz w:val="24"/>
          <w:szCs w:val="24"/>
        </w:rPr>
        <w:t>采购代理机构在收到投标文件的邮寄包裹后，第一时间按照投标人在邮寄包裹上所预留的电子邮箱告知</w:t>
      </w:r>
      <w:r>
        <w:rPr>
          <w:rFonts w:hint="eastAsia" w:asciiTheme="majorEastAsia" w:hAnsiTheme="majorEastAsia" w:eastAsiaTheme="majorEastAsia"/>
          <w:b/>
          <w:sz w:val="24"/>
          <w:szCs w:val="24"/>
        </w:rPr>
        <w:t>投标</w:t>
      </w:r>
      <w:r>
        <w:rPr>
          <w:rFonts w:asciiTheme="majorEastAsia" w:hAnsiTheme="majorEastAsia" w:eastAsiaTheme="majorEastAsia"/>
          <w:b/>
          <w:sz w:val="24"/>
          <w:szCs w:val="24"/>
        </w:rPr>
        <w:t>文件收件情况，请投标人务必确保所预留的电子邮箱的有效性，并注意查收邮件。</w:t>
      </w:r>
    </w:p>
    <w:p>
      <w:pPr>
        <w:spacing w:line="440" w:lineRule="exact"/>
        <w:ind w:firstLine="720" w:firstLineChars="300"/>
        <w:rPr>
          <w:rFonts w:asciiTheme="majorEastAsia" w:hAnsiTheme="majorEastAsia" w:eastAsiaTheme="majorEastAsia"/>
          <w:sz w:val="24"/>
        </w:rPr>
      </w:pPr>
      <w:r>
        <w:rPr>
          <w:rFonts w:hint="eastAsia" w:asciiTheme="majorEastAsia" w:hAnsiTheme="majorEastAsia" w:eastAsiaTheme="majorEastAsia"/>
          <w:sz w:val="24"/>
          <w:szCs w:val="24"/>
        </w:rPr>
        <w:t>6、</w:t>
      </w:r>
      <w:r>
        <w:rPr>
          <w:rFonts w:asciiTheme="majorEastAsia" w:hAnsiTheme="majorEastAsia" w:eastAsiaTheme="majorEastAsia"/>
          <w:sz w:val="24"/>
          <w:szCs w:val="24"/>
        </w:rPr>
        <w:t>投标文件邮寄地址：</w:t>
      </w:r>
      <w:r>
        <w:rPr>
          <w:rFonts w:hint="eastAsia" w:asciiTheme="majorEastAsia" w:hAnsiTheme="majorEastAsia" w:eastAsiaTheme="majorEastAsia"/>
          <w:sz w:val="24"/>
        </w:rPr>
        <w:t>广西邕政采购代理有限公司（南宁市青秀区思贤路45号创投中心16A层）。</w:t>
      </w:r>
    </w:p>
    <w:p>
      <w:pPr>
        <w:spacing w:line="440" w:lineRule="exact"/>
        <w:ind w:firstLine="720" w:firstLineChars="300"/>
        <w:rPr>
          <w:rFonts w:asciiTheme="majorEastAsia" w:hAnsiTheme="majorEastAsia" w:eastAsiaTheme="majorEastAsia"/>
          <w:sz w:val="24"/>
          <w:szCs w:val="24"/>
        </w:rPr>
      </w:pPr>
      <w:r>
        <w:rPr>
          <w:rFonts w:asciiTheme="majorEastAsia" w:hAnsiTheme="majorEastAsia" w:eastAsiaTheme="majorEastAsia"/>
          <w:sz w:val="24"/>
          <w:szCs w:val="24"/>
        </w:rPr>
        <w:t>收件人：</w:t>
      </w:r>
      <w:r>
        <w:rPr>
          <w:rFonts w:hint="eastAsia" w:asciiTheme="majorEastAsia" w:hAnsiTheme="majorEastAsia" w:eastAsiaTheme="majorEastAsia"/>
          <w:sz w:val="24"/>
        </w:rPr>
        <w:t>黎工</w:t>
      </w:r>
    </w:p>
    <w:p>
      <w:pPr>
        <w:spacing w:line="440" w:lineRule="exact"/>
        <w:ind w:firstLine="720" w:firstLineChars="300"/>
        <w:rPr>
          <w:rFonts w:asciiTheme="majorEastAsia" w:hAnsiTheme="majorEastAsia" w:eastAsiaTheme="majorEastAsia"/>
          <w:sz w:val="24"/>
          <w:szCs w:val="24"/>
        </w:rPr>
      </w:pPr>
      <w:r>
        <w:rPr>
          <w:rFonts w:asciiTheme="majorEastAsia" w:hAnsiTheme="majorEastAsia" w:eastAsiaTheme="majorEastAsia"/>
          <w:sz w:val="24"/>
          <w:szCs w:val="24"/>
        </w:rPr>
        <w:t>联系电话：0771-</w:t>
      </w:r>
      <w:r>
        <w:rPr>
          <w:rFonts w:hint="eastAsia" w:asciiTheme="majorEastAsia" w:hAnsiTheme="majorEastAsia" w:eastAsiaTheme="majorEastAsia"/>
          <w:sz w:val="24"/>
          <w:szCs w:val="24"/>
        </w:rPr>
        <w:t>2442850</w:t>
      </w:r>
    </w:p>
    <w:p>
      <w:pPr>
        <w:spacing w:line="440" w:lineRule="exact"/>
        <w:ind w:firstLine="480" w:firstLineChars="200"/>
        <w:rPr>
          <w:rFonts w:asciiTheme="majorEastAsia" w:hAnsiTheme="majorEastAsia" w:eastAsiaTheme="majorEastAsia"/>
          <w:b/>
          <w:sz w:val="24"/>
          <w:szCs w:val="24"/>
        </w:rPr>
      </w:pPr>
      <w:r>
        <w:rPr>
          <w:rFonts w:hint="eastAsia" w:asciiTheme="majorEastAsia" w:hAnsiTheme="majorEastAsia" w:eastAsiaTheme="majorEastAsia"/>
          <w:sz w:val="24"/>
          <w:szCs w:val="24"/>
        </w:rPr>
        <w:t>（三）</w:t>
      </w:r>
      <w:r>
        <w:rPr>
          <w:rFonts w:hint="eastAsia" w:asciiTheme="majorEastAsia" w:hAnsiTheme="majorEastAsia" w:eastAsiaTheme="majorEastAsia"/>
          <w:b/>
          <w:sz w:val="24"/>
          <w:szCs w:val="24"/>
        </w:rPr>
        <w:t>投标人不参加现场开标活动。</w:t>
      </w:r>
      <w:r>
        <w:rPr>
          <w:rFonts w:hint="eastAsia" w:asciiTheme="majorEastAsia" w:hAnsiTheme="majorEastAsia" w:eastAsiaTheme="majorEastAsia"/>
          <w:sz w:val="24"/>
          <w:szCs w:val="24"/>
        </w:rPr>
        <w:t>取消招标文件“第四章投标人须知”中16.开标”的所有内容。</w:t>
      </w:r>
    </w:p>
    <w:p>
      <w:pPr>
        <w:spacing w:line="440" w:lineRule="exact"/>
        <w:ind w:firstLine="480" w:firstLineChars="200"/>
        <w:rPr>
          <w:rFonts w:asciiTheme="majorEastAsia" w:hAnsiTheme="majorEastAsia" w:eastAsiaTheme="majorEastAsia"/>
          <w:sz w:val="24"/>
          <w:szCs w:val="24"/>
        </w:rPr>
        <w:sectPr>
          <w:pgSz w:w="11906" w:h="16838"/>
          <w:pgMar w:top="1440" w:right="1080" w:bottom="1440" w:left="1080" w:header="851" w:footer="907" w:gutter="0"/>
          <w:cols w:space="720" w:num="1"/>
          <w:titlePg/>
          <w:docGrid w:type="lines" w:linePitch="312" w:charSpace="0"/>
        </w:sectPr>
      </w:pPr>
    </w:p>
    <w:p>
      <w:pPr>
        <w:spacing w:line="44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（四）投标文件拆封及密封性检查。</w:t>
      </w:r>
    </w:p>
    <w:p>
      <w:pPr>
        <w:spacing w:line="44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截标后，采购代理机构工作人员在公共资源交易中心工作人员和采购人的见证下拆开投标文件包封，采购人对投标文件密封性和投标文件正副本数量进行签字确认。</w:t>
      </w:r>
    </w:p>
    <w:p>
      <w:pPr>
        <w:spacing w:line="44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（五）关于投标人的报价。</w:t>
      </w:r>
    </w:p>
    <w:p>
      <w:pPr>
        <w:spacing w:line="44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由采购代理机构在投标文件商务技术符合性审查结束后，根据投标人的投标报价情况填写开标记录表，交由评标委员会对投标人的报价、服务时限等内容进行签字确认。</w:t>
      </w:r>
    </w:p>
    <w:p>
      <w:pPr>
        <w:spacing w:line="44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（六）关于投标文件澄清的有关要求</w:t>
      </w:r>
    </w:p>
    <w:p>
      <w:pPr>
        <w:spacing w:line="44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1、为便于采购代理机构或评标委员会在项目评标期间与投标人取得联系，做好评标过程中投标人对投标文件的澄清、说明或者补正等工作，投标人务必做到：“第五章 投标文件格式”中“投标函（格式）”落款处的“电话”务必填写法定代表人或委托代理人的电话联系方式。</w:t>
      </w:r>
    </w:p>
    <w:p>
      <w:pPr>
        <w:spacing w:line="440" w:lineRule="exact"/>
        <w:ind w:firstLine="480" w:firstLineChars="200"/>
        <w:rPr>
          <w:rFonts w:asciiTheme="majorEastAsia" w:hAnsiTheme="majorEastAsia" w:eastAsiaTheme="majorEastAsia"/>
          <w:b/>
          <w:sz w:val="24"/>
          <w:szCs w:val="24"/>
        </w:rPr>
      </w:pPr>
      <w:r>
        <w:rPr>
          <w:rFonts w:hint="eastAsia" w:asciiTheme="majorEastAsia" w:hAnsiTheme="majorEastAsia" w:eastAsiaTheme="majorEastAsia"/>
          <w:sz w:val="24"/>
          <w:szCs w:val="24"/>
        </w:rPr>
        <w:t>2、</w:t>
      </w:r>
      <w:r>
        <w:rPr>
          <w:rFonts w:hint="eastAsia" w:asciiTheme="majorEastAsia" w:hAnsiTheme="majorEastAsia" w:eastAsiaTheme="majorEastAsia"/>
          <w:b/>
          <w:sz w:val="24"/>
          <w:szCs w:val="24"/>
        </w:rPr>
        <w:t>开标当天投标人务必保持电话畅通。</w:t>
      </w:r>
      <w:r>
        <w:rPr>
          <w:rFonts w:hint="eastAsia" w:asciiTheme="majorEastAsia" w:hAnsiTheme="majorEastAsia" w:eastAsiaTheme="majorEastAsia"/>
          <w:sz w:val="24"/>
          <w:szCs w:val="24"/>
        </w:rPr>
        <w:t>如果评标过程中需要投标人对投标文件作出澄清、说明或者补正的，评标委员会会通知投标人在规定的时间内通过电子邮件、传真等方式提交。</w:t>
      </w:r>
      <w:r>
        <w:rPr>
          <w:rFonts w:hint="eastAsia" w:asciiTheme="majorEastAsia" w:hAnsiTheme="majorEastAsia" w:eastAsiaTheme="majorEastAsia"/>
          <w:b/>
          <w:sz w:val="24"/>
          <w:szCs w:val="24"/>
        </w:rPr>
        <w:t>投标人所提交的澄清、说明或者补正等材料必须加盖投标人的公章确认。</w:t>
      </w:r>
    </w:p>
    <w:p>
      <w:pPr>
        <w:spacing w:line="440" w:lineRule="exact"/>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spacing w:line="44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（七）请按通知内容执行，招标文件其余内容不变。</w:t>
      </w:r>
    </w:p>
    <w:p>
      <w:pPr>
        <w:pStyle w:val="85"/>
        <w:spacing w:line="601" w:lineRule="atLeast"/>
        <w:ind w:firstLine="482"/>
        <w:rPr>
          <w:rFonts w:asciiTheme="majorEastAsia" w:hAnsiTheme="majorEastAsia" w:eastAsiaTheme="majorEastAsia"/>
        </w:rPr>
      </w:pPr>
      <w:r>
        <w:rPr>
          <w:rFonts w:asciiTheme="majorEastAsia" w:hAnsiTheme="majorEastAsia" w:eastAsiaTheme="majorEastAsia"/>
        </w:rPr>
        <w:t>特此通知。</w:t>
      </w:r>
    </w:p>
    <w:p>
      <w:pPr>
        <w:spacing w:line="440" w:lineRule="exact"/>
        <w:ind w:firstLine="4440" w:firstLineChars="1850"/>
        <w:rPr>
          <w:rFonts w:asciiTheme="majorEastAsia" w:hAnsiTheme="majorEastAsia" w:eastAsiaTheme="majorEastAsia"/>
          <w:sz w:val="24"/>
        </w:rPr>
      </w:pPr>
    </w:p>
    <w:p>
      <w:pPr>
        <w:spacing w:line="440" w:lineRule="exact"/>
        <w:ind w:firstLine="4440" w:firstLineChars="1850"/>
        <w:rPr>
          <w:rFonts w:asciiTheme="majorEastAsia" w:hAnsiTheme="majorEastAsia" w:eastAsiaTheme="majorEastAsia"/>
          <w:sz w:val="24"/>
        </w:rPr>
      </w:pPr>
      <w:r>
        <w:rPr>
          <w:rFonts w:hint="eastAsia" w:asciiTheme="majorEastAsia" w:hAnsiTheme="majorEastAsia" w:eastAsiaTheme="majorEastAsia"/>
          <w:sz w:val="24"/>
        </w:rPr>
        <w:t xml:space="preserve">采购代理机构：广西邕政采购代理有限公司 </w:t>
      </w:r>
    </w:p>
    <w:p>
      <w:pPr>
        <w:spacing w:line="440" w:lineRule="exact"/>
        <w:ind w:firstLine="5520" w:firstLineChars="2300"/>
        <w:rPr>
          <w:rFonts w:asciiTheme="majorEastAsia" w:hAnsiTheme="majorEastAsia" w:eastAsiaTheme="majorEastAsia"/>
          <w:sz w:val="24"/>
        </w:rPr>
      </w:pPr>
      <w:r>
        <w:rPr>
          <w:rFonts w:hint="eastAsia" w:asciiTheme="majorEastAsia" w:hAnsiTheme="majorEastAsia" w:eastAsiaTheme="majorEastAsia"/>
          <w:sz w:val="24"/>
        </w:rPr>
        <w:t>日期：2020年</w:t>
      </w:r>
      <w:r>
        <w:rPr>
          <w:rFonts w:hint="eastAsia" w:asciiTheme="majorEastAsia" w:hAnsiTheme="majorEastAsia" w:eastAsiaTheme="majorEastAsia"/>
          <w:sz w:val="24"/>
          <w:lang w:val="en-US" w:eastAsia="zh-CN"/>
        </w:rPr>
        <w:t>11</w:t>
      </w:r>
      <w:r>
        <w:rPr>
          <w:rFonts w:hint="eastAsia" w:asciiTheme="majorEastAsia" w:hAnsiTheme="majorEastAsia" w:eastAsiaTheme="majorEastAsia"/>
          <w:sz w:val="24"/>
        </w:rPr>
        <w:t>月</w:t>
      </w:r>
      <w:r>
        <w:rPr>
          <w:rFonts w:hint="eastAsia" w:asciiTheme="majorEastAsia" w:hAnsiTheme="majorEastAsia" w:eastAsiaTheme="majorEastAsia"/>
          <w:sz w:val="24"/>
          <w:lang w:val="en-US" w:eastAsia="zh-CN"/>
        </w:rPr>
        <w:t>04</w:t>
      </w:r>
      <w:r>
        <w:rPr>
          <w:rFonts w:hint="eastAsia" w:asciiTheme="majorEastAsia" w:hAnsiTheme="majorEastAsia" w:eastAsiaTheme="majorEastAsia"/>
          <w:sz w:val="24"/>
        </w:rPr>
        <w:t>日</w:t>
      </w:r>
    </w:p>
    <w:p>
      <w:pPr>
        <w:spacing w:line="276" w:lineRule="auto"/>
        <w:rPr>
          <w:rFonts w:asciiTheme="majorEastAsia" w:hAnsiTheme="majorEastAsia" w:eastAsiaTheme="majorEastAsia"/>
          <w:sz w:val="27"/>
          <w:szCs w:val="27"/>
        </w:rPr>
        <w:sectPr>
          <w:footerReference r:id="rId9" w:type="first"/>
          <w:footerReference r:id="rId8" w:type="default"/>
          <w:pgSz w:w="11906" w:h="16838"/>
          <w:pgMar w:top="1440" w:right="1080" w:bottom="1440" w:left="1080" w:header="851" w:footer="907" w:gutter="0"/>
          <w:cols w:space="720" w:num="1"/>
          <w:titlePg/>
          <w:docGrid w:type="lines" w:linePitch="312" w:charSpace="0"/>
        </w:sectPr>
      </w:pPr>
    </w:p>
    <w:p>
      <w:pPr>
        <w:spacing w:line="276" w:lineRule="auto"/>
        <w:rPr>
          <w:rFonts w:asciiTheme="majorEastAsia" w:hAnsiTheme="majorEastAsia" w:eastAsiaTheme="majorEastAsia"/>
          <w:sz w:val="24"/>
          <w:szCs w:val="24"/>
        </w:rPr>
      </w:pPr>
      <w:r>
        <w:rPr>
          <w:rFonts w:asciiTheme="majorEastAsia" w:hAnsiTheme="majorEastAsia" w:eastAsiaTheme="majorEastAsia"/>
          <w:sz w:val="27"/>
          <w:szCs w:val="27"/>
        </w:rPr>
        <w:t>附件：</w:t>
      </w:r>
    </w:p>
    <w:p>
      <w:pPr>
        <w:pStyle w:val="85"/>
        <w:jc w:val="center"/>
        <w:rPr>
          <w:rFonts w:asciiTheme="majorEastAsia" w:hAnsiTheme="majorEastAsia" w:eastAsiaTheme="majorEastAsia"/>
          <w:sz w:val="18"/>
          <w:szCs w:val="18"/>
        </w:rPr>
      </w:pPr>
      <w:r>
        <w:rPr>
          <w:rFonts w:asciiTheme="majorEastAsia" w:hAnsiTheme="majorEastAsia" w:eastAsiaTheme="majorEastAsia"/>
          <w:b/>
          <w:bCs/>
          <w:sz w:val="36"/>
          <w:szCs w:val="36"/>
        </w:rPr>
        <w:t>邮件外包粘贴表格（格式）</w:t>
      </w:r>
    </w:p>
    <w:p>
      <w:pPr>
        <w:pStyle w:val="85"/>
        <w:rPr>
          <w:rFonts w:asciiTheme="majorEastAsia" w:hAnsiTheme="majorEastAsia" w:eastAsiaTheme="majorEastAsia"/>
          <w:sz w:val="18"/>
          <w:szCs w:val="18"/>
        </w:rPr>
      </w:pPr>
    </w:p>
    <w:p>
      <w:pPr>
        <w:pStyle w:val="85"/>
        <w:spacing w:line="360" w:lineRule="auto"/>
        <w:rPr>
          <w:rFonts w:asciiTheme="majorEastAsia" w:hAnsiTheme="majorEastAsia" w:eastAsiaTheme="majorEastAsia"/>
          <w:sz w:val="18"/>
          <w:szCs w:val="18"/>
        </w:rPr>
      </w:pPr>
      <w:r>
        <w:rPr>
          <w:rFonts w:asciiTheme="majorEastAsia" w:hAnsiTheme="majorEastAsia" w:eastAsiaTheme="majorEastAsia"/>
          <w:b/>
          <w:bCs/>
          <w:sz w:val="27"/>
          <w:szCs w:val="27"/>
        </w:rPr>
        <w:t>项目名称：</w:t>
      </w:r>
    </w:p>
    <w:p>
      <w:pPr>
        <w:pStyle w:val="85"/>
        <w:spacing w:line="360" w:lineRule="auto"/>
        <w:rPr>
          <w:rFonts w:asciiTheme="majorEastAsia" w:hAnsiTheme="majorEastAsia" w:eastAsiaTheme="majorEastAsia"/>
          <w:sz w:val="18"/>
          <w:szCs w:val="18"/>
        </w:rPr>
      </w:pPr>
    </w:p>
    <w:p>
      <w:pPr>
        <w:pStyle w:val="85"/>
        <w:spacing w:line="360" w:lineRule="auto"/>
        <w:rPr>
          <w:rFonts w:asciiTheme="majorEastAsia" w:hAnsiTheme="majorEastAsia" w:eastAsiaTheme="majorEastAsia"/>
          <w:sz w:val="18"/>
          <w:szCs w:val="18"/>
        </w:rPr>
      </w:pPr>
      <w:r>
        <w:rPr>
          <w:rFonts w:asciiTheme="majorEastAsia" w:hAnsiTheme="majorEastAsia" w:eastAsiaTheme="majorEastAsia"/>
          <w:b/>
          <w:bCs/>
          <w:sz w:val="27"/>
          <w:szCs w:val="27"/>
        </w:rPr>
        <w:t>项目编号：</w:t>
      </w:r>
    </w:p>
    <w:p>
      <w:pPr>
        <w:pStyle w:val="85"/>
        <w:spacing w:line="360" w:lineRule="auto"/>
        <w:rPr>
          <w:rFonts w:asciiTheme="majorEastAsia" w:hAnsiTheme="majorEastAsia" w:eastAsiaTheme="majorEastAsia"/>
          <w:sz w:val="18"/>
          <w:szCs w:val="18"/>
        </w:rPr>
      </w:pPr>
    </w:p>
    <w:p>
      <w:pPr>
        <w:pStyle w:val="85"/>
        <w:spacing w:line="360" w:lineRule="auto"/>
        <w:rPr>
          <w:rFonts w:asciiTheme="majorEastAsia" w:hAnsiTheme="majorEastAsia" w:eastAsiaTheme="majorEastAsia"/>
          <w:b/>
          <w:bCs/>
          <w:sz w:val="27"/>
          <w:szCs w:val="27"/>
        </w:rPr>
      </w:pPr>
      <w:r>
        <w:rPr>
          <w:rFonts w:asciiTheme="majorEastAsia" w:hAnsiTheme="majorEastAsia" w:eastAsiaTheme="majorEastAsia"/>
          <w:b/>
          <w:bCs/>
          <w:sz w:val="27"/>
          <w:szCs w:val="27"/>
        </w:rPr>
        <w:t>项目开标日期：</w:t>
      </w:r>
    </w:p>
    <w:p>
      <w:pPr>
        <w:pStyle w:val="85"/>
        <w:spacing w:line="360" w:lineRule="auto"/>
        <w:rPr>
          <w:rFonts w:asciiTheme="majorEastAsia" w:hAnsiTheme="majorEastAsia" w:eastAsiaTheme="majorEastAsia"/>
          <w:b/>
          <w:bCs/>
          <w:sz w:val="27"/>
          <w:szCs w:val="27"/>
        </w:rPr>
      </w:pPr>
    </w:p>
    <w:p>
      <w:pPr>
        <w:pStyle w:val="85"/>
        <w:spacing w:line="360" w:lineRule="auto"/>
        <w:rPr>
          <w:rFonts w:asciiTheme="majorEastAsia" w:hAnsiTheme="majorEastAsia" w:eastAsiaTheme="majorEastAsia"/>
          <w:b/>
          <w:bCs/>
          <w:sz w:val="27"/>
          <w:szCs w:val="27"/>
        </w:rPr>
      </w:pPr>
      <w:r>
        <w:rPr>
          <w:rFonts w:asciiTheme="majorEastAsia" w:hAnsiTheme="majorEastAsia" w:eastAsiaTheme="majorEastAsia"/>
          <w:b/>
          <w:bCs/>
          <w:sz w:val="27"/>
          <w:szCs w:val="27"/>
        </w:rPr>
        <w:t>联系</w:t>
      </w:r>
      <w:r>
        <w:rPr>
          <w:rFonts w:hint="eastAsia" w:asciiTheme="majorEastAsia" w:hAnsiTheme="majorEastAsia" w:eastAsiaTheme="majorEastAsia"/>
          <w:b/>
          <w:bCs/>
          <w:sz w:val="27"/>
          <w:szCs w:val="27"/>
        </w:rPr>
        <w:t>方式</w:t>
      </w:r>
      <w:r>
        <w:rPr>
          <w:rFonts w:asciiTheme="majorEastAsia" w:hAnsiTheme="majorEastAsia" w:eastAsiaTheme="majorEastAsia"/>
          <w:b/>
          <w:bCs/>
          <w:sz w:val="27"/>
          <w:szCs w:val="27"/>
        </w:rPr>
        <w:t>：</w:t>
      </w:r>
    </w:p>
    <w:p>
      <w:pPr>
        <w:pStyle w:val="85"/>
        <w:spacing w:line="360" w:lineRule="auto"/>
        <w:rPr>
          <w:rFonts w:asciiTheme="majorEastAsia" w:hAnsiTheme="majorEastAsia" w:eastAsiaTheme="majorEastAsia"/>
          <w:b/>
          <w:bCs/>
          <w:sz w:val="27"/>
          <w:szCs w:val="27"/>
        </w:rPr>
      </w:pPr>
    </w:p>
    <w:p>
      <w:pPr>
        <w:pStyle w:val="85"/>
        <w:spacing w:line="360" w:lineRule="auto"/>
        <w:rPr>
          <w:rFonts w:asciiTheme="majorEastAsia" w:hAnsiTheme="majorEastAsia" w:eastAsiaTheme="majorEastAsia"/>
          <w:sz w:val="18"/>
          <w:szCs w:val="18"/>
        </w:rPr>
      </w:pPr>
      <w:r>
        <w:rPr>
          <w:rFonts w:asciiTheme="majorEastAsia" w:hAnsiTheme="majorEastAsia" w:eastAsiaTheme="majorEastAsia"/>
          <w:b/>
          <w:bCs/>
          <w:sz w:val="27"/>
          <w:szCs w:val="27"/>
        </w:rPr>
        <w:t>联系电子邮箱：</w:t>
      </w:r>
    </w:p>
    <w:p>
      <w:pPr>
        <w:pStyle w:val="17"/>
        <w:jc w:val="center"/>
        <w:rPr>
          <w:rFonts w:cs="宋体" w:asciiTheme="majorEastAsia" w:hAnsiTheme="majorEastAsia" w:eastAsiaTheme="majorEastAsia"/>
          <w:b/>
          <w:sz w:val="48"/>
          <w:szCs w:val="48"/>
        </w:rPr>
        <w:sectPr>
          <w:footerReference r:id="rId11" w:type="first"/>
          <w:footerReference r:id="rId10" w:type="default"/>
          <w:pgSz w:w="11906" w:h="16838"/>
          <w:pgMar w:top="1440" w:right="1080" w:bottom="1440" w:left="1080" w:header="851" w:footer="907" w:gutter="0"/>
          <w:cols w:space="720" w:num="1"/>
          <w:titlePg/>
          <w:docGrid w:type="lines" w:linePitch="312" w:charSpace="0"/>
        </w:sectPr>
      </w:pPr>
    </w:p>
    <w:p>
      <w:pPr>
        <w:pStyle w:val="17"/>
        <w:jc w:val="center"/>
        <w:rPr>
          <w:rFonts w:cs="宋体" w:asciiTheme="majorEastAsia" w:hAnsiTheme="majorEastAsia" w:eastAsiaTheme="majorEastAsia"/>
          <w:b/>
          <w:sz w:val="48"/>
          <w:szCs w:val="48"/>
        </w:rPr>
      </w:pPr>
      <w:r>
        <w:rPr>
          <w:rFonts w:cs="宋体" w:asciiTheme="majorEastAsia" w:hAnsiTheme="majorEastAsia" w:eastAsiaTheme="majorEastAsia"/>
          <w:b/>
          <w:sz w:val="48"/>
          <w:szCs w:val="48"/>
        </w:rPr>
        <w:t>目     录</w:t>
      </w:r>
    </w:p>
    <w:p>
      <w:pPr>
        <w:pStyle w:val="17"/>
        <w:tabs>
          <w:tab w:val="left" w:pos="4011"/>
        </w:tabs>
        <w:rPr>
          <w:rFonts w:cs="宋体" w:asciiTheme="majorEastAsia" w:hAnsiTheme="majorEastAsia" w:eastAsiaTheme="majorEastAsia"/>
          <w:b/>
          <w:sz w:val="48"/>
          <w:szCs w:val="48"/>
        </w:rPr>
      </w:pPr>
      <w:r>
        <w:rPr>
          <w:rFonts w:hint="eastAsia" w:cs="宋体" w:asciiTheme="majorEastAsia" w:hAnsiTheme="majorEastAsia" w:eastAsiaTheme="majorEastAsia"/>
          <w:b/>
          <w:sz w:val="48"/>
          <w:szCs w:val="48"/>
        </w:rPr>
        <w:tab/>
      </w:r>
      <w:permStart w:id="2" w:edGrp="everyone"/>
      <w:permEnd w:id="2"/>
    </w:p>
    <w:p>
      <w:pPr>
        <w:pStyle w:val="17"/>
        <w:rPr>
          <w:rFonts w:cs="宋体" w:asciiTheme="majorEastAsia" w:hAnsiTheme="majorEastAsia" w:eastAsiaTheme="majorEastAsia"/>
          <w:b/>
          <w:sz w:val="48"/>
          <w:szCs w:val="48"/>
        </w:rPr>
      </w:pPr>
    </w:p>
    <w:p>
      <w:pPr>
        <w:pStyle w:val="20"/>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TOC \o "1-3" \h \z \u </w:instrText>
      </w:r>
      <w:r>
        <w:rPr>
          <w:rFonts w:hint="eastAsia" w:cs="宋体" w:asciiTheme="majorEastAsia" w:hAnsiTheme="majorEastAsia" w:eastAsiaTheme="majorEastAsia"/>
          <w:b/>
          <w:bCs/>
          <w:sz w:val="28"/>
          <w:szCs w:val="28"/>
          <w:highlight w:val="yellow"/>
        </w:rPr>
        <w:fldChar w:fldCharType="separate"/>
      </w: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_Toc16776 </w:instrText>
      </w:r>
      <w:r>
        <w:rPr>
          <w:rFonts w:hint="eastAsia" w:cs="宋体" w:asciiTheme="majorEastAsia" w:hAnsiTheme="majorEastAsia" w:eastAsiaTheme="majorEastAsia"/>
          <w:b/>
          <w:bCs/>
          <w:sz w:val="28"/>
          <w:szCs w:val="28"/>
          <w:highlight w:val="yellow"/>
        </w:rPr>
        <w:fldChar w:fldCharType="separate"/>
      </w:r>
      <w:r>
        <w:rPr>
          <w:rFonts w:hint="eastAsia" w:cs="宋体" w:asciiTheme="majorEastAsia" w:hAnsiTheme="majorEastAsia" w:eastAsiaTheme="majorEastAsia"/>
          <w:b/>
          <w:bCs/>
          <w:sz w:val="28"/>
          <w:szCs w:val="28"/>
        </w:rPr>
        <w:t>第一章公告</w:t>
      </w:r>
      <w:r>
        <w:rPr>
          <w:b/>
          <w:bCs/>
          <w:sz w:val="28"/>
          <w:szCs w:val="28"/>
        </w:rPr>
        <w:tab/>
      </w:r>
      <w:r>
        <w:rPr>
          <w:b/>
          <w:bCs/>
          <w:sz w:val="28"/>
          <w:szCs w:val="28"/>
        </w:rPr>
        <w:fldChar w:fldCharType="begin"/>
      </w:r>
      <w:r>
        <w:rPr>
          <w:b/>
          <w:bCs/>
          <w:sz w:val="28"/>
          <w:szCs w:val="28"/>
        </w:rPr>
        <w:instrText xml:space="preserve"> PAGEREF _Toc16776 </w:instrText>
      </w:r>
      <w:r>
        <w:rPr>
          <w:b/>
          <w:bCs/>
          <w:sz w:val="28"/>
          <w:szCs w:val="28"/>
        </w:rPr>
        <w:fldChar w:fldCharType="separate"/>
      </w:r>
      <w:r>
        <w:rPr>
          <w:b/>
          <w:bCs/>
          <w:sz w:val="28"/>
          <w:szCs w:val="28"/>
        </w:rPr>
        <w:t>1</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0"/>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_Toc11500 </w:instrText>
      </w:r>
      <w:r>
        <w:rPr>
          <w:rFonts w:hint="eastAsia" w:cs="宋体" w:asciiTheme="majorEastAsia" w:hAnsiTheme="majorEastAsia" w:eastAsiaTheme="majorEastAsia"/>
          <w:b/>
          <w:bCs/>
          <w:sz w:val="28"/>
          <w:szCs w:val="28"/>
          <w:highlight w:val="yellow"/>
        </w:rPr>
        <w:fldChar w:fldCharType="separate"/>
      </w:r>
      <w:r>
        <w:rPr>
          <w:rFonts w:hint="eastAsia" w:cs="宋体" w:asciiTheme="majorEastAsia" w:hAnsiTheme="majorEastAsia" w:eastAsiaTheme="majorEastAsia"/>
          <w:b/>
          <w:bCs/>
          <w:sz w:val="28"/>
          <w:szCs w:val="28"/>
        </w:rPr>
        <w:t>第二章  服务需求一览表</w:t>
      </w:r>
      <w:r>
        <w:rPr>
          <w:b/>
          <w:bCs/>
          <w:sz w:val="28"/>
          <w:szCs w:val="28"/>
        </w:rPr>
        <w:tab/>
      </w:r>
      <w:r>
        <w:rPr>
          <w:b/>
          <w:bCs/>
          <w:sz w:val="28"/>
          <w:szCs w:val="28"/>
        </w:rPr>
        <w:fldChar w:fldCharType="begin"/>
      </w:r>
      <w:r>
        <w:rPr>
          <w:b/>
          <w:bCs/>
          <w:sz w:val="28"/>
          <w:szCs w:val="28"/>
        </w:rPr>
        <w:instrText xml:space="preserve"> PAGEREF _Toc11500 </w:instrText>
      </w:r>
      <w:r>
        <w:rPr>
          <w:b/>
          <w:bCs/>
          <w:sz w:val="28"/>
          <w:szCs w:val="28"/>
        </w:rPr>
        <w:fldChar w:fldCharType="separate"/>
      </w:r>
      <w:r>
        <w:rPr>
          <w:b/>
          <w:bCs/>
          <w:sz w:val="28"/>
          <w:szCs w:val="28"/>
        </w:rPr>
        <w:t>4</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0"/>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_Toc1929 </w:instrText>
      </w:r>
      <w:r>
        <w:rPr>
          <w:rFonts w:hint="eastAsia" w:cs="宋体" w:asciiTheme="majorEastAsia" w:hAnsiTheme="majorEastAsia" w:eastAsiaTheme="majorEastAsia"/>
          <w:b/>
          <w:bCs/>
          <w:sz w:val="28"/>
          <w:szCs w:val="28"/>
          <w:highlight w:val="yellow"/>
        </w:rPr>
        <w:fldChar w:fldCharType="separate"/>
      </w:r>
      <w:r>
        <w:rPr>
          <w:rFonts w:hint="eastAsia" w:cs="宋体" w:asciiTheme="majorEastAsia" w:hAnsiTheme="majorEastAsia" w:eastAsiaTheme="majorEastAsia"/>
          <w:b/>
          <w:bCs/>
          <w:sz w:val="28"/>
          <w:szCs w:val="28"/>
        </w:rPr>
        <w:t>第三章  评审方法</w:t>
      </w:r>
      <w:r>
        <w:rPr>
          <w:b/>
          <w:bCs/>
          <w:sz w:val="28"/>
          <w:szCs w:val="28"/>
        </w:rPr>
        <w:tab/>
      </w:r>
      <w:r>
        <w:rPr>
          <w:b/>
          <w:bCs/>
          <w:sz w:val="28"/>
          <w:szCs w:val="28"/>
        </w:rPr>
        <w:fldChar w:fldCharType="begin"/>
      </w:r>
      <w:r>
        <w:rPr>
          <w:b/>
          <w:bCs/>
          <w:sz w:val="28"/>
          <w:szCs w:val="28"/>
        </w:rPr>
        <w:instrText xml:space="preserve"> PAGEREF _Toc1929 </w:instrText>
      </w:r>
      <w:r>
        <w:rPr>
          <w:b/>
          <w:bCs/>
          <w:sz w:val="28"/>
          <w:szCs w:val="28"/>
        </w:rPr>
        <w:fldChar w:fldCharType="separate"/>
      </w:r>
      <w:r>
        <w:rPr>
          <w:b/>
          <w:bCs/>
          <w:sz w:val="28"/>
          <w:szCs w:val="28"/>
        </w:rPr>
        <w:t>14</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0"/>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_Toc15428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第四章  投标人须知</w:t>
      </w:r>
      <w:r>
        <w:rPr>
          <w:b/>
          <w:bCs/>
          <w:sz w:val="28"/>
          <w:szCs w:val="28"/>
        </w:rPr>
        <w:tab/>
      </w:r>
      <w:r>
        <w:rPr>
          <w:b/>
          <w:bCs/>
          <w:sz w:val="28"/>
          <w:szCs w:val="28"/>
        </w:rPr>
        <w:fldChar w:fldCharType="begin"/>
      </w:r>
      <w:r>
        <w:rPr>
          <w:b/>
          <w:bCs/>
          <w:sz w:val="28"/>
          <w:szCs w:val="28"/>
        </w:rPr>
        <w:instrText xml:space="preserve"> PAGEREF _Toc15428 </w:instrText>
      </w:r>
      <w:r>
        <w:rPr>
          <w:b/>
          <w:bCs/>
          <w:sz w:val="28"/>
          <w:szCs w:val="28"/>
        </w:rPr>
        <w:fldChar w:fldCharType="separate"/>
      </w:r>
      <w:r>
        <w:rPr>
          <w:b/>
          <w:bCs/>
          <w:sz w:val="28"/>
          <w:szCs w:val="28"/>
        </w:rPr>
        <w:t>17</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1"/>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_Toc16269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一    总则</w:t>
      </w:r>
      <w:r>
        <w:rPr>
          <w:b/>
          <w:bCs/>
          <w:sz w:val="28"/>
          <w:szCs w:val="28"/>
        </w:rPr>
        <w:tab/>
      </w:r>
      <w:r>
        <w:rPr>
          <w:b/>
          <w:bCs/>
          <w:sz w:val="28"/>
          <w:szCs w:val="28"/>
        </w:rPr>
        <w:fldChar w:fldCharType="begin"/>
      </w:r>
      <w:r>
        <w:rPr>
          <w:b/>
          <w:bCs/>
          <w:sz w:val="28"/>
          <w:szCs w:val="28"/>
        </w:rPr>
        <w:instrText xml:space="preserve"> PAGEREF _Toc16269 </w:instrText>
      </w:r>
      <w:r>
        <w:rPr>
          <w:b/>
          <w:bCs/>
          <w:sz w:val="28"/>
          <w:szCs w:val="28"/>
        </w:rPr>
        <w:fldChar w:fldCharType="separate"/>
      </w:r>
      <w:r>
        <w:rPr>
          <w:b/>
          <w:bCs/>
          <w:sz w:val="28"/>
          <w:szCs w:val="28"/>
        </w:rPr>
        <w:t>20</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1"/>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_Toc17333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二    公开招标文件</w:t>
      </w:r>
      <w:r>
        <w:rPr>
          <w:b/>
          <w:bCs/>
          <w:sz w:val="28"/>
          <w:szCs w:val="28"/>
        </w:rPr>
        <w:tab/>
      </w:r>
      <w:r>
        <w:rPr>
          <w:b/>
          <w:bCs/>
          <w:sz w:val="28"/>
          <w:szCs w:val="28"/>
        </w:rPr>
        <w:fldChar w:fldCharType="begin"/>
      </w:r>
      <w:r>
        <w:rPr>
          <w:b/>
          <w:bCs/>
          <w:sz w:val="28"/>
          <w:szCs w:val="28"/>
        </w:rPr>
        <w:instrText xml:space="preserve"> PAGEREF _Toc17333 </w:instrText>
      </w:r>
      <w:r>
        <w:rPr>
          <w:b/>
          <w:bCs/>
          <w:sz w:val="28"/>
          <w:szCs w:val="28"/>
        </w:rPr>
        <w:fldChar w:fldCharType="separate"/>
      </w:r>
      <w:r>
        <w:rPr>
          <w:b/>
          <w:bCs/>
          <w:sz w:val="28"/>
          <w:szCs w:val="28"/>
        </w:rPr>
        <w:t>23</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1"/>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_Toc30182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三    投标文件</w:t>
      </w:r>
      <w:r>
        <w:rPr>
          <w:b/>
          <w:bCs/>
          <w:sz w:val="28"/>
          <w:szCs w:val="28"/>
        </w:rPr>
        <w:tab/>
      </w:r>
      <w:r>
        <w:rPr>
          <w:b/>
          <w:bCs/>
          <w:sz w:val="28"/>
          <w:szCs w:val="28"/>
        </w:rPr>
        <w:fldChar w:fldCharType="begin"/>
      </w:r>
      <w:r>
        <w:rPr>
          <w:b/>
          <w:bCs/>
          <w:sz w:val="28"/>
          <w:szCs w:val="28"/>
        </w:rPr>
        <w:instrText xml:space="preserve"> PAGEREF _Toc30182 </w:instrText>
      </w:r>
      <w:r>
        <w:rPr>
          <w:b/>
          <w:bCs/>
          <w:sz w:val="28"/>
          <w:szCs w:val="28"/>
        </w:rPr>
        <w:fldChar w:fldCharType="separate"/>
      </w:r>
      <w:r>
        <w:rPr>
          <w:b/>
          <w:bCs/>
          <w:sz w:val="28"/>
          <w:szCs w:val="28"/>
        </w:rPr>
        <w:t>24</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1"/>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_Toc10567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四    投标</w:t>
      </w:r>
      <w:r>
        <w:rPr>
          <w:b/>
          <w:bCs/>
          <w:sz w:val="28"/>
          <w:szCs w:val="28"/>
        </w:rPr>
        <w:tab/>
      </w:r>
      <w:r>
        <w:rPr>
          <w:b/>
          <w:bCs/>
          <w:sz w:val="28"/>
          <w:szCs w:val="28"/>
        </w:rPr>
        <w:fldChar w:fldCharType="begin"/>
      </w:r>
      <w:r>
        <w:rPr>
          <w:b/>
          <w:bCs/>
          <w:sz w:val="28"/>
          <w:szCs w:val="28"/>
        </w:rPr>
        <w:instrText xml:space="preserve"> PAGEREF _Toc10567 </w:instrText>
      </w:r>
      <w:r>
        <w:rPr>
          <w:b/>
          <w:bCs/>
          <w:sz w:val="28"/>
          <w:szCs w:val="28"/>
        </w:rPr>
        <w:fldChar w:fldCharType="separate"/>
      </w:r>
      <w:r>
        <w:rPr>
          <w:b/>
          <w:bCs/>
          <w:sz w:val="28"/>
          <w:szCs w:val="28"/>
        </w:rPr>
        <w:t>28</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1"/>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_Toc24435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五    开标、资格审查与评标</w:t>
      </w:r>
      <w:r>
        <w:rPr>
          <w:b/>
          <w:bCs/>
          <w:sz w:val="28"/>
          <w:szCs w:val="28"/>
        </w:rPr>
        <w:tab/>
      </w:r>
      <w:r>
        <w:rPr>
          <w:b/>
          <w:bCs/>
          <w:sz w:val="28"/>
          <w:szCs w:val="28"/>
        </w:rPr>
        <w:fldChar w:fldCharType="begin"/>
      </w:r>
      <w:r>
        <w:rPr>
          <w:b/>
          <w:bCs/>
          <w:sz w:val="28"/>
          <w:szCs w:val="28"/>
        </w:rPr>
        <w:instrText xml:space="preserve"> PAGEREF _Toc24435 </w:instrText>
      </w:r>
      <w:r>
        <w:rPr>
          <w:b/>
          <w:bCs/>
          <w:sz w:val="28"/>
          <w:szCs w:val="28"/>
        </w:rPr>
        <w:fldChar w:fldCharType="separate"/>
      </w:r>
      <w:r>
        <w:rPr>
          <w:b/>
          <w:bCs/>
          <w:sz w:val="28"/>
          <w:szCs w:val="28"/>
        </w:rPr>
        <w:t>29</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1"/>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_Toc373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六    合同授予</w:t>
      </w:r>
      <w:r>
        <w:rPr>
          <w:b/>
          <w:bCs/>
          <w:sz w:val="28"/>
          <w:szCs w:val="28"/>
        </w:rPr>
        <w:tab/>
      </w:r>
      <w:r>
        <w:rPr>
          <w:b/>
          <w:bCs/>
          <w:sz w:val="28"/>
          <w:szCs w:val="28"/>
        </w:rPr>
        <w:fldChar w:fldCharType="begin"/>
      </w:r>
      <w:r>
        <w:rPr>
          <w:b/>
          <w:bCs/>
          <w:sz w:val="28"/>
          <w:szCs w:val="28"/>
        </w:rPr>
        <w:instrText xml:space="preserve"> PAGEREF _Toc373 </w:instrText>
      </w:r>
      <w:r>
        <w:rPr>
          <w:b/>
          <w:bCs/>
          <w:sz w:val="28"/>
          <w:szCs w:val="28"/>
        </w:rPr>
        <w:fldChar w:fldCharType="separate"/>
      </w:r>
      <w:r>
        <w:rPr>
          <w:b/>
          <w:bCs/>
          <w:sz w:val="28"/>
          <w:szCs w:val="28"/>
        </w:rPr>
        <w:t>33</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1"/>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_Toc28048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七    其他事项</w:t>
      </w:r>
      <w:r>
        <w:rPr>
          <w:b/>
          <w:bCs/>
          <w:sz w:val="28"/>
          <w:szCs w:val="28"/>
        </w:rPr>
        <w:tab/>
      </w:r>
      <w:r>
        <w:rPr>
          <w:b/>
          <w:bCs/>
          <w:sz w:val="28"/>
          <w:szCs w:val="28"/>
        </w:rPr>
        <w:fldChar w:fldCharType="begin"/>
      </w:r>
      <w:r>
        <w:rPr>
          <w:b/>
          <w:bCs/>
          <w:sz w:val="28"/>
          <w:szCs w:val="28"/>
        </w:rPr>
        <w:instrText xml:space="preserve"> PAGEREF _Toc28048 </w:instrText>
      </w:r>
      <w:r>
        <w:rPr>
          <w:b/>
          <w:bCs/>
          <w:sz w:val="28"/>
          <w:szCs w:val="28"/>
        </w:rPr>
        <w:fldChar w:fldCharType="separate"/>
      </w:r>
      <w:r>
        <w:rPr>
          <w:b/>
          <w:bCs/>
          <w:sz w:val="28"/>
          <w:szCs w:val="28"/>
        </w:rPr>
        <w:t>34</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0"/>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_Toc5061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第五章  投标文件格式</w:t>
      </w:r>
      <w:r>
        <w:rPr>
          <w:b/>
          <w:bCs/>
          <w:sz w:val="28"/>
          <w:szCs w:val="28"/>
        </w:rPr>
        <w:tab/>
      </w:r>
      <w:r>
        <w:rPr>
          <w:b/>
          <w:bCs/>
          <w:sz w:val="28"/>
          <w:szCs w:val="28"/>
        </w:rPr>
        <w:fldChar w:fldCharType="begin"/>
      </w:r>
      <w:r>
        <w:rPr>
          <w:b/>
          <w:bCs/>
          <w:sz w:val="28"/>
          <w:szCs w:val="28"/>
        </w:rPr>
        <w:instrText xml:space="preserve"> PAGEREF _Toc5061 </w:instrText>
      </w:r>
      <w:r>
        <w:rPr>
          <w:b/>
          <w:bCs/>
          <w:sz w:val="28"/>
          <w:szCs w:val="28"/>
        </w:rPr>
        <w:fldChar w:fldCharType="separate"/>
      </w:r>
      <w:r>
        <w:rPr>
          <w:b/>
          <w:bCs/>
          <w:sz w:val="28"/>
          <w:szCs w:val="28"/>
        </w:rPr>
        <w:t>35</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20"/>
        <w:tabs>
          <w:tab w:val="right" w:leader="dot" w:pos="9746"/>
        </w:tabs>
        <w:rPr>
          <w:b/>
          <w:bCs/>
          <w:sz w:val="28"/>
          <w:szCs w:val="28"/>
        </w:rPr>
      </w:pPr>
      <w:r>
        <w:rPr>
          <w:rFonts w:hint="eastAsia" w:cs="宋体" w:asciiTheme="majorEastAsia" w:hAnsiTheme="majorEastAsia" w:eastAsiaTheme="majorEastAsia"/>
          <w:b/>
          <w:bCs/>
          <w:sz w:val="28"/>
          <w:szCs w:val="28"/>
          <w:highlight w:val="yellow"/>
        </w:rPr>
        <w:fldChar w:fldCharType="begin"/>
      </w:r>
      <w:r>
        <w:rPr>
          <w:rFonts w:hint="eastAsia" w:cs="宋体" w:asciiTheme="majorEastAsia" w:hAnsiTheme="majorEastAsia" w:eastAsiaTheme="majorEastAsia"/>
          <w:b/>
          <w:bCs/>
          <w:sz w:val="28"/>
          <w:szCs w:val="28"/>
          <w:highlight w:val="yellow"/>
        </w:rPr>
        <w:instrText xml:space="preserve"> HYPERLINK \l _Toc32454 </w:instrText>
      </w:r>
      <w:r>
        <w:rPr>
          <w:rFonts w:hint="eastAsia" w:cs="宋体" w:asciiTheme="majorEastAsia" w:hAnsiTheme="majorEastAsia" w:eastAsiaTheme="majorEastAsia"/>
          <w:b/>
          <w:bCs/>
          <w:sz w:val="28"/>
          <w:szCs w:val="28"/>
          <w:highlight w:val="yellow"/>
        </w:rPr>
        <w:fldChar w:fldCharType="separate"/>
      </w:r>
      <w:r>
        <w:rPr>
          <w:rFonts w:cs="宋体" w:asciiTheme="majorEastAsia" w:hAnsiTheme="majorEastAsia" w:eastAsiaTheme="majorEastAsia"/>
          <w:b/>
          <w:bCs/>
          <w:sz w:val="28"/>
          <w:szCs w:val="28"/>
        </w:rPr>
        <w:t>第六章  合同条款及格式</w:t>
      </w:r>
      <w:r>
        <w:rPr>
          <w:b/>
          <w:bCs/>
          <w:sz w:val="28"/>
          <w:szCs w:val="28"/>
        </w:rPr>
        <w:tab/>
      </w:r>
      <w:r>
        <w:rPr>
          <w:b/>
          <w:bCs/>
          <w:sz w:val="28"/>
          <w:szCs w:val="28"/>
        </w:rPr>
        <w:fldChar w:fldCharType="begin"/>
      </w:r>
      <w:r>
        <w:rPr>
          <w:b/>
          <w:bCs/>
          <w:sz w:val="28"/>
          <w:szCs w:val="28"/>
        </w:rPr>
        <w:instrText xml:space="preserve"> PAGEREF _Toc32454 </w:instrText>
      </w:r>
      <w:r>
        <w:rPr>
          <w:b/>
          <w:bCs/>
          <w:sz w:val="28"/>
          <w:szCs w:val="28"/>
        </w:rPr>
        <w:fldChar w:fldCharType="separate"/>
      </w:r>
      <w:r>
        <w:rPr>
          <w:b/>
          <w:bCs/>
          <w:sz w:val="28"/>
          <w:szCs w:val="28"/>
        </w:rPr>
        <w:t>48</w:t>
      </w:r>
      <w:r>
        <w:rPr>
          <w:b/>
          <w:bCs/>
          <w:sz w:val="28"/>
          <w:szCs w:val="28"/>
        </w:rPr>
        <w:fldChar w:fldCharType="end"/>
      </w:r>
      <w:r>
        <w:rPr>
          <w:rFonts w:hint="eastAsia" w:cs="宋体" w:asciiTheme="majorEastAsia" w:hAnsiTheme="majorEastAsia" w:eastAsiaTheme="majorEastAsia"/>
          <w:b/>
          <w:bCs/>
          <w:sz w:val="28"/>
          <w:szCs w:val="28"/>
          <w:highlight w:val="yellow"/>
        </w:rPr>
        <w:fldChar w:fldCharType="end"/>
      </w:r>
    </w:p>
    <w:p>
      <w:pPr>
        <w:pStyle w:val="64"/>
        <w:tabs>
          <w:tab w:val="right" w:leader="dot" w:pos="9660"/>
        </w:tabs>
        <w:spacing w:before="0" w:after="0" w:line="600" w:lineRule="exact"/>
        <w:rPr>
          <w:rFonts w:cs="宋体" w:asciiTheme="majorEastAsia" w:hAnsiTheme="majorEastAsia" w:eastAsiaTheme="majorEastAsia"/>
          <w:b/>
          <w:bCs/>
          <w:caps w:val="0"/>
          <w:sz w:val="72"/>
          <w:szCs w:val="72"/>
        </w:rPr>
      </w:pPr>
      <w:r>
        <w:rPr>
          <w:rFonts w:hint="eastAsia" w:cs="宋体" w:asciiTheme="majorEastAsia" w:hAnsiTheme="majorEastAsia" w:eastAsiaTheme="majorEastAsia"/>
          <w:b/>
          <w:bCs/>
          <w:sz w:val="28"/>
          <w:szCs w:val="28"/>
          <w:highlight w:val="yellow"/>
        </w:rPr>
        <w:fldChar w:fldCharType="end"/>
      </w:r>
      <w:bookmarkStart w:id="0" w:name="_Toc213325920"/>
      <w:bookmarkStart w:id="1" w:name="_Toc139966433"/>
      <w:bookmarkStart w:id="2" w:name="_Toc139967217"/>
      <w:bookmarkStart w:id="3" w:name="_Toc213206171"/>
      <w:bookmarkStart w:id="4" w:name="_Toc139967210"/>
      <w:bookmarkStart w:id="5" w:name="_Toc139966426"/>
    </w:p>
    <w:p>
      <w:pPr>
        <w:pStyle w:val="17"/>
        <w:jc w:val="center"/>
        <w:rPr>
          <w:rFonts w:cs="宋体" w:asciiTheme="majorEastAsia" w:hAnsiTheme="majorEastAsia" w:eastAsiaTheme="majorEastAsia"/>
          <w:b/>
          <w:bCs/>
          <w:caps/>
          <w:sz w:val="28"/>
          <w:szCs w:val="28"/>
        </w:rPr>
      </w:pPr>
    </w:p>
    <w:p>
      <w:pPr>
        <w:pStyle w:val="65"/>
        <w:widowControl w:val="0"/>
        <w:numPr>
          <w:ilvl w:val="255"/>
          <w:numId w:val="0"/>
        </w:numPr>
        <w:spacing w:after="156" w:line="500" w:lineRule="exact"/>
        <w:outlineLvl w:val="0"/>
        <w:rPr>
          <w:rFonts w:cs="宋体" w:asciiTheme="majorEastAsia" w:hAnsiTheme="majorEastAsia" w:eastAsiaTheme="majorEastAsia"/>
          <w:b/>
          <w:bCs/>
          <w:caps/>
          <w:sz w:val="28"/>
          <w:szCs w:val="28"/>
        </w:rPr>
        <w:sectPr>
          <w:pgSz w:w="11906" w:h="16838"/>
          <w:pgMar w:top="1440" w:right="1080" w:bottom="1440" w:left="1080" w:header="851" w:footer="907" w:gutter="0"/>
          <w:cols w:space="720" w:num="1"/>
          <w:titlePg/>
          <w:docGrid w:type="lines" w:linePitch="312" w:charSpace="0"/>
        </w:sectPr>
      </w:pPr>
    </w:p>
    <w:p>
      <w:pPr>
        <w:pStyle w:val="65"/>
        <w:widowControl w:val="0"/>
        <w:numPr>
          <w:ilvl w:val="255"/>
          <w:numId w:val="0"/>
        </w:numPr>
        <w:spacing w:after="156" w:line="500" w:lineRule="exact"/>
        <w:jc w:val="center"/>
        <w:outlineLvl w:val="0"/>
        <w:rPr>
          <w:rFonts w:cs="宋体" w:asciiTheme="majorEastAsia" w:hAnsiTheme="majorEastAsia" w:eastAsiaTheme="majorEastAsia"/>
          <w:b/>
          <w:sz w:val="36"/>
        </w:rPr>
      </w:pPr>
      <w:bookmarkStart w:id="6" w:name="_Toc16776"/>
      <w:r>
        <w:rPr>
          <w:rFonts w:hint="eastAsia" w:cs="宋体" w:asciiTheme="majorEastAsia" w:hAnsiTheme="majorEastAsia" w:eastAsiaTheme="majorEastAsia"/>
          <w:b/>
          <w:sz w:val="36"/>
        </w:rPr>
        <w:t>第一章</w:t>
      </w:r>
      <w:bookmarkStart w:id="7" w:name="_Toc452363802"/>
      <w:r>
        <w:rPr>
          <w:rFonts w:hint="eastAsia" w:cs="宋体" w:asciiTheme="majorEastAsia" w:hAnsiTheme="majorEastAsia" w:eastAsiaTheme="majorEastAsia"/>
          <w:b/>
          <w:sz w:val="36"/>
        </w:rPr>
        <w:t>公告</w:t>
      </w:r>
      <w:bookmarkEnd w:id="6"/>
      <w:bookmarkEnd w:id="7"/>
    </w:p>
    <w:bookmarkEnd w:id="0"/>
    <w:bookmarkEnd w:id="1"/>
    <w:bookmarkEnd w:id="2"/>
    <w:bookmarkEnd w:id="3"/>
    <w:p>
      <w:pPr>
        <w:pStyle w:val="65"/>
        <w:widowControl w:val="0"/>
        <w:spacing w:after="156" w:line="500" w:lineRule="exact"/>
        <w:ind w:firstLine="0" w:firstLineChars="0"/>
        <w:jc w:val="center"/>
        <w:rPr>
          <w:rFonts w:cs="宋体" w:asciiTheme="majorEastAsia" w:hAnsiTheme="majorEastAsia" w:eastAsiaTheme="majorEastAsia"/>
          <w:b/>
          <w:sz w:val="36"/>
        </w:rPr>
      </w:pPr>
      <w:r>
        <w:rPr>
          <w:rFonts w:hint="eastAsia" w:cs="宋体" w:asciiTheme="majorEastAsia" w:hAnsiTheme="majorEastAsia" w:eastAsiaTheme="majorEastAsia"/>
          <w:b/>
          <w:sz w:val="36"/>
        </w:rPr>
        <w:t>公开招标公告</w:t>
      </w:r>
    </w:p>
    <w:tbl>
      <w:tblPr>
        <w:tblStyle w:val="2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pStyle w:val="22"/>
              <w:spacing w:before="75" w:beforeAutospacing="0" w:after="75" w:afterAutospacing="0" w:line="440" w:lineRule="exact"/>
              <w:rPr>
                <w:rFonts w:asciiTheme="majorEastAsia" w:hAnsiTheme="majorEastAsia" w:eastAsiaTheme="majorEastAsia"/>
              </w:rPr>
            </w:pPr>
            <w:bookmarkStart w:id="8" w:name="_Toc450053769"/>
            <w:bookmarkStart w:id="9" w:name="_Toc139966431"/>
            <w:bookmarkStart w:id="10" w:name="_Toc213325921"/>
            <w:bookmarkStart w:id="11" w:name="_Toc139967215"/>
            <w:bookmarkStart w:id="12" w:name="_Toc213206172"/>
            <w:r>
              <w:rPr>
                <w:rFonts w:hint="eastAsia" w:asciiTheme="majorEastAsia" w:hAnsiTheme="majorEastAsia" w:eastAsiaTheme="majorEastAsia"/>
              </w:rPr>
              <w:t>项目概况:</w:t>
            </w:r>
          </w:p>
          <w:p>
            <w:pPr>
              <w:pStyle w:val="22"/>
              <w:wordWrap w:val="0"/>
              <w:spacing w:before="75" w:beforeAutospacing="0" w:after="75" w:afterAutospacing="0" w:line="440" w:lineRule="exact"/>
              <w:rPr>
                <w:rFonts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u w:val="single"/>
              </w:rPr>
              <w:t>南宁市住房租赁服务监管平台（项目编号：NNZC2020-G3-990364-GXYZ）</w:t>
            </w:r>
            <w:r>
              <w:rPr>
                <w:rFonts w:hint="eastAsia" w:asciiTheme="majorEastAsia" w:hAnsiTheme="majorEastAsia" w:eastAsiaTheme="majorEastAsia"/>
              </w:rPr>
              <w:t>采购项目的潜在投标人应在</w:t>
            </w:r>
            <w:r>
              <w:rPr>
                <w:rFonts w:hint="eastAsia" w:asciiTheme="majorEastAsia" w:hAnsiTheme="majorEastAsia" w:eastAsiaTheme="majorEastAsia"/>
                <w:u w:val="single"/>
              </w:rPr>
              <w:t>南宁市公共资源交易平台(https://www.nnggzy.org.cn/gxnnhy)</w:t>
            </w:r>
            <w:r>
              <w:rPr>
                <w:rFonts w:hint="eastAsia" w:asciiTheme="majorEastAsia" w:hAnsiTheme="majorEastAsia" w:eastAsiaTheme="majorEastAsia"/>
              </w:rPr>
              <w:t>的信息公告处自行下载获取本项目招标文件，并于</w:t>
            </w:r>
            <w:r>
              <w:rPr>
                <w:rFonts w:hint="eastAsia" w:asciiTheme="majorEastAsia" w:hAnsiTheme="majorEastAsia" w:eastAsiaTheme="majorEastAsia"/>
                <w:u w:val="single"/>
              </w:rPr>
              <w:t>2020年</w:t>
            </w:r>
            <w:r>
              <w:rPr>
                <w:rFonts w:hint="eastAsia" w:asciiTheme="majorEastAsia" w:hAnsiTheme="majorEastAsia" w:eastAsiaTheme="majorEastAsia"/>
                <w:u w:val="single"/>
                <w:lang w:val="en-US" w:eastAsia="zh-CN"/>
              </w:rPr>
              <w:t>11</w:t>
            </w:r>
            <w:r>
              <w:rPr>
                <w:rFonts w:hint="eastAsia" w:asciiTheme="majorEastAsia" w:hAnsiTheme="majorEastAsia" w:eastAsiaTheme="majorEastAsia"/>
                <w:u w:val="single"/>
              </w:rPr>
              <w:t>月</w:t>
            </w:r>
            <w:r>
              <w:rPr>
                <w:rFonts w:hint="eastAsia" w:asciiTheme="majorEastAsia" w:hAnsiTheme="majorEastAsia" w:eastAsiaTheme="majorEastAsia"/>
                <w:u w:val="single"/>
                <w:lang w:val="en-US" w:eastAsia="zh-CN"/>
              </w:rPr>
              <w:t>26</w:t>
            </w:r>
            <w:r>
              <w:rPr>
                <w:rFonts w:hint="eastAsia" w:asciiTheme="majorEastAsia" w:hAnsiTheme="majorEastAsia" w:eastAsiaTheme="majorEastAsia"/>
                <w:u w:val="single"/>
              </w:rPr>
              <w:t>日</w:t>
            </w:r>
            <w:r>
              <w:rPr>
                <w:rFonts w:hint="eastAsia" w:asciiTheme="majorEastAsia" w:hAnsiTheme="majorEastAsia" w:eastAsiaTheme="majorEastAsia"/>
                <w:u w:val="single"/>
                <w:lang w:val="en-US" w:eastAsia="zh-CN"/>
              </w:rPr>
              <w:t>09</w:t>
            </w:r>
            <w:r>
              <w:rPr>
                <w:rFonts w:hint="eastAsia" w:asciiTheme="majorEastAsia" w:hAnsiTheme="majorEastAsia" w:eastAsiaTheme="majorEastAsia"/>
                <w:u w:val="single"/>
              </w:rPr>
              <w:t>点</w:t>
            </w:r>
            <w:r>
              <w:rPr>
                <w:rFonts w:hint="eastAsia" w:asciiTheme="majorEastAsia" w:hAnsiTheme="majorEastAsia" w:eastAsiaTheme="majorEastAsia"/>
                <w:u w:val="single"/>
                <w:lang w:val="en-US" w:eastAsia="zh-CN"/>
              </w:rPr>
              <w:t>30</w:t>
            </w:r>
            <w:r>
              <w:rPr>
                <w:rFonts w:hint="eastAsia" w:asciiTheme="majorEastAsia" w:hAnsiTheme="majorEastAsia" w:eastAsiaTheme="majorEastAsia"/>
                <w:u w:val="single"/>
              </w:rPr>
              <w:t>分</w:t>
            </w:r>
            <w:r>
              <w:rPr>
                <w:rFonts w:hint="eastAsia" w:asciiTheme="majorEastAsia" w:hAnsiTheme="majorEastAsia" w:eastAsiaTheme="majorEastAsia"/>
              </w:rPr>
              <w:t>（北京时间）前递交投标文件。</w:t>
            </w:r>
          </w:p>
        </w:tc>
      </w:tr>
    </w:tbl>
    <w:p>
      <w:pPr>
        <w:pStyle w:val="22"/>
        <w:spacing w:before="75" w:beforeAutospacing="0" w:after="75" w:afterAutospacing="0" w:line="440" w:lineRule="exact"/>
        <w:rPr>
          <w:rFonts w:asciiTheme="majorEastAsia" w:hAnsiTheme="majorEastAsia" w:eastAsiaTheme="majorEastAsia"/>
        </w:rPr>
      </w:pPr>
      <w:r>
        <w:rPr>
          <w:rStyle w:val="28"/>
          <w:rFonts w:hint="eastAsia" w:asciiTheme="majorEastAsia" w:hAnsiTheme="majorEastAsia" w:eastAsiaTheme="majorEastAsia"/>
        </w:rPr>
        <w:t>一、项目基本情况：</w:t>
      </w:r>
    </w:p>
    <w:p>
      <w:pPr>
        <w:pStyle w:val="22"/>
        <w:spacing w:before="75" w:beforeAutospacing="0" w:after="75" w:afterAutospacing="0" w:line="440" w:lineRule="exact"/>
        <w:ind w:firstLine="240" w:firstLineChars="100"/>
        <w:rPr>
          <w:rFonts w:asciiTheme="majorEastAsia" w:hAnsiTheme="majorEastAsia" w:eastAsiaTheme="majorEastAsia"/>
        </w:rPr>
      </w:pPr>
      <w:r>
        <w:rPr>
          <w:rFonts w:hint="eastAsia" w:asciiTheme="majorEastAsia" w:hAnsiTheme="majorEastAsia" w:eastAsiaTheme="majorEastAsia"/>
        </w:rPr>
        <w:t>项目编号：NNZC2020-G3-990364-GXYZ</w:t>
      </w:r>
    </w:p>
    <w:p>
      <w:pPr>
        <w:pStyle w:val="22"/>
        <w:spacing w:before="75" w:beforeAutospacing="0" w:after="75" w:afterAutospacing="0" w:line="440" w:lineRule="exact"/>
        <w:ind w:firstLine="240" w:firstLineChars="100"/>
        <w:rPr>
          <w:rFonts w:asciiTheme="majorEastAsia" w:hAnsiTheme="majorEastAsia" w:eastAsiaTheme="majorEastAsia"/>
        </w:rPr>
      </w:pPr>
      <w:r>
        <w:rPr>
          <w:rFonts w:hint="eastAsia" w:asciiTheme="majorEastAsia" w:hAnsiTheme="majorEastAsia" w:eastAsiaTheme="majorEastAsia"/>
        </w:rPr>
        <w:t>项目名称：南宁市住房租赁服务监管平台</w:t>
      </w:r>
    </w:p>
    <w:p>
      <w:pPr>
        <w:pStyle w:val="22"/>
        <w:spacing w:before="75" w:beforeAutospacing="0" w:after="75" w:afterAutospacing="0" w:line="440" w:lineRule="exact"/>
        <w:ind w:firstLine="240" w:firstLineChars="100"/>
        <w:rPr>
          <w:rFonts w:asciiTheme="majorEastAsia" w:hAnsiTheme="majorEastAsia" w:eastAsiaTheme="majorEastAsia"/>
        </w:rPr>
      </w:pPr>
      <w:r>
        <w:rPr>
          <w:rFonts w:hint="eastAsia" w:asciiTheme="majorEastAsia" w:hAnsiTheme="majorEastAsia" w:eastAsiaTheme="majorEastAsia"/>
        </w:rPr>
        <w:t>采购计划文号：[2020]NCCJB518001/3823-001</w:t>
      </w:r>
      <w:r>
        <w:rPr>
          <w:rFonts w:hint="eastAsia" w:eastAsiaTheme="majorEastAsia"/>
          <w:color w:val="000000"/>
        </w:rPr>
        <w:t xml:space="preserve">    </w:t>
      </w:r>
    </w:p>
    <w:p>
      <w:pPr>
        <w:pStyle w:val="22"/>
        <w:spacing w:before="75" w:beforeAutospacing="0" w:after="75" w:afterAutospacing="0" w:line="440" w:lineRule="exact"/>
        <w:ind w:firstLine="240" w:firstLineChars="100"/>
        <w:rPr>
          <w:rFonts w:asciiTheme="majorEastAsia" w:hAnsiTheme="majorEastAsia" w:eastAsiaTheme="majorEastAsia"/>
        </w:rPr>
      </w:pPr>
      <w:r>
        <w:rPr>
          <w:rFonts w:hint="eastAsia" w:asciiTheme="majorEastAsia" w:hAnsiTheme="majorEastAsia" w:eastAsiaTheme="majorEastAsia"/>
        </w:rPr>
        <w:t>预算金额：人民币壹佰贰拾万元整(￥1200000.00元)</w:t>
      </w:r>
    </w:p>
    <w:p>
      <w:pPr>
        <w:pStyle w:val="22"/>
        <w:spacing w:before="75" w:beforeAutospacing="0" w:after="75" w:afterAutospacing="0" w:line="440" w:lineRule="exact"/>
        <w:ind w:firstLine="240" w:firstLineChars="100"/>
        <w:rPr>
          <w:rFonts w:asciiTheme="majorEastAsia" w:hAnsiTheme="majorEastAsia" w:eastAsiaTheme="majorEastAsia"/>
        </w:rPr>
      </w:pPr>
      <w:r>
        <w:rPr>
          <w:rFonts w:hint="eastAsia" w:asciiTheme="majorEastAsia" w:hAnsiTheme="majorEastAsia" w:eastAsiaTheme="majorEastAsia"/>
        </w:rPr>
        <w:t>最高限价为：人民币壹佰贰拾万元整(￥1200000.00元)</w:t>
      </w:r>
    </w:p>
    <w:p>
      <w:pPr>
        <w:pStyle w:val="22"/>
        <w:spacing w:before="75" w:beforeAutospacing="0" w:after="75" w:afterAutospacing="0" w:line="440" w:lineRule="exact"/>
        <w:ind w:firstLine="240" w:firstLineChars="100"/>
        <w:rPr>
          <w:rFonts w:asciiTheme="majorEastAsia" w:hAnsiTheme="majorEastAsia" w:eastAsiaTheme="majorEastAsia"/>
        </w:rPr>
      </w:pPr>
      <w:r>
        <w:rPr>
          <w:rFonts w:hint="eastAsia" w:asciiTheme="majorEastAsia" w:hAnsiTheme="majorEastAsia" w:eastAsiaTheme="majorEastAsia"/>
        </w:rPr>
        <w:t>采购需求：</w:t>
      </w:r>
    </w:p>
    <w:tbl>
      <w:tblPr>
        <w:tblStyle w:val="26"/>
        <w:tblW w:w="925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80"/>
        <w:gridCol w:w="1688"/>
        <w:gridCol w:w="1275"/>
        <w:gridCol w:w="561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3"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项号</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服务名称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数量</w:t>
            </w:r>
          </w:p>
        </w:tc>
        <w:tc>
          <w:tcPr>
            <w:tcW w:w="56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服务内容及要求（详见服务需求一览表）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w:t>
            </w:r>
          </w:p>
        </w:tc>
        <w:tc>
          <w:tcPr>
            <w:tcW w:w="1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rPr>
                <w:rFonts w:eastAsia="宋体"/>
              </w:rPr>
            </w:pPr>
            <w:r>
              <w:rPr>
                <w:rFonts w:hint="eastAsia" w:ascii="宋体" w:hAnsi="宋体" w:eastAsia="宋体"/>
                <w:sz w:val="24"/>
                <w:szCs w:val="24"/>
              </w:rPr>
              <w:t>南宁市住房租赁服务监管平台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宋体" w:hAnsi="宋体" w:eastAsia="宋体"/>
                <w:sz w:val="24"/>
                <w:szCs w:val="24"/>
              </w:rPr>
            </w:pPr>
            <w:r>
              <w:rPr>
                <w:rFonts w:hint="eastAsia" w:ascii="宋体" w:hAnsi="宋体" w:eastAsia="宋体"/>
                <w:sz w:val="24"/>
                <w:szCs w:val="24"/>
              </w:rPr>
              <w:t>1项</w:t>
            </w:r>
          </w:p>
        </w:tc>
        <w:tc>
          <w:tcPr>
            <w:tcW w:w="5612" w:type="dxa"/>
            <w:tcBorders>
              <w:top w:val="single" w:color="auto" w:sz="4" w:space="0"/>
              <w:left w:val="single" w:color="auto" w:sz="4" w:space="0"/>
              <w:bottom w:val="single" w:color="auto" w:sz="4" w:space="0"/>
              <w:right w:val="single" w:color="auto" w:sz="4" w:space="0"/>
            </w:tcBorders>
            <w:shd w:val="clear" w:color="auto" w:fill="auto"/>
          </w:tcPr>
          <w:p>
            <w:pPr>
              <w:spacing w:after="0" w:line="360" w:lineRule="auto"/>
              <w:ind w:firstLine="482" w:firstLineChars="200"/>
              <w:rPr>
                <w:rFonts w:ascii="新宋体" w:hAnsi="新宋体" w:eastAsia="新宋体" w:cs="新宋体"/>
                <w:b/>
                <w:sz w:val="24"/>
                <w:szCs w:val="24"/>
              </w:rPr>
            </w:pPr>
            <w:r>
              <w:rPr>
                <w:rFonts w:hint="eastAsia" w:ascii="新宋体" w:hAnsi="新宋体" w:eastAsia="新宋体" w:cs="新宋体"/>
                <w:b/>
                <w:sz w:val="24"/>
                <w:szCs w:val="24"/>
              </w:rPr>
              <w:t>一、项目概述</w:t>
            </w:r>
          </w:p>
          <w:p>
            <w:pPr>
              <w:pStyle w:val="2"/>
              <w:spacing w:line="440" w:lineRule="exact"/>
              <w:rPr>
                <w:rFonts w:ascii="宋体" w:hAnsi="宋体" w:eastAsia="新宋体"/>
                <w:sz w:val="24"/>
                <w:szCs w:val="24"/>
              </w:rPr>
            </w:pPr>
            <w:r>
              <w:rPr>
                <w:rFonts w:hint="eastAsia" w:ascii="新宋体" w:hAnsi="新宋体" w:eastAsia="新宋体" w:cs="新宋体"/>
                <w:sz w:val="24"/>
                <w:szCs w:val="24"/>
              </w:rPr>
              <w:t>根据《国务院办公厅关于加快培育和发展住房租赁市场的若干意见》（国办发[2016]39号）、《广西壮族自治区住房和城乡建设厅发展改革委公安厅财政厅自然资源厅市场监督管理局中国人民银行南宁中心支行广西税务局广西证监局关于印发广西壮族自治区住房租赁市场培育试点工作方案的通知》（桂建房[2018]14号）等文件精神......</w:t>
            </w:r>
          </w:p>
        </w:tc>
      </w:tr>
    </w:tbl>
    <w:p>
      <w:pPr>
        <w:pStyle w:val="22"/>
        <w:spacing w:before="75" w:beforeAutospacing="0" w:after="75" w:afterAutospacing="0" w:line="440" w:lineRule="exact"/>
        <w:ind w:firstLine="240" w:firstLineChars="100"/>
        <w:rPr>
          <w:rFonts w:asciiTheme="majorEastAsia" w:hAnsiTheme="majorEastAsia" w:eastAsiaTheme="majorEastAsia"/>
        </w:rPr>
      </w:pPr>
      <w:r>
        <w:rPr>
          <w:rFonts w:hint="eastAsia" w:asciiTheme="majorEastAsia" w:hAnsiTheme="majorEastAsia" w:eastAsiaTheme="majorEastAsia"/>
        </w:rPr>
        <w:t>如需进一步了解详细内容，详见公开招标文件。</w:t>
      </w:r>
    </w:p>
    <w:p>
      <w:pPr>
        <w:pStyle w:val="22"/>
        <w:spacing w:before="75" w:beforeAutospacing="0" w:after="75" w:afterAutospacing="0" w:line="440" w:lineRule="exact"/>
        <w:ind w:firstLine="240" w:firstLineChars="100"/>
        <w:rPr>
          <w:rFonts w:asciiTheme="majorEastAsia" w:hAnsiTheme="majorEastAsia" w:eastAsiaTheme="majorEastAsia"/>
        </w:rPr>
      </w:pPr>
      <w:r>
        <w:rPr>
          <w:rFonts w:hint="eastAsia" w:asciiTheme="majorEastAsia" w:hAnsiTheme="majorEastAsia" w:eastAsiaTheme="majorEastAsia"/>
        </w:rPr>
        <w:t>合同履行期限：详见公开招标文件。</w:t>
      </w:r>
    </w:p>
    <w:p>
      <w:pPr>
        <w:pStyle w:val="22"/>
        <w:spacing w:before="75" w:beforeAutospacing="0" w:after="75" w:afterAutospacing="0" w:line="440" w:lineRule="exact"/>
        <w:rPr>
          <w:rFonts w:asciiTheme="majorEastAsia" w:hAnsiTheme="majorEastAsia" w:eastAsiaTheme="majorEastAsia"/>
        </w:rPr>
      </w:pPr>
      <w:r>
        <w:rPr>
          <w:rStyle w:val="28"/>
          <w:rFonts w:hint="eastAsia" w:asciiTheme="majorEastAsia" w:hAnsiTheme="majorEastAsia" w:eastAsiaTheme="majorEastAsia"/>
        </w:rPr>
        <w:t>二、申请人的资格要求：</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1、符合《中华人民共和国政府采购法》第二十二条规定；</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2、本项目需落实的政府采购政策：本项目适用政府采购促进中小企业、监狱企业发展、促进残疾人就业、节能环保等有关政策，具体详见招标文件；</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3、本项目的特定资格要求：无</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4、具有国内法人资格，注册经营范围满足所采购内容的供应商。</w:t>
      </w:r>
    </w:p>
    <w:p>
      <w:pPr>
        <w:pStyle w:val="22"/>
        <w:wordWrap w:val="0"/>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7、本项目不接受联合体投标。</w:t>
      </w:r>
    </w:p>
    <w:p>
      <w:pPr>
        <w:pStyle w:val="22"/>
        <w:spacing w:before="75" w:beforeAutospacing="0" w:after="75" w:afterAutospacing="0" w:line="440" w:lineRule="exact"/>
        <w:rPr>
          <w:rFonts w:asciiTheme="majorEastAsia" w:hAnsiTheme="majorEastAsia" w:eastAsiaTheme="majorEastAsia"/>
        </w:rPr>
      </w:pPr>
      <w:r>
        <w:rPr>
          <w:rStyle w:val="28"/>
          <w:rFonts w:hint="eastAsia" w:asciiTheme="majorEastAsia" w:hAnsiTheme="majorEastAsia" w:eastAsiaTheme="majorEastAsia"/>
        </w:rPr>
        <w:t>三、获取招标文件：</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时间：2020年</w:t>
      </w:r>
      <w:r>
        <w:rPr>
          <w:rFonts w:hint="eastAsia" w:asciiTheme="majorEastAsia" w:hAnsiTheme="majorEastAsia" w:eastAsiaTheme="majorEastAsia"/>
          <w:lang w:val="en-US" w:eastAsia="zh-CN"/>
        </w:rPr>
        <w:t>11</w:t>
      </w:r>
      <w:r>
        <w:rPr>
          <w:rFonts w:hint="eastAsia" w:asciiTheme="majorEastAsia" w:hAnsiTheme="majorEastAsia" w:eastAsiaTheme="majorEastAsia"/>
        </w:rPr>
        <w:t>月</w:t>
      </w:r>
      <w:r>
        <w:rPr>
          <w:rFonts w:hint="eastAsia" w:asciiTheme="majorEastAsia" w:hAnsiTheme="majorEastAsia" w:eastAsiaTheme="majorEastAsia"/>
          <w:lang w:val="en-US" w:eastAsia="zh-CN"/>
        </w:rPr>
        <w:t>06</w:t>
      </w:r>
      <w:r>
        <w:rPr>
          <w:rFonts w:hint="eastAsia" w:asciiTheme="majorEastAsia" w:hAnsiTheme="majorEastAsia" w:eastAsiaTheme="majorEastAsia"/>
        </w:rPr>
        <w:t>日至2020年</w:t>
      </w:r>
      <w:r>
        <w:rPr>
          <w:rFonts w:hint="eastAsia" w:asciiTheme="majorEastAsia" w:hAnsiTheme="majorEastAsia" w:eastAsiaTheme="majorEastAsia"/>
          <w:lang w:val="en-US" w:eastAsia="zh-CN"/>
        </w:rPr>
        <w:t>11</w:t>
      </w:r>
      <w:r>
        <w:rPr>
          <w:rFonts w:hint="eastAsia" w:asciiTheme="majorEastAsia" w:hAnsiTheme="majorEastAsia" w:eastAsiaTheme="majorEastAsia"/>
        </w:rPr>
        <w:t>月</w:t>
      </w:r>
      <w:r>
        <w:rPr>
          <w:rFonts w:hint="eastAsia" w:asciiTheme="majorEastAsia" w:hAnsiTheme="majorEastAsia" w:eastAsiaTheme="majorEastAsia"/>
          <w:lang w:val="en-US" w:eastAsia="zh-CN"/>
        </w:rPr>
        <w:t>12</w:t>
      </w:r>
      <w:r>
        <w:rPr>
          <w:rFonts w:hint="eastAsia" w:asciiTheme="majorEastAsia" w:hAnsiTheme="majorEastAsia" w:eastAsiaTheme="majorEastAsia"/>
        </w:rPr>
        <w:t>日</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地址：南宁市公共资源交易平台(https://www.nnggzy.org.cn/gxnnhy)的信息公告处。</w:t>
      </w:r>
    </w:p>
    <w:p>
      <w:pPr>
        <w:pStyle w:val="22"/>
        <w:wordWrap w:val="0"/>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方式：本项目不发放纸质文件，投标人自行在南宁市公共资源交易平台(https://www.nnggzy.org.cn/gxnnhy)的信息公告处下载采购文件。</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售价：0元。</w:t>
      </w:r>
    </w:p>
    <w:p>
      <w:pPr>
        <w:pStyle w:val="22"/>
        <w:spacing w:before="75" w:beforeAutospacing="0" w:after="75" w:afterAutospacing="0" w:line="440" w:lineRule="exact"/>
        <w:rPr>
          <w:rFonts w:asciiTheme="majorEastAsia" w:hAnsiTheme="majorEastAsia" w:eastAsiaTheme="majorEastAsia"/>
        </w:rPr>
      </w:pPr>
      <w:r>
        <w:rPr>
          <w:rStyle w:val="28"/>
          <w:rFonts w:hint="eastAsia" w:asciiTheme="majorEastAsia" w:hAnsiTheme="majorEastAsia" w:eastAsiaTheme="majorEastAsia"/>
        </w:rPr>
        <w:t>四、提交投标文件截止时间、开标时间和地点：</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时间：2020年</w:t>
      </w:r>
      <w:r>
        <w:rPr>
          <w:rFonts w:hint="eastAsia" w:asciiTheme="majorEastAsia" w:hAnsiTheme="majorEastAsia" w:eastAsiaTheme="majorEastAsia"/>
          <w:lang w:val="en-US" w:eastAsia="zh-CN"/>
        </w:rPr>
        <w:t>11</w:t>
      </w:r>
      <w:r>
        <w:rPr>
          <w:rFonts w:hint="eastAsia" w:asciiTheme="majorEastAsia" w:hAnsiTheme="majorEastAsia" w:eastAsiaTheme="majorEastAsia"/>
        </w:rPr>
        <w:t>月</w:t>
      </w:r>
      <w:r>
        <w:rPr>
          <w:rFonts w:hint="eastAsia" w:asciiTheme="majorEastAsia" w:hAnsiTheme="majorEastAsia" w:eastAsiaTheme="majorEastAsia"/>
          <w:lang w:val="en-US" w:eastAsia="zh-CN"/>
        </w:rPr>
        <w:t>26</w:t>
      </w:r>
      <w:r>
        <w:rPr>
          <w:rFonts w:hint="eastAsia" w:asciiTheme="majorEastAsia" w:hAnsiTheme="majorEastAsia" w:eastAsiaTheme="majorEastAsia"/>
        </w:rPr>
        <w:t>日</w:t>
      </w:r>
      <w:r>
        <w:rPr>
          <w:rFonts w:hint="eastAsia" w:asciiTheme="majorEastAsia" w:hAnsiTheme="majorEastAsia" w:eastAsiaTheme="majorEastAsia"/>
          <w:lang w:val="en-US" w:eastAsia="zh-CN"/>
        </w:rPr>
        <w:t>09</w:t>
      </w:r>
      <w:r>
        <w:rPr>
          <w:rFonts w:hint="eastAsia" w:asciiTheme="majorEastAsia" w:hAnsiTheme="majorEastAsia" w:eastAsiaTheme="majorEastAsia"/>
        </w:rPr>
        <w:t>点</w:t>
      </w:r>
      <w:r>
        <w:rPr>
          <w:rFonts w:hint="eastAsia" w:asciiTheme="majorEastAsia" w:hAnsiTheme="majorEastAsia" w:eastAsiaTheme="majorEastAsia"/>
          <w:lang w:val="en-US" w:eastAsia="zh-CN"/>
        </w:rPr>
        <w:t>30</w:t>
      </w:r>
      <w:r>
        <w:rPr>
          <w:rFonts w:hint="eastAsia" w:asciiTheme="majorEastAsia" w:hAnsiTheme="majorEastAsia" w:eastAsiaTheme="majorEastAsia"/>
        </w:rPr>
        <w:t>分（北京时间）</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地点：南宁市良庆区玉洞大道33号（青少年活动中心旁）市民中心9楼南宁市公共资源交易中心（具体详见9楼电子显示屏场地安排）。</w:t>
      </w:r>
      <w:r>
        <w:rPr>
          <w:rFonts w:hint="eastAsia" w:asciiTheme="majorEastAsia" w:hAnsiTheme="majorEastAsia" w:eastAsiaTheme="majorEastAsia"/>
          <w:b/>
          <w:bCs/>
        </w:rPr>
        <w:t>为做好疫情防控工作，本项目的投标文件通过邮寄快递的方式送达，具体要求详见关于投标文件邮寄形式的通知。</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开标时间：2020年</w:t>
      </w:r>
      <w:r>
        <w:rPr>
          <w:rFonts w:hint="eastAsia" w:asciiTheme="majorEastAsia" w:hAnsiTheme="majorEastAsia" w:eastAsiaTheme="majorEastAsia"/>
          <w:lang w:val="en-US" w:eastAsia="zh-CN"/>
        </w:rPr>
        <w:t>11</w:t>
      </w:r>
      <w:r>
        <w:rPr>
          <w:rFonts w:hint="eastAsia" w:asciiTheme="majorEastAsia" w:hAnsiTheme="majorEastAsia" w:eastAsiaTheme="majorEastAsia"/>
        </w:rPr>
        <w:t>月</w:t>
      </w:r>
      <w:r>
        <w:rPr>
          <w:rFonts w:hint="eastAsia" w:asciiTheme="majorEastAsia" w:hAnsiTheme="majorEastAsia" w:eastAsiaTheme="majorEastAsia"/>
          <w:lang w:val="en-US" w:eastAsia="zh-CN"/>
        </w:rPr>
        <w:t>26</w:t>
      </w:r>
      <w:r>
        <w:rPr>
          <w:rFonts w:hint="eastAsia" w:asciiTheme="majorEastAsia" w:hAnsiTheme="majorEastAsia" w:eastAsiaTheme="majorEastAsia"/>
        </w:rPr>
        <w:t>日</w:t>
      </w:r>
      <w:r>
        <w:rPr>
          <w:rFonts w:hint="eastAsia" w:asciiTheme="majorEastAsia" w:hAnsiTheme="majorEastAsia" w:eastAsiaTheme="majorEastAsia"/>
          <w:lang w:val="en-US" w:eastAsia="zh-CN"/>
        </w:rPr>
        <w:t>09</w:t>
      </w:r>
      <w:r>
        <w:rPr>
          <w:rFonts w:hint="eastAsia" w:asciiTheme="majorEastAsia" w:hAnsiTheme="majorEastAsia" w:eastAsiaTheme="majorEastAsia"/>
        </w:rPr>
        <w:t>点</w:t>
      </w:r>
      <w:r>
        <w:rPr>
          <w:rFonts w:hint="eastAsia" w:asciiTheme="majorEastAsia" w:hAnsiTheme="majorEastAsia" w:eastAsiaTheme="majorEastAsia"/>
          <w:lang w:val="en-US" w:eastAsia="zh-CN"/>
        </w:rPr>
        <w:t>30</w:t>
      </w:r>
      <w:r>
        <w:rPr>
          <w:rFonts w:hint="eastAsia" w:asciiTheme="majorEastAsia" w:hAnsiTheme="majorEastAsia" w:eastAsiaTheme="majorEastAsia"/>
        </w:rPr>
        <w:t>分（北京时间） </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开标地点：南宁市良庆区玉洞大道33号（市青少年活动中心旁）南宁市市民中心9楼南宁市公共资源交易中心（具体详见9楼电子显示屏场地安排） </w:t>
      </w:r>
    </w:p>
    <w:p>
      <w:pPr>
        <w:pStyle w:val="22"/>
        <w:spacing w:before="75" w:beforeAutospacing="0" w:after="75" w:afterAutospacing="0" w:line="440" w:lineRule="exact"/>
        <w:rPr>
          <w:rFonts w:asciiTheme="majorEastAsia" w:hAnsiTheme="majorEastAsia" w:eastAsiaTheme="majorEastAsia"/>
        </w:rPr>
      </w:pPr>
      <w:r>
        <w:rPr>
          <w:rStyle w:val="28"/>
          <w:rFonts w:hint="eastAsia" w:asciiTheme="majorEastAsia" w:hAnsiTheme="majorEastAsia" w:eastAsiaTheme="majorEastAsia"/>
        </w:rPr>
        <w:t>五、公告期限：</w:t>
      </w:r>
    </w:p>
    <w:p>
      <w:pPr>
        <w:pStyle w:val="22"/>
        <w:spacing w:before="75" w:beforeAutospacing="0" w:after="75" w:afterAutospacing="0" w:line="440" w:lineRule="exact"/>
        <w:ind w:firstLine="420"/>
        <w:rPr>
          <w:rFonts w:asciiTheme="majorEastAsia" w:hAnsiTheme="majorEastAsia" w:eastAsiaTheme="majorEastAsia"/>
        </w:rPr>
      </w:pPr>
      <w:r>
        <w:rPr>
          <w:rFonts w:hint="eastAsia" w:asciiTheme="majorEastAsia" w:hAnsiTheme="majorEastAsia" w:eastAsiaTheme="majorEastAsia"/>
        </w:rPr>
        <w:t>自本公告发布之日起5个工作日（2020年</w:t>
      </w:r>
      <w:r>
        <w:rPr>
          <w:rFonts w:hint="eastAsia" w:asciiTheme="majorEastAsia" w:hAnsiTheme="majorEastAsia" w:eastAsiaTheme="majorEastAsia"/>
          <w:lang w:val="en-US" w:eastAsia="zh-CN"/>
        </w:rPr>
        <w:t>11</w:t>
      </w:r>
      <w:r>
        <w:rPr>
          <w:rFonts w:hint="eastAsia" w:asciiTheme="majorEastAsia" w:hAnsiTheme="majorEastAsia" w:eastAsiaTheme="majorEastAsia"/>
        </w:rPr>
        <w:t>月</w:t>
      </w:r>
      <w:r>
        <w:rPr>
          <w:rFonts w:hint="eastAsia" w:asciiTheme="majorEastAsia" w:hAnsiTheme="majorEastAsia" w:eastAsiaTheme="majorEastAsia"/>
          <w:lang w:val="en-US" w:eastAsia="zh-CN"/>
        </w:rPr>
        <w:t>06</w:t>
      </w:r>
      <w:r>
        <w:rPr>
          <w:rFonts w:hint="eastAsia" w:asciiTheme="majorEastAsia" w:hAnsiTheme="majorEastAsia" w:eastAsiaTheme="majorEastAsia"/>
        </w:rPr>
        <w:t>日至2020年</w:t>
      </w:r>
      <w:r>
        <w:rPr>
          <w:rFonts w:hint="eastAsia" w:asciiTheme="majorEastAsia" w:hAnsiTheme="majorEastAsia" w:eastAsiaTheme="majorEastAsia"/>
          <w:lang w:val="en-US" w:eastAsia="zh-CN"/>
        </w:rPr>
        <w:t>11</w:t>
      </w:r>
      <w:r>
        <w:rPr>
          <w:rFonts w:hint="eastAsia" w:asciiTheme="majorEastAsia" w:hAnsiTheme="majorEastAsia" w:eastAsiaTheme="majorEastAsia"/>
        </w:rPr>
        <w:t>月</w:t>
      </w:r>
      <w:r>
        <w:rPr>
          <w:rFonts w:hint="eastAsia" w:asciiTheme="majorEastAsia" w:hAnsiTheme="majorEastAsia" w:eastAsiaTheme="majorEastAsia"/>
          <w:lang w:val="en-US" w:eastAsia="zh-CN"/>
        </w:rPr>
        <w:t>12</w:t>
      </w:r>
      <w:r>
        <w:rPr>
          <w:rFonts w:hint="eastAsia" w:asciiTheme="majorEastAsia" w:hAnsiTheme="majorEastAsia" w:eastAsiaTheme="majorEastAsia"/>
        </w:rPr>
        <w:t>日结束）。</w:t>
      </w:r>
    </w:p>
    <w:p>
      <w:pPr>
        <w:pStyle w:val="22"/>
        <w:numPr>
          <w:ilvl w:val="0"/>
          <w:numId w:val="3"/>
        </w:numPr>
        <w:spacing w:before="75" w:beforeAutospacing="0" w:after="75" w:afterAutospacing="0" w:line="440" w:lineRule="exact"/>
        <w:rPr>
          <w:rStyle w:val="28"/>
          <w:rFonts w:asciiTheme="majorEastAsia" w:hAnsiTheme="majorEastAsia" w:eastAsiaTheme="majorEastAsia"/>
        </w:rPr>
      </w:pPr>
      <w:r>
        <w:rPr>
          <w:rStyle w:val="28"/>
          <w:rFonts w:hint="eastAsia" w:asciiTheme="majorEastAsia" w:hAnsiTheme="majorEastAsia" w:eastAsiaTheme="majorEastAsia"/>
        </w:rPr>
        <w:t>其他补充事项：</w:t>
      </w:r>
    </w:p>
    <w:p>
      <w:pPr>
        <w:pStyle w:val="22"/>
        <w:spacing w:before="75" w:beforeAutospacing="0" w:after="75" w:afterAutospacing="0" w:line="440" w:lineRule="exact"/>
        <w:ind w:firstLine="720" w:firstLineChars="300"/>
        <w:rPr>
          <w:rFonts w:asciiTheme="majorEastAsia" w:hAnsiTheme="majorEastAsia" w:eastAsiaTheme="majorEastAsia"/>
        </w:rPr>
      </w:pPr>
      <w:r>
        <w:rPr>
          <w:rFonts w:hint="eastAsia" w:asciiTheme="majorEastAsia" w:hAnsiTheme="majorEastAsia" w:eastAsiaTheme="majorEastAsia"/>
        </w:rPr>
        <w:t>网上查询地址：</w:t>
      </w:r>
      <w:r>
        <w:fldChar w:fldCharType="begin"/>
      </w:r>
      <w:r>
        <w:instrText xml:space="preserve"> HYPERLINK </w:instrText>
      </w:r>
      <w:r>
        <w:fldChar w:fldCharType="separate"/>
      </w:r>
      <w:r>
        <w:rPr>
          <w:rFonts w:hint="eastAsia" w:asciiTheme="majorEastAsia" w:hAnsiTheme="majorEastAsia" w:eastAsiaTheme="majorEastAsia"/>
        </w:rPr>
        <w:t>www.ccgp.gov.cn（中国政府采购网）， http://zfcg.gxzf.gov.cn/（广西壮族自治区政府采购网），www.nnggzy.org.cn （南宁市公共资源交易中心网）</w:t>
      </w:r>
      <w:r>
        <w:rPr>
          <w:rFonts w:hint="eastAsia" w:asciiTheme="majorEastAsia" w:hAnsiTheme="majorEastAsia" w:eastAsiaTheme="majorEastAsia"/>
        </w:rPr>
        <w:fldChar w:fldCharType="end"/>
      </w:r>
    </w:p>
    <w:p>
      <w:pPr>
        <w:pStyle w:val="22"/>
        <w:spacing w:before="75" w:beforeAutospacing="0" w:after="75" w:afterAutospacing="0" w:line="440" w:lineRule="exact"/>
        <w:rPr>
          <w:rFonts w:asciiTheme="majorEastAsia" w:hAnsiTheme="majorEastAsia" w:eastAsiaTheme="majorEastAsia"/>
        </w:rPr>
      </w:pPr>
      <w:r>
        <w:rPr>
          <w:rStyle w:val="28"/>
          <w:rFonts w:hint="eastAsia" w:asciiTheme="majorEastAsia" w:hAnsiTheme="majorEastAsia" w:eastAsiaTheme="majorEastAsia"/>
        </w:rPr>
        <w:t>七、对本次招标提出询问，请按以下方式联系。</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1.采购人信息：</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名称：南宁市住房和城乡建设局</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地址：</w:t>
      </w:r>
      <w:r>
        <w:rPr>
          <w:rFonts w:hint="eastAsia" w:eastAsiaTheme="majorEastAsia"/>
        </w:rPr>
        <w:t>南宁市青秀区金湖路59-1号</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联系人及电话：农云浩；0771-5527061</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2.采购代理机构信息：</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名称：广西邕政采购代理有限公司</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联系地址：南宁市青秀区思贤路45号创投中心16A层</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 xml:space="preserve">项目联系人及联系电话：蔺工、罗工  0771-2442850 </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3.项目联系方式</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项目联系人：蔺工、罗工</w:t>
      </w:r>
    </w:p>
    <w:p>
      <w:pPr>
        <w:pStyle w:val="22"/>
        <w:spacing w:before="75" w:beforeAutospacing="0" w:after="75" w:afterAutospacing="0" w:line="440" w:lineRule="exact"/>
        <w:ind w:right="840" w:firstLine="420"/>
        <w:rPr>
          <w:rFonts w:asciiTheme="majorEastAsia" w:hAnsiTheme="majorEastAsia" w:eastAsiaTheme="majorEastAsia"/>
        </w:rPr>
      </w:pPr>
      <w:r>
        <w:rPr>
          <w:rFonts w:hint="eastAsia" w:asciiTheme="majorEastAsia" w:hAnsiTheme="majorEastAsia" w:eastAsiaTheme="majorEastAsia"/>
        </w:rPr>
        <w:t xml:space="preserve">电话：0771-2442850 </w:t>
      </w:r>
    </w:p>
    <w:p>
      <w:pPr>
        <w:spacing w:line="440" w:lineRule="exact"/>
        <w:jc w:val="right"/>
        <w:rPr>
          <w:rFonts w:hint="eastAsia" w:asciiTheme="majorEastAsia" w:hAnsiTheme="majorEastAsia" w:eastAsiaTheme="majorEastAsia"/>
          <w:sz w:val="24"/>
          <w:szCs w:val="24"/>
        </w:rPr>
      </w:pPr>
    </w:p>
    <w:p>
      <w:pPr>
        <w:spacing w:line="440" w:lineRule="exact"/>
        <w:jc w:val="center"/>
        <w:rPr>
          <w:rFonts w:asciiTheme="majorEastAsia" w:hAnsiTheme="majorEastAsia" w:eastAsiaTheme="majorEastAsia"/>
          <w:b/>
          <w:sz w:val="36"/>
          <w:szCs w:val="20"/>
        </w:rPr>
      </w:pPr>
      <w:r>
        <w:rPr>
          <w:rFonts w:hint="eastAsia" w:asciiTheme="majorEastAsia" w:hAnsiTheme="majorEastAsia" w:eastAsiaTheme="majorEastAsia"/>
          <w:sz w:val="24"/>
          <w:szCs w:val="24"/>
          <w:lang w:val="en-US" w:eastAsia="zh-CN"/>
        </w:rPr>
        <w:t xml:space="preserve">                                               </w:t>
      </w:r>
      <w:r>
        <w:rPr>
          <w:rFonts w:hint="eastAsia" w:asciiTheme="majorEastAsia" w:hAnsiTheme="majorEastAsia" w:eastAsiaTheme="majorEastAsia"/>
          <w:sz w:val="24"/>
          <w:szCs w:val="24"/>
        </w:rPr>
        <w:t>发布日期：2020年</w:t>
      </w:r>
      <w:r>
        <w:rPr>
          <w:rFonts w:hint="eastAsia" w:asciiTheme="majorEastAsia" w:hAnsiTheme="majorEastAsia" w:eastAsiaTheme="majorEastAsia"/>
          <w:sz w:val="24"/>
          <w:szCs w:val="24"/>
          <w:lang w:val="en-US" w:eastAsia="zh-CN"/>
        </w:rPr>
        <w:t>11</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05</w:t>
      </w:r>
      <w:r>
        <w:rPr>
          <w:rFonts w:hint="eastAsia" w:asciiTheme="majorEastAsia" w:hAnsiTheme="majorEastAsia" w:eastAsiaTheme="majorEastAsia"/>
          <w:sz w:val="24"/>
          <w:szCs w:val="24"/>
        </w:rPr>
        <w:t>日</w:t>
      </w:r>
      <w:r>
        <w:rPr>
          <w:rFonts w:asciiTheme="majorEastAsia" w:hAnsiTheme="majorEastAsia" w:eastAsiaTheme="majorEastAsia"/>
          <w:b/>
          <w:sz w:val="36"/>
        </w:rPr>
        <w:br w:type="page"/>
      </w:r>
      <w:bookmarkEnd w:id="8"/>
    </w:p>
    <w:p>
      <w:pPr>
        <w:pStyle w:val="65"/>
        <w:widowControl w:val="0"/>
        <w:numPr>
          <w:ilvl w:val="255"/>
          <w:numId w:val="0"/>
        </w:numPr>
        <w:spacing w:after="156" w:line="500" w:lineRule="exact"/>
        <w:jc w:val="center"/>
        <w:outlineLvl w:val="0"/>
        <w:rPr>
          <w:rFonts w:cs="宋体" w:asciiTheme="majorEastAsia" w:hAnsiTheme="majorEastAsia" w:eastAsiaTheme="majorEastAsia"/>
          <w:b/>
          <w:sz w:val="36"/>
        </w:rPr>
      </w:pPr>
      <w:bookmarkStart w:id="13" w:name="_Toc11500"/>
      <w:r>
        <w:rPr>
          <w:rFonts w:hint="eastAsia" w:cs="宋体" w:asciiTheme="majorEastAsia" w:hAnsiTheme="majorEastAsia" w:eastAsiaTheme="majorEastAsia"/>
          <w:b/>
          <w:sz w:val="36"/>
        </w:rPr>
        <w:t>第二章  服务需求一览表</w:t>
      </w:r>
      <w:bookmarkEnd w:id="13"/>
    </w:p>
    <w:p>
      <w:pPr>
        <w:spacing w:line="340" w:lineRule="exact"/>
        <w:rPr>
          <w:rFonts w:asciiTheme="majorEastAsia" w:hAnsiTheme="majorEastAsia" w:eastAsiaTheme="majorEastAsia"/>
          <w:b/>
          <w:sz w:val="24"/>
        </w:rPr>
      </w:pPr>
      <w:r>
        <w:rPr>
          <w:rFonts w:hint="eastAsia" w:asciiTheme="majorEastAsia" w:hAnsiTheme="majorEastAsia" w:eastAsiaTheme="majorEastAsia"/>
          <w:b/>
          <w:sz w:val="24"/>
        </w:rPr>
        <w:t>说明：</w:t>
      </w:r>
    </w:p>
    <w:p>
      <w:pPr>
        <w:ind w:left="6" w:firstLine="412" w:firstLineChars="172"/>
        <w:rPr>
          <w:rFonts w:asciiTheme="majorEastAsia" w:hAnsiTheme="majorEastAsia" w:eastAsiaTheme="majorEastAsia"/>
          <w:b/>
          <w:bCs/>
          <w:sz w:val="24"/>
        </w:rPr>
      </w:pPr>
      <w:r>
        <w:rPr>
          <w:rFonts w:hint="eastAsia" w:asciiTheme="majorEastAsia" w:hAnsiTheme="majorEastAsia" w:eastAsiaTheme="majorEastAsia"/>
          <w:sz w:val="24"/>
        </w:rPr>
        <w:t>1、</w:t>
      </w:r>
      <w:r>
        <w:rPr>
          <w:rFonts w:hint="eastAsia" w:asciiTheme="majorEastAsia" w:hAnsiTheme="majorEastAsia" w:eastAsiaTheme="majorEastAsia"/>
          <w:b/>
          <w:bCs/>
          <w:sz w:val="24"/>
        </w:rPr>
        <w:t>本服务需求一览表中标注★号的部分为实质性要求和条件。</w:t>
      </w:r>
    </w:p>
    <w:p>
      <w:pPr>
        <w:ind w:left="6" w:firstLine="412" w:firstLineChars="172"/>
        <w:rPr>
          <w:rFonts w:asciiTheme="majorEastAsia" w:hAnsiTheme="majorEastAsia" w:eastAsiaTheme="majorEastAsia"/>
          <w:sz w:val="24"/>
        </w:rPr>
      </w:pPr>
      <w:r>
        <w:rPr>
          <w:rFonts w:hint="eastAsia" w:asciiTheme="majorEastAsia" w:hAnsiTheme="majorEastAsia" w:eastAsiaTheme="majorEastAsia"/>
          <w:sz w:val="24"/>
        </w:rPr>
        <w:t>2、本服务需求一览表中内容如与第六章“合同条款及格式”相关条款不一致的，以本表为准。</w:t>
      </w:r>
    </w:p>
    <w:p>
      <w:pPr>
        <w:pStyle w:val="17"/>
        <w:ind w:left="240" w:leftChars="109" w:firstLine="217" w:firstLineChars="90"/>
        <w:rPr>
          <w:rFonts w:cs="宋体" w:asciiTheme="majorEastAsia" w:hAnsiTheme="majorEastAsia" w:eastAsiaTheme="majorEastAsia"/>
          <w:b/>
          <w:sz w:val="24"/>
        </w:rPr>
      </w:pPr>
      <w:r>
        <w:rPr>
          <w:rFonts w:cs="宋体" w:asciiTheme="majorEastAsia" w:hAnsiTheme="majorEastAsia" w:eastAsiaTheme="majorEastAsia"/>
          <w:b/>
          <w:sz w:val="24"/>
        </w:rPr>
        <w:t>3、本次服务采购最高限价为：</w:t>
      </w:r>
      <w:r>
        <w:rPr>
          <w:rFonts w:hint="eastAsia" w:cs="宋体" w:asciiTheme="majorEastAsia" w:hAnsiTheme="majorEastAsia" w:eastAsiaTheme="majorEastAsia"/>
          <w:b/>
          <w:sz w:val="24"/>
        </w:rPr>
        <w:t>人民币壹佰贰拾万元整(￥1200000.00元)</w:t>
      </w:r>
    </w:p>
    <w:tbl>
      <w:tblPr>
        <w:tblStyle w:val="26"/>
        <w:tblpPr w:leftFromText="180" w:rightFromText="180" w:vertAnchor="text" w:horzAnchor="page" w:tblpX="543" w:tblpY="324"/>
        <w:tblOverlap w:val="never"/>
        <w:tblW w:w="10920" w:type="dxa"/>
        <w:tblInd w:w="0" w:type="dxa"/>
        <w:tblLayout w:type="fixed"/>
        <w:tblCellMar>
          <w:top w:w="0" w:type="dxa"/>
          <w:left w:w="0" w:type="dxa"/>
          <w:bottom w:w="0" w:type="dxa"/>
          <w:right w:w="0" w:type="dxa"/>
        </w:tblCellMar>
      </w:tblPr>
      <w:tblGrid>
        <w:gridCol w:w="714"/>
        <w:gridCol w:w="1508"/>
        <w:gridCol w:w="763"/>
        <w:gridCol w:w="5831"/>
        <w:gridCol w:w="2104"/>
      </w:tblGrid>
      <w:tr>
        <w:tblPrEx>
          <w:tblCellMar>
            <w:top w:w="0" w:type="dxa"/>
            <w:left w:w="0" w:type="dxa"/>
            <w:bottom w:w="0" w:type="dxa"/>
            <w:right w:w="0" w:type="dxa"/>
          </w:tblCellMar>
        </w:tblPrEx>
        <w:trPr>
          <w:trHeight w:val="826" w:hRule="atLeast"/>
        </w:trPr>
        <w:tc>
          <w:tcPr>
            <w:tcW w:w="714" w:type="dxa"/>
            <w:tcBorders>
              <w:top w:val="single" w:color="auto" w:sz="4" w:space="0"/>
              <w:left w:val="single" w:color="auto" w:sz="4" w:space="0"/>
              <w:bottom w:val="single" w:color="auto" w:sz="4" w:space="0"/>
              <w:right w:val="single" w:color="auto" w:sz="4" w:space="0"/>
            </w:tcBorders>
            <w:vAlign w:val="center"/>
          </w:tcPr>
          <w:p>
            <w:pPr>
              <w:wordWrap w:val="0"/>
              <w:spacing w:after="0" w:line="360" w:lineRule="auto"/>
              <w:jc w:val="center"/>
              <w:rPr>
                <w:rFonts w:ascii="新宋体" w:hAnsi="新宋体" w:eastAsia="新宋体" w:cs="新宋体"/>
                <w:b/>
                <w:color w:val="auto"/>
                <w:sz w:val="24"/>
                <w:szCs w:val="24"/>
              </w:rPr>
            </w:pPr>
            <w:r>
              <w:rPr>
                <w:rFonts w:hint="eastAsia" w:ascii="新宋体" w:hAnsi="新宋体" w:eastAsia="新宋体" w:cs="新宋体"/>
                <w:b/>
                <w:color w:val="auto"/>
                <w:sz w:val="24"/>
                <w:szCs w:val="24"/>
              </w:rPr>
              <w:t>序号</w:t>
            </w:r>
          </w:p>
        </w:tc>
        <w:tc>
          <w:tcPr>
            <w:tcW w:w="1508" w:type="dxa"/>
            <w:tcBorders>
              <w:top w:val="single" w:color="auto" w:sz="4" w:space="0"/>
              <w:left w:val="single" w:color="auto" w:sz="4" w:space="0"/>
              <w:bottom w:val="single" w:color="auto" w:sz="4" w:space="0"/>
              <w:right w:val="single" w:color="auto" w:sz="4" w:space="0"/>
            </w:tcBorders>
            <w:vAlign w:val="center"/>
          </w:tcPr>
          <w:p>
            <w:pPr>
              <w:wordWrap w:val="0"/>
              <w:spacing w:after="0" w:line="360" w:lineRule="auto"/>
              <w:jc w:val="center"/>
              <w:rPr>
                <w:rFonts w:ascii="新宋体" w:hAnsi="新宋体" w:eastAsia="新宋体" w:cs="新宋体"/>
                <w:b/>
                <w:color w:val="auto"/>
                <w:sz w:val="24"/>
                <w:szCs w:val="24"/>
              </w:rPr>
            </w:pPr>
            <w:r>
              <w:rPr>
                <w:rFonts w:hint="eastAsia" w:ascii="新宋体" w:hAnsi="新宋体" w:eastAsia="新宋体" w:cs="新宋体"/>
                <w:b/>
                <w:color w:val="auto"/>
                <w:sz w:val="24"/>
                <w:szCs w:val="24"/>
              </w:rPr>
              <w:t>服务名称</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ordWrap w:val="0"/>
              <w:spacing w:after="0" w:line="360" w:lineRule="auto"/>
              <w:jc w:val="center"/>
              <w:rPr>
                <w:rFonts w:ascii="新宋体" w:hAnsi="新宋体" w:eastAsia="新宋体" w:cs="新宋体"/>
                <w:b/>
                <w:color w:val="auto"/>
                <w:sz w:val="24"/>
                <w:szCs w:val="24"/>
              </w:rPr>
            </w:pPr>
            <w:r>
              <w:rPr>
                <w:rFonts w:hint="eastAsia" w:ascii="新宋体" w:hAnsi="新宋体" w:eastAsia="新宋体" w:cs="新宋体"/>
                <w:b/>
                <w:color w:val="auto"/>
                <w:sz w:val="24"/>
                <w:szCs w:val="24"/>
              </w:rPr>
              <w:t>数量</w:t>
            </w:r>
          </w:p>
        </w:tc>
        <w:tc>
          <w:tcPr>
            <w:tcW w:w="583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ordWrap w:val="0"/>
              <w:spacing w:after="0" w:line="360" w:lineRule="auto"/>
              <w:jc w:val="center"/>
              <w:rPr>
                <w:rFonts w:ascii="新宋体" w:hAnsi="新宋体" w:eastAsia="新宋体" w:cs="新宋体"/>
                <w:b/>
                <w:color w:val="auto"/>
                <w:sz w:val="24"/>
                <w:szCs w:val="24"/>
              </w:rPr>
            </w:pPr>
            <w:r>
              <w:rPr>
                <w:rFonts w:hint="eastAsia" w:ascii="新宋体" w:hAnsi="新宋体" w:eastAsia="新宋体" w:cs="新宋体"/>
                <w:b/>
                <w:color w:val="auto"/>
                <w:sz w:val="24"/>
                <w:szCs w:val="24"/>
              </w:rPr>
              <w:t>服务内容及要求</w:t>
            </w:r>
          </w:p>
        </w:tc>
        <w:tc>
          <w:tcPr>
            <w:tcW w:w="2104" w:type="dxa"/>
            <w:tcBorders>
              <w:top w:val="single" w:color="auto" w:sz="4" w:space="0"/>
              <w:left w:val="nil"/>
              <w:bottom w:val="single" w:color="auto" w:sz="4" w:space="0"/>
              <w:right w:val="single" w:color="auto" w:sz="4" w:space="0"/>
            </w:tcBorders>
            <w:vAlign w:val="center"/>
          </w:tcPr>
          <w:p>
            <w:pPr>
              <w:wordWrap w:val="0"/>
              <w:spacing w:after="0" w:line="360" w:lineRule="auto"/>
              <w:jc w:val="center"/>
              <w:rPr>
                <w:rFonts w:ascii="新宋体" w:hAnsi="新宋体" w:eastAsia="新宋体" w:cs="新宋体"/>
                <w:b/>
                <w:color w:val="auto"/>
                <w:sz w:val="24"/>
                <w:szCs w:val="24"/>
              </w:rPr>
            </w:pPr>
            <w:r>
              <w:rPr>
                <w:rFonts w:hint="eastAsia" w:ascii="新宋体" w:hAnsi="新宋体" w:eastAsia="新宋体" w:cs="新宋体"/>
                <w:b/>
                <w:color w:val="auto"/>
                <w:sz w:val="24"/>
                <w:szCs w:val="24"/>
              </w:rPr>
              <w:t>分项最高限价（元）</w:t>
            </w:r>
          </w:p>
        </w:tc>
      </w:tr>
      <w:tr>
        <w:tblPrEx>
          <w:tblCellMar>
            <w:top w:w="0" w:type="dxa"/>
            <w:left w:w="0" w:type="dxa"/>
            <w:bottom w:w="0" w:type="dxa"/>
            <w:right w:w="0" w:type="dxa"/>
          </w:tblCellMar>
        </w:tblPrEx>
        <w:trPr>
          <w:trHeight w:val="968" w:hRule="atLeast"/>
        </w:trPr>
        <w:tc>
          <w:tcPr>
            <w:tcW w:w="714" w:type="dxa"/>
            <w:tcBorders>
              <w:top w:val="single" w:color="auto" w:sz="4" w:space="0"/>
              <w:left w:val="single" w:color="auto" w:sz="4" w:space="0"/>
              <w:bottom w:val="single" w:color="auto" w:sz="4" w:space="0"/>
              <w:right w:val="single" w:color="auto" w:sz="4" w:space="0"/>
            </w:tcBorders>
            <w:vAlign w:val="center"/>
          </w:tcPr>
          <w:p>
            <w:pPr>
              <w:wordWrap w:val="0"/>
              <w:spacing w:after="0" w:line="360" w:lineRule="auto"/>
              <w:jc w:val="center"/>
              <w:rPr>
                <w:rFonts w:ascii="新宋体" w:hAnsi="新宋体" w:eastAsia="新宋体" w:cs="新宋体"/>
                <w:color w:val="auto"/>
                <w:sz w:val="24"/>
                <w:szCs w:val="24"/>
              </w:rPr>
            </w:pPr>
            <w:r>
              <w:rPr>
                <w:rFonts w:hint="eastAsia" w:ascii="新宋体" w:hAnsi="新宋体" w:eastAsia="新宋体" w:cs="新宋体"/>
                <w:color w:val="auto"/>
                <w:sz w:val="24"/>
                <w:szCs w:val="24"/>
              </w:rPr>
              <w:t>1</w:t>
            </w:r>
          </w:p>
        </w:tc>
        <w:tc>
          <w:tcPr>
            <w:tcW w:w="1508"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南宁市住房租赁服务监管平台</w:t>
            </w:r>
          </w:p>
        </w:tc>
        <w:tc>
          <w:tcPr>
            <w:tcW w:w="7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after="0" w:line="360" w:lineRule="auto"/>
              <w:jc w:val="center"/>
              <w:rPr>
                <w:rFonts w:ascii="新宋体" w:hAnsi="新宋体" w:eastAsia="新宋体" w:cs="新宋体"/>
                <w:color w:val="auto"/>
                <w:sz w:val="24"/>
                <w:szCs w:val="24"/>
              </w:rPr>
            </w:pPr>
            <w:r>
              <w:rPr>
                <w:rFonts w:hint="eastAsia" w:ascii="新宋体" w:hAnsi="新宋体" w:eastAsia="新宋体" w:cs="新宋体"/>
                <w:color w:val="auto"/>
                <w:sz w:val="24"/>
                <w:szCs w:val="24"/>
              </w:rPr>
              <w:t>1项</w:t>
            </w:r>
          </w:p>
        </w:tc>
        <w:tc>
          <w:tcPr>
            <w:tcW w:w="583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line="360" w:lineRule="auto"/>
              <w:ind w:firstLine="482" w:firstLineChars="200"/>
              <w:rPr>
                <w:rFonts w:ascii="新宋体" w:hAnsi="新宋体" w:eastAsia="新宋体" w:cs="新宋体"/>
                <w:b/>
                <w:color w:val="auto"/>
                <w:sz w:val="24"/>
                <w:szCs w:val="24"/>
              </w:rPr>
            </w:pPr>
            <w:r>
              <w:rPr>
                <w:rFonts w:hint="eastAsia" w:ascii="新宋体" w:hAnsi="新宋体" w:eastAsia="新宋体" w:cs="新宋体"/>
                <w:b/>
                <w:color w:val="auto"/>
                <w:sz w:val="24"/>
                <w:szCs w:val="24"/>
              </w:rPr>
              <w:t>一、项目概述</w:t>
            </w:r>
          </w:p>
          <w:p>
            <w:pPr>
              <w:spacing w:after="0" w:line="360" w:lineRule="auto"/>
              <w:ind w:firstLine="480" w:firstLineChars="200"/>
              <w:rPr>
                <w:rFonts w:ascii="新宋体" w:hAnsi="新宋体" w:eastAsia="新宋体" w:cs="新宋体"/>
                <w:b/>
                <w:color w:val="auto"/>
                <w:sz w:val="24"/>
                <w:szCs w:val="24"/>
              </w:rPr>
            </w:pPr>
            <w:r>
              <w:rPr>
                <w:rFonts w:hint="eastAsia" w:ascii="新宋体" w:hAnsi="新宋体" w:eastAsia="新宋体" w:cs="新宋体"/>
                <w:color w:val="auto"/>
                <w:sz w:val="24"/>
                <w:szCs w:val="24"/>
              </w:rPr>
              <w:t>根据《国务院办公厅关于加快培育和发展住房租赁市场的若干意见》（国办发[2016]39号）、《广西壮族自治区住房和城乡建设厅发展改革委公安厅财政厅自然资源厅市场监督管理局中国人民银行南宁中心支行广西税务局广西证监局关于印发广西壮族自治区住房租赁市场培育试点工作方案的通知》（桂建房[2018]14号）等文件精神，南宁市人民政府办公室关于印发南宁市培育发展住房租赁市场试点工作方案工作任务第九条已明确提出要建设南宁市住房租赁服务监管平台，将公共租赁住房、人才公寓、住房租赁企业经营的租赁租房、开发企业自持租赁租房、人才公寓、住房租赁企业经营的租赁住房、开发企业自持租赁住房、中介机构代理租赁租房、个人出租住房等各类房源信息纳入服务平台。近年来，我市房屋租赁需求不断增大，租赁房源、承租方式、服务类型呈现多元化，房屋租赁市场日益活跃，随之也出现了房屋租赁登记备案率低、租赁服务严重滞后、二房东黑中介打隔断群租现象频出等问题。就租赁市场业务来看，一是房源信息未经核实。二是租赁登记备案率低，大量租赁数据政府管理部门无法获得，数据底数不清。三是租赁合同不规范，资金未得到有效监管。四是群租现象屡禁不止。因此构建住房租赁综合管理平台，实现住房租赁市场数量、价格、租约的精准、动态、实时，让住房租赁成为一个持续改进的过程，是住房租赁市场成熟的基础和前提，具有极其重要的意义。</w:t>
            </w:r>
            <w:r>
              <w:rPr>
                <w:rFonts w:hint="eastAsia" w:ascii="新宋体" w:hAnsi="新宋体" w:eastAsia="新宋体" w:cs="新宋体"/>
                <w:color w:val="auto"/>
                <w:sz w:val="24"/>
                <w:szCs w:val="24"/>
              </w:rPr>
              <w:cr/>
            </w:r>
            <w:r>
              <w:rPr>
                <w:rFonts w:hint="eastAsia" w:ascii="新宋体" w:hAnsi="新宋体" w:eastAsia="新宋体" w:cs="新宋体"/>
                <w:b/>
                <w:color w:val="auto"/>
                <w:sz w:val="24"/>
                <w:szCs w:val="24"/>
              </w:rPr>
              <w:t>二、系统目标</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结合房屋租赁市场发展的实际需求，按照“稳步推进、安全便捷、规范管理、信息共享”的原则，以“扩大租赁房源供给，规范租赁交易流程，打通关联配套服务”为着力点，通过信息化技术和大数据应用、“互联网+”等技术手段，打造全市统一的住房租赁服务监管平台。</w:t>
            </w:r>
          </w:p>
          <w:p>
            <w:pPr>
              <w:spacing w:after="0" w:line="360" w:lineRule="auto"/>
              <w:ind w:firstLine="480" w:firstLineChars="200"/>
              <w:rPr>
                <w:rFonts w:ascii="新宋体" w:hAnsi="新宋体" w:eastAsia="新宋体" w:cs="新宋体"/>
                <w:b/>
                <w:bCs/>
                <w:color w:val="auto"/>
                <w:sz w:val="24"/>
                <w:szCs w:val="24"/>
              </w:rPr>
            </w:pPr>
            <w:r>
              <w:rPr>
                <w:rFonts w:hint="eastAsia" w:ascii="新宋体" w:hAnsi="新宋体" w:eastAsia="新宋体" w:cs="新宋体"/>
                <w:color w:val="auto"/>
                <w:sz w:val="24"/>
                <w:szCs w:val="24"/>
              </w:rPr>
              <w:t>★</w:t>
            </w:r>
            <w:r>
              <w:rPr>
                <w:rFonts w:hint="eastAsia" w:ascii="新宋体" w:hAnsi="新宋体" w:eastAsia="新宋体" w:cs="新宋体"/>
                <w:b/>
                <w:bCs/>
                <w:color w:val="auto"/>
                <w:sz w:val="24"/>
                <w:szCs w:val="24"/>
              </w:rPr>
              <w:t>三、服务范围</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利用API接口技术、结合GIS技术、移动互联技术、物联网技术等研发南宁市住房租赁服务监管平台，集成现有南宁市房屋交易监管系统数据、不动产登记系统数据、从业主体管理系统数据，提供个人租赁服务、企业人员管理和经纪公司管理服务，为实现政府监管、市场监测、便民共享等功能，达到提升租赁行业水平、促进行业发展的目的。</w:t>
            </w:r>
          </w:p>
          <w:p>
            <w:pPr>
              <w:spacing w:after="0" w:line="360" w:lineRule="auto"/>
              <w:ind w:firstLine="482" w:firstLineChars="200"/>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四、服务内容及要求</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bCs/>
                <w:color w:val="auto"/>
                <w:sz w:val="24"/>
              </w:rPr>
              <w:t>（一）</w:t>
            </w:r>
            <w:r>
              <w:rPr>
                <w:rFonts w:hint="eastAsia" w:ascii="新宋体" w:hAnsi="新宋体" w:eastAsia="新宋体" w:cs="新宋体"/>
                <w:color w:val="auto"/>
                <w:sz w:val="24"/>
              </w:rPr>
              <w:t>平台功能建设</w:t>
            </w:r>
          </w:p>
          <w:p>
            <w:pPr>
              <w:spacing w:after="0" w:line="360" w:lineRule="auto"/>
              <w:rPr>
                <w:rFonts w:ascii="新宋体" w:hAnsi="新宋体" w:eastAsia="新宋体" w:cs="新宋体"/>
                <w:b/>
                <w:bCs/>
                <w:color w:val="auto"/>
                <w:sz w:val="24"/>
                <w:szCs w:val="24"/>
              </w:rPr>
            </w:pPr>
            <w:r>
              <w:rPr>
                <w:rFonts w:hint="eastAsia" w:ascii="新宋体" w:hAnsi="新宋体" w:eastAsia="新宋体" w:cs="新宋体"/>
                <w:bCs/>
                <w:color w:val="auto"/>
                <w:sz w:val="24"/>
                <w:szCs w:val="24"/>
              </w:rPr>
              <w:t>1.个人租赁交易服务</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1.1个人注册、人脸核身实名认证</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★1.2房源出租</w:t>
            </w:r>
          </w:p>
          <w:p>
            <w:pPr>
              <w:pStyle w:val="15"/>
              <w:numPr>
                <w:ilvl w:val="0"/>
                <w:numId w:val="4"/>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提供房源发布功能，用户在平台输入房产信息发布房源信息。</w:t>
            </w:r>
          </w:p>
          <w:p>
            <w:pPr>
              <w:pStyle w:val="15"/>
              <w:numPr>
                <w:ilvl w:val="0"/>
                <w:numId w:val="4"/>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提供房源核验功能，用户在平台发布的房源须经过房源核验，核验结果为真实房源时方可上架。</w:t>
            </w:r>
          </w:p>
          <w:p>
            <w:pPr>
              <w:pStyle w:val="15"/>
              <w:numPr>
                <w:ilvl w:val="0"/>
                <w:numId w:val="4"/>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提供房源管理功能，用户能够在平台对已发布的房源进行房源管理，包括上架、下架、撤销等操作。</w:t>
            </w:r>
          </w:p>
          <w:p>
            <w:pPr>
              <w:pStyle w:val="15"/>
              <w:numPr>
                <w:ilvl w:val="0"/>
                <w:numId w:val="4"/>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提供房源挂牌功能，用户在平台上可以对已经发布的房源进行挂牌操作。</w:t>
            </w:r>
          </w:p>
          <w:p>
            <w:pPr>
              <w:pStyle w:val="15"/>
              <w:numPr>
                <w:ilvl w:val="0"/>
                <w:numId w:val="4"/>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提供接受看房预约功能，用户可在平台上处理属于自己房源的看房申请，可拒绝或接受。</w:t>
            </w:r>
          </w:p>
          <w:p>
            <w:pPr>
              <w:pStyle w:val="15"/>
              <w:numPr>
                <w:ilvl w:val="0"/>
                <w:numId w:val="4"/>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提供房源下架功能，用户在平台上可以对已经发布并已上架的房源进行下架操作。</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★1.3租房发布</w:t>
            </w:r>
          </w:p>
          <w:p>
            <w:pPr>
              <w:pStyle w:val="15"/>
              <w:numPr>
                <w:ilvl w:val="0"/>
                <w:numId w:val="5"/>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提供求租信息发布功能，用户可在平台填写求租区域、租金价格等发布个人求租信息。</w:t>
            </w:r>
          </w:p>
          <w:p>
            <w:pPr>
              <w:pStyle w:val="15"/>
              <w:numPr>
                <w:ilvl w:val="0"/>
                <w:numId w:val="5"/>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提供求租信息管理功能，用户可在平台上管理自己发布的求租信息。</w:t>
            </w:r>
          </w:p>
          <w:p>
            <w:pPr>
              <w:pStyle w:val="15"/>
              <w:numPr>
                <w:ilvl w:val="0"/>
                <w:numId w:val="5"/>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提供查找与收藏房源功能，包括通过地图找房、搜索找房等</w:t>
            </w:r>
          </w:p>
          <w:p>
            <w:pPr>
              <w:pStyle w:val="15"/>
              <w:numPr>
                <w:ilvl w:val="0"/>
                <w:numId w:val="5"/>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提供预约看房功能，租客用户可以在平台上对已发布的房源提出看房预约申请，出租方再对预约申请进行处理。</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★1.4租赁合同签约</w:t>
            </w:r>
          </w:p>
          <w:p>
            <w:pPr>
              <w:pStyle w:val="15"/>
              <w:numPr>
                <w:ilvl w:val="0"/>
                <w:numId w:val="6"/>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提供网上签约功能，租赁双方在平台实现网上签约、合同网签备案功能。</w:t>
            </w:r>
          </w:p>
          <w:p>
            <w:pPr>
              <w:pStyle w:val="15"/>
              <w:numPr>
                <w:ilvl w:val="0"/>
                <w:numId w:val="6"/>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提供添加承租人功能，出租方能在平台上灵活的添加或删除编辑承租人。</w:t>
            </w:r>
          </w:p>
          <w:p>
            <w:pPr>
              <w:pStyle w:val="15"/>
              <w:numPr>
                <w:ilvl w:val="0"/>
                <w:numId w:val="6"/>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提供合同维护功能，支持合同编辑、下载等功能。</w:t>
            </w:r>
          </w:p>
          <w:p>
            <w:pPr>
              <w:pStyle w:val="15"/>
              <w:numPr>
                <w:ilvl w:val="0"/>
                <w:numId w:val="6"/>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提供签约办结功能，合同签约完成后自动办结该流程。</w:t>
            </w:r>
          </w:p>
          <w:p>
            <w:pPr>
              <w:pStyle w:val="15"/>
              <w:numPr>
                <w:ilvl w:val="0"/>
                <w:numId w:val="6"/>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提供合同解除功能，上传合同注销材料，双方确认后完成合同解除。</w:t>
            </w:r>
          </w:p>
          <w:p>
            <w:pPr>
              <w:pStyle w:val="15"/>
              <w:numPr>
                <w:ilvl w:val="0"/>
                <w:numId w:val="6"/>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提供租赁互评功能，发生租赁关系的租赁双方可对双方进行评价。</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★1.5租赁合同备案</w:t>
            </w:r>
          </w:p>
          <w:p>
            <w:pPr>
              <w:pStyle w:val="15"/>
              <w:numPr>
                <w:ilvl w:val="0"/>
                <w:numId w:val="7"/>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提供自动网签备案功能</w:t>
            </w:r>
          </w:p>
          <w:p>
            <w:pPr>
              <w:pStyle w:val="15"/>
              <w:numPr>
                <w:ilvl w:val="0"/>
                <w:numId w:val="7"/>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提供申请办结功能</w:t>
            </w:r>
          </w:p>
          <w:p>
            <w:pPr>
              <w:pStyle w:val="15"/>
              <w:numPr>
                <w:ilvl w:val="0"/>
                <w:numId w:val="7"/>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提供备案证明查询下载功能</w:t>
            </w:r>
          </w:p>
          <w:p>
            <w:pPr>
              <w:pStyle w:val="15"/>
              <w:numPr>
                <w:ilvl w:val="0"/>
                <w:numId w:val="7"/>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提供托管备案功能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2.平台基础功能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2.1机构查询</w:t>
            </w:r>
          </w:p>
          <w:p>
            <w:pPr>
              <w:pStyle w:val="15"/>
              <w:numPr>
                <w:ilvl w:val="0"/>
                <w:numId w:val="8"/>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对公示合法经纪机构及经纪人、租赁企业及从业人员的基本信息和信用信息、红黑名单、检查公示情况等，提供查询检索功能。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2.2政策法规、公示公告</w:t>
            </w:r>
          </w:p>
          <w:p>
            <w:pPr>
              <w:pStyle w:val="15"/>
              <w:numPr>
                <w:ilvl w:val="0"/>
                <w:numId w:val="9"/>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住房租赁相关政策法律法规公示。</w:t>
            </w:r>
          </w:p>
          <w:p>
            <w:pPr>
              <w:pStyle w:val="15"/>
              <w:numPr>
                <w:ilvl w:val="0"/>
                <w:numId w:val="9"/>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提供公示公告展示。</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2.3租金水平</w:t>
            </w:r>
          </w:p>
          <w:p>
            <w:pPr>
              <w:pStyle w:val="15"/>
              <w:numPr>
                <w:ilvl w:val="0"/>
                <w:numId w:val="10"/>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提供区域租金水平发布。</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2.4合同模板</w:t>
            </w:r>
          </w:p>
          <w:p>
            <w:pPr>
              <w:pStyle w:val="15"/>
              <w:numPr>
                <w:ilvl w:val="0"/>
                <w:numId w:val="11"/>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提供南宁市房屋租赁合同示范文本下载。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2.5操作指引</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(1)提供南宁市住房租赁监管平台操作指导功能。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2.6 投诉咨询</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(1)提供运维模块收集并处理用户对系统平台的意见</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2.7配套服务</w:t>
            </w:r>
          </w:p>
          <w:p>
            <w:pPr>
              <w:pStyle w:val="15"/>
              <w:numPr>
                <w:ilvl w:val="0"/>
                <w:numId w:val="12"/>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能与政府其他部门实现信息共享，融入居住证、教育、公积金、金融等配套服务链接。</w:t>
            </w:r>
          </w:p>
          <w:p>
            <w:pPr>
              <w:pStyle w:val="15"/>
              <w:numPr>
                <w:ilvl w:val="0"/>
                <w:numId w:val="12"/>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设置常用功能的快速入口</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★3、租赁交易经纪机构管理</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★3.1人员管理</w:t>
            </w:r>
          </w:p>
          <w:p>
            <w:pPr>
              <w:pStyle w:val="15"/>
              <w:numPr>
                <w:ilvl w:val="0"/>
                <w:numId w:val="13"/>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经纪机构在从业主体管理系统通过网签认证自动通过服务平台接口获取一个经纪机构角色的账号密码，经过企业绑定登录本服务平台进行管理。</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★3.2租赁居间</w:t>
            </w:r>
          </w:p>
          <w:p>
            <w:pPr>
              <w:pStyle w:val="15"/>
              <w:numPr>
                <w:ilvl w:val="0"/>
                <w:numId w:val="14"/>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提供接收委托功能</w:t>
            </w:r>
          </w:p>
          <w:p>
            <w:pPr>
              <w:pStyle w:val="15"/>
              <w:numPr>
                <w:ilvl w:val="0"/>
                <w:numId w:val="14"/>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提供居间代理合同功能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★3.3房源管理</w:t>
            </w:r>
          </w:p>
          <w:p>
            <w:pPr>
              <w:pStyle w:val="15"/>
              <w:numPr>
                <w:ilvl w:val="0"/>
                <w:numId w:val="15"/>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提供房源发布功能</w:t>
            </w:r>
          </w:p>
          <w:p>
            <w:pPr>
              <w:pStyle w:val="15"/>
              <w:numPr>
                <w:ilvl w:val="0"/>
                <w:numId w:val="15"/>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提供房源挂牌功能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★3.4网签备案</w:t>
            </w:r>
          </w:p>
          <w:p>
            <w:pPr>
              <w:pStyle w:val="15"/>
              <w:numPr>
                <w:ilvl w:val="0"/>
                <w:numId w:val="16"/>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提供备案申请功能</w:t>
            </w:r>
          </w:p>
          <w:p>
            <w:pPr>
              <w:pStyle w:val="15"/>
              <w:numPr>
                <w:ilvl w:val="0"/>
                <w:numId w:val="16"/>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提供申请办结功能</w:t>
            </w:r>
          </w:p>
          <w:p>
            <w:pPr>
              <w:pStyle w:val="15"/>
              <w:numPr>
                <w:ilvl w:val="0"/>
                <w:numId w:val="16"/>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备案证明查询功能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4.租赁交易租赁企业管理</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★4.1人员管理</w:t>
            </w:r>
          </w:p>
          <w:p>
            <w:pPr>
              <w:pStyle w:val="15"/>
              <w:numPr>
                <w:ilvl w:val="0"/>
                <w:numId w:val="17"/>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对本机构从业人员进行管理、分派。</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★4.2房源管理</w:t>
            </w:r>
          </w:p>
          <w:p>
            <w:pPr>
              <w:pStyle w:val="15"/>
              <w:numPr>
                <w:ilvl w:val="0"/>
                <w:numId w:val="18"/>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提供房源发布功能</w:t>
            </w:r>
          </w:p>
          <w:p>
            <w:pPr>
              <w:pStyle w:val="15"/>
              <w:numPr>
                <w:ilvl w:val="0"/>
                <w:numId w:val="18"/>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提供房源挂牌功能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★4.3网签备案</w:t>
            </w:r>
          </w:p>
          <w:p>
            <w:pPr>
              <w:pStyle w:val="15"/>
              <w:numPr>
                <w:ilvl w:val="0"/>
                <w:numId w:val="19"/>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对于政府公共租赁用房或国有租赁企业经核验过的租赁房源，授权其管理机构或企业自行完成租赁备案。</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★5.租赁交易政府监管</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★5.1从业主体管理：</w:t>
            </w:r>
          </w:p>
          <w:p>
            <w:pPr>
              <w:pStyle w:val="15"/>
              <w:numPr>
                <w:ilvl w:val="0"/>
                <w:numId w:val="20"/>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对经纪机构及经纪人、租赁企业及从业人员的基本信息进行管理。</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★5.2信用信息管理</w:t>
            </w:r>
          </w:p>
          <w:p>
            <w:pPr>
              <w:pStyle w:val="15"/>
              <w:numPr>
                <w:ilvl w:val="0"/>
                <w:numId w:val="21"/>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对经纪机构及经纪人、租赁企业及从业人员的行为予以记分，由信用管理系统自动形成信用等级。</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★5.3房源核验</w:t>
            </w:r>
          </w:p>
          <w:p>
            <w:pPr>
              <w:pStyle w:val="15"/>
              <w:numPr>
                <w:ilvl w:val="0"/>
                <w:numId w:val="22"/>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房产管理部门或房产管理部门授权的部门（机构）依据权属交易系统和不动产登记系统共享数据进行信息核验（以系统自动核验为主，后台人工核验为辅）。</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★5.4网签备案</w:t>
            </w:r>
          </w:p>
          <w:p>
            <w:pPr>
              <w:pStyle w:val="15"/>
              <w:numPr>
                <w:ilvl w:val="0"/>
                <w:numId w:val="23"/>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支持线上受理和线上审批，由房产管理部门或房产管理部门授权的部门（机构）审核办理。</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★（二）系统用户分析服务</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1.普通个人用户</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1.1提供租房、出租、网签、备案、信用评价服务。</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2.租赁企业</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2.1提供人员管理、项目管理、房源管理、签约、备案等服务。</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3.经纪机构</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3.1提供人员管理、项目管理、房源管理、签约、备案等功能。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4.政府管理人员</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4.1提供信息统计分析等功能，以及房源上架、下架的控制，从业人员的管理等操作。</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5.系统管理员</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5.1通过系统进行用户及角色分配，栏目访问权限管理，业务部门数据权限管理，在线用户查看，系统日志管理，业务监控台，数据结构管理，共享平台接口管理，以及租赁平台数据共享服务等其他后台程序的管理维护等。</w:t>
            </w:r>
          </w:p>
          <w:p>
            <w:pPr>
              <w:pStyle w:val="15"/>
              <w:numPr>
                <w:ilvl w:val="0"/>
                <w:numId w:val="24"/>
              </w:numPr>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大数据看板</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6.1房源量动态数据监测，提供平台累计上架房源量、在架房源量、累计核验房源量等房源量数据查看功能；租赁房源的区域分布、数量、户型、面积、租金等信息动态统计功能；租赁热点区域的监测功能；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6.2网签备案量实时统计，提供实时累计已完成签约备案量查看功能；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6.3用户注册、数据监测，提供注册用户量、承租人的累计总数、承租人的性别分布、年龄分布、户籍地分布等动态统计功能；</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6.4租金动态监测，对企业的租金中“长收短付”“高进低出”情况进行动态监控统计；</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6.5企业人员管理，每个企业当前在平台注册从业的从业人员信息；</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6.6申请专项资金奖补项目的企业房源动态监测，支持在平台录入核验房源和申请租赁合同网签备案功能；</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（三）总体设计原则</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南宁市租赁服务监管平台的建设，是一项综合性的系统工程，为了实现各应用系统的有机融合和统一，切实提高日常办公、管理、运营等工作的效率和效益，为我市租赁行业管理提供有力的支持，需遵循以下原则：</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1、统筹规划、统一管理、分布实施的原则由一个强力部门专门进行统筹规划，并在统一设计的基础上分布进行各个系统的实施。</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2、标准化原则</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充分利用已有的相关国标、地方标准、行业标准，建立统一的数据编码与规范，实现数据格式报表标准化。在信息的收集、处理、汇总和传递过程中建立统一的数据接口，保证各层次之间形成高效规范的体系，确保对信息的高效收集和利用。</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3、可扩充性原则</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用户的具体需求不断变化、不断发展，本工程的设计需有较强的可扩充性。</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4、实用性原则</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界面友好、操作简便、查询快捷、应用方便，是设计的基本原则。</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5、安全性原则</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为保证系统不被未授权的外来用户查看、修改，系统要具有良好的保密性，使之满足自身管理的实际需求。</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6、信息资源共享，实现政务协同</w:t>
            </w:r>
          </w:p>
          <w:p>
            <w:pPr>
              <w:pStyle w:val="15"/>
              <w:snapToGrid w:val="0"/>
              <w:spacing w:after="0" w:line="360" w:lineRule="auto"/>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通过建设南宁市租赁服务监管平台，汇聚全市租赁行业相关业务数据，并向全市其他政府部门共享全市租赁行业政务数据，实现信息资源共享和业务协调，提高南宁市房租租赁管理部门的政务水平，树立良好的政府公共形象。</w:t>
            </w:r>
          </w:p>
        </w:tc>
        <w:tc>
          <w:tcPr>
            <w:tcW w:w="2104" w:type="dxa"/>
            <w:tcBorders>
              <w:top w:val="single" w:color="auto" w:sz="4" w:space="0"/>
              <w:left w:val="nil"/>
              <w:bottom w:val="single" w:color="auto" w:sz="4" w:space="0"/>
              <w:right w:val="single" w:color="auto" w:sz="4" w:space="0"/>
            </w:tcBorders>
            <w:vAlign w:val="center"/>
          </w:tcPr>
          <w:p>
            <w:pPr>
              <w:spacing w:after="0" w:line="360" w:lineRule="auto"/>
              <w:jc w:val="center"/>
              <w:rPr>
                <w:rFonts w:ascii="新宋体" w:hAnsi="新宋体" w:eastAsia="新宋体" w:cs="新宋体"/>
                <w:b/>
                <w:color w:val="auto"/>
                <w:sz w:val="24"/>
                <w:szCs w:val="24"/>
              </w:rPr>
            </w:pPr>
            <w:r>
              <w:rPr>
                <w:rFonts w:hint="eastAsia" w:ascii="新宋体" w:hAnsi="新宋体" w:eastAsia="新宋体" w:cs="新宋体"/>
                <w:color w:val="auto"/>
                <w:sz w:val="24"/>
                <w:szCs w:val="24"/>
              </w:rPr>
              <w:t>1200000.00</w:t>
            </w:r>
          </w:p>
        </w:tc>
      </w:tr>
      <w:tr>
        <w:tblPrEx>
          <w:tblCellMar>
            <w:top w:w="0" w:type="dxa"/>
            <w:left w:w="0" w:type="dxa"/>
            <w:bottom w:w="0" w:type="dxa"/>
            <w:right w:w="0" w:type="dxa"/>
          </w:tblCellMar>
        </w:tblPrEx>
        <w:trPr>
          <w:trHeight w:val="604" w:hRule="atLeast"/>
        </w:trPr>
        <w:tc>
          <w:tcPr>
            <w:tcW w:w="2985" w:type="dxa"/>
            <w:gridSpan w:val="3"/>
            <w:tcBorders>
              <w:top w:val="single" w:color="auto" w:sz="4" w:space="0"/>
              <w:left w:val="single" w:color="auto" w:sz="4" w:space="0"/>
              <w:bottom w:val="single" w:color="auto" w:sz="4" w:space="0"/>
              <w:right w:val="single" w:color="auto" w:sz="4" w:space="0"/>
            </w:tcBorders>
          </w:tcPr>
          <w:p>
            <w:pPr>
              <w:wordWrap w:val="0"/>
              <w:spacing w:after="0" w:line="360" w:lineRule="auto"/>
              <w:jc w:val="center"/>
              <w:rPr>
                <w:rFonts w:ascii="新宋体" w:hAnsi="新宋体" w:eastAsia="新宋体" w:cs="新宋体"/>
                <w:color w:val="auto"/>
                <w:sz w:val="24"/>
                <w:szCs w:val="24"/>
              </w:rPr>
            </w:pPr>
            <w:r>
              <w:rPr>
                <w:rFonts w:hint="eastAsia" w:ascii="新宋体" w:hAnsi="新宋体" w:eastAsia="新宋体" w:cs="新宋体"/>
                <w:color w:val="auto"/>
                <w:sz w:val="24"/>
                <w:szCs w:val="24"/>
              </w:rPr>
              <w:t>分项最高限价合计（元）</w:t>
            </w:r>
          </w:p>
        </w:tc>
        <w:tc>
          <w:tcPr>
            <w:tcW w:w="793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tcPr>
          <w:p>
            <w:pPr>
              <w:wordWrap w:val="0"/>
              <w:spacing w:after="0" w:line="360" w:lineRule="auto"/>
              <w:ind w:firstLine="240" w:firstLineChars="100"/>
              <w:jc w:val="both"/>
              <w:rPr>
                <w:rFonts w:ascii="新宋体" w:hAnsi="新宋体" w:eastAsia="新宋体" w:cs="新宋体"/>
                <w:b/>
                <w:color w:val="auto"/>
                <w:sz w:val="24"/>
                <w:szCs w:val="24"/>
              </w:rPr>
            </w:pPr>
            <w:r>
              <w:rPr>
                <w:rFonts w:hint="eastAsia" w:ascii="新宋体" w:hAnsi="新宋体" w:eastAsia="新宋体" w:cs="新宋体"/>
                <w:color w:val="auto"/>
                <w:sz w:val="24"/>
                <w:szCs w:val="24"/>
              </w:rPr>
              <w:t>¥1200000.00元</w:t>
            </w:r>
          </w:p>
        </w:tc>
      </w:tr>
      <w:tr>
        <w:tblPrEx>
          <w:tblCellMar>
            <w:top w:w="0" w:type="dxa"/>
            <w:left w:w="0" w:type="dxa"/>
            <w:bottom w:w="0" w:type="dxa"/>
            <w:right w:w="0" w:type="dxa"/>
          </w:tblCellMar>
        </w:tblPrEx>
        <w:trPr>
          <w:trHeight w:val="577" w:hRule="atLeast"/>
        </w:trPr>
        <w:tc>
          <w:tcPr>
            <w:tcW w:w="714" w:type="dxa"/>
            <w:tcBorders>
              <w:top w:val="single" w:color="auto" w:sz="4" w:space="0"/>
              <w:left w:val="single" w:color="auto" w:sz="4" w:space="0"/>
              <w:bottom w:val="single" w:color="auto" w:sz="4" w:space="0"/>
              <w:right w:val="single" w:color="auto" w:sz="4" w:space="0"/>
            </w:tcBorders>
            <w:vAlign w:val="center"/>
          </w:tcPr>
          <w:p>
            <w:pPr>
              <w:wordWrap w:val="0"/>
              <w:spacing w:after="0" w:line="360" w:lineRule="auto"/>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商</w:t>
            </w:r>
          </w:p>
          <w:p>
            <w:pPr>
              <w:wordWrap w:val="0"/>
              <w:spacing w:after="0" w:line="360" w:lineRule="auto"/>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务</w:t>
            </w:r>
          </w:p>
          <w:p>
            <w:pPr>
              <w:wordWrap w:val="0"/>
              <w:spacing w:after="0" w:line="360" w:lineRule="auto"/>
              <w:jc w:val="center"/>
              <w:rPr>
                <w:rFonts w:ascii="新宋体" w:hAnsi="新宋体" w:eastAsia="新宋体" w:cs="新宋体"/>
                <w:b/>
                <w:bCs/>
                <w:color w:val="auto"/>
                <w:sz w:val="24"/>
                <w:szCs w:val="24"/>
              </w:rPr>
            </w:pPr>
            <w:r>
              <w:rPr>
                <w:rFonts w:hint="eastAsia" w:ascii="新宋体" w:hAnsi="新宋体" w:eastAsia="新宋体" w:cs="新宋体"/>
                <w:b/>
                <w:bCs/>
                <w:color w:val="auto"/>
                <w:sz w:val="24"/>
                <w:szCs w:val="24"/>
              </w:rPr>
              <w:t>条</w:t>
            </w:r>
          </w:p>
          <w:p>
            <w:pPr>
              <w:wordWrap w:val="0"/>
              <w:spacing w:after="0" w:line="360" w:lineRule="auto"/>
              <w:jc w:val="center"/>
              <w:rPr>
                <w:rFonts w:ascii="新宋体" w:hAnsi="新宋体" w:eastAsia="新宋体" w:cs="新宋体"/>
                <w:i/>
                <w:iCs/>
                <w:color w:val="auto"/>
                <w:sz w:val="24"/>
                <w:szCs w:val="24"/>
              </w:rPr>
            </w:pPr>
            <w:r>
              <w:rPr>
                <w:rFonts w:hint="eastAsia" w:ascii="新宋体" w:hAnsi="新宋体" w:eastAsia="新宋体" w:cs="新宋体"/>
                <w:b/>
                <w:bCs/>
                <w:color w:val="auto"/>
                <w:sz w:val="24"/>
                <w:szCs w:val="24"/>
              </w:rPr>
              <w:t>款</w:t>
            </w:r>
          </w:p>
        </w:tc>
        <w:tc>
          <w:tcPr>
            <w:tcW w:w="10206"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一、合同签订期：自中标通知书发出之日起 7 个工作日内。</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★二、提交服务成果时间：自合同签订之日起20天内提交所有服务成果并完成终验。</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三、提交服务成果地点：采购人指定地点。</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四、售后服务要求：</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★1、服务期1年（自最终验收合格之日起计）；</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★2、服务期内，中标供应商无偿对项目出现的各类问题进行软件修改、完善；</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3、系统维护的范围包括：系统优化、系统的正常运行和数据维护；</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4、</w:t>
            </w:r>
            <w:r>
              <w:rPr>
                <w:rFonts w:hint="eastAsia" w:ascii="新宋体" w:hAnsi="新宋体" w:eastAsia="新宋体" w:cs="新宋体"/>
                <w:color w:val="auto"/>
                <w:kern w:val="0"/>
                <w:sz w:val="24"/>
              </w:rPr>
              <w:t>中标供应商能提供7×24通过远程、上门服务、电话、E-mail等方式为采购人提供维护期内的售前和售后技术咨询服务，投标文件中提供售后负责人姓名、24小时联系方式；</w:t>
            </w:r>
          </w:p>
          <w:p>
            <w:pPr>
              <w:pStyle w:val="15"/>
              <w:snapToGrid w:val="0"/>
              <w:spacing w:after="0" w:line="360" w:lineRule="auto"/>
              <w:rPr>
                <w:rFonts w:ascii="新宋体" w:hAnsi="新宋体" w:eastAsia="新宋体" w:cs="新宋体"/>
                <w:color w:val="auto"/>
                <w:kern w:val="0"/>
                <w:sz w:val="24"/>
              </w:rPr>
            </w:pPr>
            <w:r>
              <w:rPr>
                <w:rFonts w:hint="eastAsia" w:ascii="新宋体" w:hAnsi="新宋体" w:eastAsia="新宋体" w:cs="新宋体"/>
                <w:color w:val="auto"/>
                <w:kern w:val="0"/>
                <w:sz w:val="24"/>
              </w:rPr>
              <w:t>★5、处理问题投标时间：系统出现故障时，接到采购人处理问题通知后，除驻场技术人员马上响应外，其它维护力量1小时内到达采购人指定现场，4小时内解决故障并恢复系统运行，终身提供免费技术支持。在服务期内，出现系统故障时，中标供应商须在4小时内及时解决处理故障，恢复系统运行；</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★6、中标供应商必须严格遵守采购人各项管理规定，在任何情况下，禁止复制、传播、引用及非开发需要查询所接触到的采购人各类业务数据信息。</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7、测试阶段现场服务承诺</w:t>
            </w:r>
          </w:p>
          <w:p>
            <w:pPr>
              <w:pStyle w:val="15"/>
              <w:snapToGrid w:val="0"/>
              <w:spacing w:after="0" w:line="360" w:lineRule="auto"/>
              <w:rPr>
                <w:rFonts w:ascii="新宋体" w:hAnsi="新宋体" w:eastAsia="新宋体" w:cs="新宋体"/>
                <w:color w:val="auto"/>
                <w:kern w:val="0"/>
                <w:sz w:val="24"/>
              </w:rPr>
            </w:pPr>
            <w:r>
              <w:rPr>
                <w:rFonts w:hint="eastAsia" w:ascii="新宋体" w:hAnsi="新宋体" w:eastAsia="新宋体" w:cs="新宋体"/>
                <w:color w:val="auto"/>
                <w:kern w:val="0"/>
                <w:sz w:val="24"/>
              </w:rPr>
              <w:t>(1)承诺完成项目实施工作的规划、软件系统安装和配置应用环境等工作。能够保证系统的正常运行。</w:t>
            </w:r>
            <w:r>
              <w:rPr>
                <w:rFonts w:hint="eastAsia" w:ascii="新宋体" w:hAnsi="新宋体" w:eastAsia="新宋体" w:cs="新宋体"/>
                <w:color w:val="auto"/>
                <w:kern w:val="0"/>
                <w:sz w:val="24"/>
              </w:rPr>
              <w:br w:type="textWrapping"/>
            </w:r>
            <w:r>
              <w:rPr>
                <w:rFonts w:hint="eastAsia" w:ascii="新宋体" w:hAnsi="新宋体" w:eastAsia="新宋体" w:cs="新宋体"/>
                <w:color w:val="auto"/>
                <w:kern w:val="0"/>
                <w:sz w:val="24"/>
              </w:rPr>
              <w:t>(2)承诺在现场服务阶段，能够根据采购人的要求和具体需要，提供基于投标本次项目产品开发平台的二次应用开发，并且负责提供合理可行的系统运行调优方案和建议。</w:t>
            </w:r>
            <w:r>
              <w:rPr>
                <w:rFonts w:hint="eastAsia" w:ascii="新宋体" w:hAnsi="新宋体" w:eastAsia="新宋体" w:cs="新宋体"/>
                <w:color w:val="auto"/>
                <w:kern w:val="0"/>
                <w:sz w:val="24"/>
              </w:rPr>
              <w:br w:type="textWrapping"/>
            </w:r>
            <w:r>
              <w:rPr>
                <w:rFonts w:hint="eastAsia" w:ascii="新宋体" w:hAnsi="新宋体" w:eastAsia="新宋体" w:cs="新宋体"/>
                <w:color w:val="auto"/>
                <w:kern w:val="0"/>
                <w:sz w:val="24"/>
              </w:rPr>
              <w:t>★(3)现场配置服务过程要求至少派出1名具有实际项目经验的工程师现场应急处理解决问题。</w:t>
            </w:r>
          </w:p>
          <w:p>
            <w:pPr>
              <w:pStyle w:val="15"/>
              <w:snapToGrid w:val="0"/>
              <w:spacing w:after="0" w:line="360" w:lineRule="auto"/>
              <w:rPr>
                <w:rFonts w:ascii="新宋体" w:hAnsi="新宋体" w:eastAsia="新宋体" w:cs="新宋体"/>
                <w:color w:val="auto"/>
                <w:kern w:val="0"/>
                <w:sz w:val="24"/>
              </w:rPr>
            </w:pPr>
            <w:r>
              <w:rPr>
                <w:rFonts w:hint="eastAsia" w:ascii="新宋体" w:hAnsi="新宋体" w:eastAsia="新宋体" w:cs="新宋体"/>
                <w:color w:val="auto"/>
                <w:sz w:val="24"/>
              </w:rPr>
              <w:t>8、</w:t>
            </w:r>
            <w:r>
              <w:rPr>
                <w:rFonts w:hint="eastAsia" w:ascii="新宋体" w:hAnsi="新宋体" w:eastAsia="新宋体" w:cs="新宋体"/>
                <w:color w:val="auto"/>
                <w:kern w:val="0"/>
                <w:sz w:val="24"/>
              </w:rPr>
              <w:t>服务人员要求：现场服务驻场人员需和投标时保持一致，如需进行人员更换，须经采购人同意，私自变化服务人员视为违约。</w:t>
            </w:r>
          </w:p>
          <w:p>
            <w:pPr>
              <w:pStyle w:val="15"/>
              <w:snapToGrid w:val="0"/>
              <w:spacing w:after="0" w:line="360" w:lineRule="auto"/>
              <w:rPr>
                <w:rFonts w:ascii="新宋体" w:hAnsi="新宋体" w:eastAsia="新宋体" w:cs="新宋体"/>
                <w:color w:val="auto"/>
                <w:kern w:val="0"/>
                <w:sz w:val="24"/>
              </w:rPr>
            </w:pPr>
            <w:r>
              <w:rPr>
                <w:rFonts w:hint="eastAsia" w:ascii="新宋体" w:hAnsi="新宋体" w:eastAsia="新宋体" w:cs="新宋体"/>
                <w:color w:val="auto"/>
                <w:kern w:val="0"/>
                <w:sz w:val="24"/>
              </w:rPr>
              <w:t>★9、入场服务要求：签订合同之日起3日内，提交在南宁市内设有服务和技术支持机构相关信息，并能确保驻场实施和售后现场服务响应（提供本地服务机构详细的联系地址、联系电话）。</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★10、中标供应商每月不少于3次定期回访及对系统进行维护，并出具巡检报告。</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11、质量保证期后，应明确承诺继续优惠提供维护服务：</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(1)承诺提供系统升级、故障排除、性能调优、技术容询等售后技术支持服务情况；</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(2)对于产品安全问题应及时免费提供补丁；</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(3)对于因软件设计等技术原因而引起的故障，</w:t>
            </w:r>
            <w:r>
              <w:rPr>
                <w:rFonts w:hint="eastAsia" w:ascii="新宋体" w:hAnsi="新宋体" w:eastAsia="新宋体" w:cs="新宋体"/>
                <w:color w:val="auto"/>
                <w:kern w:val="0"/>
                <w:sz w:val="24"/>
              </w:rPr>
              <w:t>中标供应商</w:t>
            </w:r>
            <w:r>
              <w:rPr>
                <w:rFonts w:hint="eastAsia" w:ascii="新宋体" w:hAnsi="新宋体" w:eastAsia="新宋体" w:cs="新宋体"/>
                <w:color w:val="auto"/>
                <w:sz w:val="24"/>
              </w:rPr>
              <w:t>应免费提供解决方案；</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(4)质量保证期过后需再次进行二次开发，可另行商定商务条款。</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12、磋商供应商应响应上述售后服务要求，并根据本项目的具体要求在投标文件中提供各自详细具体的售后服务方案、条款及保证。也可视自身能力在投标文件中提供更优、更合理的售后服务承诺。</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五、安装部署要求</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系统开发测试完成后，中标供应商需根据采购人的要求，将系统安装部署到采购人指定的运行环境，同时协同其他运维人员一起完成系统的安全防护部署，确保系统平台的运行安全。</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六、验收要求</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1、根据采购人对本项目最终确认的需求，在约定的期限内完成系统开发工作,交付前以书面方式通知采购人，采购人在接到通知的5天内安排接收交付。</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2、本项目应按约定的时间完成交付工作,如因采购人的原因而导致不能按时交付，将按延期时间顺延交付时间。</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★3、交付内容:系统使用教程文档，所交付的文档与文件应提交电子版本。</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4、检测与检验:系统交付前，须经采购人进行功能和运行检测，以确认项目技术参数和功能达到要求;检测标准以系统功能全部满足采购需求的各项技术参数为准，确保采购人能正常开展各项业务。</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★5、验收依据:完成本项目的所有开发工作，系统能正式上线并顺利试运行7日作为验收通过的依据，双方书面签字确认。</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6、系统试运行通过后，以书面方式通知采购人组织验收,采购人在收到通知书的7天内完成验收工作。在验收过程中，如因中标供应商致使被验收系统未通过验收的，中标供应商应排除故障，并自行承担相关费用，同时，延长试运行期限7天，直至系统验收通过。如因采购人未能通过验收，如为系统故障原因，中标供应商应在合理时间内排除故障，再进行验收；如系故障之外的原因，除本项目规定的不可抗力外，而采购人不愿或未能在规定的时间内完成验收，则由中标供应商单方面进行验收，并将验收报告提交采购人，由此视为验收通过。</w:t>
            </w:r>
          </w:p>
          <w:p>
            <w:pPr>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七、培训要求</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（1）中标供应商须与采购人协商，制定完整的培训计划并通过采购人认可后才能实施培训；</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（2）中标供应商应指派相关专家、专业技术人员负责培训工作，提供培训次数不得少于3次，具体培训人数、时间及地点由采购人确定；</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（3）培训相关费用已包含在采购费用中，中标供应商不得另行收取培训费用。</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八、安全与保密要求</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 中标供应商需对可能出现的安全问题需提出详细的解决方案和具体的措施，不允许通过设置“后门”实现服务。</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 中标供应商应无条件接受项目业主方单位的保密约定，包括在合同期结束后承诺保密义务，并承担相应的涉密责任。</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九、其他要求</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★1.报价必须含以下部分包括:</w:t>
            </w:r>
            <w:bookmarkStart w:id="54" w:name="_GoBack"/>
            <w:bookmarkEnd w:id="54"/>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(1)服务的价格；</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(2)必要的保险费用和各项税金；</w:t>
            </w:r>
          </w:p>
          <w:p>
            <w:pPr>
              <w:pStyle w:val="15"/>
              <w:snapToGrid w:val="0"/>
              <w:spacing w:after="0" w:line="360" w:lineRule="auto"/>
              <w:rPr>
                <w:rFonts w:ascii="新宋体" w:hAnsi="新宋体" w:eastAsia="新宋体" w:cs="新宋体"/>
                <w:color w:val="auto"/>
                <w:sz w:val="24"/>
              </w:rPr>
            </w:pPr>
            <w:r>
              <w:rPr>
                <w:rFonts w:hint="eastAsia" w:ascii="新宋体" w:hAnsi="新宋体" w:eastAsia="新宋体" w:cs="新宋体"/>
                <w:color w:val="auto"/>
                <w:sz w:val="24"/>
              </w:rPr>
              <w:t>(3)安装、调试、培训、技术支持，售后服务、更新升级等费用。</w:t>
            </w:r>
          </w:p>
          <w:p>
            <w:pPr>
              <w:tabs>
                <w:tab w:val="left" w:pos="2101"/>
              </w:tabs>
              <w:wordWrap w:val="0"/>
              <w:spacing w:after="0" w:line="360" w:lineRule="auto"/>
              <w:rPr>
                <w:rFonts w:ascii="新宋体" w:hAnsi="新宋体" w:eastAsia="新宋体" w:cs="新宋体"/>
                <w:color w:val="auto"/>
                <w:sz w:val="24"/>
                <w:szCs w:val="24"/>
              </w:rPr>
            </w:pPr>
            <w:r>
              <w:rPr>
                <w:rFonts w:hint="eastAsia" w:ascii="新宋体" w:hAnsi="新宋体" w:eastAsia="新宋体" w:cs="新宋体"/>
                <w:color w:val="auto"/>
                <w:sz w:val="24"/>
                <w:szCs w:val="24"/>
              </w:rPr>
              <w:t>★2、付款方式:本项目无预付款，中标供应商完成开发，提交验收材料并通过采购人确认合格后，采购人向中标供应商支付合同全款。</w:t>
            </w:r>
          </w:p>
        </w:tc>
      </w:tr>
      <w:bookmarkEnd w:id="9"/>
      <w:bookmarkEnd w:id="10"/>
      <w:bookmarkEnd w:id="11"/>
      <w:bookmarkEnd w:id="12"/>
    </w:tbl>
    <w:p>
      <w:pPr>
        <w:jc w:val="both"/>
        <w:rPr>
          <w:rFonts w:asciiTheme="majorEastAsia" w:hAnsiTheme="majorEastAsia" w:eastAsiaTheme="majorEastAsia"/>
          <w:b/>
          <w:bCs/>
          <w:sz w:val="28"/>
          <w:szCs w:val="28"/>
        </w:rPr>
        <w:sectPr>
          <w:footerReference r:id="rId12" w:type="default"/>
          <w:pgSz w:w="11906" w:h="16838"/>
          <w:pgMar w:top="1440" w:right="707" w:bottom="1098" w:left="851" w:header="851" w:footer="907" w:gutter="0"/>
          <w:pgNumType w:start="1"/>
          <w:cols w:space="720" w:num="1"/>
          <w:docGrid w:type="lines" w:linePitch="312" w:charSpace="0"/>
        </w:sectPr>
      </w:pPr>
      <w:bookmarkStart w:id="14" w:name="_Toc213206174"/>
      <w:bookmarkStart w:id="15" w:name="_Toc213325923"/>
    </w:p>
    <w:p>
      <w:pPr>
        <w:pStyle w:val="17"/>
        <w:wordWrap w:val="0"/>
        <w:snapToGrid w:val="0"/>
        <w:spacing w:line="344" w:lineRule="auto"/>
        <w:jc w:val="center"/>
        <w:outlineLvl w:val="0"/>
        <w:rPr>
          <w:rFonts w:cs="宋体" w:asciiTheme="majorEastAsia" w:hAnsiTheme="majorEastAsia" w:eastAsiaTheme="majorEastAsia"/>
          <w:b/>
          <w:sz w:val="36"/>
        </w:rPr>
      </w:pPr>
      <w:bookmarkStart w:id="16" w:name="_Toc508092927"/>
      <w:bookmarkStart w:id="17" w:name="_Toc1929"/>
      <w:r>
        <w:rPr>
          <w:rFonts w:hint="eastAsia" w:cs="宋体" w:asciiTheme="majorEastAsia" w:hAnsiTheme="majorEastAsia" w:eastAsiaTheme="majorEastAsia"/>
          <w:b/>
          <w:sz w:val="36"/>
        </w:rPr>
        <w:t>第三章  评审方法</w:t>
      </w:r>
      <w:bookmarkEnd w:id="16"/>
      <w:bookmarkEnd w:id="17"/>
    </w:p>
    <w:p>
      <w:pPr>
        <w:wordWrap w:val="0"/>
        <w:spacing w:after="0" w:line="344" w:lineRule="auto"/>
        <w:ind w:firstLine="562" w:firstLineChars="200"/>
        <w:jc w:val="center"/>
        <w:rPr>
          <w:rFonts w:asciiTheme="majorEastAsia" w:hAnsiTheme="majorEastAsia" w:eastAsiaTheme="majorEastAsia"/>
          <w:b/>
          <w:sz w:val="28"/>
          <w:szCs w:val="28"/>
        </w:rPr>
      </w:pPr>
      <w:bookmarkStart w:id="18" w:name="_Toc508092928"/>
      <w:r>
        <w:rPr>
          <w:rFonts w:hint="eastAsia" w:asciiTheme="majorEastAsia" w:hAnsiTheme="majorEastAsia" w:eastAsiaTheme="majorEastAsia"/>
          <w:b/>
          <w:sz w:val="28"/>
          <w:szCs w:val="28"/>
        </w:rPr>
        <w:t>综合评分法</w:t>
      </w:r>
    </w:p>
    <w:p>
      <w:pPr>
        <w:wordWrap w:val="0"/>
        <w:spacing w:after="0" w:line="344"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评标委员会以招标文件为依据，对投标文件进行评审，对投标人的投标报价、技术文件及商务文件等三部分内容按百分制打分，其中价格分15分，技术分40分，商务分45分。（评审时，对于带有主观因素的评分，应由各评委独立进行定档打分。）</w:t>
      </w:r>
    </w:p>
    <w:p>
      <w:pPr>
        <w:wordWrap w:val="0"/>
        <w:spacing w:after="0" w:line="344"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（二）评分细则：（按四舍五入取至百分位）</w:t>
      </w:r>
    </w:p>
    <w:p>
      <w:pPr>
        <w:wordWrap w:val="0"/>
        <w:spacing w:after="0" w:line="344"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1、价格分…………………………………………………………………………………15分</w:t>
      </w:r>
    </w:p>
    <w:p>
      <w:pPr>
        <w:pStyle w:val="17"/>
        <w:wordWrap w:val="0"/>
        <w:snapToGrid w:val="0"/>
        <w:spacing w:line="344"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（1）对于非专门面向中小企业的项目，对小型和微型企业产品的价格给予</w:t>
      </w:r>
      <w:r>
        <w:rPr>
          <w:rFonts w:hint="eastAsia" w:cs="宋体" w:asciiTheme="majorEastAsia" w:hAnsiTheme="majorEastAsia" w:eastAsiaTheme="majorEastAsia"/>
          <w:sz w:val="24"/>
          <w:szCs w:val="24"/>
          <w:shd w:val="pct10" w:color="auto" w:fill="FFFFFF"/>
        </w:rPr>
        <w:t>10%</w:t>
      </w:r>
      <w:r>
        <w:rPr>
          <w:rFonts w:hint="eastAsia" w:cs="宋体" w:asciiTheme="majorEastAsia" w:hAnsiTheme="majorEastAsia" w:eastAsiaTheme="majorEastAsia"/>
          <w:sz w:val="24"/>
          <w:szCs w:val="24"/>
        </w:rPr>
        <w:t>的价格扣除，扣除后的价格为评标价，即评标价＝投标报价×（1-</w:t>
      </w:r>
      <w:r>
        <w:rPr>
          <w:rFonts w:hint="eastAsia" w:cs="宋体" w:asciiTheme="majorEastAsia" w:hAnsiTheme="majorEastAsia" w:eastAsiaTheme="majorEastAsia"/>
          <w:sz w:val="24"/>
          <w:szCs w:val="24"/>
          <w:shd w:val="pct10" w:color="auto" w:fill="FFFFFF"/>
        </w:rPr>
        <w:t>10%</w:t>
      </w:r>
      <w:r>
        <w:rPr>
          <w:rFonts w:hint="eastAsia" w:cs="宋体" w:asciiTheme="majorEastAsia" w:hAnsiTheme="majorEastAsia" w:eastAsiaTheme="majorEastAsia"/>
          <w:sz w:val="24"/>
          <w:szCs w:val="24"/>
        </w:rPr>
        <w:t>）；</w:t>
      </w:r>
      <w:r>
        <w:rPr>
          <w:rFonts w:hint="eastAsia" w:cs="宋体" w:asciiTheme="majorEastAsia" w:hAnsiTheme="majorEastAsia" w:eastAsiaTheme="majorEastAsia"/>
          <w:bCs/>
          <w:sz w:val="24"/>
          <w:szCs w:val="24"/>
        </w:rPr>
        <w:t>（以投标人按第五章“投标文件格式”要求提供的《报价表》和《</w:t>
      </w:r>
      <w:r>
        <w:rPr>
          <w:rFonts w:hint="eastAsia" w:cs="宋体" w:asciiTheme="majorEastAsia" w:hAnsiTheme="majorEastAsia" w:eastAsiaTheme="majorEastAsia"/>
          <w:sz w:val="24"/>
          <w:szCs w:val="24"/>
        </w:rPr>
        <w:t>中小企业声明函</w:t>
      </w:r>
      <w:r>
        <w:rPr>
          <w:rFonts w:hint="eastAsia" w:cs="宋体" w:asciiTheme="majorEastAsia" w:hAnsiTheme="majorEastAsia" w:eastAsiaTheme="majorEastAsia"/>
          <w:bCs/>
          <w:sz w:val="24"/>
          <w:szCs w:val="24"/>
        </w:rPr>
        <w:t>》为评分依据）</w:t>
      </w:r>
    </w:p>
    <w:p>
      <w:pPr>
        <w:pStyle w:val="17"/>
        <w:wordWrap w:val="0"/>
        <w:snapToGrid w:val="0"/>
        <w:spacing w:line="344"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（2）对大中型企业和其他自然人、法人或者其他组织与小型、微型企业组成联合体，且联合体协议中约定小型、微型企业的协议合同金额占到联合体协议合同总金额30%以上的，给予</w:t>
      </w:r>
      <w:r>
        <w:rPr>
          <w:rFonts w:hint="eastAsia" w:cs="宋体" w:asciiTheme="majorEastAsia" w:hAnsiTheme="majorEastAsia" w:eastAsiaTheme="majorEastAsia"/>
          <w:sz w:val="24"/>
          <w:szCs w:val="24"/>
          <w:shd w:val="pct10" w:color="auto" w:fill="FFFFFF"/>
        </w:rPr>
        <w:t>2%</w:t>
      </w:r>
      <w:r>
        <w:rPr>
          <w:rFonts w:hint="eastAsia" w:cs="宋体" w:asciiTheme="majorEastAsia" w:hAnsiTheme="majorEastAsia" w:eastAsiaTheme="majorEastAsia"/>
          <w:sz w:val="24"/>
          <w:szCs w:val="24"/>
        </w:rPr>
        <w:t>的价格扣除，扣除后的价格为评标价，即评标价＝投标报价×（1-</w:t>
      </w:r>
      <w:r>
        <w:rPr>
          <w:rFonts w:hint="eastAsia" w:cs="宋体" w:asciiTheme="majorEastAsia" w:hAnsiTheme="majorEastAsia" w:eastAsiaTheme="majorEastAsia"/>
          <w:sz w:val="24"/>
          <w:szCs w:val="24"/>
          <w:shd w:val="pct10" w:color="auto" w:fill="FFFFFF"/>
        </w:rPr>
        <w:t>2%</w:t>
      </w:r>
      <w:r>
        <w:rPr>
          <w:rFonts w:hint="eastAsia" w:cs="宋体" w:asciiTheme="majorEastAsia" w:hAnsiTheme="majorEastAsia" w:eastAsiaTheme="majorEastAsia"/>
          <w:sz w:val="24"/>
          <w:szCs w:val="24"/>
        </w:rPr>
        <w:t>）；</w:t>
      </w:r>
      <w:r>
        <w:rPr>
          <w:rFonts w:hint="eastAsia" w:cs="宋体" w:asciiTheme="majorEastAsia" w:hAnsiTheme="majorEastAsia" w:eastAsiaTheme="majorEastAsia"/>
          <w:bCs/>
          <w:sz w:val="24"/>
          <w:szCs w:val="24"/>
        </w:rPr>
        <w:t>（以投标人按第五章“投标文件格式”要求提供的《报价表》、《中小企业声明函》和《联合体协议书》为评分依据）</w:t>
      </w:r>
    </w:p>
    <w:p>
      <w:pPr>
        <w:pStyle w:val="17"/>
        <w:wordWrap w:val="0"/>
        <w:snapToGrid w:val="0"/>
        <w:spacing w:line="344"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pPr>
        <w:pStyle w:val="17"/>
        <w:wordWrap w:val="0"/>
        <w:snapToGrid w:val="0"/>
        <w:spacing w:line="344"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声明函应随中标结果同时公告，接受社会监督。（以投标人按第五章“投标文件格式”要求提供的《报价表》和《残疾人福利性单位声明函》为评分依据）。</w:t>
      </w:r>
    </w:p>
    <w:p>
      <w:pPr>
        <w:pStyle w:val="17"/>
        <w:wordWrap w:val="0"/>
        <w:snapToGrid w:val="0"/>
        <w:spacing w:line="344" w:lineRule="auto"/>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（5）除上述情况外，评标价＝投标报价；</w:t>
      </w:r>
    </w:p>
    <w:p>
      <w:pPr>
        <w:wordWrap w:val="0"/>
        <w:spacing w:after="0" w:line="344"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（6）价格分计算公式：</w:t>
      </w:r>
    </w:p>
    <w:p>
      <w:pPr>
        <w:pStyle w:val="16"/>
        <w:wordWrap w:val="0"/>
        <w:snapToGrid w:val="0"/>
        <w:spacing w:line="344" w:lineRule="auto"/>
        <w:ind w:firstLine="464" w:firstLineChars="200"/>
        <w:rPr>
          <w:rFonts w:hint="default" w:cs="宋体" w:asciiTheme="majorEastAsia" w:hAnsiTheme="majorEastAsia" w:eastAsiaTheme="majorEastAsia"/>
          <w:sz w:val="24"/>
          <w:szCs w:val="24"/>
        </w:rPr>
      </w:pPr>
      <w:r>
        <w:rPr>
          <w:rFonts w:cs="宋体" w:asciiTheme="majorEastAsia" w:hAnsiTheme="majorEastAsia" w:eastAsiaTheme="majorEastAsia"/>
          <w:sz w:val="24"/>
          <w:szCs w:val="24"/>
        </w:rPr>
        <w:t xml:space="preserve">           　　           投标人最低评标价金额</w:t>
      </w:r>
    </w:p>
    <w:p>
      <w:pPr>
        <w:pStyle w:val="16"/>
        <w:wordWrap w:val="0"/>
        <w:snapToGrid w:val="0"/>
        <w:spacing w:line="344" w:lineRule="auto"/>
        <w:ind w:firstLine="1160" w:firstLineChars="500"/>
        <w:rPr>
          <w:rFonts w:hint="default" w:cs="宋体" w:asciiTheme="majorEastAsia" w:hAnsiTheme="majorEastAsia" w:eastAsiaTheme="majorEastAsia"/>
          <w:sz w:val="24"/>
          <w:szCs w:val="24"/>
        </w:rPr>
      </w:pPr>
      <w:r>
        <w:rPr>
          <w:rFonts w:hint="default" w:cs="宋体" w:asciiTheme="majorEastAsia" w:hAnsiTheme="majorEastAsia" w:eastAsiaTheme="majorEastAsia"/>
          <w:sz w:val="24"/>
          <w:szCs w:val="24"/>
        </w:rPr>
        <w:pict>
          <v:line id="_x0000_s1026" o:spid="_x0000_s1026" o:spt="20" style="position:absolute;left:0pt;margin-left:167.7pt;margin-top:8.35pt;height:0pt;width:131.55pt;z-index:251660288;mso-width-relative:page;mso-height-relative:page;" coordsize="21600,21600" o:gfxdata="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5tkr9cAAAAJAQAADwAAAAAAAAABACAAAAAiAAAAZHJzL2Rvd25yZXYueG1sUEsBAhQAFAAA&#10;AAgAh07iQN3D+a/wAQAA5gMAAA4AAAAAAAAAAQAgAAAAJgEAAGRycy9lMm9Eb2MueG1sUEsFBgAA&#10;AAAGAAYAWQEAAIgFAAAAAA==&#10;">
            <v:path arrowok="t"/>
            <v:fill focussize="0,0"/>
            <v:stroke/>
            <v:imagedata o:title=""/>
            <o:lock v:ext="edit"/>
          </v:line>
        </w:pict>
      </w:r>
      <w:r>
        <w:rPr>
          <w:rFonts w:cs="宋体" w:asciiTheme="majorEastAsia" w:hAnsiTheme="majorEastAsia" w:eastAsiaTheme="majorEastAsia"/>
          <w:sz w:val="24"/>
          <w:szCs w:val="24"/>
        </w:rPr>
        <w:t>某投标人价格分 ＝                         ×15分</w:t>
      </w:r>
    </w:p>
    <w:p>
      <w:pPr>
        <w:pStyle w:val="16"/>
        <w:wordWrap w:val="0"/>
        <w:snapToGrid w:val="0"/>
        <w:spacing w:line="344" w:lineRule="auto"/>
        <w:ind w:firstLine="464" w:firstLineChars="200"/>
        <w:rPr>
          <w:rFonts w:hint="default" w:cs="宋体" w:asciiTheme="majorEastAsia" w:hAnsiTheme="majorEastAsia" w:eastAsiaTheme="majorEastAsia"/>
          <w:kern w:val="0"/>
          <w:sz w:val="24"/>
          <w:szCs w:val="24"/>
        </w:rPr>
      </w:pPr>
      <w:r>
        <w:rPr>
          <w:rFonts w:cs="宋体" w:asciiTheme="majorEastAsia" w:hAnsiTheme="majorEastAsia" w:eastAsiaTheme="majorEastAsia"/>
          <w:sz w:val="24"/>
          <w:szCs w:val="24"/>
        </w:rPr>
        <w:t xml:space="preserve">                   　      某投标人评标价金额</w:t>
      </w:r>
    </w:p>
    <w:p>
      <w:pPr>
        <w:numPr>
          <w:ilvl w:val="0"/>
          <w:numId w:val="25"/>
        </w:numPr>
        <w:spacing w:after="0" w:line="360" w:lineRule="auto"/>
        <w:ind w:firstLine="482" w:firstLineChars="200"/>
        <w:rPr>
          <w:rFonts w:ascii="新宋体" w:hAnsi="新宋体" w:eastAsia="新宋体" w:cs="新宋体"/>
          <w:b/>
          <w:color w:val="auto"/>
          <w:sz w:val="24"/>
          <w:szCs w:val="24"/>
        </w:rPr>
      </w:pPr>
      <w:r>
        <w:rPr>
          <w:rFonts w:hint="eastAsia" w:ascii="新宋体" w:hAnsi="新宋体" w:eastAsia="新宋体" w:cs="新宋体"/>
          <w:b/>
          <w:color w:val="000000" w:themeColor="text1"/>
          <w:sz w:val="24"/>
          <w:szCs w:val="24"/>
        </w:rPr>
        <w:t>技术分………………</w:t>
      </w:r>
      <w:r>
        <w:rPr>
          <w:rFonts w:hint="eastAsia" w:ascii="新宋体" w:hAnsi="新宋体" w:eastAsia="新宋体" w:cs="新宋体"/>
          <w:b/>
          <w:color w:val="auto"/>
          <w:sz w:val="24"/>
          <w:szCs w:val="24"/>
        </w:rPr>
        <w:t>………………………………………………………………40分</w:t>
      </w:r>
    </w:p>
    <w:p>
      <w:pPr>
        <w:pStyle w:val="81"/>
        <w:snapToGrid w:val="0"/>
        <w:spacing w:line="360" w:lineRule="auto"/>
        <w:ind w:left="480" w:firstLine="0" w:firstLineChars="0"/>
        <w:rPr>
          <w:rFonts w:ascii="新宋体" w:hAnsi="新宋体" w:eastAsia="新宋体" w:cs="新宋体"/>
          <w:color w:val="auto"/>
          <w:sz w:val="24"/>
        </w:rPr>
      </w:pPr>
      <w:r>
        <w:rPr>
          <w:rFonts w:hint="eastAsia" w:ascii="新宋体" w:hAnsi="新宋体" w:eastAsia="新宋体" w:cs="新宋体"/>
          <w:color w:val="auto"/>
          <w:sz w:val="24"/>
        </w:rPr>
        <w:t>（1）项目设计方案分（满分20分 ，不提供方案或不满足一档不得分。）</w:t>
      </w:r>
    </w:p>
    <w:p>
      <w:pPr>
        <w:spacing w:after="0" w:line="360" w:lineRule="auto"/>
        <w:ind w:left="480"/>
        <w:rPr>
          <w:rFonts w:ascii="新宋体" w:hAnsi="新宋体" w:eastAsia="新宋体" w:cs="新宋体"/>
          <w:color w:val="auto"/>
          <w:sz w:val="24"/>
          <w:szCs w:val="24"/>
        </w:rPr>
      </w:pPr>
      <w:r>
        <w:rPr>
          <w:rFonts w:hint="eastAsia" w:ascii="新宋体" w:hAnsi="新宋体" w:eastAsia="新宋体" w:cs="新宋体"/>
          <w:color w:val="auto"/>
          <w:sz w:val="24"/>
          <w:szCs w:val="24"/>
        </w:rPr>
        <w:t>一档（5分）：投标人能提供简单的技术方案，基本满足采购文件要求的；</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二档（10分）：投标人能提供简单的技术方案，简单描述项目的建设目标、建设内容，无明显错误；</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三档（15分）：投标人能提供比较详细的技术方案，且对本项目工作任务、平台建设要求把握较好，能描述项目的技术路线、作业流程，技术设计书阐述比较详细，无明显错误，满足采购文件要求的；</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四档（20分）：在满足三档的基础上，投标人能提供详细的技术方案，且能结合南宁市住房市场与住房保障现状、南宁市房屋交易监管系统现状，较详细描述项目建设方案；能详细阐述网签备案、房源核验技术路线、系统技术架构，能准确地描述本项目与南宁市房屋交易监管系统有效对接的技术可行性方案；指明项目建设重点、难点及解决办法，可操作性强，满足采购文件需求的。</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（2）项目实施方案分（满分20分，不提供方案或不满足一档不得分。）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一档（5分）：投标人能提供简单的实施方案的，基本满足采购文件要求的；</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二档（10分）：投标人能提供简单的实施方案的，满足采购文件要求，基本阐述清楚实施方法及保障措施、形成项目管理文档计划的；</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三档（15分）：在满足二档的基础上，投标人能提供比较详细的实施方案，有项目管理组织机构、拟投入人员安排及进度安排，方案可行、科学合理的；</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四档（20分）：在满足三档的基础上，投标人能提供详细的项目实施方案，详细说明各个阶段工作安排，阐述清楚实施组织办法及保障措施，指明项目重点难点及解决办法，说明质量管理、进度计划，具有较完备的管理组织、项目实施规范和管理制度，有较完备的质量管理体系并设置专职质量检查部门。</w:t>
      </w:r>
    </w:p>
    <w:p>
      <w:pPr>
        <w:numPr>
          <w:ilvl w:val="0"/>
          <w:numId w:val="25"/>
        </w:numPr>
        <w:spacing w:after="0" w:line="360" w:lineRule="auto"/>
        <w:ind w:firstLine="482" w:firstLineChars="200"/>
        <w:rPr>
          <w:rFonts w:ascii="新宋体" w:hAnsi="新宋体" w:eastAsia="新宋体" w:cs="新宋体"/>
          <w:b/>
          <w:color w:val="auto"/>
          <w:sz w:val="24"/>
          <w:szCs w:val="24"/>
        </w:rPr>
      </w:pPr>
      <w:r>
        <w:rPr>
          <w:rFonts w:hint="eastAsia" w:ascii="新宋体" w:hAnsi="新宋体" w:eastAsia="新宋体" w:cs="新宋体"/>
          <w:b/>
          <w:color w:val="auto"/>
          <w:sz w:val="24"/>
          <w:szCs w:val="24"/>
        </w:rPr>
        <w:t>商务分………………………………………………………………………………45分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（1）投标人能力和信誉（14分）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1）投标人提供有效期内质量管理体系认证证书得2分，未提供不得分；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2）投标人提供有效期内职业健康安全管理体系证书得2分，未提供不得分；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3）投标人提供有效期内环境管理体系证书得3分，未提供不得分；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4）投标人提供有效期内信息安全管理体系证书得3分，未提供不得分；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5）项目负责人具有正高级工程师专业技术职称得4分，未提供不得分。（需提交投标截止时间前三个月的社保证明复印件、原件备查）</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（2）投标人业绩（16分）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投标人2017年以来同类业绩（数据库、信息系统软件开发类等），每项业绩得2分。（提供中标通知书或合同复印件）（满分16分）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（3）投标人荣誉（10分）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1）投标人2017年以来获得市级或以上人民政府颁发的奖项的，每项得2分；（提供证书复印件）（满分4分）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2）投标人2017年以来获得省级行业行政主管部门或其认定的行业协会颁发的有关奖项，每项得0.5分；（提供证书复印件）（满分3分）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3）投标人2017年以来获得全国性行业协会颁发的有关奖项的，每项得0.5分。（提供证书复印件）（满分3分）</w:t>
      </w:r>
    </w:p>
    <w:p>
      <w:pPr>
        <w:spacing w:after="0" w:line="360" w:lineRule="auto"/>
        <w:ind w:firstLine="480" w:firstLineChars="200"/>
        <w:rPr>
          <w:rFonts w:ascii="新宋体" w:hAnsi="新宋体" w:eastAsia="新宋体" w:cs="新宋体"/>
          <w:color w:val="auto"/>
          <w:sz w:val="24"/>
          <w:szCs w:val="24"/>
        </w:rPr>
      </w:pPr>
      <w:r>
        <w:rPr>
          <w:rFonts w:hint="eastAsia" w:ascii="新宋体" w:hAnsi="新宋体" w:eastAsia="新宋体" w:cs="新宋体"/>
          <w:color w:val="auto"/>
          <w:sz w:val="24"/>
          <w:szCs w:val="24"/>
        </w:rPr>
        <w:t>（4）本地化服务（5分）</w:t>
      </w:r>
    </w:p>
    <w:p>
      <w:pPr>
        <w:spacing w:after="0"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投标人在项目对本项目提供的驻点维护人员达2人的，得1分；针对本项目提供的驻点维护人员达4人的，得3分；针对本项目提供的驻点维护人员6人以上的，得5分。（在投标文件中提供维护团队人员花名册包括姓名、身份证号、职称证复印件，需提交响应截止时间前连续三个月的社保缴纳证明复印件）（满分5分）</w:t>
      </w:r>
    </w:p>
    <w:p>
      <w:pPr>
        <w:spacing w:after="0"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rPr>
        <w:t>（5）诚信分：磋商供应商在截标日前1年内在政府采购活动中存在违约违规情形的。（以财政部门出具的书面材料为评分依据，每次扣除3分，最高扣分6分扣完为止）</w:t>
      </w:r>
    </w:p>
    <w:p>
      <w:pPr>
        <w:tabs>
          <w:tab w:val="left" w:pos="6931"/>
        </w:tabs>
        <w:spacing w:after="0" w:line="360" w:lineRule="auto"/>
        <w:ind w:firstLine="361" w:firstLineChars="150"/>
        <w:rPr>
          <w:rFonts w:ascii="新宋体" w:hAnsi="新宋体" w:eastAsia="新宋体" w:cs="新宋体"/>
          <w:b/>
          <w:bCs/>
          <w:sz w:val="24"/>
          <w:szCs w:val="24"/>
        </w:rPr>
      </w:pPr>
      <w:r>
        <w:rPr>
          <w:rFonts w:hint="eastAsia" w:ascii="新宋体" w:hAnsi="新宋体" w:eastAsia="新宋体" w:cs="新宋体"/>
          <w:b/>
          <w:bCs/>
          <w:sz w:val="24"/>
          <w:szCs w:val="24"/>
        </w:rPr>
        <w:t>（三）总得分＝1＋2＋3。</w:t>
      </w:r>
    </w:p>
    <w:p>
      <w:pPr>
        <w:tabs>
          <w:tab w:val="left" w:pos="6931"/>
        </w:tabs>
        <w:spacing w:after="0" w:line="360" w:lineRule="auto"/>
        <w:ind w:firstLine="361" w:firstLineChars="150"/>
        <w:rPr>
          <w:rFonts w:ascii="新宋体" w:hAnsi="新宋体" w:eastAsia="新宋体" w:cs="新宋体"/>
          <w:b/>
          <w:sz w:val="24"/>
          <w:szCs w:val="24"/>
        </w:rPr>
      </w:pPr>
      <w:r>
        <w:rPr>
          <w:rFonts w:hint="eastAsia" w:ascii="新宋体" w:hAnsi="新宋体" w:eastAsia="新宋体" w:cs="新宋体"/>
          <w:b/>
          <w:sz w:val="24"/>
          <w:szCs w:val="24"/>
        </w:rPr>
        <w:t>（四）中标标准：</w:t>
      </w:r>
    </w:p>
    <w:p>
      <w:pPr>
        <w:tabs>
          <w:tab w:val="left" w:pos="6931"/>
        </w:tabs>
        <w:spacing w:after="0" w:line="360" w:lineRule="auto"/>
        <w:ind w:firstLine="360" w:firstLineChars="150"/>
        <w:rPr>
          <w:rFonts w:ascii="宋体" w:hAnsi="宋体" w:eastAsia="宋体"/>
          <w:sz w:val="24"/>
          <w:szCs w:val="24"/>
        </w:rPr>
      </w:pPr>
      <w:r>
        <w:rPr>
          <w:rFonts w:hint="eastAsia" w:ascii="宋体" w:hAnsi="宋体" w:eastAsia="宋体"/>
          <w:sz w:val="24"/>
          <w:szCs w:val="24"/>
        </w:rPr>
        <w:t>（1）评标委员会将按总得分由高到低排列中标候选投标人顺序（总得分相同时，依次按投标报价低优先、技术分高优先、质量保证期长优先、提交服务成果时间短优先、处理问题到达时间短优先的顺序排列），并依照次序确定中标人。</w:t>
      </w:r>
    </w:p>
    <w:p>
      <w:pPr>
        <w:pStyle w:val="15"/>
        <w:snapToGrid w:val="0"/>
        <w:spacing w:after="0" w:line="360" w:lineRule="auto"/>
        <w:ind w:firstLine="480" w:firstLineChars="200"/>
        <w:rPr>
          <w:rFonts w:ascii="宋体" w:hAnsi="宋体" w:cs="宋体"/>
          <w:kern w:val="0"/>
          <w:sz w:val="24"/>
        </w:rPr>
      </w:pPr>
      <w:r>
        <w:rPr>
          <w:rFonts w:hint="eastAsia" w:ascii="宋体" w:hAnsi="宋体" w:cs="宋体"/>
          <w:kern w:val="0"/>
          <w:sz w:val="24"/>
        </w:rPr>
        <w:t>（2）评委委员会认为投标人的报价明显低于其他通过符合性审查投标人的报价，有可能影响产品质量或者不能诚信履约的，应当要求其在评标现场合理的时间内提供书面说明，必要时提交相关证明材料；投标人不能证明其报价合理的，评标委员会应当将其作无效投标。</w:t>
      </w:r>
    </w:p>
    <w:p>
      <w:pPr>
        <w:pStyle w:val="17"/>
        <w:spacing w:line="312" w:lineRule="auto"/>
        <w:jc w:val="center"/>
        <w:outlineLvl w:val="0"/>
        <w:rPr>
          <w:rFonts w:cs="宋体" w:asciiTheme="majorEastAsia" w:hAnsiTheme="majorEastAsia" w:eastAsiaTheme="majorEastAsia"/>
          <w:b/>
          <w:sz w:val="36"/>
        </w:rPr>
      </w:pPr>
      <w:r>
        <w:rPr>
          <w:rFonts w:asciiTheme="majorEastAsia" w:hAnsiTheme="majorEastAsia" w:eastAsiaTheme="majorEastAsia"/>
          <w:b/>
          <w:sz w:val="36"/>
        </w:rPr>
        <w:br w:type="page"/>
      </w:r>
      <w:bookmarkStart w:id="19" w:name="_Toc15428"/>
      <w:r>
        <w:rPr>
          <w:rFonts w:cs="宋体" w:asciiTheme="majorEastAsia" w:hAnsiTheme="majorEastAsia" w:eastAsiaTheme="majorEastAsia"/>
          <w:b/>
          <w:sz w:val="36"/>
        </w:rPr>
        <w:t>第四章  投标人须知</w:t>
      </w:r>
      <w:bookmarkEnd w:id="4"/>
      <w:bookmarkEnd w:id="5"/>
      <w:bookmarkEnd w:id="14"/>
      <w:bookmarkEnd w:id="15"/>
      <w:bookmarkEnd w:id="18"/>
      <w:bookmarkEnd w:id="19"/>
    </w:p>
    <w:p>
      <w:pPr>
        <w:pStyle w:val="17"/>
        <w:spacing w:line="720" w:lineRule="auto"/>
        <w:jc w:val="center"/>
        <w:rPr>
          <w:rFonts w:cs="宋体" w:asciiTheme="majorEastAsia" w:hAnsiTheme="majorEastAsia" w:eastAsiaTheme="majorEastAsia"/>
          <w:b/>
          <w:sz w:val="30"/>
          <w:szCs w:val="30"/>
        </w:rPr>
      </w:pPr>
      <w:r>
        <w:rPr>
          <w:rFonts w:cs="宋体" w:asciiTheme="majorEastAsia" w:hAnsiTheme="majorEastAsia" w:eastAsiaTheme="majorEastAsia"/>
          <w:b/>
          <w:sz w:val="30"/>
          <w:szCs w:val="30"/>
        </w:rPr>
        <w:t>投标人须知前附表</w:t>
      </w:r>
    </w:p>
    <w:p>
      <w:pPr>
        <w:pStyle w:val="17"/>
        <w:spacing w:line="460" w:lineRule="exact"/>
        <w:ind w:firstLine="420"/>
        <w:rPr>
          <w:rFonts w:cs="宋体" w:asciiTheme="majorEastAsia" w:hAnsiTheme="majorEastAsia" w:eastAsiaTheme="majorEastAsia"/>
          <w:b/>
          <w:sz w:val="24"/>
          <w:szCs w:val="24"/>
        </w:rPr>
      </w:pPr>
      <w:r>
        <w:rPr>
          <w:rFonts w:cs="宋体" w:asciiTheme="majorEastAsia" w:hAnsiTheme="majorEastAsia" w:eastAsiaTheme="majorEastAsia"/>
          <w:sz w:val="24"/>
          <w:szCs w:val="24"/>
        </w:rPr>
        <w:t>本表是关于本次采购项目的具体资料，是对后列条款的具体补充和修改。所有与本次采购有关的事宜，以本表规定的为准。</w:t>
      </w:r>
    </w:p>
    <w:tbl>
      <w:tblPr>
        <w:tblStyle w:val="26"/>
        <w:tblW w:w="97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b/>
                <w:sz w:val="24"/>
                <w:szCs w:val="24"/>
              </w:rPr>
            </w:pPr>
            <w:r>
              <w:rPr>
                <w:rFonts w:cs="宋体" w:asciiTheme="majorEastAsia" w:hAnsiTheme="majorEastAsia" w:eastAsiaTheme="majorEastAsia"/>
                <w:b/>
                <w:sz w:val="24"/>
                <w:szCs w:val="24"/>
              </w:rPr>
              <w:t>条款号</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b/>
                <w:sz w:val="24"/>
                <w:szCs w:val="24"/>
              </w:rPr>
            </w:pPr>
            <w:r>
              <w:rPr>
                <w:rFonts w:cs="宋体" w:asciiTheme="majorEastAsia" w:hAnsiTheme="majorEastAsia" w:eastAsiaTheme="majorEastAsia"/>
                <w:b/>
                <w:sz w:val="24"/>
                <w:szCs w:val="24"/>
              </w:rPr>
              <w:t>条款名称</w:t>
            </w:r>
          </w:p>
        </w:tc>
        <w:tc>
          <w:tcPr>
            <w:tcW w:w="6510" w:type="dxa"/>
            <w:tcBorders>
              <w:top w:val="single" w:color="auto" w:sz="4" w:space="0"/>
              <w:left w:val="single" w:color="auto" w:sz="4" w:space="0"/>
              <w:bottom w:val="single" w:color="auto" w:sz="4" w:space="0"/>
              <w:right w:val="single" w:color="auto" w:sz="4" w:space="0"/>
            </w:tcBorders>
          </w:tcPr>
          <w:p>
            <w:pPr>
              <w:pStyle w:val="17"/>
              <w:spacing w:line="400" w:lineRule="exact"/>
              <w:jc w:val="center"/>
              <w:rPr>
                <w:rFonts w:cs="宋体" w:asciiTheme="majorEastAsia" w:hAnsiTheme="majorEastAsia" w:eastAsiaTheme="majorEastAsia"/>
                <w:b/>
                <w:sz w:val="24"/>
                <w:szCs w:val="24"/>
              </w:rPr>
            </w:pPr>
            <w:r>
              <w:rPr>
                <w:rFonts w:cs="宋体" w:asciiTheme="majorEastAsia" w:hAnsiTheme="majorEastAsia" w:eastAsiaTheme="majorEastAsia"/>
                <w:b/>
                <w:sz w:val="24"/>
                <w:szCs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1.1</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采购人</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名称： 南宁市住房和城乡建设局</w:t>
            </w:r>
          </w:p>
          <w:p>
            <w:pPr>
              <w:pStyle w:val="17"/>
              <w:spacing w:line="400" w:lineRule="exac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地址：</w:t>
            </w:r>
            <w:r>
              <w:rPr>
                <w:rFonts w:hint="eastAsia" w:hAnsi="宋体" w:eastAsiaTheme="majorEastAsia"/>
                <w:sz w:val="24"/>
                <w:szCs w:val="24"/>
              </w:rPr>
              <w:t>南宁市青秀区金湖路59-1号</w:t>
            </w:r>
          </w:p>
          <w:p>
            <w:pPr>
              <w:pStyle w:val="17"/>
              <w:spacing w:line="400" w:lineRule="exac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联系人：农云浩</w:t>
            </w:r>
          </w:p>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电话： </w:t>
            </w:r>
            <w:r>
              <w:rPr>
                <w:rFonts w:hint="eastAsia" w:cs="宋体" w:asciiTheme="majorEastAsia" w:hAnsiTheme="majorEastAsia" w:eastAsiaTheme="majorEastAsia"/>
                <w:sz w:val="24"/>
                <w:szCs w:val="24"/>
              </w:rPr>
              <w:t>0771-5527061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1.2</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采购代理机构</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名称：广西邕政采购代理有限公司</w:t>
            </w:r>
          </w:p>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地址：南宁市青秀区思贤路45号创投中心16A层</w:t>
            </w:r>
          </w:p>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项目联系人：</w:t>
            </w:r>
            <w:r>
              <w:rPr>
                <w:rFonts w:hint="eastAsia" w:cs="宋体" w:asciiTheme="majorEastAsia" w:hAnsiTheme="majorEastAsia" w:eastAsiaTheme="majorEastAsia"/>
                <w:sz w:val="24"/>
                <w:szCs w:val="24"/>
              </w:rPr>
              <w:t>蔺工、罗工</w:t>
            </w:r>
          </w:p>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1.3</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项目名称</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南宁市住房租赁服务监管平台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1.4</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项目编号</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NNZC2020-G3-990364-GXYZ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1.5</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采购预算</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人民币壹佰贰拾万元整(￥1200000.00元)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1.7</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获取招标文件的方式</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1、本项目不发放纸质文件，投标人自行在南宁市公共资源交易平台(https://www.nnggzy.org.cn/gxnnzbw/)的信息公告处下载采购文件。</w:t>
            </w:r>
          </w:p>
          <w:p>
            <w:pPr>
              <w:pStyle w:val="17"/>
              <w:spacing w:line="400" w:lineRule="exac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2、采购文件每套售价0元。</w:t>
            </w:r>
          </w:p>
          <w:p>
            <w:pPr>
              <w:pStyle w:val="17"/>
              <w:spacing w:line="400" w:lineRule="exact"/>
              <w:rPr>
                <w:rFonts w:cs="宋体" w:asciiTheme="majorEastAsia" w:hAnsiTheme="majorEastAsia" w:eastAsiaTheme="majorEastAsia"/>
                <w:sz w:val="24"/>
              </w:rPr>
            </w:pPr>
            <w:r>
              <w:rPr>
                <w:rFonts w:hint="eastAsia" w:cs="宋体" w:asciiTheme="majorEastAsia" w:hAnsiTheme="majorEastAsia" w:eastAsiaTheme="majorEastAsia"/>
                <w:sz w:val="24"/>
                <w:szCs w:val="24"/>
              </w:rPr>
              <w:t>3、本项目公开招标公告期限为公告发布之日起5个工作日（2020年</w:t>
            </w:r>
            <w:r>
              <w:rPr>
                <w:rFonts w:hint="eastAsia" w:cs="宋体" w:asciiTheme="majorEastAsia" w:hAnsiTheme="majorEastAsia" w:eastAsiaTheme="majorEastAsia"/>
                <w:sz w:val="24"/>
                <w:szCs w:val="24"/>
                <w:lang w:val="en-US" w:eastAsia="zh-CN"/>
              </w:rPr>
              <w:t>11</w:t>
            </w:r>
            <w:r>
              <w:rPr>
                <w:rFonts w:hint="eastAsia" w:cs="宋体" w:asciiTheme="majorEastAsia" w:hAnsiTheme="majorEastAsia" w:eastAsiaTheme="majorEastAsia"/>
                <w:sz w:val="24"/>
                <w:szCs w:val="24"/>
              </w:rPr>
              <w:t>月</w:t>
            </w:r>
            <w:r>
              <w:rPr>
                <w:rFonts w:hint="eastAsia" w:cs="宋体" w:asciiTheme="majorEastAsia" w:hAnsiTheme="majorEastAsia" w:eastAsiaTheme="majorEastAsia"/>
                <w:sz w:val="24"/>
                <w:szCs w:val="24"/>
                <w:lang w:val="en-US" w:eastAsia="zh-CN"/>
              </w:rPr>
              <w:t>06</w:t>
            </w:r>
            <w:r>
              <w:rPr>
                <w:rFonts w:hint="eastAsia" w:cs="宋体" w:asciiTheme="majorEastAsia" w:hAnsiTheme="majorEastAsia" w:eastAsiaTheme="majorEastAsia"/>
                <w:sz w:val="24"/>
                <w:szCs w:val="24"/>
              </w:rPr>
              <w:t>日至2020年</w:t>
            </w:r>
            <w:r>
              <w:rPr>
                <w:rFonts w:hint="eastAsia" w:cs="宋体" w:asciiTheme="majorEastAsia" w:hAnsiTheme="majorEastAsia" w:eastAsiaTheme="majorEastAsia"/>
                <w:sz w:val="24"/>
                <w:szCs w:val="24"/>
                <w:lang w:val="en-US" w:eastAsia="zh-CN"/>
              </w:rPr>
              <w:t>11</w:t>
            </w:r>
            <w:r>
              <w:rPr>
                <w:rFonts w:hint="eastAsia" w:cs="宋体" w:asciiTheme="majorEastAsia" w:hAnsiTheme="majorEastAsia" w:eastAsiaTheme="majorEastAsia"/>
                <w:sz w:val="24"/>
                <w:szCs w:val="24"/>
              </w:rPr>
              <w:t>月</w:t>
            </w:r>
            <w:r>
              <w:rPr>
                <w:rFonts w:hint="eastAsia" w:cs="宋体" w:asciiTheme="majorEastAsia" w:hAnsiTheme="majorEastAsia" w:eastAsiaTheme="majorEastAsia"/>
                <w:sz w:val="24"/>
                <w:szCs w:val="24"/>
                <w:lang w:val="en-US" w:eastAsia="zh-CN"/>
              </w:rPr>
              <w:t>12</w:t>
            </w:r>
            <w:r>
              <w:rPr>
                <w:rFonts w:hint="eastAsia" w:cs="宋体" w:asciiTheme="majorEastAsia" w:hAnsiTheme="majorEastAsia" w:eastAsiaTheme="majorEastAsia"/>
                <w:sz w:val="24"/>
                <w:szCs w:val="24"/>
              </w:rPr>
              <w:t>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1.8</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预留采购份额</w:t>
            </w:r>
          </w:p>
        </w:tc>
        <w:tc>
          <w:tcPr>
            <w:tcW w:w="651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3.2</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投标人应具备的特定条件</w:t>
            </w:r>
          </w:p>
        </w:tc>
        <w:tc>
          <w:tcPr>
            <w:tcW w:w="6510" w:type="dxa"/>
            <w:tcBorders>
              <w:top w:val="single" w:color="auto" w:sz="4" w:space="0"/>
              <w:left w:val="single" w:color="auto" w:sz="4" w:space="0"/>
              <w:bottom w:val="single" w:color="auto" w:sz="4" w:space="0"/>
              <w:right w:val="single" w:color="auto" w:sz="4" w:space="0"/>
            </w:tcBorders>
            <w:vAlign w:val="center"/>
          </w:tcPr>
          <w:p>
            <w:pPr>
              <w:pStyle w:val="22"/>
              <w:spacing w:before="75" w:beforeAutospacing="0" w:after="75" w:afterAutospacing="0" w:line="400" w:lineRule="exact"/>
              <w:rPr>
                <w:rFonts w:asciiTheme="majorEastAsia" w:hAnsiTheme="majorEastAsia" w:eastAsiaTheme="majorEastAsia"/>
              </w:rPr>
            </w:pPr>
            <w:r>
              <w:rPr>
                <w:rFonts w:hint="eastAsia" w:asciiTheme="majorEastAsia" w:hAnsiTheme="majorEastAsia" w:eastAsiaTheme="majorEastAsia"/>
              </w:rPr>
              <w:t>1、符合《中华人民共和国政府采购法》第二十二条规定；</w:t>
            </w:r>
          </w:p>
          <w:p>
            <w:pPr>
              <w:pStyle w:val="22"/>
              <w:spacing w:before="75" w:beforeAutospacing="0" w:after="75" w:afterAutospacing="0" w:line="400" w:lineRule="exact"/>
              <w:rPr>
                <w:rFonts w:asciiTheme="majorEastAsia" w:hAnsiTheme="majorEastAsia" w:eastAsiaTheme="majorEastAsia"/>
              </w:rPr>
            </w:pPr>
            <w:r>
              <w:rPr>
                <w:rFonts w:hint="eastAsia" w:asciiTheme="majorEastAsia" w:hAnsiTheme="majorEastAsia" w:eastAsiaTheme="majorEastAsia"/>
              </w:rPr>
              <w:t>2、本项目需落实的政府采购政策：本项目适用政府采购促进中小企业、监狱企业发展、促进残疾人就业、节能环保等有关政策，具体详见招标文件；</w:t>
            </w:r>
          </w:p>
          <w:p>
            <w:pPr>
              <w:pStyle w:val="22"/>
              <w:spacing w:before="75" w:beforeAutospacing="0" w:after="75" w:afterAutospacing="0" w:line="400" w:lineRule="exact"/>
              <w:rPr>
                <w:rFonts w:asciiTheme="majorEastAsia" w:hAnsiTheme="majorEastAsia" w:eastAsiaTheme="majorEastAsia"/>
              </w:rPr>
            </w:pPr>
            <w:r>
              <w:rPr>
                <w:rFonts w:hint="eastAsia" w:asciiTheme="majorEastAsia" w:hAnsiTheme="majorEastAsia" w:eastAsiaTheme="majorEastAsia"/>
              </w:rPr>
              <w:t>3、本项目的特定资格要求：无；</w:t>
            </w:r>
          </w:p>
          <w:p>
            <w:pPr>
              <w:pStyle w:val="22"/>
              <w:spacing w:before="75" w:beforeAutospacing="0" w:after="75" w:afterAutospacing="0" w:line="400" w:lineRule="exact"/>
              <w:rPr>
                <w:rFonts w:asciiTheme="majorEastAsia" w:hAnsiTheme="majorEastAsia" w:eastAsiaTheme="majorEastAsia"/>
              </w:rPr>
            </w:pPr>
            <w:r>
              <w:rPr>
                <w:rFonts w:hint="eastAsia" w:asciiTheme="majorEastAsia" w:hAnsiTheme="majorEastAsia" w:eastAsiaTheme="majorEastAsia"/>
              </w:rPr>
              <w:t>4、</w:t>
            </w:r>
            <w:r>
              <w:rPr>
                <w:rFonts w:asciiTheme="majorEastAsia" w:hAnsiTheme="majorEastAsia" w:eastAsiaTheme="majorEastAsia"/>
              </w:rPr>
              <w:t>具有国内法人资格，注册经营范围满足所采购内容的供应商。</w:t>
            </w:r>
          </w:p>
          <w:p>
            <w:pPr>
              <w:pStyle w:val="22"/>
              <w:wordWrap w:val="0"/>
              <w:spacing w:before="75" w:beforeAutospacing="0" w:after="75" w:afterAutospacing="0" w:line="400" w:lineRule="exact"/>
              <w:rPr>
                <w:rFonts w:asciiTheme="majorEastAsia" w:hAnsiTheme="majorEastAsia" w:eastAsiaTheme="majorEastAsia"/>
              </w:rPr>
            </w:pPr>
            <w:r>
              <w:rPr>
                <w:rFonts w:hint="eastAsia" w:asciiTheme="majorEastAsia" w:hAnsiTheme="majorEastAsia" w:eastAsiaTheme="majorEastAsia"/>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22"/>
              <w:spacing w:before="75" w:beforeAutospacing="0" w:after="75" w:afterAutospacing="0" w:line="400" w:lineRule="exact"/>
              <w:rPr>
                <w:rFonts w:asciiTheme="majorEastAsia" w:hAnsiTheme="majorEastAsia" w:eastAsiaTheme="majorEastAsia"/>
              </w:rPr>
            </w:pPr>
            <w:r>
              <w:rPr>
                <w:rFonts w:hint="eastAsia" w:asciiTheme="majorEastAsia" w:hAnsiTheme="majorEastAsia" w:eastAsiaTheme="majorEastAsia"/>
              </w:rPr>
              <w:t>6、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3.3</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是否接受联合体投标</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lang w:eastAsia="en-US"/>
              </w:rPr>
              <w:t>不接受联合体</w:t>
            </w:r>
            <w:r>
              <w:rPr>
                <w:rFonts w:cs="宋体" w:asciiTheme="majorEastAsia" w:hAnsiTheme="majorEastAsia" w:eastAsiaTheme="majorEastAsia"/>
                <w:sz w:val="24"/>
                <w:szCs w:val="24"/>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4.1</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招标文件质疑提交的截止时间</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公告期限届满之日起7个工作日内</w:t>
            </w:r>
            <w:r>
              <w:rPr>
                <w:rFonts w:hint="eastAsia" w:cs="宋体" w:asciiTheme="majorEastAsia" w:hAnsiTheme="majorEastAsia" w:eastAsiaTheme="maj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ajorEastAsia" w:hAnsiTheme="majorEastAsia" w:eastAsiaTheme="majorEastAsia"/>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质疑提交地点、电话</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left"/>
              <w:rPr>
                <w:rFonts w:cs="宋体" w:asciiTheme="majorEastAsia" w:hAnsiTheme="majorEastAsia" w:eastAsiaTheme="majorEastAsia"/>
                <w:bCs/>
                <w:sz w:val="24"/>
              </w:rPr>
            </w:pPr>
            <w:r>
              <w:rPr>
                <w:rFonts w:cs="宋体" w:asciiTheme="majorEastAsia" w:hAnsiTheme="majorEastAsia" w:eastAsiaTheme="majorEastAsia"/>
                <w:bCs/>
                <w:sz w:val="24"/>
              </w:rPr>
              <w:t>1、对</w:t>
            </w:r>
            <w:r>
              <w:rPr>
                <w:rFonts w:hint="eastAsia" w:cs="宋体" w:asciiTheme="majorEastAsia" w:hAnsiTheme="majorEastAsia" w:eastAsiaTheme="majorEastAsia"/>
                <w:bCs/>
                <w:sz w:val="24"/>
              </w:rPr>
              <w:t>资格</w:t>
            </w:r>
            <w:r>
              <w:rPr>
                <w:rFonts w:cs="宋体" w:asciiTheme="majorEastAsia" w:hAnsiTheme="majorEastAsia" w:eastAsiaTheme="majorEastAsia"/>
                <w:bCs/>
                <w:sz w:val="24"/>
              </w:rPr>
              <w:t>审查的质疑，由采购人负责受理和答复。（地址：</w:t>
            </w:r>
            <w:r>
              <w:rPr>
                <w:rFonts w:hint="eastAsia" w:hAnsi="宋体" w:eastAsiaTheme="majorEastAsia"/>
                <w:sz w:val="24"/>
                <w:szCs w:val="24"/>
              </w:rPr>
              <w:t>南宁市青秀区金湖路59-1号</w:t>
            </w:r>
            <w:r>
              <w:rPr>
                <w:rFonts w:cs="宋体" w:asciiTheme="majorEastAsia" w:hAnsiTheme="majorEastAsia" w:eastAsiaTheme="majorEastAsia"/>
                <w:bCs/>
                <w:sz w:val="24"/>
              </w:rPr>
              <w:t>； 质疑咨询电话：</w:t>
            </w:r>
            <w:r>
              <w:rPr>
                <w:rFonts w:hint="eastAsia" w:cs="宋体" w:asciiTheme="majorEastAsia" w:hAnsiTheme="majorEastAsia" w:eastAsiaTheme="majorEastAsia"/>
                <w:sz w:val="24"/>
              </w:rPr>
              <w:t>0771-5527061</w:t>
            </w:r>
            <w:r>
              <w:rPr>
                <w:rFonts w:cs="宋体" w:asciiTheme="majorEastAsia" w:hAnsiTheme="majorEastAsia" w:eastAsiaTheme="majorEastAsia"/>
                <w:bCs/>
                <w:sz w:val="24"/>
              </w:rPr>
              <w:t>）</w:t>
            </w:r>
          </w:p>
          <w:p>
            <w:pPr>
              <w:pStyle w:val="17"/>
              <w:spacing w:line="400" w:lineRule="exact"/>
              <w:rPr>
                <w:rFonts w:cs="宋体" w:asciiTheme="majorEastAsia" w:hAnsiTheme="majorEastAsia" w:eastAsiaTheme="majorEastAsia"/>
                <w:bCs/>
                <w:sz w:val="24"/>
              </w:rPr>
            </w:pPr>
            <w:r>
              <w:rPr>
                <w:rFonts w:cs="宋体" w:asciiTheme="majorEastAsia" w:hAnsiTheme="majorEastAsia" w:eastAsiaTheme="majorEastAsia"/>
                <w:bCs/>
                <w:sz w:val="24"/>
              </w:rPr>
              <w:t>2、对资格审查以外的质疑，由广西邕政采购代理有限公司负责受理和答复。（地址：</w:t>
            </w:r>
            <w:r>
              <w:rPr>
                <w:rFonts w:cs="宋体" w:asciiTheme="majorEastAsia" w:hAnsiTheme="majorEastAsia" w:eastAsiaTheme="majorEastAsia"/>
                <w:sz w:val="24"/>
                <w:szCs w:val="24"/>
              </w:rPr>
              <w:t>南宁市青秀区思贤路45号创投中心16A层</w:t>
            </w:r>
            <w:r>
              <w:rPr>
                <w:rFonts w:cs="宋体" w:asciiTheme="majorEastAsia" w:hAnsiTheme="majorEastAsia" w:eastAsiaTheme="majorEastAsia"/>
                <w:bCs/>
                <w:sz w:val="24"/>
              </w:rPr>
              <w:t>； 质疑咨询电话：</w:t>
            </w:r>
            <w:r>
              <w:rPr>
                <w:rFonts w:cs="宋体" w:asciiTheme="majorEastAsia" w:hAnsiTheme="majorEastAsia" w:eastAsiaTheme="majorEastAsia"/>
                <w:sz w:val="24"/>
                <w:szCs w:val="24"/>
              </w:rPr>
              <w:t>0771-2442850</w:t>
            </w:r>
            <w:r>
              <w:rPr>
                <w:rFonts w:cs="宋体" w:asciiTheme="majorEastAsia" w:hAnsiTheme="majorEastAsia" w:eastAsiaTheme="major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7.1</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投标人要求澄清的截止时间</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招标文件发布之日起7个工作日内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8.8</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投标文件份数</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报价文件：正本1份，副本4份</w:t>
            </w:r>
          </w:p>
          <w:p>
            <w:pPr>
              <w:pStyle w:val="17"/>
              <w:spacing w:line="400" w:lineRule="exact"/>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资格文件：正本1份，副本4份</w:t>
            </w:r>
          </w:p>
          <w:p>
            <w:pPr>
              <w:pStyle w:val="17"/>
              <w:spacing w:line="400" w:lineRule="exact"/>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技术文件：正本1份，副本4份</w:t>
            </w:r>
          </w:p>
          <w:p>
            <w:pPr>
              <w:pStyle w:val="17"/>
              <w:spacing w:line="400" w:lineRule="exact"/>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11.4</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采购代理服务费</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40" w:lineRule="exact"/>
              <w:jc w:val="left"/>
              <w:rPr>
                <w:rFonts w:hAnsi="宋体" w:cs="宋体"/>
                <w:sz w:val="24"/>
                <w:szCs w:val="24"/>
              </w:rPr>
            </w:pPr>
            <w:r>
              <w:rPr>
                <w:rFonts w:hint="eastAsia" w:hAnsi="宋体" w:cs="宋体"/>
                <w:sz w:val="24"/>
                <w:szCs w:val="24"/>
              </w:rPr>
              <w:t>本项目代理服务费按国家发展计划委员会《招标代理服务费管理暂行办法》（计价格</w:t>
            </w:r>
            <w:r>
              <w:rPr>
                <w:rFonts w:hAnsi="宋体" w:cs="宋体"/>
                <w:sz w:val="24"/>
                <w:szCs w:val="24"/>
              </w:rPr>
              <w:t>[2002]1980</w:t>
            </w:r>
            <w:r>
              <w:rPr>
                <w:rFonts w:hint="eastAsia" w:hAnsi="宋体" w:cs="宋体"/>
                <w:sz w:val="24"/>
                <w:szCs w:val="24"/>
              </w:rPr>
              <w:t>号）收费标准下浮10%计取。由中标单位在领</w:t>
            </w:r>
            <w:r>
              <w:rPr>
                <w:rFonts w:hint="eastAsia" w:hAnsi="宋体" w:cs="宋体"/>
                <w:kern w:val="0"/>
                <w:sz w:val="24"/>
              </w:rPr>
              <w:t>中标</w:t>
            </w:r>
            <w:r>
              <w:rPr>
                <w:rFonts w:hint="eastAsia" w:hAnsi="宋体" w:cs="宋体"/>
                <w:sz w:val="24"/>
                <w:szCs w:val="24"/>
              </w:rPr>
              <w:t>通知书时一次性支付采购代理服务费。</w:t>
            </w:r>
          </w:p>
          <w:tbl>
            <w:tblPr>
              <w:tblStyle w:val="26"/>
              <w:tblW w:w="439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0" w:type="dxa"/>
                  <w:vAlign w:val="center"/>
                </w:tcPr>
                <w:p>
                  <w:pPr>
                    <w:pStyle w:val="17"/>
                    <w:spacing w:line="440" w:lineRule="exact"/>
                    <w:jc w:val="center"/>
                    <w:rPr>
                      <w:rFonts w:hAnsi="宋体"/>
                      <w:sz w:val="24"/>
                      <w:szCs w:val="24"/>
                    </w:rPr>
                  </w:pPr>
                  <w:r>
                    <w:rPr>
                      <w:rFonts w:hAnsi="宋体"/>
                      <w:sz w:val="24"/>
                      <w:szCs w:val="24"/>
                    </w:rPr>
                    <w:t>某</w:t>
                  </w:r>
                  <w:r>
                    <w:rPr>
                      <w:rFonts w:hint="eastAsia" w:hAnsi="宋体" w:cs="宋体"/>
                      <w:kern w:val="0"/>
                      <w:sz w:val="24"/>
                    </w:rPr>
                    <w:t>成交</w:t>
                  </w:r>
                  <w:r>
                    <w:rPr>
                      <w:rFonts w:hAnsi="宋体"/>
                      <w:sz w:val="24"/>
                      <w:szCs w:val="24"/>
                    </w:rPr>
                    <w:t>金额（万元）</w:t>
                  </w:r>
                </w:p>
              </w:tc>
              <w:tc>
                <w:tcPr>
                  <w:tcW w:w="1560" w:type="dxa"/>
                  <w:vAlign w:val="center"/>
                </w:tcPr>
                <w:p>
                  <w:pPr>
                    <w:pStyle w:val="17"/>
                    <w:spacing w:line="440" w:lineRule="exact"/>
                    <w:jc w:val="center"/>
                    <w:rPr>
                      <w:rFonts w:hAnsi="宋体"/>
                      <w:sz w:val="24"/>
                      <w:szCs w:val="24"/>
                    </w:rPr>
                  </w:pPr>
                  <w:r>
                    <w:rPr>
                      <w:rFonts w:hAnsi="宋体"/>
                      <w:sz w:val="24"/>
                      <w:szCs w:val="24"/>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0" w:type="dxa"/>
                </w:tcPr>
                <w:p>
                  <w:pPr>
                    <w:pStyle w:val="17"/>
                    <w:spacing w:line="440" w:lineRule="exact"/>
                    <w:jc w:val="center"/>
                    <w:rPr>
                      <w:rFonts w:hAnsi="宋体"/>
                      <w:sz w:val="24"/>
                      <w:szCs w:val="24"/>
                    </w:rPr>
                  </w:pPr>
                  <w:r>
                    <w:rPr>
                      <w:rFonts w:hAnsi="宋体"/>
                      <w:sz w:val="24"/>
                      <w:szCs w:val="24"/>
                    </w:rPr>
                    <w:t>100以下</w:t>
                  </w:r>
                </w:p>
              </w:tc>
              <w:tc>
                <w:tcPr>
                  <w:tcW w:w="1560" w:type="dxa"/>
                </w:tcPr>
                <w:p>
                  <w:pPr>
                    <w:pStyle w:val="17"/>
                    <w:spacing w:line="440" w:lineRule="exact"/>
                    <w:jc w:val="center"/>
                    <w:rPr>
                      <w:rFonts w:hAnsi="宋体"/>
                      <w:sz w:val="24"/>
                      <w:szCs w:val="24"/>
                    </w:rPr>
                  </w:pPr>
                  <w:r>
                    <w:rPr>
                      <w:rFonts w:hAnsi="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7"/>
                    <w:spacing w:line="440" w:lineRule="exact"/>
                    <w:jc w:val="center"/>
                    <w:rPr>
                      <w:rFonts w:hAnsi="宋体"/>
                      <w:sz w:val="24"/>
                      <w:szCs w:val="24"/>
                    </w:rPr>
                  </w:pPr>
                  <w:r>
                    <w:rPr>
                      <w:rFonts w:hAnsi="宋体"/>
                      <w:sz w:val="24"/>
                      <w:szCs w:val="24"/>
                    </w:rPr>
                    <w:t>100-500</w:t>
                  </w:r>
                </w:p>
              </w:tc>
              <w:tc>
                <w:tcPr>
                  <w:tcW w:w="1560" w:type="dxa"/>
                </w:tcPr>
                <w:p>
                  <w:pPr>
                    <w:pStyle w:val="17"/>
                    <w:spacing w:line="440" w:lineRule="exact"/>
                    <w:jc w:val="center"/>
                    <w:rPr>
                      <w:rFonts w:hAnsi="宋体"/>
                      <w:sz w:val="24"/>
                      <w:szCs w:val="24"/>
                    </w:rPr>
                  </w:pPr>
                  <w:r>
                    <w:rPr>
                      <w:rFonts w:hAnsi="宋体"/>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7"/>
                    <w:spacing w:line="440" w:lineRule="exact"/>
                    <w:jc w:val="center"/>
                    <w:rPr>
                      <w:rFonts w:hAnsi="宋体" w:cs="宋体"/>
                      <w:sz w:val="24"/>
                      <w:szCs w:val="24"/>
                    </w:rPr>
                  </w:pPr>
                  <w:r>
                    <w:rPr>
                      <w:rFonts w:hAnsi="宋体" w:cs="宋体"/>
                      <w:sz w:val="24"/>
                      <w:szCs w:val="24"/>
                    </w:rPr>
                    <w:t>500-1000</w:t>
                  </w:r>
                </w:p>
              </w:tc>
              <w:tc>
                <w:tcPr>
                  <w:tcW w:w="1560" w:type="dxa"/>
                </w:tcPr>
                <w:p>
                  <w:pPr>
                    <w:pStyle w:val="17"/>
                    <w:spacing w:line="440" w:lineRule="exact"/>
                    <w:jc w:val="center"/>
                    <w:rPr>
                      <w:rFonts w:hAnsi="宋体" w:cs="宋体"/>
                      <w:sz w:val="24"/>
                      <w:szCs w:val="24"/>
                    </w:rPr>
                  </w:pPr>
                  <w:r>
                    <w:rPr>
                      <w:rFonts w:hAnsi="宋体" w:cs="宋体"/>
                      <w:sz w:val="24"/>
                      <w:szCs w:val="24"/>
                    </w:rPr>
                    <w:t>0.45%</w:t>
                  </w:r>
                </w:p>
              </w:tc>
            </w:tr>
          </w:tbl>
          <w:p>
            <w:pPr>
              <w:pStyle w:val="17"/>
              <w:spacing w:line="440" w:lineRule="exact"/>
              <w:jc w:val="left"/>
              <w:rPr>
                <w:rFonts w:hAnsi="宋体" w:cs="宋体"/>
                <w:sz w:val="24"/>
                <w:szCs w:val="24"/>
              </w:rPr>
            </w:pPr>
            <w:r>
              <w:rPr>
                <w:rFonts w:hint="eastAsia" w:hAnsi="宋体" w:cs="宋体"/>
                <w:sz w:val="24"/>
                <w:szCs w:val="24"/>
              </w:rPr>
              <w:t>注：招标代理服务费按差额定率累进法计算。</w:t>
            </w:r>
          </w:p>
          <w:p>
            <w:pPr>
              <w:pStyle w:val="17"/>
              <w:spacing w:line="440" w:lineRule="exact"/>
              <w:jc w:val="left"/>
              <w:rPr>
                <w:rFonts w:hAnsi="宋体" w:cs="宋体"/>
                <w:sz w:val="24"/>
                <w:szCs w:val="24"/>
              </w:rPr>
            </w:pPr>
            <w:r>
              <w:rPr>
                <w:rFonts w:hint="eastAsia" w:hAnsi="宋体" w:cs="宋体"/>
                <w:sz w:val="24"/>
                <w:szCs w:val="24"/>
              </w:rPr>
              <w:t>开户名称：广西邕政采购代理有限公司</w:t>
            </w:r>
          </w:p>
          <w:p>
            <w:pPr>
              <w:pStyle w:val="17"/>
              <w:spacing w:line="440" w:lineRule="exact"/>
              <w:jc w:val="left"/>
              <w:rPr>
                <w:rFonts w:hAnsi="宋体" w:cs="宋体"/>
                <w:sz w:val="24"/>
                <w:szCs w:val="24"/>
              </w:rPr>
            </w:pPr>
            <w:r>
              <w:rPr>
                <w:rFonts w:hint="eastAsia" w:hAnsi="宋体" w:cs="宋体"/>
                <w:sz w:val="24"/>
                <w:szCs w:val="24"/>
              </w:rPr>
              <w:t>开户银行：交通银行南宁东葛西支行</w:t>
            </w:r>
          </w:p>
          <w:p>
            <w:pPr>
              <w:pStyle w:val="17"/>
              <w:snapToGrid w:val="0"/>
              <w:spacing w:line="400" w:lineRule="exact"/>
              <w:jc w:val="left"/>
              <w:rPr>
                <w:rFonts w:cs="宋体" w:asciiTheme="majorEastAsia" w:hAnsiTheme="majorEastAsia" w:eastAsiaTheme="majorEastAsia"/>
                <w:sz w:val="24"/>
                <w:szCs w:val="24"/>
              </w:rPr>
            </w:pPr>
            <w:r>
              <w:rPr>
                <w:rFonts w:hint="eastAsia" w:hAnsi="宋体" w:cs="宋体"/>
                <w:sz w:val="24"/>
                <w:szCs w:val="24"/>
              </w:rPr>
              <w:t>账号：4510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12.1</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投标有效期</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13.1</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投标保证金</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rPr>
            </w:pPr>
            <w:r>
              <w:rPr>
                <w:rFonts w:cs="宋体" w:asciiTheme="majorEastAsia" w:hAnsiTheme="majorEastAsia" w:eastAsiaTheme="majorEastAsia"/>
                <w:sz w:val="24"/>
                <w:szCs w:val="24"/>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15.1</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投标截止时间</w:t>
            </w:r>
          </w:p>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（开标时间）</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u w:val="single"/>
              </w:rPr>
              <w:t>2020</w:t>
            </w:r>
            <w:r>
              <w:rPr>
                <w:rFonts w:cs="宋体" w:asciiTheme="majorEastAsia" w:hAnsiTheme="majorEastAsia" w:eastAsiaTheme="majorEastAsia"/>
                <w:sz w:val="24"/>
                <w:szCs w:val="24"/>
              </w:rPr>
              <w:t>年</w:t>
            </w:r>
            <w:r>
              <w:rPr>
                <w:rFonts w:hint="eastAsia" w:cs="宋体" w:asciiTheme="majorEastAsia" w:hAnsiTheme="majorEastAsia" w:eastAsiaTheme="majorEastAsia"/>
                <w:sz w:val="24"/>
                <w:szCs w:val="24"/>
                <w:u w:val="single"/>
                <w:lang w:val="en-US" w:eastAsia="zh-CN"/>
              </w:rPr>
              <w:t>11</w:t>
            </w:r>
            <w:r>
              <w:rPr>
                <w:rFonts w:cs="宋体" w:asciiTheme="majorEastAsia" w:hAnsiTheme="majorEastAsia" w:eastAsiaTheme="majorEastAsia"/>
                <w:sz w:val="24"/>
                <w:szCs w:val="24"/>
              </w:rPr>
              <w:t>月</w:t>
            </w:r>
            <w:r>
              <w:rPr>
                <w:rFonts w:hint="eastAsia" w:cs="宋体" w:asciiTheme="majorEastAsia" w:hAnsiTheme="majorEastAsia" w:eastAsiaTheme="majorEastAsia"/>
                <w:sz w:val="24"/>
                <w:szCs w:val="24"/>
                <w:u w:val="single"/>
                <w:lang w:val="en-US" w:eastAsia="zh-CN"/>
              </w:rPr>
              <w:t>26</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日</w:t>
            </w:r>
            <w:r>
              <w:rPr>
                <w:rFonts w:hint="eastAsia" w:cs="宋体" w:asciiTheme="majorEastAsia" w:hAnsiTheme="majorEastAsia" w:eastAsiaTheme="majorEastAsia"/>
                <w:sz w:val="24"/>
                <w:szCs w:val="24"/>
                <w:u w:val="single"/>
                <w:lang w:val="en-US" w:eastAsia="zh-CN"/>
              </w:rPr>
              <w:t>09</w:t>
            </w:r>
            <w:r>
              <w:rPr>
                <w:rFonts w:cs="宋体" w:asciiTheme="majorEastAsia" w:hAnsiTheme="majorEastAsia" w:eastAsiaTheme="majorEastAsia"/>
                <w:sz w:val="24"/>
                <w:szCs w:val="24"/>
              </w:rPr>
              <w:t>时</w:t>
            </w:r>
            <w:r>
              <w:rPr>
                <w:rFonts w:hint="eastAsia" w:cs="宋体" w:asciiTheme="majorEastAsia" w:hAnsiTheme="majorEastAsia" w:eastAsiaTheme="majorEastAsia"/>
                <w:sz w:val="24"/>
                <w:szCs w:val="24"/>
                <w:u w:val="single"/>
                <w:lang w:val="en-US" w:eastAsia="zh-CN"/>
              </w:rPr>
              <w:t>30</w:t>
            </w:r>
            <w:r>
              <w:rPr>
                <w:rFonts w:cs="宋体" w:asciiTheme="majorEastAsia" w:hAnsiTheme="majorEastAsia" w:eastAsiaTheme="majorEastAsia"/>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15.2</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递交投标文件地点</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南宁市良庆区玉洞大道33号（青少年活动中心旁）市民中心9楼南宁市公共资源交易中心（具体详见9楼电子显示屏场地安排）</w:t>
            </w:r>
            <w:r>
              <w:rPr>
                <w:rFonts w:hint="eastAsia" w:cs="宋体" w:asciiTheme="majorEastAsia" w:hAnsiTheme="majorEastAsia" w:eastAsiaTheme="majorEastAsia"/>
                <w:sz w:val="24"/>
                <w:szCs w:val="24"/>
              </w:rPr>
              <w:t>，</w:t>
            </w:r>
            <w:r>
              <w:rPr>
                <w:rFonts w:hint="eastAsia" w:cs="宋体" w:asciiTheme="majorEastAsia" w:hAnsiTheme="majorEastAsia" w:eastAsiaTheme="majorEastAsia"/>
                <w:sz w:val="24"/>
              </w:rPr>
              <w:t>为做好疫情防控工作，本项目的投标文件通过邮寄快递的方式送达，具体要求详见招标文件。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16.1</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开标地点</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17.3</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评标方法</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23.1</w:t>
            </w:r>
          </w:p>
        </w:tc>
        <w:tc>
          <w:tcPr>
            <w:tcW w:w="24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cs="宋体" w:asciiTheme="majorEastAsia" w:hAnsiTheme="majorEastAsia" w:eastAsiaTheme="majorEastAsia"/>
                <w:sz w:val="24"/>
                <w:szCs w:val="24"/>
              </w:rPr>
            </w:pPr>
            <w:r>
              <w:rPr>
                <w:rFonts w:cs="宋体" w:asciiTheme="majorEastAsia" w:hAnsiTheme="majorEastAsia" w:eastAsiaTheme="majorEastAsia"/>
                <w:sz w:val="24"/>
                <w:szCs w:val="24"/>
              </w:rPr>
              <w:t>中标通知书的发放</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51" w:type="dxa"/>
            <w:tcBorders>
              <w:top w:val="single" w:color="auto" w:sz="4" w:space="0"/>
              <w:left w:val="single" w:color="auto" w:sz="4" w:space="0"/>
              <w:bottom w:val="single" w:color="auto" w:sz="4" w:space="0"/>
              <w:right w:val="single" w:color="auto" w:sz="4" w:space="0"/>
            </w:tcBorders>
            <w:vAlign w:val="center"/>
          </w:tcPr>
          <w:p>
            <w:pPr>
              <w:pStyle w:val="17"/>
              <w:adjustRightInd w:val="0"/>
              <w:spacing w:line="400" w:lineRule="exact"/>
              <w:jc w:val="center"/>
              <w:rPr>
                <w:rFonts w:cs="宋体" w:asciiTheme="majorEastAsia" w:hAnsiTheme="majorEastAsia" w:eastAsiaTheme="majorEastAsia"/>
                <w:b/>
                <w:sz w:val="24"/>
                <w:szCs w:val="24"/>
              </w:rPr>
            </w:pPr>
            <w:r>
              <w:rPr>
                <w:rFonts w:cs="宋体" w:asciiTheme="majorEastAsia" w:hAnsiTheme="majorEastAsia" w:eastAsiaTheme="majorEastAsia"/>
                <w:b/>
                <w:sz w:val="24"/>
                <w:szCs w:val="24"/>
              </w:rPr>
              <w:t>30</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Theme="majorEastAsia" w:hAnsiTheme="majorEastAsia" w:eastAsiaTheme="majorEastAsia"/>
                <w:b/>
                <w:sz w:val="24"/>
              </w:rPr>
            </w:pPr>
            <w:r>
              <w:rPr>
                <w:rFonts w:hint="eastAsia" w:asciiTheme="majorEastAsia" w:hAnsiTheme="majorEastAsia" w:eastAsiaTheme="majorEastAsia"/>
                <w:b/>
                <w:sz w:val="24"/>
              </w:rPr>
              <w:t>需要补充的其他内容</w:t>
            </w:r>
          </w:p>
        </w:tc>
        <w:tc>
          <w:tcPr>
            <w:tcW w:w="651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rPr>
                <w:rFonts w:cs="宋体" w:asciiTheme="majorEastAsia" w:hAnsiTheme="majorEastAsia" w:eastAsiaTheme="majorEastAsia"/>
                <w:b/>
                <w:sz w:val="24"/>
                <w:szCs w:val="24"/>
              </w:rPr>
            </w:pPr>
            <w:r>
              <w:rPr>
                <w:rFonts w:cs="宋体" w:asciiTheme="majorEastAsia" w:hAnsiTheme="majorEastAsia" w:eastAsiaTheme="majorEastAsia"/>
                <w:b/>
                <w:sz w:val="24"/>
                <w:szCs w:val="24"/>
              </w:rPr>
              <w:t>注：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tc>
      </w:tr>
    </w:tbl>
    <w:p>
      <w:pPr>
        <w:jc w:val="center"/>
        <w:rPr>
          <w:rFonts w:asciiTheme="majorEastAsia" w:hAnsiTheme="majorEastAsia" w:eastAsiaTheme="majorEastAsia"/>
          <w:b/>
          <w:kern w:val="2"/>
          <w:sz w:val="30"/>
          <w:szCs w:val="30"/>
        </w:rPr>
      </w:pPr>
      <w:bookmarkStart w:id="20" w:name="_Toc213326416"/>
      <w:bookmarkStart w:id="21" w:name="_Toc508092929"/>
      <w:bookmarkStart w:id="22" w:name="_Toc448343856"/>
      <w:r>
        <w:rPr>
          <w:rFonts w:asciiTheme="majorEastAsia" w:hAnsiTheme="majorEastAsia" w:eastAsiaTheme="majorEastAsia"/>
          <w:b/>
          <w:sz w:val="30"/>
          <w:szCs w:val="30"/>
        </w:rPr>
        <w:br w:type="page"/>
      </w:r>
      <w:bookmarkEnd w:id="20"/>
      <w:bookmarkEnd w:id="21"/>
      <w:bookmarkEnd w:id="22"/>
    </w:p>
    <w:p>
      <w:pPr>
        <w:pStyle w:val="17"/>
        <w:spacing w:line="360" w:lineRule="auto"/>
        <w:jc w:val="center"/>
        <w:outlineLvl w:val="1"/>
        <w:rPr>
          <w:rFonts w:cs="宋体" w:asciiTheme="majorEastAsia" w:hAnsiTheme="majorEastAsia" w:eastAsiaTheme="majorEastAsia"/>
          <w:b/>
          <w:sz w:val="30"/>
          <w:szCs w:val="30"/>
        </w:rPr>
      </w:pPr>
      <w:bookmarkStart w:id="23" w:name="_Toc16269"/>
      <w:r>
        <w:rPr>
          <w:rFonts w:cs="宋体" w:asciiTheme="majorEastAsia" w:hAnsiTheme="majorEastAsia" w:eastAsiaTheme="majorEastAsia"/>
          <w:b/>
          <w:sz w:val="30"/>
          <w:szCs w:val="30"/>
        </w:rPr>
        <w:t>一    总则</w:t>
      </w:r>
      <w:bookmarkEnd w:id="23"/>
    </w:p>
    <w:p>
      <w:pPr>
        <w:pStyle w:val="17"/>
        <w:spacing w:line="360" w:lineRule="auto"/>
        <w:ind w:left="1"/>
        <w:jc w:val="left"/>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  项目概况</w:t>
      </w:r>
    </w:p>
    <w:p>
      <w:pPr>
        <w:pStyle w:val="17"/>
        <w:spacing w:line="360" w:lineRule="auto"/>
        <w:ind w:firstLine="480" w:firstLineChars="200"/>
        <w:jc w:val="left"/>
        <w:rPr>
          <w:rFonts w:cs="宋体" w:asciiTheme="majorEastAsia" w:hAnsiTheme="majorEastAsia" w:eastAsiaTheme="majorEastAsia"/>
          <w:bCs/>
          <w:sz w:val="24"/>
          <w:szCs w:val="24"/>
        </w:rPr>
      </w:pPr>
      <w:r>
        <w:rPr>
          <w:rFonts w:cs="宋体" w:asciiTheme="majorEastAsia" w:hAnsiTheme="majorEastAsia" w:eastAsiaTheme="majorEastAsia"/>
          <w:sz w:val="24"/>
          <w:szCs w:val="24"/>
        </w:rPr>
        <w:t>1.1  采购人：</w:t>
      </w:r>
      <w:r>
        <w:rPr>
          <w:rFonts w:cs="宋体" w:asciiTheme="majorEastAsia" w:hAnsiTheme="majorEastAsia" w:eastAsiaTheme="majorEastAsia"/>
          <w:bCs/>
          <w:sz w:val="24"/>
          <w:szCs w:val="24"/>
        </w:rPr>
        <w:t>见投标人须知前附表。</w:t>
      </w:r>
    </w:p>
    <w:p>
      <w:pPr>
        <w:pStyle w:val="17"/>
        <w:spacing w:line="360" w:lineRule="auto"/>
        <w:ind w:firstLine="480" w:firstLineChars="200"/>
        <w:jc w:val="left"/>
        <w:rPr>
          <w:rFonts w:cs="宋体" w:asciiTheme="majorEastAsia" w:hAnsiTheme="majorEastAsia" w:eastAsiaTheme="majorEastAsia"/>
          <w:bCs/>
          <w:sz w:val="24"/>
          <w:szCs w:val="24"/>
        </w:rPr>
      </w:pPr>
      <w:r>
        <w:rPr>
          <w:rFonts w:cs="宋体" w:asciiTheme="majorEastAsia" w:hAnsiTheme="majorEastAsia" w:eastAsiaTheme="majorEastAsia"/>
          <w:sz w:val="24"/>
          <w:szCs w:val="24"/>
        </w:rPr>
        <w:t>1.2  采购代理机构：</w:t>
      </w:r>
      <w:r>
        <w:rPr>
          <w:rFonts w:cs="宋体" w:asciiTheme="majorEastAsia" w:hAnsiTheme="majorEastAsia" w:eastAsiaTheme="majorEastAsia"/>
          <w:bCs/>
          <w:sz w:val="24"/>
          <w:szCs w:val="24"/>
        </w:rPr>
        <w:t>见投标人须知前附表。</w:t>
      </w:r>
    </w:p>
    <w:p>
      <w:pPr>
        <w:pStyle w:val="17"/>
        <w:spacing w:line="360" w:lineRule="auto"/>
        <w:ind w:firstLine="480" w:firstLineChars="200"/>
        <w:jc w:val="left"/>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1.3  项目名称：见投标人须知前附表。</w:t>
      </w:r>
    </w:p>
    <w:p>
      <w:pPr>
        <w:pStyle w:val="17"/>
        <w:spacing w:line="360" w:lineRule="auto"/>
        <w:ind w:firstLine="480" w:firstLineChars="200"/>
        <w:jc w:val="left"/>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1.4  项目编号：见投标人须知前附表</w:t>
      </w:r>
    </w:p>
    <w:p>
      <w:pPr>
        <w:pStyle w:val="17"/>
        <w:spacing w:line="360" w:lineRule="auto"/>
        <w:ind w:firstLine="480" w:firstLineChars="200"/>
        <w:jc w:val="left"/>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1.5  采购预算：见投标人须知前附表。</w:t>
      </w:r>
    </w:p>
    <w:p>
      <w:pPr>
        <w:pStyle w:val="17"/>
        <w:spacing w:line="360" w:lineRule="auto"/>
        <w:ind w:firstLine="480" w:firstLineChars="200"/>
        <w:jc w:val="left"/>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1.6  资金来源：财政性资金。</w:t>
      </w:r>
    </w:p>
    <w:p>
      <w:pPr>
        <w:pStyle w:val="17"/>
        <w:spacing w:line="360" w:lineRule="auto"/>
        <w:ind w:left="2" w:firstLine="480" w:firstLineChars="200"/>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1.7  获取招标文件的方式：见投标人须知前附表。</w:t>
      </w:r>
    </w:p>
    <w:p>
      <w:pPr>
        <w:pStyle w:val="17"/>
        <w:spacing w:line="360" w:lineRule="auto"/>
        <w:ind w:left="2" w:firstLine="480" w:firstLineChars="200"/>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1.8  预留采购份额：见投标人须知前附表。</w:t>
      </w:r>
    </w:p>
    <w:p>
      <w:pPr>
        <w:pStyle w:val="17"/>
        <w:spacing w:line="360" w:lineRule="auto"/>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2.  政府采购信息发布媒体：</w:t>
      </w:r>
    </w:p>
    <w:p>
      <w:pPr>
        <w:pStyle w:val="17"/>
        <w:spacing w:line="360" w:lineRule="auto"/>
        <w:ind w:left="2" w:firstLine="480" w:firstLineChars="200"/>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2.1  与本项目相关的政府采购业务信息（包括公开招标公告、中标公告及其更正事项等）将在以下媒体上发布：中国政府采购网、广西壮族自治区政府采购网、南宁市公共资源交易中心网发布。</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2.2  本项目公开招标公告期限为公告发布之日起5个工作日。</w:t>
      </w:r>
    </w:p>
    <w:p>
      <w:pPr>
        <w:pStyle w:val="17"/>
        <w:spacing w:line="360" w:lineRule="auto"/>
        <w:ind w:left="1"/>
        <w:jc w:val="left"/>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3.  投标人资格要求：</w:t>
      </w:r>
    </w:p>
    <w:p>
      <w:pPr>
        <w:pStyle w:val="17"/>
        <w:spacing w:line="360" w:lineRule="auto"/>
        <w:ind w:firstLine="480" w:firstLineChars="200"/>
        <w:rPr>
          <w:rFonts w:cs="宋体" w:asciiTheme="majorEastAsia" w:hAnsiTheme="majorEastAsia" w:eastAsiaTheme="majorEastAsia"/>
          <w:bCs/>
        </w:rPr>
      </w:pPr>
      <w:r>
        <w:rPr>
          <w:rFonts w:cs="宋体" w:asciiTheme="majorEastAsia" w:hAnsiTheme="majorEastAsia" w:eastAsiaTheme="majorEastAsia"/>
          <w:bCs/>
          <w:sz w:val="24"/>
          <w:szCs w:val="24"/>
        </w:rPr>
        <w:t>3.1  投标人未被列入失信被执行人、重大税收违法案件当事人名单、政府采购严重违法失信行为记录名单，且应符合《中华人民共和国政府采购法》第二十二条规定的下列投标人资格条件：</w:t>
      </w:r>
    </w:p>
    <w:p>
      <w:pPr>
        <w:pStyle w:val="17"/>
        <w:spacing w:line="360" w:lineRule="auto"/>
        <w:ind w:firstLine="480" w:firstLineChars="20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（1）具有独立承担民事责任的能力；</w:t>
      </w:r>
    </w:p>
    <w:p>
      <w:pPr>
        <w:pStyle w:val="17"/>
        <w:spacing w:line="360" w:lineRule="auto"/>
        <w:ind w:firstLine="42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（2）具有良好的商业信誉和健全的财务会计制度；</w:t>
      </w:r>
    </w:p>
    <w:p>
      <w:pPr>
        <w:pStyle w:val="17"/>
        <w:spacing w:line="360" w:lineRule="auto"/>
        <w:ind w:firstLine="42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（3）具有履行合同所必需的设备和专业技术能力；</w:t>
      </w:r>
    </w:p>
    <w:p>
      <w:pPr>
        <w:pStyle w:val="17"/>
        <w:spacing w:line="360" w:lineRule="auto"/>
        <w:ind w:firstLine="42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（4）有依法缴纳税收和社会保障资金的良好记录；</w:t>
      </w:r>
    </w:p>
    <w:p>
      <w:pPr>
        <w:pStyle w:val="17"/>
        <w:spacing w:line="360" w:lineRule="auto"/>
        <w:ind w:firstLine="42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（5）参加政府采购活动前三年内，在经营活动中没有重大违法记录；</w:t>
      </w:r>
    </w:p>
    <w:p>
      <w:pPr>
        <w:pStyle w:val="17"/>
        <w:spacing w:line="360" w:lineRule="auto"/>
        <w:ind w:firstLine="42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（6）法律、行政法规规定的其他条件。</w:t>
      </w:r>
    </w:p>
    <w:p>
      <w:pPr>
        <w:pStyle w:val="17"/>
        <w:spacing w:line="360" w:lineRule="auto"/>
        <w:ind w:firstLine="360" w:firstLineChars="15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3.2  针对本项目，投标人应具备的特定条件：见投标人须知前附表。</w:t>
      </w:r>
    </w:p>
    <w:p>
      <w:pPr>
        <w:pStyle w:val="17"/>
        <w:spacing w:line="360" w:lineRule="auto"/>
        <w:ind w:left="2" w:firstLine="360"/>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3.3  投标人须知前附表规定接受联合体投标的，两个以上供应商可以组成一个投标联合体，以一个投标人的身份共同参加投标。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7"/>
        <w:spacing w:line="360" w:lineRule="auto"/>
        <w:ind w:left="2" w:firstLine="360"/>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3.4  投标人不得直接或间接地与为本次采购的项目内容进行设计、编制规范和其他文件的咨询公司、采购代理机构或其附属机构有任何关联。 </w:t>
      </w:r>
    </w:p>
    <w:p>
      <w:pPr>
        <w:pStyle w:val="17"/>
        <w:spacing w:line="360" w:lineRule="auto"/>
        <w:ind w:left="242" w:hanging="242" w:hangingChars="101"/>
        <w:jc w:val="left"/>
        <w:rPr>
          <w:rFonts w:cs="宋体" w:asciiTheme="majorEastAsia" w:hAnsiTheme="majorEastAsia" w:eastAsiaTheme="majorEastAsia"/>
          <w:bCs/>
          <w:sz w:val="24"/>
        </w:rPr>
      </w:pPr>
      <w:r>
        <w:rPr>
          <w:rFonts w:cs="宋体" w:asciiTheme="majorEastAsia" w:hAnsiTheme="majorEastAsia" w:eastAsiaTheme="majorEastAsia"/>
          <w:bCs/>
          <w:sz w:val="24"/>
        </w:rPr>
        <w:t>4.质疑</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4.1 投标人认为招标文件、采购过程或中标结果使自己的合法权益受到损害的，应当在知道或者应知其权益受到损害之日起七个工作日内，以书面形式向采购人、采购代理机构提出质疑。</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4.2提出质疑的投标人应当是参与所质疑项目采购活动的供应商，质疑函应按</w:t>
      </w:r>
      <w:r>
        <w:fldChar w:fldCharType="begin"/>
      </w:r>
      <w:r>
        <w:instrText xml:space="preserve"> HYPERLINK "https://www.baidu.com/link?url=FnEKpEfecgHI29OKpvrr0ThhhsjQDNw-iC11hZexO2s8DSLZMvZjUN1CP-ntt8geS3G5mNVZ0i2D2OwgmglOo6vjFDXXMR3ZdYuFwaHcBwa&amp;wd=&amp;eqid=f309d5cf0000e588000000065a976ec3" \t "_blank" </w:instrText>
      </w:r>
      <w:r>
        <w:fldChar w:fldCharType="separate"/>
      </w:r>
      <w:r>
        <w:rPr>
          <w:rStyle w:val="34"/>
          <w:rFonts w:hint="eastAsia" w:asciiTheme="majorEastAsia" w:hAnsiTheme="majorEastAsia" w:eastAsiaTheme="majorEastAsia"/>
          <w:bCs/>
          <w:color w:val="auto"/>
          <w:kern w:val="2"/>
          <w:sz w:val="24"/>
          <w:szCs w:val="24"/>
        </w:rPr>
        <w:t>财政部发布《政府采购供应商质疑函范本》</w:t>
      </w:r>
      <w:r>
        <w:rPr>
          <w:rStyle w:val="34"/>
          <w:rFonts w:hint="eastAsia" w:asciiTheme="majorEastAsia" w:hAnsiTheme="majorEastAsia" w:eastAsiaTheme="majorEastAsia"/>
          <w:bCs/>
          <w:color w:val="auto"/>
          <w:kern w:val="2"/>
          <w:sz w:val="24"/>
          <w:szCs w:val="24"/>
        </w:rPr>
        <w:fldChar w:fldCharType="end"/>
      </w:r>
      <w:r>
        <w:rPr>
          <w:rFonts w:hint="eastAsia" w:asciiTheme="majorEastAsia" w:hAnsiTheme="majorEastAsia" w:eastAsiaTheme="majorEastAsia"/>
          <w:bCs/>
          <w:kern w:val="2"/>
          <w:sz w:val="24"/>
          <w:szCs w:val="24"/>
        </w:rPr>
        <w:t>编制，质疑函内容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4.3供应商质疑实行实名制，其质疑应当有具体的质疑事项及事实根据，质疑应当坚持依法依规、诚实信用原则，不得进行虚假、恶意质疑。</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4.4供应商提交质疑应当提交质疑函和必要的证明材料，质疑函应当包括下列内容：</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（1）供应商的姓名或者名称、地址、邮编、联系人及联系电话；</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（2）质疑项目的名称、编号；</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（3）具体、明确的质疑事项和质疑事项相关的请求；</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（4）事实依据；</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（5）必要的法律依据；</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（6）提起质疑的日期；</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质疑书应当署名。供应商为自然人的，应当由本人签字；质疑供应商为法人或者其他组织的，应当由法定代表人、主要负责人签字或其授权代表签字或盖章并加盖公章。</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4.6  质疑供应商提起质疑应当符合下列条件：</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（1）质疑供应商是参与所质疑政府采购活动的供应商，以联合体形式参加政府采购活动的，其质疑应当由组成联合体的所有供应商共同提出；</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（2）质疑函内容符合本章第4.4项的规定；</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（3）在质疑有效期限内提起质疑；</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（4）属于所质疑的采购人或采购人委托的采购代理机构组织的采购活动；</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 xml:space="preserve">（5）同一质疑事项未经采购人或采购人委托的采购代理机构质疑处理； </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（6）供应商对同一采购程序环节的质疑应当在质疑有效期内一次性提出；</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（7）供应商提交质疑应当提交必要的证明材料，证明材料应以合法手段取得；</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（8）财政部门规定的其他条件。</w:t>
      </w:r>
    </w:p>
    <w:p>
      <w:pPr>
        <w:widowControl w:val="0"/>
        <w:adjustRightInd/>
        <w:snapToGrid/>
        <w:spacing w:after="0" w:line="440" w:lineRule="exact"/>
        <w:ind w:firstLine="480" w:firstLineChars="200"/>
        <w:jc w:val="both"/>
        <w:rPr>
          <w:rFonts w:asciiTheme="majorEastAsia" w:hAnsiTheme="majorEastAsia" w:eastAsiaTheme="majorEastAsia"/>
          <w:bCs/>
          <w:kern w:val="2"/>
          <w:sz w:val="24"/>
          <w:szCs w:val="24"/>
        </w:rPr>
      </w:pPr>
      <w:r>
        <w:rPr>
          <w:rFonts w:hint="eastAsia" w:asciiTheme="majorEastAsia" w:hAnsiTheme="majorEastAsia" w:eastAsiaTheme="majorEastAsia"/>
          <w:bCs/>
          <w:kern w:val="2"/>
          <w:sz w:val="24"/>
          <w:szCs w:val="24"/>
        </w:rPr>
        <w:t>4.7  采购人或采购人委托的采购代理机构自受理质疑之日起七个工作日内，对质疑事项作出答复，并以书面形式通知质疑供应商及其他有关供应商。</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5.  投诉</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5.1  供应商认为采购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15个工作日内向南宁市政府采购监督管理部门提起投诉。</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5.2  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（1）投诉人和被投诉人的名称、地址、电话等； </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（2）具体的投诉事项及事实依据；</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（3）质疑和质疑答复情况及相关证明材料； </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（4）提起投诉的日期。</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    投诉书应当署名。投诉人为自然人的，应当由本人签字；投诉人为法人或者其他组织的，应当由法定代表人或者主要负责人签字盖章并加盖公章。</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5.3  投诉人可以委托代理人办理投诉事务。代理人办理投诉事务时，除提交投诉书外，还应当提交投诉人的授权委托书，授权委托书应当载明委托代理的具体权限和事项。</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5.4  投诉人提起投诉应当符合下列条件：</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（1）投诉人是参与所投诉政府采购活动的供应商；</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（2）提起投诉前已依法进行质疑；</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（3）投诉书内容符合本章第5.2项的规定；</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（4）在投诉有效期限内提起投诉；</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（5）属于南宁市政府采购监督管理部门管辖；</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（6）同一投诉事项未经南宁市政府采购监督管理部门投诉处理；</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（7）国务院财政部门规定的其他条件。</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5.5  南宁市政府采购监督管理部门自受理投诉之日起30个工作日内，对投诉事项作出处理决定，并以书面形式通知投诉人、被投诉人及其他与投诉处理结果有利害关系的政府采购当事人。</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5.6  南宁市政府采购监督管理部门在处理投诉事项期间，可以视具体情况暂停采购活动。</w:t>
      </w:r>
    </w:p>
    <w:p>
      <w:pPr>
        <w:pStyle w:val="17"/>
        <w:spacing w:line="360" w:lineRule="auto"/>
        <w:jc w:val="center"/>
        <w:outlineLvl w:val="1"/>
        <w:rPr>
          <w:rFonts w:cs="宋体" w:asciiTheme="majorEastAsia" w:hAnsiTheme="majorEastAsia" w:eastAsiaTheme="majorEastAsia"/>
          <w:b/>
          <w:sz w:val="30"/>
          <w:szCs w:val="30"/>
        </w:rPr>
      </w:pPr>
      <w:bookmarkStart w:id="24" w:name="_Toc213326417"/>
      <w:bookmarkStart w:id="25" w:name="_Toc17333"/>
      <w:bookmarkStart w:id="26" w:name="_Toc508092930"/>
      <w:bookmarkStart w:id="27" w:name="_Toc448343857"/>
      <w:r>
        <w:rPr>
          <w:rFonts w:cs="宋体" w:asciiTheme="majorEastAsia" w:hAnsiTheme="majorEastAsia" w:eastAsiaTheme="majorEastAsia"/>
          <w:b/>
          <w:sz w:val="30"/>
          <w:szCs w:val="30"/>
        </w:rPr>
        <w:t>二    公开招标文件</w:t>
      </w:r>
      <w:bookmarkEnd w:id="24"/>
      <w:bookmarkEnd w:id="25"/>
      <w:bookmarkEnd w:id="26"/>
      <w:bookmarkEnd w:id="27"/>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6.  公开招标文件的组成</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6.1  本</w:t>
      </w:r>
      <w:r>
        <w:rPr>
          <w:rFonts w:cs="宋体" w:asciiTheme="majorEastAsia" w:hAnsiTheme="majorEastAsia" w:eastAsiaTheme="majorEastAsia"/>
          <w:bCs/>
          <w:sz w:val="24"/>
          <w:szCs w:val="24"/>
        </w:rPr>
        <w:t>公开招标</w:t>
      </w:r>
      <w:r>
        <w:rPr>
          <w:rFonts w:cs="宋体" w:asciiTheme="majorEastAsia" w:hAnsiTheme="majorEastAsia" w:eastAsiaTheme="majorEastAsia"/>
          <w:sz w:val="24"/>
          <w:szCs w:val="24"/>
        </w:rPr>
        <w:t>文件包括六个章节，各章的内容如下：</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第一章  公告</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第二章  服务需求一览表</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第三章  评标方法</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第四章  投标人须知</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第五章  投标文件格式</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第六章  合同条款及格式</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6.2  根据本章第7.1项的规定对公开招标文件所做的澄清、修改，构成招标文件的组成部分。当公开招标文件与招标文件的澄清和修改就同一内容的表述不一致时，以最后发出的书面文件为准。</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7.  招标文件的澄清和修改</w:t>
      </w:r>
    </w:p>
    <w:p>
      <w:pPr>
        <w:spacing w:after="165" w:line="360" w:lineRule="auto"/>
        <w:ind w:left="2" w:firstLine="480"/>
        <w:rPr>
          <w:rFonts w:asciiTheme="majorEastAsia" w:hAnsiTheme="majorEastAsia" w:eastAsiaTheme="majorEastAsia"/>
          <w:sz w:val="24"/>
        </w:rPr>
      </w:pPr>
      <w:r>
        <w:rPr>
          <w:rFonts w:hint="eastAsia" w:asciiTheme="majorEastAsia" w:hAnsiTheme="majorEastAsia" w:eastAsiaTheme="majorEastAsia"/>
          <w:sz w:val="24"/>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spacing w:line="360" w:lineRule="auto"/>
        <w:ind w:left="2" w:firstLine="360"/>
        <w:rPr>
          <w:rFonts w:asciiTheme="majorEastAsia" w:hAnsiTheme="majorEastAsia" w:eastAsiaTheme="majorEastAsia"/>
          <w:sz w:val="24"/>
        </w:rPr>
      </w:pPr>
      <w:r>
        <w:rPr>
          <w:rFonts w:hint="eastAsia" w:asciiTheme="majorEastAsia" w:hAnsiTheme="majorEastAsia" w:eastAsiaTheme="majorEastAsia"/>
          <w:sz w:val="24"/>
        </w:rPr>
        <w:t>7.2  采购人或采购代理机构必须在投标截止时间十五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十五日，则相应延长投标截止时间。</w:t>
      </w:r>
    </w:p>
    <w:p>
      <w:pPr>
        <w:pStyle w:val="17"/>
        <w:spacing w:line="360" w:lineRule="auto"/>
        <w:ind w:left="2" w:leftChars="1" w:firstLine="482" w:firstLineChars="200"/>
        <w:rPr>
          <w:rFonts w:cs="宋体" w:asciiTheme="majorEastAsia" w:hAnsiTheme="majorEastAsia" w:eastAsiaTheme="majorEastAsia"/>
          <w:b/>
          <w:sz w:val="24"/>
          <w:szCs w:val="24"/>
        </w:rPr>
      </w:pPr>
      <w:r>
        <w:rPr>
          <w:rFonts w:cs="宋体" w:asciiTheme="majorEastAsia" w:hAnsiTheme="majorEastAsia" w:eastAsiaTheme="majorEastAsia"/>
          <w:b/>
          <w:sz w:val="24"/>
          <w:szCs w:val="24"/>
        </w:rPr>
        <w:t>7.3 采购人或采购代理机构对已发出的招标文件进行必要澄清或修改的，应在投标截止时间十五日前，在本章第2.1项规定的政府采购信息发布媒体上发布更正公告。如果修改招标文件的时间距投标截止时间不足十五日，则相应延长投标截止时间。请各投标</w:t>
      </w:r>
      <w:r>
        <w:rPr>
          <w:rFonts w:hint="eastAsia" w:cs="宋体" w:asciiTheme="majorEastAsia" w:hAnsiTheme="majorEastAsia" w:eastAsiaTheme="majorEastAsia"/>
          <w:b/>
          <w:sz w:val="24"/>
          <w:szCs w:val="24"/>
        </w:rPr>
        <w:t>人</w:t>
      </w:r>
      <w:r>
        <w:rPr>
          <w:rFonts w:cs="宋体" w:asciiTheme="majorEastAsia" w:hAnsiTheme="majorEastAsia" w:eastAsiaTheme="majorEastAsia"/>
          <w:b/>
          <w:sz w:val="24"/>
          <w:szCs w:val="24"/>
        </w:rPr>
        <w:t>随时关注网站动态，代理机构将不再另行电话通知。</w:t>
      </w:r>
    </w:p>
    <w:p>
      <w:pPr>
        <w:pStyle w:val="17"/>
        <w:spacing w:line="360" w:lineRule="auto"/>
        <w:ind w:left="2" w:leftChars="1" w:firstLine="482" w:firstLineChars="200"/>
        <w:rPr>
          <w:rFonts w:cs="宋体" w:asciiTheme="majorEastAsia" w:hAnsiTheme="majorEastAsia" w:eastAsiaTheme="majorEastAsia"/>
          <w:b/>
          <w:bCs/>
        </w:rPr>
      </w:pPr>
      <w:r>
        <w:rPr>
          <w:rFonts w:cs="宋体" w:asciiTheme="majorEastAsia" w:hAnsiTheme="majorEastAsia" w:eastAsiaTheme="majorEastAsia"/>
          <w:b/>
          <w:sz w:val="24"/>
          <w:szCs w:val="24"/>
        </w:rPr>
        <w:t>7.4  采购人和采购代理机构可以视采购具体情况，延长投标截止时间和开标时间，但至少应当在投标截止时间三日前，在本章第2.1项规定的政府采购信息发布媒体上发布变更公告。请各投标</w:t>
      </w:r>
      <w:r>
        <w:rPr>
          <w:rFonts w:hint="eastAsia" w:cs="宋体" w:asciiTheme="majorEastAsia" w:hAnsiTheme="majorEastAsia" w:eastAsiaTheme="majorEastAsia"/>
          <w:b/>
          <w:sz w:val="24"/>
          <w:szCs w:val="24"/>
        </w:rPr>
        <w:t>人</w:t>
      </w:r>
      <w:r>
        <w:rPr>
          <w:rFonts w:cs="宋体" w:asciiTheme="majorEastAsia" w:hAnsiTheme="majorEastAsia" w:eastAsiaTheme="majorEastAsia"/>
          <w:b/>
          <w:sz w:val="24"/>
          <w:szCs w:val="24"/>
        </w:rPr>
        <w:t>随时关注网站动态，代理机构将不再另行电话通知。</w:t>
      </w:r>
    </w:p>
    <w:p>
      <w:pPr>
        <w:pStyle w:val="17"/>
        <w:spacing w:line="360" w:lineRule="auto"/>
        <w:jc w:val="center"/>
        <w:rPr>
          <w:rFonts w:cs="宋体" w:asciiTheme="majorEastAsia" w:hAnsiTheme="majorEastAsia" w:eastAsiaTheme="majorEastAsia"/>
          <w:b/>
          <w:sz w:val="30"/>
          <w:szCs w:val="30"/>
        </w:rPr>
      </w:pPr>
      <w:bookmarkStart w:id="28" w:name="_Toc448343858"/>
      <w:bookmarkStart w:id="29" w:name="_Toc213326418"/>
    </w:p>
    <w:p>
      <w:pPr>
        <w:pStyle w:val="17"/>
        <w:spacing w:line="360" w:lineRule="auto"/>
        <w:jc w:val="center"/>
        <w:outlineLvl w:val="1"/>
        <w:rPr>
          <w:rFonts w:cs="宋体" w:asciiTheme="majorEastAsia" w:hAnsiTheme="majorEastAsia" w:eastAsiaTheme="majorEastAsia"/>
          <w:b/>
          <w:sz w:val="30"/>
          <w:szCs w:val="30"/>
        </w:rPr>
      </w:pPr>
      <w:bookmarkStart w:id="30" w:name="_Toc30182"/>
      <w:bookmarkStart w:id="31" w:name="_Toc508092931"/>
      <w:r>
        <w:rPr>
          <w:rFonts w:cs="宋体" w:asciiTheme="majorEastAsia" w:hAnsiTheme="majorEastAsia" w:eastAsiaTheme="majorEastAsia"/>
          <w:b/>
          <w:sz w:val="30"/>
          <w:szCs w:val="30"/>
        </w:rPr>
        <w:t>三    投标文件</w:t>
      </w:r>
      <w:bookmarkEnd w:id="28"/>
      <w:bookmarkEnd w:id="29"/>
      <w:bookmarkEnd w:id="30"/>
      <w:bookmarkEnd w:id="31"/>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8.  投标文件的编制</w:t>
      </w:r>
    </w:p>
    <w:p>
      <w:pPr>
        <w:pStyle w:val="17"/>
        <w:spacing w:line="360" w:lineRule="auto"/>
        <w:ind w:left="2" w:leftChars="1"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8.1  投标人应仔细阅读招标文件，在充分了解招标的内容、服务内容及要求和商务条款以及实质性要求和条件后，编写投标文件。</w:t>
      </w:r>
    </w:p>
    <w:p>
      <w:pPr>
        <w:pStyle w:val="17"/>
        <w:spacing w:line="360" w:lineRule="auto"/>
        <w:ind w:left="2" w:leftChars="1"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8.2  对招标文件的实质性要求和条件作出响应是指投标人必须对招标文件中标注为实质性要求和条件的服务内容及要求、商务条款及其它内容</w:t>
      </w:r>
      <w:r>
        <w:rPr>
          <w:rFonts w:cs="宋体" w:asciiTheme="majorEastAsia" w:hAnsiTheme="majorEastAsia" w:eastAsiaTheme="majorEastAsia"/>
          <w:b/>
          <w:sz w:val="24"/>
          <w:szCs w:val="24"/>
        </w:rPr>
        <w:t>作出满足或者优于原要求和条件的承诺</w:t>
      </w:r>
      <w:r>
        <w:rPr>
          <w:rFonts w:cs="宋体" w:asciiTheme="majorEastAsia" w:hAnsiTheme="majorEastAsia" w:eastAsiaTheme="majorEastAsia"/>
          <w:sz w:val="24"/>
          <w:szCs w:val="24"/>
        </w:rPr>
        <w:t>。</w:t>
      </w:r>
    </w:p>
    <w:p>
      <w:pPr>
        <w:pStyle w:val="17"/>
        <w:spacing w:line="360" w:lineRule="auto"/>
        <w:ind w:left="2" w:leftChars="1"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8.3  招标文件中标注★号的内容为实质性要求和条件。未标注★号的内容在评标时不得作为判定投标无效的依据。</w:t>
      </w:r>
    </w:p>
    <w:p>
      <w:pPr>
        <w:pStyle w:val="17"/>
        <w:spacing w:line="360" w:lineRule="auto"/>
        <w:ind w:left="2" w:leftChars="1"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7"/>
        <w:spacing w:line="360" w:lineRule="auto"/>
        <w:ind w:left="2" w:leftChars="1"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8.5  第五章“投标文件格式”中规定了投标文件格式的，应按相应格式要求编写。</w:t>
      </w:r>
    </w:p>
    <w:p>
      <w:pPr>
        <w:pStyle w:val="17"/>
        <w:spacing w:line="360" w:lineRule="auto"/>
        <w:ind w:left="2" w:leftChars="1"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7"/>
        <w:spacing w:line="360" w:lineRule="auto"/>
        <w:ind w:left="2" w:leftChars="1"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8.7  投标文件应编制目录，且页码清晰准确。</w:t>
      </w:r>
    </w:p>
    <w:p>
      <w:pPr>
        <w:pStyle w:val="17"/>
        <w:spacing w:line="360" w:lineRule="auto"/>
        <w:ind w:left="2" w:leftChars="1" w:firstLine="482" w:firstLineChars="200"/>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8.8 投标文件的正本和副本应分别装订成册，封面上应清楚地标记“正本”或“副本”字样，并标明项目名称、项目编号、投标人名称等内容。副本可以采用正本的复印件，当副本和正本不一致时，以正本为准。投标人应准备报价文件正本、资格文件、技术文件和商务文件正本各一份，副本份数见投标人须知前附表。</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9.  投标语言文字及计量单位</w:t>
      </w:r>
    </w:p>
    <w:p>
      <w:pPr>
        <w:pStyle w:val="17"/>
        <w:spacing w:line="360" w:lineRule="auto"/>
        <w:ind w:firstLine="480" w:firstLineChars="200"/>
        <w:rPr>
          <w:rFonts w:cs="宋体" w:asciiTheme="majorEastAsia" w:hAnsiTheme="majorEastAsia" w:eastAsiaTheme="majorEastAsia"/>
          <w:bCs/>
          <w:sz w:val="24"/>
          <w:szCs w:val="24"/>
        </w:rPr>
      </w:pPr>
      <w:r>
        <w:rPr>
          <w:rFonts w:cs="宋体" w:asciiTheme="majorEastAsia" w:hAnsiTheme="majorEastAsia" w:eastAsiaTheme="majorEastAsia"/>
          <w:sz w:val="24"/>
          <w:szCs w:val="24"/>
        </w:rPr>
        <w:t>9.1  投标人的投标文件以及投标人与采购人、采购代理机构就有关投标的所有往来函电统一使用中文（特别规定除外）。</w:t>
      </w:r>
    </w:p>
    <w:p>
      <w:pPr>
        <w:pStyle w:val="17"/>
        <w:spacing w:line="360" w:lineRule="auto"/>
        <w:ind w:firstLine="480" w:firstLineChars="200"/>
        <w:rPr>
          <w:rFonts w:cs="宋体" w:asciiTheme="majorEastAsia" w:hAnsiTheme="majorEastAsia" w:eastAsiaTheme="majorEastAsia"/>
          <w:bCs/>
          <w:sz w:val="24"/>
          <w:szCs w:val="24"/>
        </w:rPr>
      </w:pPr>
      <w:r>
        <w:rPr>
          <w:rFonts w:cs="宋体" w:asciiTheme="majorEastAsia" w:hAnsiTheme="majorEastAsia" w:eastAsiaTheme="majorEastAsia"/>
          <w:sz w:val="24"/>
          <w:szCs w:val="24"/>
        </w:rPr>
        <w:t>9.2  对不同文字文本投标文件的解释发生异议的，以中文文本为准。</w:t>
      </w:r>
    </w:p>
    <w:p>
      <w:pPr>
        <w:pStyle w:val="17"/>
        <w:spacing w:line="360" w:lineRule="auto"/>
        <w:ind w:firstLine="480" w:firstLineChars="200"/>
        <w:rPr>
          <w:rFonts w:cs="宋体" w:asciiTheme="majorEastAsia" w:hAnsiTheme="majorEastAsia" w:eastAsiaTheme="majorEastAsia"/>
          <w:bCs/>
          <w:sz w:val="24"/>
          <w:szCs w:val="24"/>
        </w:rPr>
      </w:pPr>
      <w:r>
        <w:rPr>
          <w:rFonts w:cs="宋体" w:asciiTheme="majorEastAsia" w:hAnsiTheme="majorEastAsia" w:eastAsiaTheme="majorEastAsia"/>
          <w:sz w:val="24"/>
          <w:szCs w:val="24"/>
        </w:rPr>
        <w:t>9.3  投标文件使用的计量单位除招标文件中有特殊规定外，一律使用中华人民共和国法定计量单位。</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10.  投标文件的组成</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10.1 投标人需编制的投标文件包括报价文件、资格文件、技术文件和商务文件四部分，投标人应按下列说明编写和提交。应递交的有关文件如未特别注明为原件的，可提交复印件。</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10.1.1  报价文件，包括：</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（1）投标函：按第五章“投标文件格式”提供的“投标函（格式）”的要求填写；</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（2）</w:t>
      </w:r>
      <w:r>
        <w:rPr>
          <w:rFonts w:hint="eastAsia" w:cs="宋体" w:asciiTheme="majorEastAsia" w:hAnsiTheme="majorEastAsia" w:eastAsiaTheme="majorEastAsia"/>
          <w:sz w:val="24"/>
          <w:szCs w:val="24"/>
        </w:rPr>
        <w:t>投标</w:t>
      </w:r>
      <w:r>
        <w:rPr>
          <w:rFonts w:cs="宋体" w:asciiTheme="majorEastAsia" w:hAnsiTheme="majorEastAsia" w:eastAsiaTheme="majorEastAsia"/>
          <w:sz w:val="24"/>
          <w:szCs w:val="24"/>
        </w:rPr>
        <w:t>报价表：按第五章“投标文件格式”提供的“</w:t>
      </w:r>
      <w:r>
        <w:rPr>
          <w:rFonts w:hint="eastAsia" w:cs="宋体" w:asciiTheme="majorEastAsia" w:hAnsiTheme="majorEastAsia" w:eastAsiaTheme="majorEastAsia"/>
          <w:sz w:val="24"/>
          <w:szCs w:val="24"/>
        </w:rPr>
        <w:t>投标</w:t>
      </w:r>
      <w:r>
        <w:rPr>
          <w:rFonts w:cs="宋体" w:asciiTheme="majorEastAsia" w:hAnsiTheme="majorEastAsia" w:eastAsiaTheme="majorEastAsia"/>
          <w:sz w:val="24"/>
          <w:szCs w:val="24"/>
        </w:rPr>
        <w:t>报价表（格式）”的要求填写;</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（3）中小企业声明函：按第五章“投标文件格式”提供的“中小企业声明函（格式）”的要求填写；</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（4）监狱企业证明：提供由省级以上监狱管理局、戒毒管理局（含新疆生产建设兵团）出具的属于监狱企业的证明文件。</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（5）残疾人福利性单位声明函：按第五章“投标文件格式”提供的“残疾人福利性单位声明函（格式）”的要求填写。</w:t>
      </w:r>
    </w:p>
    <w:p>
      <w:pPr>
        <w:pStyle w:val="17"/>
        <w:spacing w:line="360" w:lineRule="auto"/>
        <w:ind w:firstLine="420"/>
        <w:rPr>
          <w:rFonts w:cs="宋体" w:asciiTheme="majorEastAsia" w:hAnsiTheme="majorEastAsia" w:eastAsiaTheme="majorEastAsia"/>
          <w:b/>
          <w:sz w:val="24"/>
          <w:szCs w:val="24"/>
        </w:rPr>
      </w:pPr>
      <w:r>
        <w:rPr>
          <w:rFonts w:cs="宋体" w:asciiTheme="majorEastAsia" w:hAnsiTheme="majorEastAsia" w:eastAsiaTheme="majorEastAsia"/>
          <w:b/>
          <w:sz w:val="24"/>
          <w:szCs w:val="24"/>
        </w:rPr>
        <w:t>其中，报价文件组成要求的第（1）～（2）项必须提交；第（3）～（5）项如有请提交。</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10.1.2 资格文件组成要求，包括：</w:t>
      </w:r>
    </w:p>
    <w:p>
      <w:pPr>
        <w:spacing w:line="360" w:lineRule="auto"/>
        <w:ind w:firstLine="480" w:firstLineChars="200"/>
        <w:rPr>
          <w:rFonts w:asciiTheme="majorEastAsia" w:hAnsiTheme="majorEastAsia" w:eastAsiaTheme="majorEastAsia"/>
          <w:b/>
          <w:sz w:val="24"/>
        </w:rPr>
      </w:pPr>
      <w:r>
        <w:rPr>
          <w:rFonts w:hint="eastAsia" w:asciiTheme="majorEastAsia" w:hAnsiTheme="majorEastAsia" w:eastAsiaTheme="majorEastAsia"/>
          <w:sz w:val="24"/>
        </w:rPr>
        <w:t>（1）资格声明函。按第五章“投标文件格式”提供的“资格声明函（格式）”的要求填写。对列入失信被执行人、重大税收违法案件当事人名单、政府采购严重违法失信行为记录名单的投标人，将被拒绝参与本项目政府采购活动。</w:t>
      </w:r>
      <w:r>
        <w:rPr>
          <w:rFonts w:hint="eastAsia" w:asciiTheme="majorEastAsia" w:hAnsiTheme="majorEastAsia" w:eastAsiaTheme="majorEastAsia"/>
          <w:b/>
          <w:sz w:val="24"/>
        </w:rPr>
        <w:t>（注：采购人或采购代理机构在对投标人资格审查时进行信用查询，查询结果与投标文件不一致时，以采购人或采购代理机构查询结果为准。）</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2）根据本章第3.2项规定的投标人应具备的特定条件提供，包括营业执照副本内页或事业单位法人证复印件（投标人如为企业的，要求证件有效并清晰反映企业法人和经营范围）和投标人资格的其他证明文件复印件；</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（3）法定代表人身份证明复印件：如使用第二代身份证应提交正、反面复印件，如法定代表人非中国国籍应提交护照复印件，要求证件有效并与营业执照或事业单位法人证中的法定代表人相符；</w:t>
      </w:r>
    </w:p>
    <w:p>
      <w:pPr>
        <w:widowControl w:val="0"/>
        <w:adjustRightInd/>
        <w:snapToGrid/>
        <w:spacing w:after="0" w:line="360" w:lineRule="auto"/>
        <w:ind w:firstLine="480" w:firstLineChars="200"/>
        <w:jc w:val="both"/>
        <w:rPr>
          <w:rFonts w:asciiTheme="majorEastAsia" w:hAnsiTheme="majorEastAsia" w:eastAsiaTheme="majorEastAsia"/>
          <w:kern w:val="2"/>
          <w:sz w:val="24"/>
          <w:szCs w:val="24"/>
        </w:rPr>
      </w:pPr>
      <w:r>
        <w:rPr>
          <w:rFonts w:hint="eastAsia" w:asciiTheme="majorEastAsia" w:hAnsiTheme="majorEastAsia" w:eastAsiaTheme="majorEastAsia"/>
          <w:kern w:val="2"/>
          <w:sz w:val="24"/>
          <w:szCs w:val="24"/>
        </w:rPr>
        <w:t>（4）投标人直接控股、管理关系信息表，按第</w:t>
      </w:r>
      <w:r>
        <w:rPr>
          <w:rFonts w:asciiTheme="majorEastAsia" w:hAnsiTheme="majorEastAsia" w:eastAsiaTheme="majorEastAsia"/>
          <w:kern w:val="2"/>
          <w:sz w:val="24"/>
          <w:szCs w:val="24"/>
        </w:rPr>
        <w:t>五</w:t>
      </w:r>
      <w:r>
        <w:rPr>
          <w:rFonts w:hint="eastAsia" w:asciiTheme="majorEastAsia" w:hAnsiTheme="majorEastAsia" w:eastAsiaTheme="majorEastAsia"/>
          <w:kern w:val="2"/>
          <w:sz w:val="24"/>
          <w:szCs w:val="24"/>
        </w:rPr>
        <w:t>章“投标文件格式”提供的“投标人直接控股、管理关系信息表（格式）”的要求填写；</w:t>
      </w:r>
    </w:p>
    <w:p>
      <w:pPr>
        <w:pStyle w:val="17"/>
        <w:spacing w:line="360" w:lineRule="auto"/>
        <w:ind w:firstLine="482" w:firstLineChars="200"/>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其中，资格文件组成要求的第（1）～（</w:t>
      </w:r>
      <w:r>
        <w:rPr>
          <w:rFonts w:hint="eastAsia" w:cs="宋体" w:asciiTheme="majorEastAsia" w:hAnsiTheme="majorEastAsia" w:eastAsiaTheme="majorEastAsia"/>
          <w:b/>
          <w:bCs/>
          <w:sz w:val="24"/>
          <w:szCs w:val="24"/>
        </w:rPr>
        <w:t>4</w:t>
      </w:r>
      <w:r>
        <w:rPr>
          <w:rFonts w:cs="宋体" w:asciiTheme="majorEastAsia" w:hAnsiTheme="majorEastAsia" w:eastAsiaTheme="majorEastAsia"/>
          <w:b/>
          <w:bCs/>
          <w:sz w:val="24"/>
          <w:szCs w:val="24"/>
        </w:rPr>
        <w:t>）项必须提交。</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10.1.3 技术文件组成要求，包括：</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（1）投标服务技术资料表：按第五章“投标文件格式”提供的“投标服务技术资料表（格式）”的要求填写；</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（2）其它：针对本项目所投标服务的主要技术指标、参数及性能的详细说明，相关的图纸、图片，产品有效检测和鉴定证明复印件，等等。</w:t>
      </w:r>
    </w:p>
    <w:p>
      <w:pPr>
        <w:pStyle w:val="17"/>
        <w:spacing w:line="360" w:lineRule="auto"/>
        <w:ind w:firstLine="482" w:firstLineChars="200"/>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其中，技术文件组成要求的第（1）项必须提交；第（2）项如有请提交。</w:t>
      </w:r>
    </w:p>
    <w:p>
      <w:pPr>
        <w:spacing w:line="360" w:lineRule="auto"/>
        <w:ind w:firstLine="240" w:firstLineChars="100"/>
        <w:rPr>
          <w:rFonts w:asciiTheme="majorEastAsia" w:hAnsiTheme="majorEastAsia" w:eastAsiaTheme="majorEastAsia"/>
          <w:sz w:val="24"/>
        </w:rPr>
      </w:pPr>
      <w:r>
        <w:rPr>
          <w:rFonts w:hint="eastAsia" w:asciiTheme="majorEastAsia" w:hAnsiTheme="majorEastAsia" w:eastAsiaTheme="majorEastAsia"/>
          <w:sz w:val="24"/>
        </w:rPr>
        <w:t>10.1.4 商务文件组成要求，包括：</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（1）售后服务承诺书：按第五章“投标文件格式”提供的“售后服务承诺书（格式）” 的要求填写；</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（2）商务条款偏离表：按第五章“投标文件格式”提供的“商务条款偏离表（格式）” 的要求填写；</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3）投标文件递交截止之日前半年内投标人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 ；</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4）投标文件递交截止之日前半年内投标人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（5）法定代表人授权委托书：按第五章“投标文件格式”提供的“法定代表人授权委托书（格式）”的要求填写；</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（6）委托代理人身份证明复印件：如使用第二代身份证应提交正、反面复印件，如委托代理人非中国国籍应提交护照复印件，要求证件有效并与法定代表人授权委托书中的委托代理人相符；</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（7）财务会计报表复印件：投标人近三年的经会计师事务所或审计机构审计的财务会计报表，包括资产负债表、现金流量表、利润表、财务情况说明书和审计报告；</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8）其它：投标人通过国家或国际认证资格证书复印件、银行出具的投标人资信证明或信用等级证明复印件、投标人近三年同类服务的实际业绩证明（附中标通知书复印件或合同复印件）、投标人近三年的质量获奖荣誉证书复印件、投标人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b/>
          <w:sz w:val="24"/>
          <w:szCs w:val="24"/>
        </w:rPr>
        <w:t>商务文件中的第（1）～（4）项必须提交；第（5）、（6）项在委托代理时必须提交；第（7）、（8）项如有请提交。</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10.2 投标人应编制目录，按上述顺序将报价文件、资格文件、商务文件、技术文件</w:t>
      </w:r>
      <w:r>
        <w:rPr>
          <w:rFonts w:hint="eastAsia" w:asciiTheme="majorEastAsia" w:hAnsiTheme="majorEastAsia" w:eastAsiaTheme="majorEastAsia"/>
          <w:b/>
          <w:bCs/>
          <w:sz w:val="24"/>
        </w:rPr>
        <w:t>分别装订成册。特别注意投标报价不得出现在资格文件、技术文件和商务文件中。</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11.  投标报价</w:t>
      </w:r>
    </w:p>
    <w:p>
      <w:pPr>
        <w:pStyle w:val="17"/>
        <w:spacing w:line="360" w:lineRule="auto"/>
        <w:ind w:firstLine="482" w:firstLineChars="200"/>
        <w:rPr>
          <w:rFonts w:cs="宋体" w:asciiTheme="majorEastAsia" w:hAnsiTheme="majorEastAsia" w:eastAsiaTheme="majorEastAsia"/>
          <w:b/>
          <w:sz w:val="24"/>
          <w:szCs w:val="24"/>
        </w:rPr>
      </w:pPr>
      <w:r>
        <w:rPr>
          <w:rFonts w:cs="宋体" w:asciiTheme="majorEastAsia" w:hAnsiTheme="majorEastAsia" w:eastAsiaTheme="majorEastAsia"/>
          <w:b/>
          <w:sz w:val="24"/>
          <w:szCs w:val="24"/>
        </w:rPr>
        <w:t>11.1  投标人应以人民币并按分项报价。</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11.2  投标人可就第二章“服务需求一览表”中的</w:t>
      </w:r>
      <w:r>
        <w:rPr>
          <w:rFonts w:cs="宋体" w:asciiTheme="majorEastAsia" w:hAnsiTheme="majorEastAsia" w:eastAsiaTheme="majorEastAsia"/>
          <w:b/>
          <w:sz w:val="24"/>
          <w:szCs w:val="24"/>
        </w:rPr>
        <w:t>某一个分标内容报出完整且唯一报价，也可就某几个或所有分标内容分别报出完整且唯一报价，附带有条件的报价将不予接受。</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11.3  投标报价为在采购人指定地点提交服务成果所需的全部费用，其组成部分详见第二章“服务需求一览表”。采购人不再向中标供应商支付其投标报价之外的任何费用。</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11.4  本项目的采购代理服务费按物价部门核准的收费标准执行，见投标人须知前附表。</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11.5  不论投标结果如何，投标人均应自行承担与编制和递交投标文件有关的全部费用。</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12.  投标有效期</w:t>
      </w:r>
    </w:p>
    <w:p>
      <w:pPr>
        <w:pStyle w:val="17"/>
        <w:spacing w:line="360" w:lineRule="auto"/>
        <w:ind w:firstLine="480" w:firstLineChars="200"/>
        <w:rPr>
          <w:rFonts w:cs="宋体" w:asciiTheme="majorEastAsia" w:hAnsiTheme="majorEastAsia" w:eastAsiaTheme="majorEastAsia"/>
          <w:bCs/>
          <w:sz w:val="24"/>
          <w:szCs w:val="24"/>
        </w:rPr>
      </w:pPr>
      <w:r>
        <w:rPr>
          <w:rFonts w:cs="宋体" w:asciiTheme="majorEastAsia" w:hAnsiTheme="majorEastAsia" w:eastAsiaTheme="majorEastAsia"/>
          <w:sz w:val="24"/>
          <w:szCs w:val="24"/>
        </w:rPr>
        <w:t>12.1  在投标人须知前附表规定的投标有效期内，投标人不得要求撤销或修改其投标文件。</w:t>
      </w:r>
    </w:p>
    <w:p>
      <w:pPr>
        <w:pStyle w:val="17"/>
        <w:spacing w:line="360" w:lineRule="auto"/>
        <w:ind w:firstLine="480" w:firstLineChars="200"/>
        <w:rPr>
          <w:rFonts w:cs="宋体" w:asciiTheme="majorEastAsia" w:hAnsiTheme="majorEastAsia" w:eastAsiaTheme="majorEastAsia"/>
          <w:bCs/>
          <w:sz w:val="24"/>
          <w:szCs w:val="24"/>
        </w:rPr>
      </w:pPr>
      <w:r>
        <w:rPr>
          <w:rFonts w:cs="宋体" w:asciiTheme="majorEastAsia" w:hAnsiTheme="majorEastAsia" w:eastAsiaTheme="majorEastAsia"/>
          <w:sz w:val="24"/>
          <w:szCs w:val="24"/>
        </w:rPr>
        <w:t>12.2  在特殊情况下，采购人或采购代理机构可与投标人协商延长投标有效期，这种要求与答复均应使用书面形式。投标人同意延长的，应相应延长其投标有效期，但不得要求或被允许修改或撤销其投标文件；投标人拒绝延长的，其投标在超过原有效期后失效。</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13.  投标保证金</w:t>
      </w:r>
    </w:p>
    <w:p>
      <w:pPr>
        <w:pStyle w:val="17"/>
        <w:spacing w:line="360" w:lineRule="auto"/>
        <w:ind w:firstLine="480" w:firstLineChars="200"/>
        <w:rPr>
          <w:rFonts w:cs="宋体" w:asciiTheme="majorEastAsia" w:hAnsiTheme="majorEastAsia" w:eastAsiaTheme="majorEastAsia"/>
          <w:bCs/>
          <w:sz w:val="24"/>
          <w:szCs w:val="24"/>
        </w:rPr>
      </w:pPr>
      <w:bookmarkStart w:id="32" w:name="_Toc508092932"/>
      <w:bookmarkStart w:id="33" w:name="_Toc448343859"/>
      <w:bookmarkStart w:id="34" w:name="_Toc213326419"/>
      <w:r>
        <w:rPr>
          <w:rFonts w:cs="宋体" w:asciiTheme="majorEastAsia" w:hAnsiTheme="majorEastAsia" w:eastAsiaTheme="majorEastAsia"/>
          <w:bCs/>
          <w:sz w:val="24"/>
          <w:szCs w:val="24"/>
        </w:rPr>
        <w:t>本项目不收取投标保证金。</w:t>
      </w:r>
    </w:p>
    <w:p>
      <w:pPr>
        <w:pStyle w:val="17"/>
        <w:spacing w:line="360" w:lineRule="auto"/>
        <w:jc w:val="center"/>
        <w:outlineLvl w:val="1"/>
        <w:rPr>
          <w:rFonts w:cs="宋体" w:asciiTheme="majorEastAsia" w:hAnsiTheme="majorEastAsia" w:eastAsiaTheme="majorEastAsia"/>
          <w:b/>
          <w:sz w:val="30"/>
          <w:szCs w:val="30"/>
        </w:rPr>
      </w:pPr>
      <w:bookmarkStart w:id="35" w:name="_Toc10567"/>
      <w:r>
        <w:rPr>
          <w:rFonts w:cs="宋体" w:asciiTheme="majorEastAsia" w:hAnsiTheme="majorEastAsia" w:eastAsiaTheme="majorEastAsia"/>
          <w:b/>
          <w:sz w:val="30"/>
          <w:szCs w:val="30"/>
        </w:rPr>
        <w:t>四    投标</w:t>
      </w:r>
      <w:bookmarkEnd w:id="32"/>
      <w:bookmarkEnd w:id="33"/>
      <w:bookmarkEnd w:id="34"/>
      <w:bookmarkEnd w:id="35"/>
    </w:p>
    <w:p>
      <w:pPr>
        <w:pStyle w:val="17"/>
        <w:spacing w:line="360" w:lineRule="auto"/>
        <w:ind w:firstLine="240" w:firstLineChars="10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14.  投标文件的密封</w:t>
      </w:r>
    </w:p>
    <w:p>
      <w:pPr>
        <w:pStyle w:val="17"/>
        <w:spacing w:line="360" w:lineRule="auto"/>
        <w:ind w:firstLine="241" w:firstLineChars="100"/>
        <w:rPr>
          <w:rFonts w:cs="宋体" w:asciiTheme="majorEastAsia" w:hAnsiTheme="majorEastAsia" w:eastAsiaTheme="majorEastAsia"/>
          <w:b/>
          <w:sz w:val="24"/>
          <w:szCs w:val="24"/>
        </w:rPr>
      </w:pPr>
      <w:r>
        <w:rPr>
          <w:rFonts w:cs="宋体" w:asciiTheme="majorEastAsia" w:hAnsiTheme="majorEastAsia" w:eastAsiaTheme="majorEastAsia"/>
          <w:b/>
          <w:sz w:val="24"/>
          <w:szCs w:val="24"/>
        </w:rPr>
        <w:t>14.1  投标人应将所有投标文件密封在一个外层包封中，在外层包封上标明“投标文件”。</w:t>
      </w:r>
    </w:p>
    <w:p>
      <w:pPr>
        <w:pStyle w:val="17"/>
        <w:spacing w:line="360" w:lineRule="auto"/>
        <w:ind w:firstLine="241" w:firstLineChars="100"/>
        <w:rPr>
          <w:rFonts w:cs="宋体" w:asciiTheme="majorEastAsia" w:hAnsiTheme="majorEastAsia" w:eastAsiaTheme="majorEastAsia"/>
          <w:b/>
          <w:sz w:val="24"/>
          <w:szCs w:val="24"/>
        </w:rPr>
      </w:pPr>
      <w:r>
        <w:rPr>
          <w:rFonts w:cs="宋体" w:asciiTheme="majorEastAsia" w:hAnsiTheme="majorEastAsia" w:eastAsiaTheme="majorEastAsia"/>
          <w:b/>
          <w:sz w:val="24"/>
          <w:szCs w:val="24"/>
        </w:rPr>
        <w:t>14.2 外层包封应写明项目名称、项目编号、采购人单位名称、投标人名称，并注明开标时间以前不得开封。</w:t>
      </w:r>
    </w:p>
    <w:p>
      <w:pPr>
        <w:pStyle w:val="17"/>
        <w:spacing w:line="360" w:lineRule="auto"/>
        <w:ind w:firstLine="241" w:firstLineChars="100"/>
        <w:rPr>
          <w:rFonts w:cs="宋体" w:asciiTheme="majorEastAsia" w:hAnsiTheme="majorEastAsia" w:eastAsiaTheme="majorEastAsia"/>
          <w:b/>
          <w:sz w:val="24"/>
          <w:szCs w:val="24"/>
        </w:rPr>
      </w:pPr>
      <w:r>
        <w:rPr>
          <w:rFonts w:cs="宋体" w:asciiTheme="majorEastAsia" w:hAnsiTheme="majorEastAsia" w:eastAsiaTheme="majorEastAsia"/>
          <w:b/>
          <w:sz w:val="24"/>
          <w:szCs w:val="24"/>
        </w:rPr>
        <w:t>14.3 如果外包封没有按照上述规定密封，</w:t>
      </w:r>
      <w:r>
        <w:rPr>
          <w:rFonts w:hint="eastAsia" w:cs="宋体" w:asciiTheme="majorEastAsia" w:hAnsiTheme="majorEastAsia" w:eastAsiaTheme="majorEastAsia"/>
          <w:b/>
          <w:sz w:val="24"/>
          <w:szCs w:val="24"/>
        </w:rPr>
        <w:t>采购</w:t>
      </w:r>
      <w:r>
        <w:rPr>
          <w:rFonts w:cs="宋体" w:asciiTheme="majorEastAsia" w:hAnsiTheme="majorEastAsia" w:eastAsiaTheme="majorEastAsia"/>
          <w:b/>
          <w:sz w:val="24"/>
          <w:szCs w:val="24"/>
        </w:rPr>
        <w:t>代理单位将不承担投标文件错放或提前开封的责任。由此造成的提前开封的投标文件将予以拒绝，并退还给投标人。</w:t>
      </w:r>
    </w:p>
    <w:p>
      <w:pPr>
        <w:pStyle w:val="17"/>
        <w:spacing w:line="360" w:lineRule="auto"/>
        <w:ind w:firstLine="241" w:firstLineChars="100"/>
        <w:rPr>
          <w:rFonts w:cs="宋体" w:asciiTheme="majorEastAsia" w:hAnsiTheme="majorEastAsia" w:eastAsiaTheme="majorEastAsia"/>
          <w:b/>
          <w:sz w:val="24"/>
          <w:szCs w:val="24"/>
        </w:rPr>
      </w:pPr>
      <w:r>
        <w:rPr>
          <w:rFonts w:cs="宋体" w:asciiTheme="majorEastAsia" w:hAnsiTheme="majorEastAsia" w:eastAsiaTheme="majorEastAsia"/>
          <w:b/>
          <w:sz w:val="24"/>
          <w:szCs w:val="24"/>
        </w:rPr>
        <w:t>14.4 外层包封封口处应加盖密封章或单位公章，若封口处没有加盖密封章或公章或破损严重，招标代理单位将其拒收。</w:t>
      </w:r>
    </w:p>
    <w:p>
      <w:pPr>
        <w:pStyle w:val="17"/>
        <w:spacing w:line="360" w:lineRule="auto"/>
        <w:ind w:firstLine="480" w:firstLineChars="200"/>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15.  投标文件的递交</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15.1  投标人投标截止时间：见投标人须知前附表。</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15.2  投标人递交投标文件地点：见投标人须知前附表。</w:t>
      </w:r>
    </w:p>
    <w:p>
      <w:pPr>
        <w:pStyle w:val="17"/>
        <w:spacing w:line="360" w:lineRule="auto"/>
        <w:jc w:val="center"/>
        <w:rPr>
          <w:rFonts w:cs="宋体" w:asciiTheme="majorEastAsia" w:hAnsiTheme="majorEastAsia" w:eastAsiaTheme="majorEastAsia"/>
          <w:sz w:val="24"/>
          <w:szCs w:val="24"/>
        </w:rPr>
      </w:pPr>
      <w:bookmarkStart w:id="36" w:name="_Toc508092933"/>
    </w:p>
    <w:p>
      <w:pPr>
        <w:pStyle w:val="17"/>
        <w:spacing w:line="360" w:lineRule="auto"/>
        <w:jc w:val="center"/>
        <w:outlineLvl w:val="1"/>
        <w:rPr>
          <w:rFonts w:cs="宋体" w:asciiTheme="majorEastAsia" w:hAnsiTheme="majorEastAsia" w:eastAsiaTheme="majorEastAsia"/>
          <w:b/>
          <w:sz w:val="30"/>
          <w:szCs w:val="30"/>
        </w:rPr>
      </w:pPr>
      <w:bookmarkStart w:id="37" w:name="_Toc24435"/>
      <w:r>
        <w:rPr>
          <w:rFonts w:cs="宋体" w:asciiTheme="majorEastAsia" w:hAnsiTheme="majorEastAsia" w:eastAsiaTheme="majorEastAsia"/>
          <w:b/>
          <w:sz w:val="30"/>
          <w:szCs w:val="30"/>
        </w:rPr>
        <w:t>五    开标、资格审查与评标</w:t>
      </w:r>
      <w:bookmarkEnd w:id="36"/>
      <w:bookmarkEnd w:id="37"/>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16.  开标</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16.1  采购代理机构将在本章第15.1项规定的投标截止时间（即开标时间）和投标人须知前附表规定的地点公开开标，</w:t>
      </w:r>
      <w:r>
        <w:rPr>
          <w:rFonts w:cs="宋体" w:asciiTheme="majorEastAsia" w:hAnsiTheme="majorEastAsia" w:eastAsiaTheme="majorEastAsia"/>
          <w:sz w:val="24"/>
        </w:rPr>
        <w:t>投标人的法定代表人或委托代理人应准时</w:t>
      </w:r>
      <w:r>
        <w:rPr>
          <w:rFonts w:hint="eastAsia" w:cs="宋体" w:asciiTheme="majorEastAsia" w:hAnsiTheme="majorEastAsia" w:eastAsiaTheme="majorEastAsia"/>
          <w:sz w:val="24"/>
        </w:rPr>
        <w:t>递交投标文件</w:t>
      </w:r>
      <w:r>
        <w:rPr>
          <w:rFonts w:hint="eastAsia" w:asciiTheme="majorEastAsia" w:hAnsiTheme="majorEastAsia" w:eastAsiaTheme="majorEastAsia" w:cstheme="majorEastAsia"/>
          <w:color w:val="000000" w:themeColor="text1"/>
          <w:sz w:val="24"/>
          <w:szCs w:val="24"/>
        </w:rPr>
        <w:t>，如未按时递交，由此产生的后果由投标人自行负责。</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16.1.1 截标后由采购人或采购代理机构对投标人进行信用查询。</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查询渠道：“信用中国”网站（www.creditchina.gov.cn）、中国政府采购网（www.ccgp.gov.cn） </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查询截止时点：投标截止时间   </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查询记录和证据留存方式：在查询网站中直接打印查询记录，打印材料作为评审资料保存。</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16.2  开标程序：</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（1）开标会由采购代理机构主持，主持人宣布开标会议开始；</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（2）公布在投标截止时间前递交投标文件的投标人名称，并点名确认投标人是否派人到场；</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（3）宣布开标人、唱标人、记录人、监标人（由第三方监督单位担任）等有关人员姓名；</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（4）投标人代表按本章第14.1项的规定交叉检查投标文件的密封情况，并签字确认；</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5）按各投标人递交投标文件时间的先后顺序当众拆封投标文件，由唱标人宣读投标人名称、分标名称、投标文件正副本数量、投标报价、提交服务成果时间等以及采购代理机构认为有必要宣读的其他内容，记录人负责做开标记录；</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（6）相关人员在开标记录上签字确认；</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（7）宣布评标期间的有关事项；</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（8）开标结束。</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16.3资格审查</w:t>
      </w:r>
    </w:p>
    <w:p>
      <w:pPr>
        <w:pStyle w:val="17"/>
        <w:spacing w:line="360" w:lineRule="auto"/>
        <w:ind w:firstLine="360"/>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采购人依据法律法规和招标文件的规定，对投标文件中的资格文件进行审查，以确定投标供应商是否具备投标资格。合格投标人不足3家的，不得评标。</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17.  评标</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17.2  评标原则：评标活动遵循公平、公正、科学和择优的原则。</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17.4  </w:t>
      </w:r>
      <w:r>
        <w:rPr>
          <w:rFonts w:cs="宋体" w:asciiTheme="majorEastAsia" w:hAnsiTheme="majorEastAsia" w:eastAsiaTheme="majorEastAsia"/>
          <w:bCs/>
          <w:sz w:val="24"/>
          <w:szCs w:val="24"/>
        </w:rPr>
        <w:t>评标程序：</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bCs/>
          <w:sz w:val="24"/>
          <w:szCs w:val="24"/>
        </w:rPr>
        <w:t>17.4.1  采购代理机构项目负责人宣读评标现场纪律要求，集中管理通讯工具，询问在场人员是否申请回避；</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bCs/>
          <w:sz w:val="24"/>
          <w:szCs w:val="24"/>
        </w:rPr>
        <w:t>17.4.2  采购代理机构项目负责人介绍项目概况及评标委员会组成情况（但不得发表影响评审的倾向性、歧视性言论），推选评标组长（原则上采购人不得担任评标组长）；</w:t>
      </w:r>
    </w:p>
    <w:p>
      <w:pPr>
        <w:spacing w:line="360" w:lineRule="auto"/>
        <w:ind w:firstLine="414"/>
        <w:rPr>
          <w:rFonts w:asciiTheme="majorEastAsia" w:hAnsiTheme="majorEastAsia" w:eastAsiaTheme="majorEastAsia"/>
          <w:sz w:val="24"/>
        </w:rPr>
      </w:pPr>
      <w:r>
        <w:rPr>
          <w:rFonts w:hint="eastAsia" w:asciiTheme="majorEastAsia" w:hAnsiTheme="majorEastAsia" w:eastAsiaTheme="majorEastAsia"/>
          <w:sz w:val="24"/>
        </w:rPr>
        <w:t>17.4.3.1投标文件初审。符合性检查：依据招标文件的规定，从投标文件的有效性、完整性和对招标文件的响应程度进行审查，以确定是否对招标文件的实质性要求和条件作出响应。</w:t>
      </w:r>
    </w:p>
    <w:p>
      <w:pPr>
        <w:spacing w:line="360" w:lineRule="auto"/>
        <w:ind w:firstLine="306"/>
        <w:rPr>
          <w:rFonts w:asciiTheme="majorEastAsia" w:hAnsiTheme="majorEastAsia" w:eastAsiaTheme="majorEastAsia"/>
          <w:sz w:val="24"/>
        </w:rPr>
      </w:pPr>
      <w:r>
        <w:rPr>
          <w:rFonts w:hint="eastAsia" w:asciiTheme="majorEastAsia" w:hAnsiTheme="majorEastAsia" w:eastAsiaTheme="majorEastAsia"/>
          <w:sz w:val="24"/>
        </w:rPr>
        <w:t>(1)有下列情形之一的视为投标人相互串通投标，投标文件将被视为无效。</w:t>
      </w:r>
    </w:p>
    <w:p>
      <w:pPr>
        <w:spacing w:line="360" w:lineRule="auto"/>
        <w:ind w:firstLine="306"/>
        <w:rPr>
          <w:rFonts w:asciiTheme="majorEastAsia" w:hAnsiTheme="majorEastAsia" w:eastAsiaTheme="majorEastAsia"/>
          <w:sz w:val="24"/>
        </w:rPr>
      </w:pPr>
      <w:r>
        <w:rPr>
          <w:rFonts w:hint="eastAsia" w:asciiTheme="majorEastAsia" w:hAnsiTheme="majorEastAsia" w:eastAsiaTheme="majorEastAsia"/>
          <w:sz w:val="24"/>
        </w:rPr>
        <w:t>①不同投标人的投标文件由同一单位或者个人编制；</w:t>
      </w:r>
    </w:p>
    <w:p>
      <w:pPr>
        <w:spacing w:line="360" w:lineRule="auto"/>
        <w:ind w:firstLine="306"/>
        <w:rPr>
          <w:rFonts w:asciiTheme="majorEastAsia" w:hAnsiTheme="majorEastAsia" w:eastAsiaTheme="majorEastAsia"/>
          <w:sz w:val="24"/>
        </w:rPr>
      </w:pPr>
      <w:r>
        <w:rPr>
          <w:rFonts w:hint="eastAsia" w:asciiTheme="majorEastAsia" w:hAnsiTheme="majorEastAsia" w:eastAsiaTheme="majorEastAsia"/>
          <w:sz w:val="24"/>
        </w:rPr>
        <w:t>②不同投标人委托同一单位或者个人办理投标事宜;</w:t>
      </w:r>
    </w:p>
    <w:p>
      <w:pPr>
        <w:spacing w:line="360" w:lineRule="auto"/>
        <w:ind w:firstLine="306"/>
        <w:rPr>
          <w:rFonts w:asciiTheme="majorEastAsia" w:hAnsiTheme="majorEastAsia" w:eastAsiaTheme="majorEastAsia"/>
          <w:sz w:val="24"/>
        </w:rPr>
      </w:pPr>
      <w:r>
        <w:rPr>
          <w:rFonts w:hint="eastAsia" w:asciiTheme="majorEastAsia" w:hAnsiTheme="majorEastAsia" w:eastAsiaTheme="majorEastAsia"/>
          <w:sz w:val="24"/>
        </w:rPr>
        <w:t>③不同的投标人的投标文件载明的项目管理员为同一个人;</w:t>
      </w:r>
    </w:p>
    <w:p>
      <w:pPr>
        <w:spacing w:line="360" w:lineRule="auto"/>
        <w:ind w:firstLine="306"/>
        <w:rPr>
          <w:rFonts w:asciiTheme="majorEastAsia" w:hAnsiTheme="majorEastAsia" w:eastAsiaTheme="majorEastAsia"/>
          <w:sz w:val="24"/>
        </w:rPr>
      </w:pPr>
      <w:r>
        <w:rPr>
          <w:rFonts w:hint="eastAsia" w:asciiTheme="majorEastAsia" w:hAnsiTheme="majorEastAsia" w:eastAsiaTheme="majorEastAsia"/>
          <w:sz w:val="24"/>
        </w:rPr>
        <w:t>④不同投标人的投标文件异常一致或投标报价呈规律性差异;</w:t>
      </w:r>
    </w:p>
    <w:p>
      <w:pPr>
        <w:spacing w:line="360" w:lineRule="auto"/>
        <w:ind w:firstLine="306"/>
        <w:rPr>
          <w:rFonts w:asciiTheme="majorEastAsia" w:hAnsiTheme="majorEastAsia" w:eastAsiaTheme="majorEastAsia"/>
          <w:sz w:val="24"/>
        </w:rPr>
      </w:pPr>
      <w:r>
        <w:rPr>
          <w:rFonts w:hint="eastAsia" w:asciiTheme="majorEastAsia" w:hAnsiTheme="majorEastAsia" w:eastAsiaTheme="majorEastAsia"/>
          <w:sz w:val="24"/>
        </w:rPr>
        <w:t>⑤不同投标人的投标文件相互混装;</w:t>
      </w:r>
    </w:p>
    <w:p>
      <w:pPr>
        <w:spacing w:line="360" w:lineRule="auto"/>
        <w:ind w:firstLine="306"/>
        <w:rPr>
          <w:rFonts w:asciiTheme="majorEastAsia" w:hAnsiTheme="majorEastAsia" w:eastAsiaTheme="majorEastAsia"/>
          <w:sz w:val="24"/>
        </w:rPr>
      </w:pPr>
      <w:r>
        <w:rPr>
          <w:rFonts w:hint="eastAsia" w:asciiTheme="majorEastAsia" w:hAnsiTheme="majorEastAsia" w:eastAsiaTheme="majorEastAsia"/>
          <w:sz w:val="24"/>
        </w:rPr>
        <w:t>（2）关联供应商不得参加同一合同项下政府采购活动，否则投标文件将被视为无效</w:t>
      </w:r>
    </w:p>
    <w:p>
      <w:pPr>
        <w:spacing w:line="360" w:lineRule="auto"/>
        <w:ind w:firstLine="306"/>
        <w:rPr>
          <w:rFonts w:asciiTheme="majorEastAsia" w:hAnsiTheme="majorEastAsia" w:eastAsiaTheme="majorEastAsia"/>
          <w:sz w:val="24"/>
        </w:rPr>
      </w:pPr>
      <w:r>
        <w:rPr>
          <w:rFonts w:hint="eastAsia" w:asciiTheme="majorEastAsia" w:hAnsiTheme="majorEastAsia" w:eastAsiaTheme="majorEastAsia"/>
          <w:sz w:val="24"/>
        </w:rPr>
        <w:t>①单位负责人为同一人或者存在直接控股、管理关系的不同的供应商，不得参加同一合同项下的政府采购活动;</w:t>
      </w:r>
    </w:p>
    <w:p>
      <w:pPr>
        <w:spacing w:line="360" w:lineRule="auto"/>
        <w:ind w:firstLine="306"/>
        <w:rPr>
          <w:rFonts w:asciiTheme="majorEastAsia" w:hAnsiTheme="majorEastAsia" w:eastAsiaTheme="majorEastAsia"/>
          <w:sz w:val="24"/>
        </w:rPr>
      </w:pPr>
      <w:r>
        <w:rPr>
          <w:rFonts w:hint="eastAsia" w:asciiTheme="majorEastAsia" w:hAnsiTheme="majorEastAsia" w:eastAsiaTheme="majorEastAsia"/>
          <w:sz w:val="24"/>
        </w:rPr>
        <w:t>②生产厂商授权给供应商后自己不得参加同一合同项下的政府采购活动；生产厂商对同一品牌的货物，仅能委托一个代理商参加投标。</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7"/>
        <w:spacing w:line="360" w:lineRule="auto"/>
        <w:ind w:firstLine="720" w:firstLineChars="300"/>
        <w:rPr>
          <w:rFonts w:cs="宋体" w:asciiTheme="majorEastAsia" w:hAnsiTheme="majorEastAsia" w:eastAsiaTheme="majorEastAsia"/>
          <w:sz w:val="24"/>
          <w:szCs w:val="24"/>
        </w:rPr>
      </w:pPr>
      <w:r>
        <w:rPr>
          <w:rFonts w:cs="宋体" w:asciiTheme="majorEastAsia" w:hAnsiTheme="majorEastAsia" w:eastAsiaTheme="majorEastAsia"/>
          <w:sz w:val="24"/>
          <w:szCs w:val="24"/>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7"/>
        <w:spacing w:line="360" w:lineRule="auto"/>
        <w:ind w:firstLine="600" w:firstLineChars="250"/>
        <w:rPr>
          <w:rFonts w:cs="宋体" w:asciiTheme="majorEastAsia" w:hAnsiTheme="majorEastAsia" w:eastAsiaTheme="majorEastAsia"/>
          <w:sz w:val="24"/>
          <w:szCs w:val="24"/>
        </w:rPr>
      </w:pPr>
      <w:r>
        <w:rPr>
          <w:rFonts w:cs="宋体" w:asciiTheme="majorEastAsia" w:hAnsiTheme="majorEastAsia" w:eastAsiaTheme="majorEastAsia"/>
          <w:sz w:val="24"/>
          <w:szCs w:val="24"/>
        </w:rPr>
        <w:t>17.4.3.4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17.4.3.5编写评标报告，并确定中标供应商名单。</w:t>
      </w:r>
    </w:p>
    <w:p>
      <w:pPr>
        <w:pStyle w:val="17"/>
        <w:spacing w:line="360" w:lineRule="auto"/>
        <w:ind w:firstLine="720" w:firstLineChars="300"/>
        <w:rPr>
          <w:rFonts w:cs="宋体" w:asciiTheme="majorEastAsia" w:hAnsiTheme="majorEastAsia" w:eastAsiaTheme="majorEastAsia"/>
          <w:bCs/>
          <w:sz w:val="24"/>
          <w:szCs w:val="24"/>
        </w:rPr>
      </w:pPr>
      <w:r>
        <w:rPr>
          <w:rFonts w:cs="宋体" w:asciiTheme="majorEastAsia" w:hAnsiTheme="majorEastAsia" w:eastAsiaTheme="majorEastAsia"/>
          <w:sz w:val="24"/>
          <w:szCs w:val="24"/>
        </w:rPr>
        <w:t>17.4.4  采购代理机构对评标过程和评分、评标结论进行核对和复核，如有错漏，请当事评委进行校正，按校正后的结果确定中标供应商。</w:t>
      </w:r>
    </w:p>
    <w:p>
      <w:pPr>
        <w:pStyle w:val="17"/>
        <w:spacing w:line="360" w:lineRule="auto"/>
        <w:ind w:firstLine="480" w:firstLineChars="200"/>
        <w:rPr>
          <w:rFonts w:cs="宋体" w:asciiTheme="majorEastAsia" w:hAnsiTheme="majorEastAsia" w:eastAsiaTheme="majorEastAsia"/>
          <w:bCs/>
          <w:sz w:val="24"/>
          <w:szCs w:val="24"/>
        </w:rPr>
      </w:pPr>
      <w:r>
        <w:rPr>
          <w:rFonts w:cs="宋体" w:asciiTheme="majorEastAsia" w:hAnsiTheme="majorEastAsia" w:eastAsiaTheme="majorEastAsia"/>
          <w:sz w:val="24"/>
          <w:szCs w:val="24"/>
        </w:rPr>
        <w:t>17.5  在确定中标供应商前，采购人或采购代理机构不得与投标供应商就投标价格、投标方案等实质性内容进行谈判。</w:t>
      </w:r>
    </w:p>
    <w:p>
      <w:pPr>
        <w:pStyle w:val="17"/>
        <w:spacing w:line="360" w:lineRule="auto"/>
        <w:ind w:firstLine="480" w:firstLineChars="200"/>
        <w:rPr>
          <w:rFonts w:cs="宋体" w:asciiTheme="majorEastAsia" w:hAnsiTheme="majorEastAsia" w:eastAsiaTheme="majorEastAsia"/>
          <w:bCs/>
          <w:sz w:val="24"/>
          <w:szCs w:val="24"/>
        </w:rPr>
      </w:pPr>
      <w:r>
        <w:rPr>
          <w:rFonts w:cs="宋体" w:asciiTheme="majorEastAsia" w:hAnsiTheme="majorEastAsia" w:eastAsiaTheme="majorEastAsia"/>
          <w:sz w:val="24"/>
          <w:szCs w:val="24"/>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18.  投标文件的修正</w:t>
      </w:r>
    </w:p>
    <w:p>
      <w:pPr>
        <w:pStyle w:val="17"/>
        <w:spacing w:line="360" w:lineRule="auto"/>
        <w:ind w:firstLine="410" w:firstLineChars="171"/>
        <w:rPr>
          <w:rFonts w:cs="宋体" w:asciiTheme="majorEastAsia" w:hAnsiTheme="majorEastAsia" w:eastAsiaTheme="majorEastAsia"/>
          <w:sz w:val="24"/>
          <w:szCs w:val="24"/>
        </w:rPr>
      </w:pPr>
      <w:r>
        <w:rPr>
          <w:rFonts w:cs="宋体" w:asciiTheme="majorEastAsia" w:hAnsiTheme="majorEastAsia" w:eastAsiaTheme="majorEastAsia"/>
          <w:sz w:val="24"/>
          <w:szCs w:val="24"/>
        </w:rPr>
        <w:t>18.1  如果出现计算或表达上的错误，修正的原则如下：</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（1）投标文件中开标一览表（报价表）内容与投标文件中相应内容不一致的，以开标一览表（报价表）为准；</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（2）大写金额和小写金额不一致的，以大写金额为准；</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（3）单价金额小数点或者百分比有明显错位的，以开标一览表的总价为准，并修改单价；</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（4）总价金额与按单价汇总金额不一致的，以单价金额计算结果为准。</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18.2同时出现两种以上不一致的，按照本条款规定的顺序修正。修正后的报价按照本章17.4.3.2的规定经投标人确认后产生约束力，投标人不确认的，其投标无效。</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19.  拒绝接收</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19.1 投标人未在本章第15.1项规定的时间之前将投标文件送达至本章第15.2项指定地点的，采购代理机构应当拒绝接收该投标人的投标文件。</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20.  无效投标</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★20.1  属下列情形之一的，投标人的投标无效：</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（1）投标人或投标文件不符合本章第3项规定的；</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（2）投标文件未按本章第8.8项的规定标识或未按规定的正、副本数量递交的； </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（3）投标文件未按本章第10.1项的规定编写和提交的（包括缺少应提交的文件或格式不符合第五章“投标文件格式”的要求）；</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（4）投标文件不符合本章第10.2项规定的；</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（5）投标人报价不符合本章第11项规定或超过采购预算的或超过最高限价的或评标委员会认定低于成本报价的；</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（6）投标文件不符合本章第14.1项规定的；</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（7）投标人出现本章第17.4.3.1项所述的投标文件将被视为无效的情形的；</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（8）投标人出现本章第18.2项所述情形的；</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（9）投标文件未对招标文件提出的要求和条件作出实质性响应的；</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（10）投标文件附有采购需求以外的条件使评标委员会认为不能接受的；</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（11）投标人在投标过程中提供虚假材料的；</w:t>
      </w:r>
    </w:p>
    <w:p>
      <w:pPr>
        <w:pStyle w:val="17"/>
        <w:spacing w:line="360" w:lineRule="auto"/>
        <w:ind w:firstLine="720"/>
        <w:rPr>
          <w:rFonts w:cs="宋体" w:asciiTheme="majorEastAsia" w:hAnsiTheme="majorEastAsia" w:eastAsiaTheme="majorEastAsia"/>
          <w:sz w:val="24"/>
          <w:szCs w:val="24"/>
        </w:rPr>
      </w:pPr>
      <w:r>
        <w:rPr>
          <w:rFonts w:cs="宋体" w:asciiTheme="majorEastAsia" w:hAnsiTheme="majorEastAsia" w:eastAsiaTheme="majorEastAsia"/>
          <w:sz w:val="24"/>
          <w:szCs w:val="24"/>
        </w:rPr>
        <w:t>（12）投标文件含有违反国家法律、法规的内容。</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21.  废标</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21.1  在招标过程中，出现下列情形之一的，予以废标：</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（1）符合专业条件的供应商或者对招标文件作实质响应的供应商不足三家的；</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（2）投标人的报价均超过了采购预算，采购人不能支付的；</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（3）因重大变故，采购任务取消的。</w:t>
      </w:r>
    </w:p>
    <w:p>
      <w:pPr>
        <w:pStyle w:val="17"/>
        <w:spacing w:line="360" w:lineRule="auto"/>
        <w:ind w:firstLine="480" w:firstLineChars="200"/>
        <w:jc w:val="left"/>
        <w:rPr>
          <w:rFonts w:cs="宋体" w:asciiTheme="majorEastAsia" w:hAnsiTheme="majorEastAsia" w:eastAsiaTheme="majorEastAsia"/>
          <w:b/>
          <w:bCs/>
        </w:rPr>
      </w:pPr>
      <w:r>
        <w:rPr>
          <w:rFonts w:cs="宋体" w:asciiTheme="majorEastAsia" w:hAnsiTheme="majorEastAsia" w:eastAsiaTheme="majorEastAsia"/>
          <w:sz w:val="24"/>
          <w:szCs w:val="24"/>
        </w:rPr>
        <w:t>21.2  废标后，采购代理机构将在本章第2.1项规定的政府采购信息发布媒体上公告废标理由，不再另行通知。</w:t>
      </w:r>
    </w:p>
    <w:p>
      <w:pPr>
        <w:pStyle w:val="17"/>
        <w:spacing w:line="360" w:lineRule="auto"/>
        <w:jc w:val="center"/>
        <w:outlineLvl w:val="1"/>
        <w:rPr>
          <w:rFonts w:cs="宋体" w:asciiTheme="majorEastAsia" w:hAnsiTheme="majorEastAsia" w:eastAsiaTheme="majorEastAsia"/>
          <w:b/>
          <w:sz w:val="30"/>
          <w:szCs w:val="30"/>
        </w:rPr>
      </w:pPr>
      <w:bookmarkStart w:id="38" w:name="_Toc213326421"/>
      <w:bookmarkStart w:id="39" w:name="_Toc508092934"/>
      <w:bookmarkStart w:id="40" w:name="_Toc448343861"/>
      <w:bookmarkStart w:id="41" w:name="_Toc373"/>
      <w:r>
        <w:rPr>
          <w:rFonts w:cs="宋体" w:asciiTheme="majorEastAsia" w:hAnsiTheme="majorEastAsia" w:eastAsiaTheme="majorEastAsia"/>
          <w:b/>
          <w:sz w:val="30"/>
          <w:szCs w:val="30"/>
        </w:rPr>
        <w:t>六    合同授予</w:t>
      </w:r>
      <w:bookmarkEnd w:id="38"/>
      <w:bookmarkEnd w:id="39"/>
      <w:bookmarkEnd w:id="40"/>
      <w:bookmarkEnd w:id="41"/>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22.  中标供应商的确定</w:t>
      </w:r>
    </w:p>
    <w:p>
      <w:pPr>
        <w:spacing w:line="360" w:lineRule="auto"/>
        <w:ind w:firstLine="480" w:firstLineChars="200"/>
        <w:rPr>
          <w:rFonts w:asciiTheme="majorEastAsia" w:hAnsiTheme="majorEastAsia" w:eastAsiaTheme="majorEastAsia"/>
        </w:rPr>
      </w:pPr>
      <w:r>
        <w:rPr>
          <w:rFonts w:hint="eastAsia" w:asciiTheme="majorEastAsia" w:hAnsiTheme="majorEastAsia" w:eastAsiaTheme="majorEastAsia"/>
          <w:sz w:val="24"/>
        </w:rPr>
        <w:t>22.1  评标委员会按第三章“评标方法”的规定排列中标候选供应商顺序，并依照次序确定中标供应商。</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23.  中标公告及中标通知书</w:t>
      </w:r>
    </w:p>
    <w:p>
      <w:pPr>
        <w:pStyle w:val="17"/>
        <w:spacing w:line="360" w:lineRule="auto"/>
        <w:ind w:firstLine="480" w:firstLineChars="200"/>
        <w:rPr>
          <w:rFonts w:cs="宋体" w:asciiTheme="majorEastAsia" w:hAnsiTheme="majorEastAsia" w:eastAsiaTheme="majorEastAsia"/>
          <w:sz w:val="24"/>
        </w:rPr>
      </w:pPr>
      <w:r>
        <w:rPr>
          <w:rFonts w:cs="宋体" w:asciiTheme="majorEastAsia" w:hAnsiTheme="majorEastAsia" w:eastAsiaTheme="majorEastAsia"/>
          <w:sz w:val="24"/>
        </w:rPr>
        <w:t>23.1  采购代理机构应当自中标供应商确认之日起2个工作日内，在本章第2.1项规定的政府采购信息发布媒体上公示中标结果，中标公告期限为1个工作日，在公告中标结果的同时，采购代理机构应当向中标供应商发出中标通知书。</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23.2  中标通知书对采购人和中标供应商具有同等法律效力。中标通知书发出后，采购人改变中标结果，或者中标供应商放弃中标，应当承担相应的法律责任。</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24.  投标文件的退回</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24.1  采购人及采购代理机构无义务向未中标供应商解释其未中标原因和退回投标文件。</w:t>
      </w:r>
    </w:p>
    <w:p>
      <w:pPr>
        <w:pStyle w:val="17"/>
        <w:tabs>
          <w:tab w:val="left" w:pos="630"/>
        </w:tabs>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25.  签订合同</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25.1  采购人和中标供应商应当在第二章“服务需求一览表”中商务条款要求载明的合同签订期内，根据招标文件、中标供应商的投标文件及有关澄清承诺书的要求按第六章“合同条款及格式”订立书面合同。</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25.3 如采购人无正当理由拒签合同的，采购人给中标供应商造成损失的，中标供应商可追究采购人承担相应的法律责任。</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25.4  采购人在签订合同之前有权要求中标供应商提供本项目必需的相关资料原件进行核查，中标供应商不得拒绝。如中标供应商拒绝提供，则自行承担由此产生的后果。</w:t>
      </w:r>
    </w:p>
    <w:p>
      <w:pPr>
        <w:pStyle w:val="17"/>
        <w:spacing w:line="360" w:lineRule="auto"/>
        <w:ind w:firstLine="360"/>
        <w:rPr>
          <w:rFonts w:cs="宋体" w:asciiTheme="majorEastAsia" w:hAnsiTheme="majorEastAsia" w:eastAsiaTheme="majorEastAsia"/>
          <w:sz w:val="24"/>
          <w:szCs w:val="24"/>
        </w:rPr>
      </w:pPr>
      <w:r>
        <w:rPr>
          <w:rFonts w:cs="宋体" w:asciiTheme="majorEastAsia" w:hAnsiTheme="majorEastAsia" w:eastAsiaTheme="majorEastAsia"/>
          <w:sz w:val="24"/>
          <w:szCs w:val="24"/>
        </w:rPr>
        <w:t>25.5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25.6　采购人或中标供应商不得单方面向合同另一方提出任何招标文件没有约定的条件或不合理的要求，作为签订合同的条件，也不得协商另行订立背离招标文件和合同实质性内容的协议。</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25.7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25.8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25.9　采购人或中标供应商在合同履行过程中存在违反政府采购合同行为的，权益受损当事人应当将有关违约的情况以及拟采取的措施，及时书面报告采购代理机构。</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26.  履约保证金及质量保证金</w:t>
      </w:r>
    </w:p>
    <w:p>
      <w:pPr>
        <w:pStyle w:val="17"/>
        <w:spacing w:line="360" w:lineRule="auto"/>
        <w:ind w:firstLine="420"/>
        <w:rPr>
          <w:rFonts w:cs="宋体" w:asciiTheme="majorEastAsia" w:hAnsiTheme="majorEastAsia" w:eastAsiaTheme="majorEastAsia"/>
        </w:rPr>
      </w:pPr>
      <w:r>
        <w:rPr>
          <w:rFonts w:cs="宋体" w:asciiTheme="majorEastAsia" w:hAnsiTheme="majorEastAsia" w:eastAsiaTheme="majorEastAsia"/>
          <w:sz w:val="24"/>
          <w:szCs w:val="24"/>
        </w:rPr>
        <w:t>本项目不收取履约保证金及质量保证金。</w:t>
      </w:r>
    </w:p>
    <w:p>
      <w:pPr>
        <w:pStyle w:val="17"/>
        <w:spacing w:line="360" w:lineRule="auto"/>
        <w:jc w:val="center"/>
        <w:outlineLvl w:val="1"/>
        <w:rPr>
          <w:rFonts w:cs="宋体" w:asciiTheme="majorEastAsia" w:hAnsiTheme="majorEastAsia" w:eastAsiaTheme="majorEastAsia"/>
          <w:b/>
          <w:sz w:val="30"/>
          <w:szCs w:val="30"/>
        </w:rPr>
      </w:pPr>
      <w:bookmarkStart w:id="42" w:name="_Toc508092935"/>
      <w:bookmarkStart w:id="43" w:name="_Toc213326422"/>
      <w:bookmarkStart w:id="44" w:name="_Toc28048"/>
      <w:bookmarkStart w:id="45" w:name="_Toc448343862"/>
      <w:r>
        <w:rPr>
          <w:rFonts w:cs="宋体" w:asciiTheme="majorEastAsia" w:hAnsiTheme="majorEastAsia" w:eastAsiaTheme="majorEastAsia"/>
          <w:b/>
          <w:sz w:val="30"/>
          <w:szCs w:val="30"/>
        </w:rPr>
        <w:t>七    其他事项</w:t>
      </w:r>
      <w:bookmarkEnd w:id="42"/>
      <w:bookmarkEnd w:id="43"/>
      <w:bookmarkEnd w:id="44"/>
      <w:bookmarkEnd w:id="45"/>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27.  解释权</w:t>
      </w:r>
    </w:p>
    <w:p>
      <w:pPr>
        <w:spacing w:line="360" w:lineRule="auto"/>
        <w:ind w:firstLine="360"/>
        <w:rPr>
          <w:rFonts w:asciiTheme="majorEastAsia" w:hAnsiTheme="majorEastAsia" w:eastAsiaTheme="majorEastAsia"/>
          <w:sz w:val="24"/>
        </w:rPr>
      </w:pPr>
      <w:r>
        <w:rPr>
          <w:rFonts w:hint="eastAsia" w:asciiTheme="majorEastAsia" w:hAnsiTheme="majorEastAsia" w:eastAsiaTheme="majorEastAsia"/>
          <w:sz w:val="24"/>
        </w:rPr>
        <w:t>27.1  本招标文件根据《中华人民共和国政府采购法》、《政府采购货物和服务招标投标管理办法》及相关法律法规编制，解释权属采购代理机构。</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28.   其他</w:t>
      </w:r>
    </w:p>
    <w:p>
      <w:pPr>
        <w:pStyle w:val="17"/>
        <w:spacing w:line="360" w:lineRule="auto"/>
        <w:ind w:firstLine="720" w:firstLineChars="300"/>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只要投标人参与投标并递交投标文件即视为已经理解并毫无保留地同意了本招标文件的所有条文。</w:t>
      </w:r>
    </w:p>
    <w:p>
      <w:pPr>
        <w:pStyle w:val="17"/>
        <w:spacing w:line="360" w:lineRule="auto"/>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29.   投标文件的退回</w:t>
      </w:r>
    </w:p>
    <w:p>
      <w:pPr>
        <w:pStyle w:val="17"/>
        <w:spacing w:line="360" w:lineRule="auto"/>
        <w:ind w:firstLine="600" w:firstLineChars="250"/>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 所有投标文件均不予退回</w:t>
      </w:r>
    </w:p>
    <w:p>
      <w:pPr>
        <w:widowControl w:val="0"/>
        <w:numPr>
          <w:ilvl w:val="0"/>
          <w:numId w:val="26"/>
        </w:numPr>
        <w:adjustRightInd/>
        <w:snapToGrid/>
        <w:spacing w:after="0" w:line="360" w:lineRule="auto"/>
        <w:rPr>
          <w:rFonts w:asciiTheme="majorEastAsia" w:hAnsiTheme="majorEastAsia" w:eastAsiaTheme="majorEastAsia"/>
          <w:sz w:val="24"/>
        </w:rPr>
      </w:pPr>
      <w:r>
        <w:rPr>
          <w:rFonts w:hint="eastAsia" w:asciiTheme="majorEastAsia" w:hAnsiTheme="majorEastAsia" w:eastAsiaTheme="majorEastAsia"/>
          <w:sz w:val="24"/>
        </w:rPr>
        <w:t xml:space="preserve"> 需要补充的其他内容</w:t>
      </w:r>
    </w:p>
    <w:p>
      <w:pPr>
        <w:pStyle w:val="17"/>
        <w:spacing w:line="360" w:lineRule="auto"/>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 xml:space="preserve">    30.1  需要补充的其他内容：见投标人须知前附表。</w:t>
      </w:r>
    </w:p>
    <w:p>
      <w:pPr>
        <w:spacing w:line="360" w:lineRule="auto"/>
        <w:rPr>
          <w:rFonts w:asciiTheme="majorEastAsia" w:hAnsiTheme="majorEastAsia" w:eastAsiaTheme="majorEastAsia"/>
          <w:b/>
          <w:sz w:val="36"/>
          <w:szCs w:val="20"/>
        </w:rPr>
      </w:pPr>
      <w:bookmarkStart w:id="46" w:name="_Toc508092936"/>
      <w:bookmarkStart w:id="47" w:name="_Toc213326423"/>
      <w:r>
        <w:rPr>
          <w:rFonts w:asciiTheme="majorEastAsia" w:hAnsiTheme="majorEastAsia" w:eastAsiaTheme="majorEastAsia"/>
          <w:b/>
          <w:sz w:val="36"/>
        </w:rPr>
        <w:br w:type="page"/>
      </w:r>
    </w:p>
    <w:p>
      <w:pPr>
        <w:pStyle w:val="17"/>
        <w:jc w:val="center"/>
        <w:outlineLvl w:val="0"/>
        <w:rPr>
          <w:rFonts w:cs="宋体" w:asciiTheme="majorEastAsia" w:hAnsiTheme="majorEastAsia" w:eastAsiaTheme="majorEastAsia"/>
        </w:rPr>
      </w:pPr>
      <w:bookmarkStart w:id="48" w:name="_Toc5061"/>
      <w:r>
        <w:rPr>
          <w:rFonts w:cs="宋体" w:asciiTheme="majorEastAsia" w:hAnsiTheme="majorEastAsia" w:eastAsiaTheme="majorEastAsia"/>
          <w:b/>
          <w:sz w:val="36"/>
        </w:rPr>
        <w:t>第五章  投标文件格式</w:t>
      </w:r>
      <w:bookmarkEnd w:id="46"/>
      <w:bookmarkEnd w:id="47"/>
      <w:bookmarkEnd w:id="48"/>
    </w:p>
    <w:p>
      <w:pPr>
        <w:pStyle w:val="17"/>
        <w:jc w:val="left"/>
        <w:rPr>
          <w:rFonts w:cs="宋体" w:asciiTheme="majorEastAsia" w:hAnsiTheme="majorEastAsia" w:eastAsiaTheme="majorEastAsia"/>
          <w:b/>
        </w:rPr>
      </w:pPr>
      <w:bookmarkStart w:id="49" w:name="_Toc2682"/>
      <w:bookmarkStart w:id="50" w:name="_Toc508092937"/>
      <w:bookmarkStart w:id="51" w:name="_Toc31888"/>
      <w:r>
        <w:rPr>
          <w:rFonts w:cs="宋体" w:asciiTheme="majorEastAsia" w:hAnsiTheme="majorEastAsia" w:eastAsiaTheme="majorEastAsia"/>
          <w:b/>
        </w:rPr>
        <w:t>格式1：</w:t>
      </w:r>
      <w:bookmarkEnd w:id="49"/>
      <w:bookmarkEnd w:id="50"/>
      <w:bookmarkEnd w:id="51"/>
    </w:p>
    <w:p>
      <w:pPr>
        <w:pStyle w:val="17"/>
        <w:spacing w:line="500" w:lineRule="exact"/>
        <w:jc w:val="center"/>
        <w:rPr>
          <w:rFonts w:cs="宋体" w:asciiTheme="majorEastAsia" w:hAnsiTheme="majorEastAsia" w:eastAsiaTheme="majorEastAsia"/>
          <w:b/>
          <w:bCs/>
          <w:sz w:val="30"/>
          <w:szCs w:val="30"/>
        </w:rPr>
      </w:pPr>
      <w:r>
        <w:rPr>
          <w:rFonts w:cs="宋体" w:asciiTheme="majorEastAsia" w:hAnsiTheme="majorEastAsia" w:eastAsiaTheme="majorEastAsia"/>
          <w:b/>
          <w:bCs/>
          <w:sz w:val="30"/>
          <w:szCs w:val="30"/>
        </w:rPr>
        <w:t>投标函（格式）</w:t>
      </w:r>
    </w:p>
    <w:p>
      <w:pPr>
        <w:pStyle w:val="17"/>
        <w:spacing w:line="440" w:lineRule="exact"/>
        <w:ind w:firstLine="435"/>
        <w:rPr>
          <w:rFonts w:cs="宋体" w:asciiTheme="majorEastAsia" w:hAnsiTheme="majorEastAsia" w:eastAsiaTheme="majorEastAsia"/>
          <w:sz w:val="24"/>
          <w:szCs w:val="24"/>
        </w:rPr>
      </w:pPr>
      <w:r>
        <w:rPr>
          <w:rFonts w:cs="宋体" w:asciiTheme="majorEastAsia" w:hAnsiTheme="majorEastAsia" w:eastAsiaTheme="majorEastAsia"/>
          <w:sz w:val="24"/>
          <w:szCs w:val="24"/>
        </w:rPr>
        <w:t>致：（采购代理机构名称）</w:t>
      </w:r>
    </w:p>
    <w:p>
      <w:pPr>
        <w:pStyle w:val="17"/>
        <w:spacing w:line="440" w:lineRule="exact"/>
        <w:ind w:firstLine="435"/>
        <w:rPr>
          <w:rFonts w:cs="宋体" w:asciiTheme="majorEastAsia" w:hAnsiTheme="majorEastAsia" w:eastAsiaTheme="majorEastAsia"/>
          <w:sz w:val="24"/>
          <w:szCs w:val="24"/>
        </w:rPr>
      </w:pP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我方已仔细阅读了贵方组织的</w:t>
      </w:r>
      <w:r>
        <w:rPr>
          <w:rFonts w:cs="宋体" w:asciiTheme="majorEastAsia" w:hAnsiTheme="majorEastAsia" w:eastAsiaTheme="majorEastAsia"/>
          <w:sz w:val="24"/>
          <w:szCs w:val="24"/>
          <w:u w:val="single"/>
        </w:rPr>
        <w:t xml:space="preserve">        （项目名称）       </w:t>
      </w:r>
      <w:r>
        <w:rPr>
          <w:rFonts w:cs="宋体" w:asciiTheme="majorEastAsia" w:hAnsiTheme="majorEastAsia" w:eastAsiaTheme="majorEastAsia"/>
          <w:sz w:val="24"/>
          <w:szCs w:val="24"/>
        </w:rPr>
        <w:t xml:space="preserve">项目（项目编号：）的招标文件的全部内容，现正式递交下述文件参加贵方组织的本次政府采购活动： </w:t>
      </w:r>
    </w:p>
    <w:p>
      <w:pPr>
        <w:pStyle w:val="17"/>
        <w:numPr>
          <w:ilvl w:val="0"/>
          <w:numId w:val="27"/>
        </w:numPr>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报价文件正本一份，副本</w:t>
      </w:r>
      <w:r>
        <w:rPr>
          <w:rFonts w:cs="宋体" w:asciiTheme="majorEastAsia" w:hAnsiTheme="majorEastAsia" w:eastAsiaTheme="majorEastAsia"/>
          <w:sz w:val="24"/>
          <w:szCs w:val="24"/>
          <w:u w:val="single"/>
        </w:rPr>
        <w:t xml:space="preserve"> 四 </w:t>
      </w:r>
      <w:r>
        <w:rPr>
          <w:rFonts w:cs="宋体" w:asciiTheme="majorEastAsia" w:hAnsiTheme="majorEastAsia" w:eastAsiaTheme="majorEastAsia"/>
          <w:sz w:val="24"/>
          <w:szCs w:val="24"/>
        </w:rPr>
        <w:t>份（包含按投标人须知第10.1.1项要求提交的全部文件）；</w:t>
      </w:r>
    </w:p>
    <w:p>
      <w:pPr>
        <w:pStyle w:val="17"/>
        <w:numPr>
          <w:ilvl w:val="0"/>
          <w:numId w:val="27"/>
        </w:numPr>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资格文件正本一份，副本</w:t>
      </w:r>
      <w:r>
        <w:rPr>
          <w:rFonts w:cs="宋体" w:asciiTheme="majorEastAsia" w:hAnsiTheme="majorEastAsia" w:eastAsiaTheme="majorEastAsia"/>
          <w:sz w:val="24"/>
          <w:szCs w:val="24"/>
          <w:u w:val="single"/>
        </w:rPr>
        <w:t xml:space="preserve"> 四 </w:t>
      </w:r>
      <w:r>
        <w:rPr>
          <w:rFonts w:cs="宋体" w:asciiTheme="majorEastAsia" w:hAnsiTheme="majorEastAsia" w:eastAsiaTheme="majorEastAsia"/>
          <w:sz w:val="24"/>
          <w:szCs w:val="24"/>
        </w:rPr>
        <w:t>份（包含按投标人须知第10.1.2项要求提交的全部文件）；</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二、技术文件正本一份，副本</w:t>
      </w:r>
      <w:r>
        <w:rPr>
          <w:rFonts w:cs="宋体" w:asciiTheme="majorEastAsia" w:hAnsiTheme="majorEastAsia" w:eastAsiaTheme="majorEastAsia"/>
          <w:sz w:val="24"/>
          <w:szCs w:val="24"/>
          <w:u w:val="single"/>
        </w:rPr>
        <w:t xml:space="preserve"> 四 </w:t>
      </w:r>
      <w:r>
        <w:rPr>
          <w:rFonts w:cs="宋体" w:asciiTheme="majorEastAsia" w:hAnsiTheme="majorEastAsia" w:eastAsiaTheme="majorEastAsia"/>
          <w:sz w:val="24"/>
          <w:szCs w:val="24"/>
        </w:rPr>
        <w:t>份（包含按投标人须知第10.1.3项要求提交的全部文件）；</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三、商务文件正本一份，副本</w:t>
      </w:r>
      <w:r>
        <w:rPr>
          <w:rFonts w:cs="宋体" w:asciiTheme="majorEastAsia" w:hAnsiTheme="majorEastAsia" w:eastAsiaTheme="majorEastAsia"/>
          <w:sz w:val="24"/>
          <w:szCs w:val="24"/>
          <w:u w:val="single"/>
        </w:rPr>
        <w:t xml:space="preserve"> 四 </w:t>
      </w:r>
      <w:r>
        <w:rPr>
          <w:rFonts w:cs="宋体" w:asciiTheme="majorEastAsia" w:hAnsiTheme="majorEastAsia" w:eastAsiaTheme="majorEastAsia"/>
          <w:sz w:val="24"/>
          <w:szCs w:val="24"/>
        </w:rPr>
        <w:t>份（包含按投标人须知第10.1.4项要求提交的全部文件）。</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据此函，签字人兹宣布：</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1、我方愿意以（大写）人民币</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元)的投标总报价，</w:t>
      </w:r>
      <w:r>
        <w:rPr>
          <w:rFonts w:cs="宋体" w:asciiTheme="majorEastAsia" w:hAnsiTheme="majorEastAsia" w:eastAsiaTheme="majorEastAsia"/>
          <w:sz w:val="24"/>
        </w:rPr>
        <w:t>提交服务</w:t>
      </w:r>
      <w:r>
        <w:rPr>
          <w:rFonts w:hint="eastAsia" w:cs="宋体" w:asciiTheme="majorEastAsia" w:hAnsiTheme="majorEastAsia" w:eastAsiaTheme="majorEastAsia"/>
          <w:sz w:val="24"/>
        </w:rPr>
        <w:t>时间</w:t>
      </w:r>
      <w:r>
        <w:rPr>
          <w:rFonts w:cs="宋体" w:asciiTheme="majorEastAsia" w:hAnsiTheme="majorEastAsia" w:eastAsiaTheme="majorEastAsia"/>
          <w:sz w:val="24"/>
          <w:szCs w:val="24"/>
        </w:rPr>
        <w:t>：</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，提供本项目招标文件第二章“服务需求一览表”中的采购内容。</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2、我方同意自本项目招标文件“投标人须知”第15.1项规定的投标截止时间（开标时间）起遵循本投标函，并承诺在“投标人须知”第12.1项规定的投标有效期内不修改、撤销投标文件。</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3、我方在此声明，所递交的投标文件及有关资料内容完整、真实和准确。</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7"/>
        <w:numPr>
          <w:ilvl w:val="0"/>
          <w:numId w:val="28"/>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具有独立承担民事责任的能力；</w:t>
      </w:r>
    </w:p>
    <w:p>
      <w:pPr>
        <w:pStyle w:val="17"/>
        <w:numPr>
          <w:ilvl w:val="0"/>
          <w:numId w:val="28"/>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具有良好的商业信誉和健全的财务会计制度；</w:t>
      </w:r>
    </w:p>
    <w:p>
      <w:pPr>
        <w:pStyle w:val="17"/>
        <w:numPr>
          <w:ilvl w:val="0"/>
          <w:numId w:val="28"/>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具有履行合同所必需的设备和专业技术能力；</w:t>
      </w:r>
    </w:p>
    <w:p>
      <w:pPr>
        <w:pStyle w:val="17"/>
        <w:numPr>
          <w:ilvl w:val="0"/>
          <w:numId w:val="28"/>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有依法缴纳税收和社会保障资金的良好记录；</w:t>
      </w:r>
    </w:p>
    <w:p>
      <w:pPr>
        <w:pStyle w:val="17"/>
        <w:numPr>
          <w:ilvl w:val="0"/>
          <w:numId w:val="28"/>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参加政府采购活动前三年内，在经营活动中没有重大违法记录；</w:t>
      </w:r>
    </w:p>
    <w:p>
      <w:pPr>
        <w:pStyle w:val="17"/>
        <w:numPr>
          <w:ilvl w:val="0"/>
          <w:numId w:val="28"/>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法律、行政法规规定的其他条件。</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5、如本项目采购内容涉及须符合国家强制规定的，我方承诺我方本次投标（包括资格条件和所投产品）均符合国家有关强制规定。</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7、我方已详细审核招标文件，我方知道必须放弃提出含糊不清或误解问题的权利。</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8、我方同意应贵方要求提供与本投标有关的任何数据或资料。若贵方需要，我方愿意提供我方作出的一切承诺的证明材料。</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9、我方完全理解贵方不一定接受投标报价最低的投标人为中标供应商的行为。</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7"/>
        <w:numPr>
          <w:ilvl w:val="0"/>
          <w:numId w:val="29"/>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提供虚假材料谋取中标、中标的；</w:t>
      </w:r>
    </w:p>
    <w:p>
      <w:pPr>
        <w:pStyle w:val="17"/>
        <w:numPr>
          <w:ilvl w:val="0"/>
          <w:numId w:val="29"/>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采取不正当手段诋毁、排挤其他供应商的；</w:t>
      </w:r>
    </w:p>
    <w:p>
      <w:pPr>
        <w:pStyle w:val="17"/>
        <w:numPr>
          <w:ilvl w:val="0"/>
          <w:numId w:val="29"/>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与采购人、其他供应商或者采购代理机构恶意串通的；</w:t>
      </w:r>
    </w:p>
    <w:p>
      <w:pPr>
        <w:pStyle w:val="17"/>
        <w:numPr>
          <w:ilvl w:val="0"/>
          <w:numId w:val="29"/>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向采购人、采购代理机构行贿或者提供其他不正当利益的；</w:t>
      </w:r>
    </w:p>
    <w:p>
      <w:pPr>
        <w:pStyle w:val="17"/>
        <w:numPr>
          <w:ilvl w:val="0"/>
          <w:numId w:val="29"/>
        </w:numPr>
        <w:spacing w:line="440" w:lineRule="exact"/>
        <w:rPr>
          <w:rFonts w:cs="宋体" w:asciiTheme="majorEastAsia" w:hAnsiTheme="majorEastAsia" w:eastAsiaTheme="majorEastAsia"/>
          <w:sz w:val="24"/>
          <w:szCs w:val="24"/>
        </w:rPr>
      </w:pPr>
      <w:r>
        <w:rPr>
          <w:rFonts w:cs="宋体" w:asciiTheme="majorEastAsia" w:hAnsiTheme="majorEastAsia" w:eastAsiaTheme="majorEastAsia"/>
          <w:sz w:val="24"/>
          <w:szCs w:val="24"/>
        </w:rPr>
        <w:t>在招标采购过程中与采购人进行协商谈判的；</w:t>
      </w:r>
    </w:p>
    <w:p>
      <w:pPr>
        <w:pStyle w:val="17"/>
        <w:spacing w:line="440" w:lineRule="exact"/>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（6）  拒绝有关部门监督检查或提供虚假情况的。</w:t>
      </w:r>
    </w:p>
    <w:p>
      <w:pPr>
        <w:pStyle w:val="17"/>
        <w:spacing w:line="440" w:lineRule="exact"/>
        <w:ind w:firstLine="482"/>
        <w:rPr>
          <w:rFonts w:cs="宋体" w:asciiTheme="majorEastAsia" w:hAnsiTheme="majorEastAsia" w:eastAsiaTheme="majorEastAsia"/>
          <w:sz w:val="24"/>
          <w:szCs w:val="24"/>
        </w:rPr>
      </w:pPr>
      <w:r>
        <w:rPr>
          <w:rFonts w:cs="宋体" w:asciiTheme="majorEastAsia" w:hAnsiTheme="majorEastAsia" w:eastAsiaTheme="majorEastAsia"/>
          <w:sz w:val="24"/>
          <w:szCs w:val="24"/>
        </w:rPr>
        <w:t>11、我方及由本人担任法定代表人的其他机构最近三年内被处罚的违法行为有：</w:t>
      </w:r>
      <w:r>
        <w:rPr>
          <w:rFonts w:cs="宋体" w:asciiTheme="majorEastAsia" w:hAnsiTheme="majorEastAsia" w:eastAsiaTheme="majorEastAsia"/>
          <w:sz w:val="24"/>
          <w:szCs w:val="24"/>
          <w:u w:val="single"/>
        </w:rPr>
        <w:t>_________________________________________________________________________</w:t>
      </w:r>
      <w:r>
        <w:rPr>
          <w:rFonts w:cs="宋体" w:asciiTheme="majorEastAsia" w:hAnsiTheme="majorEastAsia" w:eastAsiaTheme="majorEastAsia"/>
          <w:sz w:val="24"/>
          <w:szCs w:val="24"/>
        </w:rPr>
        <w:t>。</w:t>
      </w:r>
    </w:p>
    <w:p>
      <w:pPr>
        <w:pStyle w:val="17"/>
        <w:spacing w:line="440" w:lineRule="exact"/>
        <w:ind w:left="420"/>
        <w:rPr>
          <w:rFonts w:cs="宋体" w:asciiTheme="majorEastAsia" w:hAnsiTheme="majorEastAsia" w:eastAsiaTheme="majorEastAsia"/>
          <w:sz w:val="24"/>
          <w:szCs w:val="24"/>
        </w:rPr>
      </w:pPr>
      <w:r>
        <w:rPr>
          <w:rFonts w:cs="宋体" w:asciiTheme="majorEastAsia" w:hAnsiTheme="majorEastAsia" w:eastAsiaTheme="majorEastAsia"/>
          <w:sz w:val="24"/>
          <w:szCs w:val="24"/>
        </w:rPr>
        <w:t>12、以上事项如有虚假或隐瞒，我方愿意承担一切后果，并不再寻求任何旨在减轻或免除法律责任的辩解。</w:t>
      </w:r>
    </w:p>
    <w:p>
      <w:pPr>
        <w:pStyle w:val="17"/>
        <w:spacing w:line="440" w:lineRule="exact"/>
        <w:ind w:left="420"/>
        <w:rPr>
          <w:rFonts w:cs="宋体" w:asciiTheme="majorEastAsia" w:hAnsiTheme="majorEastAsia" w:eastAsiaTheme="majorEastAsia"/>
          <w:sz w:val="24"/>
          <w:szCs w:val="24"/>
        </w:rPr>
      </w:pPr>
    </w:p>
    <w:p>
      <w:pPr>
        <w:pStyle w:val="17"/>
        <w:spacing w:line="360" w:lineRule="auto"/>
        <w:ind w:firstLine="360" w:firstLineChars="15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投标人：（盖单位公章）</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法定代表人或其委托代理人：（签字或盖章）</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地址：</w:t>
      </w:r>
      <w:r>
        <w:rPr>
          <w:rFonts w:hint="eastAsia" w:cs="宋体" w:asciiTheme="majorEastAsia" w:hAnsiTheme="majorEastAsia" w:eastAsiaTheme="majorEastAsia"/>
          <w:sz w:val="24"/>
          <w:szCs w:val="24"/>
        </w:rPr>
        <w:t>__________________________________________</w:t>
      </w:r>
    </w:p>
    <w:p>
      <w:pPr>
        <w:pStyle w:val="17"/>
        <w:spacing w:line="360" w:lineRule="auto"/>
        <w:ind w:firstLine="42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电话：</w:t>
      </w:r>
      <w:r>
        <w:rPr>
          <w:rFonts w:hint="eastAsia" w:cs="宋体" w:asciiTheme="majorEastAsia" w:hAnsiTheme="majorEastAsia" w:eastAsiaTheme="majorEastAsia"/>
          <w:sz w:val="24"/>
          <w:szCs w:val="24"/>
        </w:rPr>
        <w:t>__________________________________________</w:t>
      </w: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传真：</w:t>
      </w:r>
      <w:r>
        <w:rPr>
          <w:rFonts w:hint="eastAsia" w:cs="宋体" w:asciiTheme="majorEastAsia" w:hAnsiTheme="majorEastAsia" w:eastAsiaTheme="majorEastAsia"/>
          <w:sz w:val="24"/>
          <w:szCs w:val="24"/>
        </w:rPr>
        <w:t>__________________________________________</w:t>
      </w:r>
    </w:p>
    <w:p>
      <w:pPr>
        <w:pStyle w:val="17"/>
        <w:spacing w:line="360" w:lineRule="auto"/>
        <w:ind w:firstLine="42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邮政编码：</w:t>
      </w:r>
      <w:r>
        <w:rPr>
          <w:rFonts w:hint="eastAsia" w:cs="宋体" w:asciiTheme="majorEastAsia" w:hAnsiTheme="majorEastAsia" w:eastAsiaTheme="majorEastAsia"/>
          <w:sz w:val="24"/>
          <w:szCs w:val="24"/>
        </w:rPr>
        <w:t>______________________________________</w:t>
      </w:r>
    </w:p>
    <w:p>
      <w:pPr>
        <w:pStyle w:val="17"/>
        <w:spacing w:line="360" w:lineRule="auto"/>
        <w:ind w:firstLine="42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开户名称：</w:t>
      </w:r>
      <w:r>
        <w:rPr>
          <w:rFonts w:hint="eastAsia" w:cs="宋体" w:asciiTheme="majorEastAsia" w:hAnsiTheme="majorEastAsia" w:eastAsiaTheme="majorEastAsia"/>
          <w:sz w:val="24"/>
          <w:szCs w:val="24"/>
        </w:rPr>
        <w:t>______________________________________</w:t>
      </w:r>
    </w:p>
    <w:p>
      <w:pPr>
        <w:pStyle w:val="17"/>
        <w:spacing w:line="360" w:lineRule="auto"/>
        <w:ind w:firstLine="42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开户银行：</w:t>
      </w:r>
      <w:r>
        <w:rPr>
          <w:rFonts w:hint="eastAsia" w:cs="宋体" w:asciiTheme="majorEastAsia" w:hAnsiTheme="majorEastAsia" w:eastAsiaTheme="majorEastAsia"/>
          <w:sz w:val="24"/>
          <w:szCs w:val="24"/>
        </w:rPr>
        <w:t>______________________________________</w:t>
      </w:r>
    </w:p>
    <w:p>
      <w:pPr>
        <w:pStyle w:val="17"/>
        <w:spacing w:line="360" w:lineRule="auto"/>
        <w:ind w:firstLine="42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银行账号：</w:t>
      </w:r>
      <w:r>
        <w:rPr>
          <w:rFonts w:hint="eastAsia" w:cs="宋体" w:asciiTheme="majorEastAsia" w:hAnsiTheme="majorEastAsia" w:eastAsiaTheme="majorEastAsia"/>
          <w:sz w:val="24"/>
          <w:szCs w:val="24"/>
        </w:rPr>
        <w:t>______________________________________</w:t>
      </w:r>
    </w:p>
    <w:p>
      <w:pPr>
        <w:pStyle w:val="17"/>
        <w:spacing w:line="360" w:lineRule="auto"/>
        <w:ind w:firstLine="480" w:firstLineChars="200"/>
        <w:rPr>
          <w:rFonts w:cs="宋体" w:asciiTheme="majorEastAsia" w:hAnsiTheme="majorEastAsia" w:eastAsiaTheme="majorEastAsia"/>
          <w:bCs/>
          <w:sz w:val="24"/>
        </w:rPr>
      </w:pPr>
      <w:r>
        <w:rPr>
          <w:rFonts w:cs="宋体" w:asciiTheme="majorEastAsia" w:hAnsiTheme="majorEastAsia" w:eastAsiaTheme="majorEastAsia"/>
          <w:bCs/>
          <w:sz w:val="24"/>
        </w:rPr>
        <w:t>年</w:t>
      </w:r>
      <w:r>
        <w:rPr>
          <w:rFonts w:hint="eastAsia" w:cs="宋体" w:asciiTheme="majorEastAsia" w:hAnsiTheme="majorEastAsia" w:eastAsiaTheme="majorEastAsia"/>
          <w:bCs/>
          <w:sz w:val="24"/>
        </w:rPr>
        <w:t xml:space="preserve"> </w:t>
      </w:r>
      <w:r>
        <w:rPr>
          <w:rFonts w:cs="宋体" w:asciiTheme="majorEastAsia" w:hAnsiTheme="majorEastAsia" w:eastAsiaTheme="majorEastAsia"/>
          <w:bCs/>
          <w:sz w:val="24"/>
        </w:rPr>
        <w:t>月</w:t>
      </w:r>
      <w:r>
        <w:rPr>
          <w:rFonts w:hint="eastAsia" w:cs="宋体" w:asciiTheme="majorEastAsia" w:hAnsiTheme="majorEastAsia" w:eastAsiaTheme="majorEastAsia"/>
          <w:bCs/>
          <w:sz w:val="24"/>
        </w:rPr>
        <w:t xml:space="preserve"> </w:t>
      </w:r>
      <w:r>
        <w:rPr>
          <w:rFonts w:cs="宋体" w:asciiTheme="majorEastAsia" w:hAnsiTheme="majorEastAsia" w:eastAsiaTheme="majorEastAsia"/>
          <w:bCs/>
          <w:sz w:val="24"/>
        </w:rPr>
        <w:t>日</w:t>
      </w: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ind w:firstLine="465"/>
        <w:rPr>
          <w:rFonts w:cs="宋体" w:asciiTheme="majorEastAsia" w:hAnsiTheme="majorEastAsia" w:eastAsiaTheme="majorEastAsia"/>
          <w:bCs/>
          <w:sz w:val="24"/>
        </w:rPr>
      </w:pPr>
    </w:p>
    <w:p>
      <w:pPr>
        <w:pStyle w:val="17"/>
        <w:spacing w:line="360" w:lineRule="auto"/>
        <w:rPr>
          <w:rFonts w:cs="宋体" w:asciiTheme="majorEastAsia" w:hAnsiTheme="majorEastAsia" w:eastAsiaTheme="majorEastAsia"/>
          <w:b/>
        </w:rPr>
        <w:sectPr>
          <w:pgSz w:w="11906" w:h="16838"/>
          <w:pgMar w:top="1440" w:right="1080" w:bottom="1440" w:left="1080" w:header="851" w:footer="907" w:gutter="0"/>
          <w:cols w:space="720" w:num="1"/>
          <w:docGrid w:type="lines" w:linePitch="312" w:charSpace="0"/>
        </w:sectPr>
      </w:pPr>
    </w:p>
    <w:p>
      <w:pPr>
        <w:pStyle w:val="17"/>
        <w:spacing w:line="360" w:lineRule="auto"/>
        <w:rPr>
          <w:rFonts w:cs="宋体" w:asciiTheme="majorEastAsia" w:hAnsiTheme="majorEastAsia" w:eastAsiaTheme="majorEastAsia"/>
          <w:u w:val="single"/>
        </w:rPr>
      </w:pPr>
      <w:r>
        <w:rPr>
          <w:rFonts w:cs="宋体" w:asciiTheme="majorEastAsia" w:hAnsiTheme="majorEastAsia" w:eastAsiaTheme="majorEastAsia"/>
          <w:b/>
        </w:rPr>
        <w:t>格式2：</w:t>
      </w:r>
    </w:p>
    <w:p>
      <w:pPr>
        <w:pStyle w:val="17"/>
        <w:jc w:val="center"/>
        <w:rPr>
          <w:rFonts w:cs="宋体" w:asciiTheme="majorEastAsia" w:hAnsiTheme="majorEastAsia" w:eastAsiaTheme="majorEastAsia"/>
          <w:b/>
          <w:sz w:val="32"/>
        </w:rPr>
      </w:pPr>
      <w:r>
        <w:rPr>
          <w:rFonts w:cs="宋体" w:asciiTheme="majorEastAsia" w:hAnsiTheme="majorEastAsia" w:eastAsiaTheme="majorEastAsia"/>
          <w:b/>
          <w:sz w:val="32"/>
        </w:rPr>
        <w:t>投标报价表（格式）</w:t>
      </w:r>
    </w:p>
    <w:p>
      <w:pPr>
        <w:pStyle w:val="17"/>
        <w:jc w:val="center"/>
        <w:rPr>
          <w:rFonts w:cs="宋体" w:asciiTheme="majorEastAsia" w:hAnsiTheme="majorEastAsia" w:eastAsiaTheme="majorEastAsia"/>
          <w:b/>
          <w:sz w:val="32"/>
        </w:rPr>
      </w:pPr>
    </w:p>
    <w:tbl>
      <w:tblPr>
        <w:tblStyle w:val="26"/>
        <w:tblpPr w:leftFromText="180" w:rightFromText="180" w:vertAnchor="text" w:horzAnchor="page" w:tblpX="1431" w:tblpY="302"/>
        <w:tblOverlap w:val="never"/>
        <w:tblW w:w="9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2064"/>
        <w:gridCol w:w="1080"/>
        <w:gridCol w:w="1260"/>
        <w:gridCol w:w="1805"/>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vAlign w:val="center"/>
          </w:tcPr>
          <w:p>
            <w:pPr>
              <w:rPr>
                <w:rFonts w:asciiTheme="majorEastAsia" w:hAnsiTheme="majorEastAsia" w:eastAsiaTheme="majorEastAsia"/>
                <w:sz w:val="24"/>
              </w:rPr>
            </w:pPr>
            <w:r>
              <w:rPr>
                <w:rFonts w:hint="eastAsia" w:asciiTheme="majorEastAsia" w:hAnsiTheme="majorEastAsia" w:eastAsiaTheme="majorEastAsia"/>
                <w:sz w:val="24"/>
              </w:rPr>
              <w:t>序号</w:t>
            </w:r>
          </w:p>
        </w:tc>
        <w:tc>
          <w:tcPr>
            <w:tcW w:w="1260" w:type="dxa"/>
            <w:vAlign w:val="center"/>
          </w:tcPr>
          <w:p>
            <w:pPr>
              <w:rPr>
                <w:rFonts w:asciiTheme="majorEastAsia" w:hAnsiTheme="majorEastAsia" w:eastAsiaTheme="majorEastAsia"/>
                <w:sz w:val="24"/>
              </w:rPr>
            </w:pPr>
            <w:r>
              <w:rPr>
                <w:rFonts w:hint="eastAsia" w:asciiTheme="majorEastAsia" w:hAnsiTheme="majorEastAsia" w:eastAsiaTheme="majorEastAsia"/>
                <w:sz w:val="24"/>
              </w:rPr>
              <w:t>服务名称</w:t>
            </w:r>
          </w:p>
        </w:tc>
        <w:tc>
          <w:tcPr>
            <w:tcW w:w="206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服务内容</w:t>
            </w:r>
          </w:p>
        </w:tc>
        <w:tc>
          <w:tcPr>
            <w:tcW w:w="108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数量  ①</w:t>
            </w:r>
          </w:p>
        </w:tc>
        <w:tc>
          <w:tcPr>
            <w:tcW w:w="1260" w:type="dxa"/>
            <w:vAlign w:val="center"/>
          </w:tcPr>
          <w:p>
            <w:pPr>
              <w:rPr>
                <w:rFonts w:asciiTheme="majorEastAsia" w:hAnsiTheme="majorEastAsia" w:eastAsiaTheme="majorEastAsia"/>
                <w:sz w:val="24"/>
              </w:rPr>
            </w:pPr>
            <w:r>
              <w:rPr>
                <w:rFonts w:hint="eastAsia" w:asciiTheme="majorEastAsia" w:hAnsiTheme="majorEastAsia" w:eastAsiaTheme="majorEastAsia"/>
                <w:sz w:val="24"/>
              </w:rPr>
              <w:t>单价</w:t>
            </w:r>
            <w:r>
              <w:rPr>
                <w:rFonts w:asciiTheme="majorEastAsia" w:hAnsiTheme="majorEastAsia" w:eastAsiaTheme="majorEastAsia"/>
                <w:sz w:val="24"/>
              </w:rPr>
              <w:t>(</w:t>
            </w:r>
            <w:r>
              <w:rPr>
                <w:rFonts w:hint="eastAsia" w:asciiTheme="majorEastAsia" w:hAnsiTheme="majorEastAsia" w:eastAsiaTheme="majorEastAsia"/>
                <w:sz w:val="24"/>
              </w:rPr>
              <w:t>元</w:t>
            </w:r>
            <w:r>
              <w:rPr>
                <w:rFonts w:asciiTheme="majorEastAsia" w:hAnsiTheme="majorEastAsia" w:eastAsiaTheme="majorEastAsia"/>
                <w:sz w:val="24"/>
              </w:rPr>
              <w:t>)</w:t>
            </w:r>
          </w:p>
          <w:p>
            <w:pPr>
              <w:ind w:firstLine="360" w:firstLineChars="150"/>
              <w:rPr>
                <w:rFonts w:asciiTheme="majorEastAsia" w:hAnsiTheme="majorEastAsia" w:eastAsiaTheme="majorEastAsia"/>
                <w:sz w:val="24"/>
              </w:rPr>
            </w:pPr>
            <w:r>
              <w:rPr>
                <w:rFonts w:hint="eastAsia" w:asciiTheme="majorEastAsia" w:hAnsiTheme="majorEastAsia" w:eastAsiaTheme="majorEastAsia"/>
                <w:sz w:val="24"/>
              </w:rPr>
              <w:t>②</w:t>
            </w:r>
          </w:p>
        </w:tc>
        <w:tc>
          <w:tcPr>
            <w:tcW w:w="1805" w:type="dxa"/>
            <w:vAlign w:val="center"/>
          </w:tcPr>
          <w:p>
            <w:pPr>
              <w:ind w:left="460" w:leftChars="100" w:hanging="240" w:hangingChars="100"/>
              <w:rPr>
                <w:rFonts w:asciiTheme="majorEastAsia" w:hAnsiTheme="majorEastAsia" w:eastAsiaTheme="majorEastAsia"/>
                <w:sz w:val="24"/>
              </w:rPr>
            </w:pPr>
            <w:r>
              <w:rPr>
                <w:rFonts w:hint="eastAsia" w:asciiTheme="majorEastAsia" w:hAnsiTheme="majorEastAsia" w:eastAsiaTheme="majorEastAsia"/>
                <w:sz w:val="24"/>
              </w:rPr>
              <w:t>单项合价（元）</w:t>
            </w:r>
          </w:p>
          <w:p>
            <w:pPr>
              <w:jc w:val="center"/>
              <w:rPr>
                <w:rFonts w:asciiTheme="majorEastAsia" w:hAnsiTheme="majorEastAsia" w:eastAsiaTheme="majorEastAsia"/>
                <w:sz w:val="24"/>
              </w:rPr>
            </w:pPr>
            <w:r>
              <w:rPr>
                <w:rFonts w:hint="eastAsia" w:asciiTheme="majorEastAsia" w:hAnsiTheme="majorEastAsia" w:eastAsiaTheme="majorEastAsia"/>
                <w:sz w:val="24"/>
              </w:rPr>
              <w:t>③＝①×②</w:t>
            </w:r>
          </w:p>
        </w:tc>
        <w:tc>
          <w:tcPr>
            <w:tcW w:w="957" w:type="dxa"/>
            <w:vAlign w:val="center"/>
          </w:tcPr>
          <w:p>
            <w:pPr>
              <w:rPr>
                <w:rFonts w:asciiTheme="majorEastAsia" w:hAnsiTheme="majorEastAsia" w:eastAsiaTheme="majorEastAsia"/>
                <w:sz w:val="24"/>
              </w:rPr>
            </w:pPr>
            <w:r>
              <w:rPr>
                <w:rFonts w:hint="eastAsia" w:asciiTheme="majorEastAsia" w:hAnsiTheme="majorEastAsia" w:eastAsiaTheme="maj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19"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260" w:type="dxa"/>
            <w:vAlign w:val="center"/>
          </w:tcPr>
          <w:p>
            <w:pPr>
              <w:rPr>
                <w:rFonts w:asciiTheme="majorEastAsia" w:hAnsiTheme="majorEastAsia" w:eastAsiaTheme="majorEastAsia"/>
                <w:sz w:val="24"/>
              </w:rPr>
            </w:pPr>
          </w:p>
        </w:tc>
        <w:tc>
          <w:tcPr>
            <w:tcW w:w="2064" w:type="dxa"/>
            <w:vAlign w:val="center"/>
          </w:tcPr>
          <w:p>
            <w:pPr>
              <w:rPr>
                <w:rFonts w:asciiTheme="majorEastAsia" w:hAnsiTheme="majorEastAsia" w:eastAsiaTheme="majorEastAsia"/>
                <w:sz w:val="24"/>
              </w:rPr>
            </w:pPr>
          </w:p>
        </w:tc>
        <w:tc>
          <w:tcPr>
            <w:tcW w:w="1080" w:type="dxa"/>
            <w:vAlign w:val="center"/>
          </w:tcPr>
          <w:p>
            <w:pPr>
              <w:rPr>
                <w:rFonts w:asciiTheme="majorEastAsia" w:hAnsiTheme="majorEastAsia" w:eastAsiaTheme="majorEastAsia"/>
                <w:sz w:val="24"/>
              </w:rPr>
            </w:pPr>
          </w:p>
        </w:tc>
        <w:tc>
          <w:tcPr>
            <w:tcW w:w="1260" w:type="dxa"/>
            <w:vAlign w:val="center"/>
          </w:tcPr>
          <w:p>
            <w:pPr>
              <w:rPr>
                <w:rFonts w:asciiTheme="majorEastAsia" w:hAnsiTheme="majorEastAsia" w:eastAsiaTheme="majorEastAsia"/>
                <w:sz w:val="24"/>
              </w:rPr>
            </w:pPr>
          </w:p>
        </w:tc>
        <w:tc>
          <w:tcPr>
            <w:tcW w:w="1805" w:type="dxa"/>
            <w:vAlign w:val="center"/>
          </w:tcPr>
          <w:p>
            <w:pPr>
              <w:rPr>
                <w:rFonts w:asciiTheme="majorEastAsia" w:hAnsiTheme="majorEastAsia" w:eastAsiaTheme="majorEastAsia"/>
                <w:sz w:val="24"/>
              </w:rPr>
            </w:pPr>
          </w:p>
        </w:tc>
        <w:tc>
          <w:tcPr>
            <w:tcW w:w="957" w:type="dxa"/>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9"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260" w:type="dxa"/>
            <w:vAlign w:val="center"/>
          </w:tcPr>
          <w:p>
            <w:pPr>
              <w:rPr>
                <w:rFonts w:asciiTheme="majorEastAsia" w:hAnsiTheme="majorEastAsia" w:eastAsiaTheme="majorEastAsia"/>
                <w:sz w:val="24"/>
              </w:rPr>
            </w:pPr>
          </w:p>
        </w:tc>
        <w:tc>
          <w:tcPr>
            <w:tcW w:w="2064" w:type="dxa"/>
            <w:vAlign w:val="center"/>
          </w:tcPr>
          <w:p>
            <w:pPr>
              <w:rPr>
                <w:rFonts w:asciiTheme="majorEastAsia" w:hAnsiTheme="majorEastAsia" w:eastAsiaTheme="majorEastAsia"/>
                <w:sz w:val="24"/>
              </w:rPr>
            </w:pPr>
          </w:p>
        </w:tc>
        <w:tc>
          <w:tcPr>
            <w:tcW w:w="1080" w:type="dxa"/>
            <w:vAlign w:val="center"/>
          </w:tcPr>
          <w:p>
            <w:pPr>
              <w:rPr>
                <w:rFonts w:asciiTheme="majorEastAsia" w:hAnsiTheme="majorEastAsia" w:eastAsiaTheme="majorEastAsia"/>
                <w:sz w:val="24"/>
              </w:rPr>
            </w:pPr>
          </w:p>
        </w:tc>
        <w:tc>
          <w:tcPr>
            <w:tcW w:w="1260" w:type="dxa"/>
            <w:vAlign w:val="center"/>
          </w:tcPr>
          <w:p>
            <w:pPr>
              <w:rPr>
                <w:rFonts w:asciiTheme="majorEastAsia" w:hAnsiTheme="majorEastAsia" w:eastAsiaTheme="majorEastAsia"/>
                <w:sz w:val="24"/>
              </w:rPr>
            </w:pPr>
          </w:p>
        </w:tc>
        <w:tc>
          <w:tcPr>
            <w:tcW w:w="1805" w:type="dxa"/>
            <w:vAlign w:val="center"/>
          </w:tcPr>
          <w:p>
            <w:pPr>
              <w:rPr>
                <w:rFonts w:asciiTheme="majorEastAsia" w:hAnsiTheme="majorEastAsia" w:eastAsiaTheme="majorEastAsia"/>
                <w:sz w:val="24"/>
              </w:rPr>
            </w:pPr>
          </w:p>
        </w:tc>
        <w:tc>
          <w:tcPr>
            <w:tcW w:w="957" w:type="dxa"/>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19"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w:t>
            </w:r>
          </w:p>
        </w:tc>
        <w:tc>
          <w:tcPr>
            <w:tcW w:w="1260" w:type="dxa"/>
            <w:vAlign w:val="center"/>
          </w:tcPr>
          <w:p>
            <w:pPr>
              <w:rPr>
                <w:rFonts w:asciiTheme="majorEastAsia" w:hAnsiTheme="majorEastAsia" w:eastAsiaTheme="majorEastAsia"/>
                <w:sz w:val="24"/>
              </w:rPr>
            </w:pPr>
          </w:p>
        </w:tc>
        <w:tc>
          <w:tcPr>
            <w:tcW w:w="2064" w:type="dxa"/>
            <w:vAlign w:val="center"/>
          </w:tcPr>
          <w:p>
            <w:pPr>
              <w:rPr>
                <w:rFonts w:asciiTheme="majorEastAsia" w:hAnsiTheme="majorEastAsia" w:eastAsiaTheme="majorEastAsia"/>
                <w:sz w:val="24"/>
              </w:rPr>
            </w:pPr>
          </w:p>
        </w:tc>
        <w:tc>
          <w:tcPr>
            <w:tcW w:w="1080" w:type="dxa"/>
            <w:vAlign w:val="center"/>
          </w:tcPr>
          <w:p>
            <w:pPr>
              <w:rPr>
                <w:rFonts w:asciiTheme="majorEastAsia" w:hAnsiTheme="majorEastAsia" w:eastAsiaTheme="majorEastAsia"/>
                <w:sz w:val="24"/>
              </w:rPr>
            </w:pPr>
          </w:p>
        </w:tc>
        <w:tc>
          <w:tcPr>
            <w:tcW w:w="1260" w:type="dxa"/>
            <w:vAlign w:val="center"/>
          </w:tcPr>
          <w:p>
            <w:pPr>
              <w:rPr>
                <w:rFonts w:asciiTheme="majorEastAsia" w:hAnsiTheme="majorEastAsia" w:eastAsiaTheme="majorEastAsia"/>
                <w:sz w:val="24"/>
              </w:rPr>
            </w:pPr>
          </w:p>
        </w:tc>
        <w:tc>
          <w:tcPr>
            <w:tcW w:w="1805" w:type="dxa"/>
            <w:vAlign w:val="center"/>
          </w:tcPr>
          <w:p>
            <w:pPr>
              <w:rPr>
                <w:rFonts w:asciiTheme="majorEastAsia" w:hAnsiTheme="majorEastAsia" w:eastAsiaTheme="majorEastAsia"/>
                <w:sz w:val="24"/>
              </w:rPr>
            </w:pPr>
          </w:p>
        </w:tc>
        <w:tc>
          <w:tcPr>
            <w:tcW w:w="957" w:type="dxa"/>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sz w:val="24"/>
              </w:rPr>
            </w:pPr>
            <w:r>
              <w:rPr>
                <w:rFonts w:hint="eastAsia" w:asciiTheme="majorEastAsia" w:hAnsiTheme="majorEastAsia" w:eastAsiaTheme="majorEastAsia"/>
                <w:sz w:val="24"/>
              </w:rPr>
              <w:t>报价合计（包含税费等所有费用）：（大写）人民币</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sz w:val="24"/>
              </w:rPr>
            </w:pPr>
            <w:r>
              <w:rPr>
                <w:rFonts w:hint="eastAsia" w:asciiTheme="majorEastAsia" w:hAnsiTheme="majorEastAsia" w:eastAsiaTheme="majorEastAsia"/>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145" w:type="dxa"/>
            <w:gridSpan w:val="7"/>
            <w:vAlign w:val="center"/>
          </w:tcPr>
          <w:p>
            <w:pPr>
              <w:rPr>
                <w:rFonts w:asciiTheme="majorEastAsia" w:hAnsiTheme="majorEastAsia" w:eastAsiaTheme="majorEastAsia"/>
                <w:sz w:val="24"/>
              </w:rPr>
            </w:pPr>
            <w:r>
              <w:rPr>
                <w:rFonts w:hint="eastAsia" w:asciiTheme="majorEastAsia" w:hAnsiTheme="majorEastAsia" w:eastAsiaTheme="majorEastAsia"/>
                <w:sz w:val="24"/>
              </w:rPr>
              <w:t>法定代表人或其委托代理人（签字或盖章）：</w:t>
            </w:r>
          </w:p>
        </w:tc>
      </w:tr>
    </w:tbl>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注：表格内容均需按要求填写并盖章，不得留空，</w:t>
      </w:r>
      <w:r>
        <w:rPr>
          <w:rFonts w:hint="eastAsia" w:asciiTheme="majorEastAsia" w:hAnsiTheme="majorEastAsia" w:eastAsiaTheme="majorEastAsia"/>
          <w:bCs/>
          <w:sz w:val="24"/>
        </w:rPr>
        <w:t>否则按投标无效处理</w:t>
      </w:r>
      <w:r>
        <w:rPr>
          <w:rFonts w:hint="eastAsia" w:asciiTheme="majorEastAsia" w:hAnsiTheme="majorEastAsia" w:eastAsiaTheme="majorEastAsia"/>
          <w:sz w:val="24"/>
        </w:rPr>
        <w:t>。</w:t>
      </w: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spacing w:line="400" w:lineRule="exact"/>
        <w:rPr>
          <w:rFonts w:asciiTheme="majorEastAsia" w:hAnsiTheme="majorEastAsia" w:eastAsiaTheme="majorEastAsia"/>
          <w:b/>
          <w:bCs/>
          <w:sz w:val="24"/>
        </w:rPr>
      </w:pPr>
      <w:r>
        <w:rPr>
          <w:rFonts w:hint="eastAsia" w:asciiTheme="majorEastAsia" w:hAnsiTheme="majorEastAsia" w:eastAsiaTheme="majorEastAsia"/>
        </w:rPr>
        <w:br w:type="page"/>
      </w:r>
      <w:r>
        <w:rPr>
          <w:rFonts w:hint="eastAsia" w:asciiTheme="majorEastAsia" w:hAnsiTheme="majorEastAsia" w:eastAsiaTheme="majorEastAsia"/>
          <w:b/>
        </w:rPr>
        <w:t>格式3：</w:t>
      </w:r>
    </w:p>
    <w:p>
      <w:pPr>
        <w:pStyle w:val="17"/>
        <w:jc w:val="center"/>
        <w:rPr>
          <w:rFonts w:asciiTheme="majorEastAsia" w:hAnsiTheme="majorEastAsia" w:eastAsiaTheme="majorEastAsia"/>
          <w:b/>
          <w:sz w:val="30"/>
          <w:szCs w:val="30"/>
        </w:rPr>
      </w:pPr>
      <w:r>
        <w:rPr>
          <w:rFonts w:asciiTheme="majorEastAsia" w:hAnsiTheme="majorEastAsia" w:eastAsiaTheme="majorEastAsia"/>
          <w:b/>
          <w:sz w:val="30"/>
          <w:szCs w:val="30"/>
        </w:rPr>
        <w:t>中小企业声明函（格式）</w:t>
      </w:r>
    </w:p>
    <w:p>
      <w:pPr>
        <w:pStyle w:val="16"/>
        <w:spacing w:line="240" w:lineRule="auto"/>
        <w:ind w:firstLine="0"/>
        <w:rPr>
          <w:rFonts w:hint="default" w:asciiTheme="majorEastAsia" w:hAnsiTheme="majorEastAsia" w:eastAsiaTheme="majorEastAsia"/>
          <w:sz w:val="24"/>
          <w:szCs w:val="24"/>
        </w:rPr>
      </w:pPr>
      <w:r>
        <w:rPr>
          <w:rFonts w:asciiTheme="majorEastAsia" w:hAnsiTheme="majorEastAsia" w:eastAsiaTheme="majorEastAsia"/>
          <w:sz w:val="24"/>
          <w:szCs w:val="24"/>
        </w:rPr>
        <w:t>说明：</w:t>
      </w:r>
    </w:p>
    <w:p>
      <w:pPr>
        <w:pStyle w:val="16"/>
        <w:spacing w:line="240" w:lineRule="auto"/>
        <w:ind w:firstLine="464" w:firstLineChars="200"/>
        <w:rPr>
          <w:rFonts w:hint="default" w:asciiTheme="majorEastAsia" w:hAnsiTheme="majorEastAsia" w:eastAsiaTheme="majorEastAsia"/>
          <w:sz w:val="24"/>
          <w:szCs w:val="24"/>
        </w:rPr>
      </w:pPr>
      <w:r>
        <w:rPr>
          <w:rFonts w:asciiTheme="majorEastAsia" w:hAnsiTheme="majorEastAsia" w:eastAsiaTheme="majorEastAsia"/>
          <w:sz w:val="24"/>
          <w:szCs w:val="24"/>
        </w:rPr>
        <w:t>1、本声明函主要供参加政府采购活动的中小企业填写，非中小企业无需填写。</w:t>
      </w:r>
    </w:p>
    <w:p>
      <w:pPr>
        <w:pStyle w:val="16"/>
        <w:spacing w:line="240" w:lineRule="auto"/>
        <w:ind w:firstLine="464" w:firstLineChars="200"/>
        <w:rPr>
          <w:rFonts w:hint="default" w:asciiTheme="majorEastAsia" w:hAnsiTheme="majorEastAsia" w:eastAsiaTheme="majorEastAsia"/>
          <w:sz w:val="24"/>
          <w:szCs w:val="24"/>
        </w:rPr>
      </w:pPr>
      <w:r>
        <w:rPr>
          <w:rFonts w:asciiTheme="majorEastAsia" w:hAnsiTheme="majorEastAsia" w:eastAsiaTheme="majorEastAsia"/>
          <w:sz w:val="24"/>
          <w:szCs w:val="24"/>
        </w:rPr>
        <w:t>2、小型、微型企业提供中型企业制造的货物的，视同为中型企业。</w:t>
      </w:r>
    </w:p>
    <w:p>
      <w:pPr>
        <w:pStyle w:val="16"/>
        <w:spacing w:line="240" w:lineRule="auto"/>
        <w:ind w:firstLine="464" w:firstLineChars="200"/>
        <w:rPr>
          <w:rFonts w:hint="default" w:asciiTheme="majorEastAsia" w:hAnsiTheme="majorEastAsia" w:eastAsiaTheme="majorEastAsia"/>
          <w:sz w:val="24"/>
          <w:szCs w:val="24"/>
        </w:rPr>
      </w:pPr>
      <w:r>
        <w:rPr>
          <w:rFonts w:asciiTheme="majorEastAsia" w:hAnsiTheme="majorEastAsia" w:eastAsiaTheme="majorEastAsia"/>
          <w:sz w:val="24"/>
          <w:szCs w:val="24"/>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6"/>
        <w:spacing w:line="360" w:lineRule="auto"/>
        <w:ind w:firstLine="464" w:firstLineChars="200"/>
        <w:rPr>
          <w:rFonts w:hint="default" w:asciiTheme="majorEastAsia" w:hAnsiTheme="majorEastAsia" w:eastAsiaTheme="majorEastAsia"/>
          <w:sz w:val="24"/>
          <w:szCs w:val="24"/>
        </w:rPr>
      </w:pPr>
    </w:p>
    <w:p>
      <w:pPr>
        <w:pStyle w:val="17"/>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本公司郑重声明，根据《政府采购促进中小企业发展暂行办法》（财库〔2011〕181号）的规定，本公司为______（请填写：中型、小型、微型）企业。即，本公司同时满足以下条件：</w:t>
      </w:r>
    </w:p>
    <w:p>
      <w:pPr>
        <w:pStyle w:val="17"/>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17"/>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7"/>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本公司对上述声明的真实性负责。如有虚假，将依法承担相应责任。</w:t>
      </w:r>
    </w:p>
    <w:p>
      <w:pPr>
        <w:pStyle w:val="17"/>
        <w:spacing w:line="360" w:lineRule="auto"/>
        <w:ind w:firstLine="480" w:firstLineChars="200"/>
        <w:rPr>
          <w:rFonts w:asciiTheme="majorEastAsia" w:hAnsiTheme="majorEastAsia" w:eastAsiaTheme="majorEastAsia"/>
          <w:sz w:val="24"/>
          <w:szCs w:val="24"/>
        </w:rPr>
      </w:pPr>
    </w:p>
    <w:p>
      <w:pPr>
        <w:pStyle w:val="17"/>
        <w:spacing w:line="360" w:lineRule="auto"/>
        <w:ind w:firstLine="480" w:firstLineChars="200"/>
        <w:rPr>
          <w:rFonts w:asciiTheme="majorEastAsia" w:hAnsiTheme="majorEastAsia" w:eastAsiaTheme="majorEastAsia"/>
          <w:sz w:val="24"/>
          <w:szCs w:val="24"/>
        </w:rPr>
      </w:pPr>
    </w:p>
    <w:p>
      <w:pPr>
        <w:pStyle w:val="17"/>
        <w:spacing w:line="360" w:lineRule="auto"/>
        <w:ind w:firstLine="480" w:firstLineChars="200"/>
        <w:rPr>
          <w:rFonts w:asciiTheme="majorEastAsia" w:hAnsiTheme="majorEastAsia" w:eastAsiaTheme="majorEastAsia"/>
          <w:sz w:val="24"/>
          <w:szCs w:val="24"/>
        </w:rPr>
      </w:pPr>
    </w:p>
    <w:p>
      <w:pPr>
        <w:pStyle w:val="17"/>
        <w:spacing w:line="600" w:lineRule="exact"/>
        <w:rPr>
          <w:rFonts w:asciiTheme="majorEastAsia" w:hAnsiTheme="majorEastAsia" w:eastAsiaTheme="majorEastAsia"/>
          <w:sz w:val="24"/>
          <w:szCs w:val="24"/>
          <w:u w:val="single"/>
        </w:rPr>
      </w:pPr>
      <w:r>
        <w:rPr>
          <w:rFonts w:asciiTheme="majorEastAsia" w:hAnsiTheme="majorEastAsia" w:eastAsiaTheme="majorEastAsia"/>
          <w:sz w:val="24"/>
          <w:szCs w:val="24"/>
        </w:rPr>
        <w:t>投标人（盖单位公章）：</w:t>
      </w:r>
    </w:p>
    <w:p>
      <w:pPr>
        <w:pStyle w:val="17"/>
        <w:spacing w:line="600" w:lineRule="exact"/>
        <w:rPr>
          <w:rFonts w:asciiTheme="majorEastAsia" w:hAnsiTheme="majorEastAsia" w:eastAsiaTheme="majorEastAsia"/>
          <w:sz w:val="24"/>
          <w:szCs w:val="24"/>
          <w:u w:val="single"/>
        </w:rPr>
      </w:pPr>
    </w:p>
    <w:p>
      <w:pPr>
        <w:pStyle w:val="17"/>
        <w:spacing w:line="500" w:lineRule="exact"/>
        <w:rPr>
          <w:rFonts w:asciiTheme="majorEastAsia" w:hAnsiTheme="majorEastAsia" w:eastAsiaTheme="majorEastAsia"/>
          <w:sz w:val="24"/>
          <w:szCs w:val="24"/>
          <w:u w:val="single"/>
        </w:rPr>
      </w:pPr>
      <w:r>
        <w:rPr>
          <w:rFonts w:asciiTheme="majorEastAsia" w:hAnsiTheme="majorEastAsia" w:eastAsiaTheme="majorEastAsia"/>
          <w:sz w:val="24"/>
          <w:szCs w:val="24"/>
        </w:rPr>
        <w:t>法定代表人或其委托代理人（签字或盖章）：</w:t>
      </w:r>
    </w:p>
    <w:p>
      <w:pPr>
        <w:pStyle w:val="17"/>
        <w:spacing w:line="360" w:lineRule="auto"/>
        <w:rPr>
          <w:rFonts w:asciiTheme="majorEastAsia" w:hAnsiTheme="majorEastAsia" w:eastAsiaTheme="majorEastAsia"/>
          <w:szCs w:val="21"/>
        </w:rPr>
      </w:pPr>
    </w:p>
    <w:p>
      <w:pPr>
        <w:spacing w:line="588" w:lineRule="exact"/>
        <w:rPr>
          <w:rFonts w:asciiTheme="majorEastAsia" w:hAnsiTheme="majorEastAsia" w:eastAsiaTheme="majorEastAsia"/>
          <w:sz w:val="24"/>
        </w:rPr>
      </w:pPr>
      <w:r>
        <w:rPr>
          <w:rFonts w:hint="eastAsia" w:asciiTheme="majorEastAsia" w:hAnsiTheme="majorEastAsia" w:eastAsiaTheme="majorEastAsia"/>
          <w:b/>
          <w:bCs/>
          <w:sz w:val="24"/>
        </w:rPr>
        <w:br w:type="page"/>
      </w:r>
      <w:r>
        <w:rPr>
          <w:rFonts w:hint="eastAsia" w:asciiTheme="majorEastAsia" w:hAnsiTheme="majorEastAsia" w:eastAsiaTheme="majorEastAsia"/>
          <w:b/>
          <w:szCs w:val="20"/>
        </w:rPr>
        <w:t>格式4：</w:t>
      </w:r>
    </w:p>
    <w:p>
      <w:pPr>
        <w:spacing w:line="588" w:lineRule="exact"/>
        <w:jc w:val="center"/>
        <w:rPr>
          <w:rFonts w:asciiTheme="majorEastAsia" w:hAnsiTheme="majorEastAsia" w:eastAsiaTheme="majorEastAsia"/>
          <w:b/>
          <w:spacing w:val="6"/>
          <w:sz w:val="32"/>
          <w:szCs w:val="32"/>
        </w:rPr>
      </w:pPr>
      <w:r>
        <w:rPr>
          <w:rFonts w:hint="eastAsia" w:asciiTheme="majorEastAsia" w:hAnsiTheme="majorEastAsia" w:eastAsiaTheme="majorEastAsia"/>
          <w:b/>
          <w:spacing w:val="6"/>
          <w:sz w:val="32"/>
          <w:szCs w:val="32"/>
        </w:rPr>
        <w:t>残疾人福利性单位声明函</w:t>
      </w:r>
    </w:p>
    <w:p>
      <w:pPr>
        <w:spacing w:line="588" w:lineRule="exact"/>
        <w:rPr>
          <w:rFonts w:asciiTheme="majorEastAsia" w:hAnsiTheme="majorEastAsia" w:eastAsiaTheme="majorEastAsia"/>
          <w:b/>
          <w:spacing w:val="6"/>
          <w:sz w:val="30"/>
          <w:szCs w:val="30"/>
        </w:rPr>
      </w:pP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本单位郑重声明，根据《财政部 民政部 中国残疾人联合会关于促进残疾人就业政府采购政策的通知》（财库〔2017〕 141号）的规定，本单位为符合条件的残疾人福利性单位，且本单位参加____________单位的____________项目采购活动提供本单位制造的货物（由本单位承担工程/提供服务），或者提供其他残疾人福利性单位制造的货物（不包括使用非残疾人福利性单位注册商标的货物）。</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本单位对上述声明的真实性负责。如有虚假，将依法承担相应责任。</w:t>
      </w:r>
    </w:p>
    <w:p>
      <w:pPr>
        <w:pStyle w:val="17"/>
        <w:spacing w:line="360" w:lineRule="auto"/>
        <w:ind w:firstLine="480" w:firstLineChars="200"/>
        <w:rPr>
          <w:rFonts w:cs="宋体" w:asciiTheme="majorEastAsia" w:hAnsiTheme="majorEastAsia" w:eastAsiaTheme="majorEastAsia"/>
          <w:sz w:val="24"/>
          <w:szCs w:val="24"/>
        </w:rPr>
      </w:pPr>
    </w:p>
    <w:p>
      <w:pPr>
        <w:pStyle w:val="17"/>
        <w:spacing w:line="360" w:lineRule="auto"/>
        <w:ind w:firstLine="480" w:firstLineChars="200"/>
        <w:rPr>
          <w:rFonts w:cs="宋体" w:asciiTheme="majorEastAsia" w:hAnsiTheme="majorEastAsia" w:eastAsiaTheme="majorEastAsia"/>
          <w:sz w:val="24"/>
          <w:szCs w:val="24"/>
        </w:rPr>
      </w:pP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                                       单位名称（盖章）：</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                                       日  期：</w:t>
      </w:r>
    </w:p>
    <w:p>
      <w:pPr>
        <w:pStyle w:val="17"/>
        <w:ind w:firstLine="480" w:firstLineChars="200"/>
        <w:rPr>
          <w:rFonts w:cs="宋体" w:asciiTheme="majorEastAsia" w:hAnsiTheme="majorEastAsia" w:eastAsiaTheme="majorEastAsia"/>
          <w:sz w:val="24"/>
          <w:szCs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p>
    <w:p>
      <w:pPr>
        <w:spacing w:line="400" w:lineRule="exact"/>
        <w:rPr>
          <w:rFonts w:asciiTheme="majorEastAsia" w:hAnsiTheme="majorEastAsia" w:eastAsiaTheme="majorEastAsia"/>
          <w:b/>
          <w:bCs/>
          <w:sz w:val="24"/>
        </w:rPr>
      </w:pPr>
      <w:r>
        <w:rPr>
          <w:rFonts w:hint="eastAsia" w:asciiTheme="majorEastAsia" w:hAnsiTheme="majorEastAsia" w:eastAsiaTheme="majorEastAsia"/>
          <w:b/>
          <w:bCs/>
          <w:sz w:val="24"/>
        </w:rPr>
        <w:br w:type="page"/>
      </w:r>
      <w:r>
        <w:rPr>
          <w:rFonts w:hint="eastAsia" w:asciiTheme="majorEastAsia" w:hAnsiTheme="majorEastAsia" w:eastAsiaTheme="majorEastAsia"/>
          <w:b/>
          <w:szCs w:val="20"/>
        </w:rPr>
        <w:t>格式5：</w:t>
      </w:r>
    </w:p>
    <w:p>
      <w:pPr>
        <w:pStyle w:val="17"/>
        <w:spacing w:line="500" w:lineRule="exact"/>
        <w:jc w:val="center"/>
        <w:rPr>
          <w:rFonts w:asciiTheme="majorEastAsia" w:hAnsiTheme="majorEastAsia" w:eastAsiaTheme="majorEastAsia"/>
          <w:b/>
          <w:bCs/>
          <w:sz w:val="30"/>
          <w:szCs w:val="30"/>
        </w:rPr>
      </w:pPr>
      <w:r>
        <w:rPr>
          <w:rFonts w:asciiTheme="majorEastAsia" w:hAnsiTheme="majorEastAsia" w:eastAsiaTheme="majorEastAsia"/>
          <w:b/>
          <w:bCs/>
          <w:sz w:val="30"/>
          <w:szCs w:val="30"/>
        </w:rPr>
        <w:t>资格声明函（格式）</w:t>
      </w:r>
    </w:p>
    <w:p>
      <w:pPr>
        <w:spacing w:line="380" w:lineRule="exact"/>
        <w:rPr>
          <w:rFonts w:asciiTheme="majorEastAsia" w:hAnsiTheme="majorEastAsia" w:eastAsiaTheme="majorEastAsia"/>
          <w:sz w:val="24"/>
        </w:rPr>
      </w:pPr>
    </w:p>
    <w:p>
      <w:pPr>
        <w:spacing w:line="380" w:lineRule="exact"/>
        <w:rPr>
          <w:rFonts w:asciiTheme="majorEastAsia" w:hAnsiTheme="majorEastAsia" w:eastAsiaTheme="majorEastAsia"/>
          <w:sz w:val="24"/>
        </w:rPr>
      </w:pPr>
    </w:p>
    <w:p>
      <w:pPr>
        <w:spacing w:line="380" w:lineRule="exact"/>
        <w:rPr>
          <w:rFonts w:asciiTheme="majorEastAsia" w:hAnsiTheme="majorEastAsia" w:eastAsiaTheme="majorEastAsia"/>
          <w:sz w:val="24"/>
        </w:rPr>
      </w:pPr>
      <w:r>
        <w:rPr>
          <w:rFonts w:hint="eastAsia" w:asciiTheme="majorEastAsia" w:hAnsiTheme="majorEastAsia" w:eastAsiaTheme="majorEastAsia"/>
          <w:sz w:val="24"/>
        </w:rPr>
        <w:t>致：</w:t>
      </w:r>
      <w:r>
        <w:rPr>
          <w:rFonts w:asciiTheme="majorEastAsia" w:hAnsiTheme="majorEastAsia" w:eastAsiaTheme="majorEastAsia"/>
          <w:sz w:val="24"/>
          <w:u w:val="single"/>
        </w:rPr>
        <w:t> </w:t>
      </w:r>
      <w:r>
        <w:rPr>
          <w:rFonts w:hint="eastAsia" w:asciiTheme="majorEastAsia" w:hAnsiTheme="majorEastAsia" w:eastAsiaTheme="majorEastAsia"/>
          <w:sz w:val="24"/>
          <w:u w:val="single"/>
        </w:rPr>
        <w:t xml:space="preserve">              </w:t>
      </w:r>
      <w:r>
        <w:rPr>
          <w:rFonts w:asciiTheme="majorEastAsia" w:hAnsiTheme="majorEastAsia" w:eastAsiaTheme="majorEastAsia"/>
          <w:sz w:val="24"/>
          <w:u w:val="single"/>
        </w:rPr>
        <w:t xml:space="preserve"> </w:t>
      </w:r>
      <w:r>
        <w:rPr>
          <w:rFonts w:hint="eastAsia" w:asciiTheme="majorEastAsia" w:hAnsiTheme="majorEastAsia" w:eastAsiaTheme="majorEastAsia"/>
          <w:sz w:val="24"/>
        </w:rPr>
        <w:t>（采购代理机构名称）</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我方愿意参加贵方组织的</w:t>
      </w:r>
      <w:r>
        <w:rPr>
          <w:rFonts w:asciiTheme="majorEastAsia" w:hAnsiTheme="majorEastAsia" w:eastAsiaTheme="majorEastAsia"/>
          <w:sz w:val="24"/>
          <w:u w:val="single"/>
        </w:rPr>
        <w:t> (</w:t>
      </w:r>
      <w:r>
        <w:rPr>
          <w:rFonts w:hint="eastAsia" w:asciiTheme="majorEastAsia" w:hAnsiTheme="majorEastAsia" w:eastAsiaTheme="majorEastAsia"/>
          <w:sz w:val="24"/>
          <w:u w:val="single"/>
        </w:rPr>
        <w:t>项目名称</w:t>
      </w:r>
      <w:r>
        <w:rPr>
          <w:rFonts w:asciiTheme="majorEastAsia" w:hAnsiTheme="majorEastAsia" w:eastAsiaTheme="majorEastAsia"/>
          <w:sz w:val="24"/>
          <w:u w:val="single"/>
        </w:rPr>
        <w:t>)</w:t>
      </w:r>
      <w:r>
        <w:rPr>
          <w:rFonts w:hint="eastAsia" w:asciiTheme="majorEastAsia" w:hAnsiTheme="majorEastAsia" w:eastAsiaTheme="majorEastAsia"/>
          <w:sz w:val="24"/>
          <w:u w:val="single"/>
        </w:rPr>
        <w:t xml:space="preserve">          </w:t>
      </w:r>
      <w:r>
        <w:rPr>
          <w:rFonts w:asciiTheme="majorEastAsia" w:hAnsiTheme="majorEastAsia" w:eastAsiaTheme="majorEastAsia"/>
          <w:sz w:val="24"/>
          <w:u w:val="single"/>
        </w:rPr>
        <w:t xml:space="preserve">  </w:t>
      </w:r>
      <w:r>
        <w:rPr>
          <w:rFonts w:hint="eastAsia" w:asciiTheme="majorEastAsia" w:hAnsiTheme="majorEastAsia" w:eastAsiaTheme="majorEastAsia"/>
          <w:sz w:val="24"/>
        </w:rPr>
        <w:t>（项目编号</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）项目的投标，为便于贵方公正、择优地确定中标供应商及其投标服务成果和服务，我方就本次投标有关事项郑重声明如下：</w:t>
      </w:r>
    </w:p>
    <w:p>
      <w:pPr>
        <w:spacing w:line="380" w:lineRule="exact"/>
        <w:ind w:firstLine="482"/>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、我方承诺已经具备《中华人民共和国政府采购法》中规定的参加政府采购活动的供应商应当具备的条件：</w:t>
      </w:r>
    </w:p>
    <w:p>
      <w:pPr>
        <w:spacing w:line="380" w:lineRule="exact"/>
        <w:ind w:left="42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1</w:t>
      </w:r>
      <w:r>
        <w:rPr>
          <w:rFonts w:hint="eastAsia" w:asciiTheme="majorEastAsia" w:hAnsiTheme="majorEastAsia" w:eastAsiaTheme="majorEastAsia"/>
          <w:sz w:val="24"/>
        </w:rPr>
        <w:t>）具有独立承担民事责任的能力；</w:t>
      </w:r>
    </w:p>
    <w:p>
      <w:pPr>
        <w:spacing w:line="380" w:lineRule="exact"/>
        <w:ind w:left="42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2</w:t>
      </w:r>
      <w:r>
        <w:rPr>
          <w:rFonts w:hint="eastAsia" w:asciiTheme="majorEastAsia" w:hAnsiTheme="majorEastAsia" w:eastAsiaTheme="majorEastAsia"/>
          <w:sz w:val="24"/>
        </w:rPr>
        <w:t>）具有良好的商业信誉和健全的财务会计制度；</w:t>
      </w:r>
    </w:p>
    <w:p>
      <w:pPr>
        <w:spacing w:line="380" w:lineRule="exact"/>
        <w:ind w:left="42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3</w:t>
      </w:r>
      <w:r>
        <w:rPr>
          <w:rFonts w:hint="eastAsia" w:asciiTheme="majorEastAsia" w:hAnsiTheme="majorEastAsia" w:eastAsiaTheme="majorEastAsia"/>
          <w:sz w:val="24"/>
        </w:rPr>
        <w:t>）具有履行合同所必需的设备和专业技术能力；</w:t>
      </w:r>
    </w:p>
    <w:p>
      <w:pPr>
        <w:spacing w:line="380" w:lineRule="exact"/>
        <w:ind w:left="42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4</w:t>
      </w:r>
      <w:r>
        <w:rPr>
          <w:rFonts w:hint="eastAsia" w:asciiTheme="majorEastAsia" w:hAnsiTheme="majorEastAsia" w:eastAsiaTheme="majorEastAsia"/>
          <w:sz w:val="24"/>
        </w:rPr>
        <w:t>）有依法缴纳税收和社会保障资金的良好记录；</w:t>
      </w:r>
    </w:p>
    <w:p>
      <w:pPr>
        <w:spacing w:line="380" w:lineRule="exact"/>
        <w:ind w:left="42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5</w:t>
      </w:r>
      <w:r>
        <w:rPr>
          <w:rFonts w:hint="eastAsia" w:asciiTheme="majorEastAsia" w:hAnsiTheme="majorEastAsia" w:eastAsiaTheme="majorEastAsia"/>
          <w:sz w:val="24"/>
        </w:rPr>
        <w:t>）参加政府采购活动前三年内，在经营活动中没有重大违法记录；</w:t>
      </w:r>
    </w:p>
    <w:p>
      <w:pPr>
        <w:spacing w:line="380" w:lineRule="exact"/>
        <w:ind w:left="420"/>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6</w:t>
      </w:r>
      <w:r>
        <w:rPr>
          <w:rFonts w:hint="eastAsia" w:asciiTheme="majorEastAsia" w:hAnsiTheme="majorEastAsia" w:eastAsiaTheme="majorEastAsia"/>
          <w:sz w:val="24"/>
        </w:rPr>
        <w:t>）法律、行政法规规定的其他条件。</w:t>
      </w:r>
    </w:p>
    <w:p>
      <w:pPr>
        <w:spacing w:line="380" w:lineRule="exact"/>
        <w:ind w:firstLine="482"/>
        <w:rPr>
          <w:rFonts w:asciiTheme="majorEastAsia" w:hAnsiTheme="majorEastAsia" w:eastAsiaTheme="majorEastAsia"/>
          <w:sz w:val="24"/>
        </w:rPr>
      </w:pPr>
      <w:r>
        <w:rPr>
          <w:rFonts w:hint="eastAsia" w:asciiTheme="majorEastAsia" w:hAnsiTheme="majorEastAsia" w:eastAsiaTheme="majorEastAsia"/>
          <w:sz w:val="24"/>
        </w:rPr>
        <w:t>2、经查询，在“信用中国”和“中国政府采购网”网站我方未被列入失信被执行人、重大税收违法案件当事人名单、政府采购严重违法失信行为记录名单。</w:t>
      </w:r>
    </w:p>
    <w:p>
      <w:pPr>
        <w:spacing w:line="38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以上事项如有虚假或隐瞒，我方愿意承担一切后果，并不再寻求任何旨在减轻或免除法律责任的辩解。</w:t>
      </w:r>
    </w:p>
    <w:p>
      <w:pPr>
        <w:spacing w:line="380" w:lineRule="exact"/>
        <w:ind w:firstLine="5880" w:firstLineChars="2450"/>
        <w:rPr>
          <w:rFonts w:asciiTheme="majorEastAsia" w:hAnsiTheme="majorEastAsia" w:eastAsiaTheme="majorEastAsia"/>
          <w:bCs/>
          <w:sz w:val="24"/>
        </w:rPr>
      </w:pPr>
    </w:p>
    <w:p>
      <w:pPr>
        <w:spacing w:line="380" w:lineRule="exact"/>
        <w:ind w:firstLine="5880" w:firstLineChars="2450"/>
        <w:rPr>
          <w:rFonts w:asciiTheme="majorEastAsia" w:hAnsiTheme="majorEastAsia" w:eastAsiaTheme="majorEastAsia"/>
          <w:sz w:val="24"/>
        </w:rPr>
      </w:pPr>
      <w:r>
        <w:rPr>
          <w:rFonts w:hint="eastAsia" w:asciiTheme="majorEastAsia" w:hAnsiTheme="majorEastAsia" w:eastAsiaTheme="majorEastAsia"/>
          <w:bCs/>
          <w:sz w:val="24"/>
        </w:rPr>
        <w:t>法定代表人或委托代理人签字：</w:t>
      </w:r>
    </w:p>
    <w:p>
      <w:pPr>
        <w:spacing w:line="380" w:lineRule="exact"/>
        <w:ind w:firstLine="5880" w:firstLineChars="2450"/>
        <w:rPr>
          <w:rFonts w:asciiTheme="majorEastAsia" w:hAnsiTheme="majorEastAsia" w:eastAsiaTheme="majorEastAsia"/>
          <w:sz w:val="24"/>
        </w:rPr>
      </w:pPr>
      <w:r>
        <w:rPr>
          <w:rFonts w:hint="eastAsia" w:asciiTheme="majorEastAsia" w:hAnsiTheme="majorEastAsia" w:eastAsiaTheme="majorEastAsia"/>
          <w:bCs/>
          <w:sz w:val="24"/>
        </w:rPr>
        <w:t>投标人（盖章）：</w:t>
      </w:r>
    </w:p>
    <w:p>
      <w:pPr>
        <w:spacing w:line="380" w:lineRule="exact"/>
        <w:ind w:firstLine="5880" w:firstLineChars="2450"/>
        <w:rPr>
          <w:rFonts w:asciiTheme="majorEastAsia" w:hAnsiTheme="majorEastAsia" w:eastAsiaTheme="majorEastAsia"/>
          <w:sz w:val="24"/>
        </w:rPr>
      </w:pPr>
      <w:r>
        <w:rPr>
          <w:rFonts w:hint="eastAsia" w:asciiTheme="majorEastAsia" w:hAnsiTheme="majorEastAsia" w:eastAsiaTheme="majorEastAsia"/>
          <w:bCs/>
          <w:sz w:val="24"/>
        </w:rPr>
        <w:t>年  月  日</w:t>
      </w:r>
    </w:p>
    <w:p>
      <w:pPr>
        <w:rPr>
          <w:rFonts w:asciiTheme="majorEastAsia" w:hAnsiTheme="majorEastAsia" w:eastAsiaTheme="majorEastAsia"/>
          <w:b/>
          <w:szCs w:val="20"/>
        </w:rPr>
      </w:pPr>
      <w:r>
        <w:rPr>
          <w:rFonts w:asciiTheme="majorEastAsia" w:hAnsiTheme="majorEastAsia" w:eastAsiaTheme="majorEastAsia"/>
          <w:b/>
        </w:rPr>
        <w:br w:type="page"/>
      </w:r>
    </w:p>
    <w:p>
      <w:pPr>
        <w:pStyle w:val="17"/>
        <w:rPr>
          <w:rFonts w:cs="宋体" w:asciiTheme="majorEastAsia" w:hAnsiTheme="majorEastAsia" w:eastAsiaTheme="majorEastAsia"/>
          <w:sz w:val="24"/>
          <w:szCs w:val="24"/>
        </w:rPr>
      </w:pPr>
      <w:r>
        <w:rPr>
          <w:rFonts w:cs="宋体" w:asciiTheme="majorEastAsia" w:hAnsiTheme="majorEastAsia" w:eastAsiaTheme="majorEastAsia"/>
          <w:b/>
        </w:rPr>
        <w:t>格式6：</w:t>
      </w:r>
    </w:p>
    <w:p>
      <w:pPr>
        <w:pStyle w:val="17"/>
        <w:spacing w:line="500" w:lineRule="exact"/>
        <w:jc w:val="center"/>
        <w:rPr>
          <w:rFonts w:asciiTheme="majorEastAsia" w:hAnsiTheme="majorEastAsia" w:eastAsiaTheme="majorEastAsia"/>
          <w:b/>
          <w:bCs/>
          <w:sz w:val="30"/>
          <w:szCs w:val="30"/>
        </w:rPr>
      </w:pPr>
      <w:r>
        <w:rPr>
          <w:rFonts w:asciiTheme="majorEastAsia" w:hAnsiTheme="majorEastAsia" w:eastAsiaTheme="majorEastAsia"/>
          <w:b/>
          <w:bCs/>
          <w:sz w:val="30"/>
          <w:szCs w:val="30"/>
        </w:rPr>
        <w:t>投标服务技术资料表（格式）</w:t>
      </w:r>
    </w:p>
    <w:p>
      <w:pPr>
        <w:pStyle w:val="17"/>
        <w:spacing w:line="440" w:lineRule="exact"/>
        <w:ind w:firstLine="480" w:firstLineChars="200"/>
        <w:rPr>
          <w:rFonts w:asciiTheme="majorEastAsia" w:hAnsiTheme="majorEastAsia" w:eastAsiaTheme="majorEastAsia"/>
          <w:sz w:val="24"/>
          <w:szCs w:val="24"/>
        </w:rPr>
      </w:pPr>
    </w:p>
    <w:p>
      <w:pPr>
        <w:pStyle w:val="17"/>
        <w:spacing w:line="440" w:lineRule="exact"/>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请根据所投服务的实际技术参数，逐条对应本项目招标文件第二章“服务需求一览表”中的服务内容及要求详细填写相应的具体内容。“偏离说明”一栏应当选择“正偏离”、“负偏离”或“无偏离”进行填写。</w:t>
      </w:r>
    </w:p>
    <w:p>
      <w:pPr>
        <w:pStyle w:val="17"/>
        <w:rPr>
          <w:rFonts w:asciiTheme="majorEastAsia" w:hAnsiTheme="majorEastAsia" w:eastAsiaTheme="majorEastAsia"/>
          <w:sz w:val="24"/>
          <w:szCs w:val="24"/>
          <w:u w:val="thick"/>
        </w:rPr>
      </w:pPr>
    </w:p>
    <w:tbl>
      <w:tblPr>
        <w:tblStyle w:val="26"/>
        <w:tblW w:w="10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260"/>
        <w:gridCol w:w="2310"/>
        <w:gridCol w:w="1516"/>
        <w:gridCol w:w="3297"/>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62" w:type="dxa"/>
            <w:vMerge w:val="restart"/>
            <w:vAlign w:val="center"/>
          </w:tcPr>
          <w:p>
            <w:pPr>
              <w:rPr>
                <w:rFonts w:asciiTheme="majorEastAsia" w:hAnsiTheme="majorEastAsia" w:eastAsiaTheme="majorEastAsia"/>
                <w:sz w:val="24"/>
              </w:rPr>
            </w:pPr>
            <w:r>
              <w:rPr>
                <w:rFonts w:hint="eastAsia" w:asciiTheme="majorEastAsia" w:hAnsiTheme="majorEastAsia" w:eastAsiaTheme="majorEastAsia"/>
                <w:sz w:val="24"/>
              </w:rPr>
              <w:t>项号</w:t>
            </w:r>
          </w:p>
        </w:tc>
        <w:tc>
          <w:tcPr>
            <w:tcW w:w="3570"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招标文件需求</w:t>
            </w:r>
          </w:p>
        </w:tc>
        <w:tc>
          <w:tcPr>
            <w:tcW w:w="4813"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投标文件承诺</w:t>
            </w:r>
          </w:p>
        </w:tc>
        <w:tc>
          <w:tcPr>
            <w:tcW w:w="1539" w:type="dxa"/>
            <w:vMerge w:val="restart"/>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862" w:type="dxa"/>
            <w:vMerge w:val="continue"/>
            <w:vAlign w:val="center"/>
          </w:tcPr>
          <w:p>
            <w:pPr>
              <w:rPr>
                <w:rFonts w:asciiTheme="majorEastAsia" w:hAnsiTheme="majorEastAsia" w:eastAsiaTheme="majorEastAsia"/>
                <w:sz w:val="24"/>
              </w:rPr>
            </w:pPr>
          </w:p>
        </w:tc>
        <w:tc>
          <w:tcPr>
            <w:tcW w:w="12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服务名称</w:t>
            </w:r>
          </w:p>
        </w:tc>
        <w:tc>
          <w:tcPr>
            <w:tcW w:w="231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服务内容及要求</w:t>
            </w:r>
          </w:p>
        </w:tc>
        <w:tc>
          <w:tcPr>
            <w:tcW w:w="151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服务名称</w:t>
            </w:r>
          </w:p>
        </w:tc>
        <w:tc>
          <w:tcPr>
            <w:tcW w:w="329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所提供服务的内容</w:t>
            </w:r>
          </w:p>
        </w:tc>
        <w:tc>
          <w:tcPr>
            <w:tcW w:w="1539" w:type="dxa"/>
            <w:vMerge w:val="continue"/>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862"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2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w:t>
            </w:r>
          </w:p>
        </w:tc>
        <w:tc>
          <w:tcPr>
            <w:tcW w:w="2310"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hint="eastAsia" w:asciiTheme="majorEastAsia" w:hAnsiTheme="majorEastAsia" w:eastAsiaTheme="majorEastAsia"/>
                <w:sz w:val="24"/>
              </w:rPr>
              <w:t>……</w:t>
            </w:r>
          </w:p>
        </w:tc>
        <w:tc>
          <w:tcPr>
            <w:tcW w:w="151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w:t>
            </w:r>
          </w:p>
        </w:tc>
        <w:tc>
          <w:tcPr>
            <w:tcW w:w="32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hint="eastAsia" w:asciiTheme="majorEastAsia" w:hAnsiTheme="majorEastAsia" w:eastAsiaTheme="majorEastAsia"/>
                <w:sz w:val="24"/>
              </w:rPr>
              <w:t>……</w:t>
            </w:r>
          </w:p>
        </w:tc>
        <w:tc>
          <w:tcPr>
            <w:tcW w:w="1539" w:type="dxa"/>
            <w:vAlign w:val="center"/>
          </w:tcPr>
          <w:p>
            <w:pPr>
              <w:rPr>
                <w:rFonts w:asciiTheme="majorEastAsia" w:hAnsiTheme="majorEastAsia" w:eastAsiaTheme="majorEastAsia"/>
                <w:sz w:val="24"/>
              </w:rPr>
            </w:pPr>
            <w:r>
              <w:rPr>
                <w:rFonts w:hint="eastAsia" w:asciiTheme="majorEastAsia" w:hAnsiTheme="majorEastAsia" w:eastAsiaTheme="majorEastAsia"/>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26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w:t>
            </w:r>
          </w:p>
        </w:tc>
        <w:tc>
          <w:tcPr>
            <w:tcW w:w="2310"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hint="eastAsia" w:asciiTheme="majorEastAsia" w:hAnsiTheme="majorEastAsia" w:eastAsiaTheme="majorEastAsia"/>
                <w:sz w:val="24"/>
              </w:rPr>
              <w:t>……</w:t>
            </w:r>
          </w:p>
        </w:tc>
        <w:tc>
          <w:tcPr>
            <w:tcW w:w="151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w:t>
            </w:r>
          </w:p>
        </w:tc>
        <w:tc>
          <w:tcPr>
            <w:tcW w:w="32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p>
            <w:pPr>
              <w:jc w:val="center"/>
              <w:rPr>
                <w:rFonts w:asciiTheme="majorEastAsia" w:hAnsiTheme="majorEastAsia" w:eastAsiaTheme="majorEastAsia"/>
                <w:sz w:val="24"/>
              </w:rPr>
            </w:pPr>
            <w:r>
              <w:rPr>
                <w:rFonts w:hint="eastAsia" w:asciiTheme="majorEastAsia" w:hAnsiTheme="majorEastAsia" w:eastAsiaTheme="majorEastAsia"/>
                <w:sz w:val="24"/>
              </w:rPr>
              <w:t>……</w:t>
            </w:r>
          </w:p>
        </w:tc>
        <w:tc>
          <w:tcPr>
            <w:tcW w:w="1539" w:type="dxa"/>
            <w:vAlign w:val="center"/>
          </w:tcPr>
          <w:p>
            <w:pPr>
              <w:rPr>
                <w:rFonts w:asciiTheme="majorEastAsia" w:hAnsiTheme="majorEastAsia" w:eastAsiaTheme="majorEastAsia"/>
                <w:sz w:val="24"/>
              </w:rPr>
            </w:pPr>
            <w:r>
              <w:rPr>
                <w:rFonts w:hint="eastAsia" w:asciiTheme="majorEastAsia" w:hAnsiTheme="majorEastAsia" w:eastAsiaTheme="majorEastAsia"/>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w:t>
            </w:r>
          </w:p>
        </w:tc>
        <w:tc>
          <w:tcPr>
            <w:tcW w:w="1260" w:type="dxa"/>
            <w:vAlign w:val="center"/>
          </w:tcPr>
          <w:p>
            <w:pPr>
              <w:rPr>
                <w:rFonts w:asciiTheme="majorEastAsia" w:hAnsiTheme="majorEastAsia" w:eastAsiaTheme="majorEastAsia"/>
                <w:sz w:val="24"/>
              </w:rPr>
            </w:pPr>
          </w:p>
        </w:tc>
        <w:tc>
          <w:tcPr>
            <w:tcW w:w="2310" w:type="dxa"/>
            <w:vAlign w:val="center"/>
          </w:tcPr>
          <w:p>
            <w:pPr>
              <w:rPr>
                <w:rFonts w:asciiTheme="majorEastAsia" w:hAnsiTheme="majorEastAsia" w:eastAsiaTheme="majorEastAsia"/>
                <w:sz w:val="24"/>
              </w:rPr>
            </w:pPr>
          </w:p>
        </w:tc>
        <w:tc>
          <w:tcPr>
            <w:tcW w:w="1516" w:type="dxa"/>
            <w:vAlign w:val="center"/>
          </w:tcPr>
          <w:p>
            <w:pPr>
              <w:rPr>
                <w:rFonts w:asciiTheme="majorEastAsia" w:hAnsiTheme="majorEastAsia" w:eastAsiaTheme="majorEastAsia"/>
                <w:sz w:val="24"/>
              </w:rPr>
            </w:pPr>
          </w:p>
        </w:tc>
        <w:tc>
          <w:tcPr>
            <w:tcW w:w="3297" w:type="dxa"/>
            <w:vAlign w:val="center"/>
          </w:tcPr>
          <w:p>
            <w:pPr>
              <w:rPr>
                <w:rFonts w:asciiTheme="majorEastAsia" w:hAnsiTheme="majorEastAsia" w:eastAsiaTheme="majorEastAsia"/>
                <w:sz w:val="24"/>
              </w:rPr>
            </w:pPr>
          </w:p>
        </w:tc>
        <w:tc>
          <w:tcPr>
            <w:tcW w:w="1539" w:type="dxa"/>
            <w:vAlign w:val="center"/>
          </w:tcPr>
          <w:p>
            <w:pP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784" w:type="dxa"/>
            <w:gridSpan w:val="6"/>
            <w:vAlign w:val="center"/>
          </w:tcPr>
          <w:p>
            <w:pPr>
              <w:rPr>
                <w:rFonts w:asciiTheme="majorEastAsia" w:hAnsiTheme="majorEastAsia" w:eastAsiaTheme="majorEastAsia"/>
                <w:sz w:val="24"/>
              </w:rPr>
            </w:pPr>
            <w:r>
              <w:rPr>
                <w:rFonts w:hint="eastAsia" w:asciiTheme="majorEastAsia" w:hAnsiTheme="majorEastAsia" w:eastAsiaTheme="majorEastAsia"/>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784" w:type="dxa"/>
            <w:gridSpan w:val="6"/>
            <w:vAlign w:val="center"/>
          </w:tcPr>
          <w:p>
            <w:pPr>
              <w:rPr>
                <w:rFonts w:asciiTheme="majorEastAsia" w:hAnsiTheme="majorEastAsia" w:eastAsiaTheme="majorEastAsia"/>
                <w:sz w:val="24"/>
              </w:rPr>
            </w:pPr>
            <w:r>
              <w:rPr>
                <w:rFonts w:hint="eastAsia" w:asciiTheme="majorEastAsia" w:hAnsiTheme="majorEastAsia" w:eastAsiaTheme="majorEastAsia"/>
                <w:sz w:val="24"/>
              </w:rPr>
              <w:t>法定代表人或其委托代理人（签字或盖章）：</w:t>
            </w:r>
          </w:p>
        </w:tc>
      </w:tr>
    </w:tbl>
    <w:p>
      <w:pPr>
        <w:pStyle w:val="17"/>
        <w:spacing w:line="500" w:lineRule="exact"/>
        <w:rPr>
          <w:rFonts w:asciiTheme="majorEastAsia" w:hAnsiTheme="majorEastAsia" w:eastAsiaTheme="majorEastAsia"/>
          <w:sz w:val="24"/>
          <w:szCs w:val="24"/>
        </w:rPr>
      </w:pPr>
      <w:r>
        <w:rPr>
          <w:rFonts w:asciiTheme="majorEastAsia" w:hAnsiTheme="majorEastAsia" w:eastAsiaTheme="majorEastAsia"/>
          <w:sz w:val="24"/>
          <w:szCs w:val="24"/>
        </w:rPr>
        <w:t>注：</w:t>
      </w:r>
      <w:r>
        <w:rPr>
          <w:rFonts w:cs="宋体" w:asciiTheme="majorEastAsia" w:hAnsiTheme="majorEastAsia" w:eastAsiaTheme="majorEastAsia"/>
          <w:sz w:val="24"/>
          <w:szCs w:val="24"/>
        </w:rPr>
        <w:t>⑴</w:t>
      </w:r>
      <w:r>
        <w:rPr>
          <w:rFonts w:asciiTheme="majorEastAsia" w:hAnsiTheme="majorEastAsia" w:eastAsiaTheme="majorEastAsia"/>
          <w:sz w:val="24"/>
          <w:szCs w:val="24"/>
        </w:rPr>
        <w:t>表格内容均需按要求填写并盖章，不得留空，</w:t>
      </w:r>
      <w:r>
        <w:rPr>
          <w:rFonts w:asciiTheme="majorEastAsia" w:hAnsiTheme="majorEastAsia" w:eastAsiaTheme="majorEastAsia"/>
          <w:bCs/>
          <w:sz w:val="24"/>
          <w:szCs w:val="24"/>
        </w:rPr>
        <w:t>否则按投标无效处理</w:t>
      </w:r>
      <w:r>
        <w:rPr>
          <w:rFonts w:asciiTheme="majorEastAsia" w:hAnsiTheme="majorEastAsia" w:eastAsiaTheme="majorEastAsia"/>
          <w:sz w:val="24"/>
          <w:szCs w:val="24"/>
        </w:rPr>
        <w:t>。</w:t>
      </w:r>
    </w:p>
    <w:p>
      <w:pPr>
        <w:pStyle w:val="17"/>
        <w:spacing w:line="500" w:lineRule="exact"/>
        <w:ind w:left="742" w:leftChars="228" w:hanging="240" w:hangingChars="100"/>
        <w:rPr>
          <w:rFonts w:asciiTheme="majorEastAsia" w:hAnsiTheme="majorEastAsia" w:eastAsiaTheme="majorEastAsia"/>
          <w:bCs/>
          <w:sz w:val="24"/>
          <w:szCs w:val="24"/>
        </w:rPr>
      </w:pPr>
      <w:r>
        <w:rPr>
          <w:rFonts w:cs="宋体" w:asciiTheme="majorEastAsia" w:hAnsiTheme="majorEastAsia" w:eastAsiaTheme="majorEastAsia"/>
          <w:bCs/>
          <w:sz w:val="24"/>
          <w:szCs w:val="24"/>
        </w:rPr>
        <w:t>⑵</w:t>
      </w:r>
      <w:r>
        <w:rPr>
          <w:rFonts w:asciiTheme="majorEastAsia" w:hAnsiTheme="majorEastAsia" w:eastAsiaTheme="majorEastAsia"/>
          <w:bCs/>
          <w:sz w:val="24"/>
          <w:szCs w:val="24"/>
        </w:rPr>
        <w:t>当投标文件的服务内容低于招标文件要求时，投标人应当如实写明“负偏离”，否则视为虚假应标。</w:t>
      </w:r>
    </w:p>
    <w:p>
      <w:pPr>
        <w:pStyle w:val="17"/>
        <w:rPr>
          <w:rFonts w:asciiTheme="majorEastAsia" w:hAnsiTheme="majorEastAsia" w:eastAsiaTheme="majorEastAsia"/>
        </w:rPr>
      </w:pPr>
    </w:p>
    <w:p>
      <w:pPr>
        <w:pStyle w:val="17"/>
        <w:rPr>
          <w:rFonts w:asciiTheme="majorEastAsia" w:hAnsiTheme="majorEastAsia" w:eastAsiaTheme="majorEastAsia"/>
        </w:rPr>
      </w:pPr>
    </w:p>
    <w:p>
      <w:pPr>
        <w:pStyle w:val="17"/>
        <w:rPr>
          <w:rFonts w:cs="宋体" w:asciiTheme="majorEastAsia" w:hAnsiTheme="majorEastAsia" w:eastAsiaTheme="majorEastAsia"/>
        </w:rPr>
      </w:pPr>
      <w:r>
        <w:rPr>
          <w:rFonts w:cs="宋体" w:asciiTheme="majorEastAsia" w:hAnsiTheme="majorEastAsia" w:eastAsiaTheme="majorEastAsia"/>
        </w:rPr>
        <w:br w:type="page"/>
      </w:r>
      <w:r>
        <w:rPr>
          <w:rFonts w:cs="宋体" w:asciiTheme="majorEastAsia" w:hAnsiTheme="majorEastAsia" w:eastAsiaTheme="majorEastAsia"/>
          <w:b/>
        </w:rPr>
        <w:t>格式7：</w:t>
      </w:r>
    </w:p>
    <w:p>
      <w:pPr>
        <w:pStyle w:val="17"/>
        <w:spacing w:line="600" w:lineRule="exact"/>
        <w:ind w:firstLine="151" w:firstLineChars="50"/>
        <w:jc w:val="center"/>
        <w:rPr>
          <w:rFonts w:cs="宋体" w:asciiTheme="majorEastAsia" w:hAnsiTheme="majorEastAsia" w:eastAsiaTheme="majorEastAsia"/>
        </w:rPr>
      </w:pPr>
      <w:r>
        <w:rPr>
          <w:rFonts w:cs="宋体" w:asciiTheme="majorEastAsia" w:hAnsiTheme="majorEastAsia" w:eastAsiaTheme="majorEastAsia"/>
          <w:b/>
          <w:bCs/>
          <w:sz w:val="30"/>
          <w:szCs w:val="30"/>
        </w:rPr>
        <w:t>售后服务承诺书（格式）</w:t>
      </w:r>
    </w:p>
    <w:p>
      <w:pPr>
        <w:pStyle w:val="17"/>
        <w:spacing w:line="440" w:lineRule="exact"/>
        <w:ind w:firstLine="415" w:firstLineChars="198"/>
        <w:rPr>
          <w:rFonts w:cs="宋体" w:asciiTheme="majorEastAsia" w:hAnsiTheme="majorEastAsia" w:eastAsiaTheme="majorEastAsia"/>
        </w:rPr>
      </w:pPr>
    </w:p>
    <w:p>
      <w:pPr>
        <w:pStyle w:val="17"/>
        <w:spacing w:line="440" w:lineRule="exact"/>
        <w:ind w:firstLine="475" w:firstLineChars="198"/>
        <w:rPr>
          <w:rFonts w:cs="宋体" w:asciiTheme="majorEastAsia" w:hAnsiTheme="majorEastAsia" w:eastAsiaTheme="majorEastAsia"/>
          <w:sz w:val="24"/>
          <w:szCs w:val="24"/>
        </w:rPr>
      </w:pPr>
      <w:r>
        <w:rPr>
          <w:rFonts w:cs="宋体" w:asciiTheme="majorEastAsia" w:hAnsiTheme="majorEastAsia" w:eastAsiaTheme="majorEastAsia"/>
          <w:sz w:val="24"/>
          <w:szCs w:val="24"/>
        </w:rPr>
        <w:t>由投标人按本项目招标文件第二章“服务需求一览表”中商务条款部分的售后服务要求自行填写。</w:t>
      </w:r>
    </w:p>
    <w:p>
      <w:pPr>
        <w:pStyle w:val="17"/>
        <w:spacing w:line="440" w:lineRule="exact"/>
        <w:ind w:firstLine="480" w:firstLineChars="200"/>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rPr>
          <w:rFonts w:cs="宋体" w:asciiTheme="majorEastAsia" w:hAnsiTheme="majorEastAsia" w:eastAsiaTheme="majorEastAsia"/>
          <w:sz w:val="24"/>
          <w:szCs w:val="24"/>
        </w:rPr>
      </w:pPr>
    </w:p>
    <w:p>
      <w:pPr>
        <w:pStyle w:val="17"/>
        <w:spacing w:line="600" w:lineRule="exact"/>
        <w:ind w:firstLine="480" w:firstLineChars="200"/>
        <w:rPr>
          <w:rFonts w:cs="宋体" w:asciiTheme="majorEastAsia" w:hAnsiTheme="majorEastAsia" w:eastAsiaTheme="majorEastAsia"/>
          <w:sz w:val="24"/>
          <w:szCs w:val="24"/>
        </w:rPr>
      </w:pPr>
    </w:p>
    <w:p>
      <w:pPr>
        <w:pStyle w:val="17"/>
        <w:spacing w:line="600" w:lineRule="exact"/>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投标人（盖单位公章）：</w:t>
      </w:r>
    </w:p>
    <w:p>
      <w:pPr>
        <w:pStyle w:val="17"/>
        <w:spacing w:line="600" w:lineRule="exact"/>
        <w:rPr>
          <w:rFonts w:cs="宋体" w:asciiTheme="majorEastAsia" w:hAnsiTheme="majorEastAsia" w:eastAsiaTheme="majorEastAsia"/>
          <w:sz w:val="24"/>
          <w:szCs w:val="24"/>
          <w:u w:val="single"/>
        </w:rPr>
      </w:pPr>
    </w:p>
    <w:p>
      <w:pPr>
        <w:pStyle w:val="17"/>
        <w:spacing w:line="600" w:lineRule="exact"/>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法定代表人或其委托代理人（签字或盖章）：</w:t>
      </w:r>
    </w:p>
    <w:p>
      <w:pPr>
        <w:pStyle w:val="17"/>
        <w:spacing w:line="600" w:lineRule="exact"/>
        <w:rPr>
          <w:rFonts w:cs="宋体" w:asciiTheme="majorEastAsia" w:hAnsiTheme="majorEastAsia" w:eastAsiaTheme="majorEastAsia"/>
          <w:sz w:val="24"/>
          <w:szCs w:val="24"/>
          <w:u w:val="single"/>
        </w:rPr>
      </w:pPr>
    </w:p>
    <w:p>
      <w:pPr>
        <w:pStyle w:val="17"/>
        <w:spacing w:line="600" w:lineRule="exact"/>
        <w:rPr>
          <w:rFonts w:cs="宋体" w:asciiTheme="majorEastAsia" w:hAnsiTheme="majorEastAsia" w:eastAsiaTheme="majorEastAsia"/>
          <w:sz w:val="24"/>
          <w:szCs w:val="24"/>
          <w:u w:val="single"/>
        </w:rPr>
      </w:pPr>
    </w:p>
    <w:p>
      <w:pPr>
        <w:pStyle w:val="17"/>
        <w:spacing w:line="600" w:lineRule="exact"/>
        <w:rPr>
          <w:rFonts w:cs="宋体" w:asciiTheme="majorEastAsia" w:hAnsiTheme="majorEastAsia" w:eastAsiaTheme="majorEastAsia"/>
          <w:sz w:val="24"/>
          <w:szCs w:val="24"/>
          <w:u w:val="single"/>
        </w:rPr>
      </w:pPr>
    </w:p>
    <w:p>
      <w:pPr>
        <w:pStyle w:val="17"/>
        <w:spacing w:line="600" w:lineRule="exact"/>
        <w:rPr>
          <w:rFonts w:cs="宋体" w:asciiTheme="majorEastAsia" w:hAnsiTheme="majorEastAsia" w:eastAsiaTheme="majorEastAsia"/>
          <w:sz w:val="24"/>
          <w:szCs w:val="24"/>
          <w:u w:val="single"/>
        </w:rPr>
      </w:pPr>
    </w:p>
    <w:p>
      <w:pPr>
        <w:pStyle w:val="17"/>
        <w:spacing w:line="600" w:lineRule="exact"/>
        <w:rPr>
          <w:rFonts w:cs="宋体" w:asciiTheme="majorEastAsia" w:hAnsiTheme="majorEastAsia" w:eastAsiaTheme="majorEastAsia"/>
          <w:sz w:val="24"/>
          <w:szCs w:val="24"/>
          <w:u w:val="single"/>
        </w:rPr>
      </w:pPr>
    </w:p>
    <w:p>
      <w:pPr>
        <w:adjustRightInd/>
        <w:snapToGrid/>
        <w:spacing w:line="220" w:lineRule="atLeast"/>
        <w:rPr>
          <w:rFonts w:asciiTheme="majorEastAsia" w:hAnsiTheme="majorEastAsia" w:eastAsiaTheme="majorEastAsia"/>
          <w:b/>
          <w:kern w:val="2"/>
          <w:sz w:val="21"/>
          <w:szCs w:val="20"/>
        </w:rPr>
      </w:pPr>
      <w:r>
        <w:rPr>
          <w:rFonts w:asciiTheme="majorEastAsia" w:hAnsiTheme="majorEastAsia" w:eastAsiaTheme="majorEastAsia"/>
          <w:b/>
        </w:rPr>
        <w:br w:type="page"/>
      </w:r>
    </w:p>
    <w:p>
      <w:pPr>
        <w:pStyle w:val="17"/>
        <w:spacing w:line="600" w:lineRule="exact"/>
        <w:rPr>
          <w:rFonts w:cs="宋体" w:asciiTheme="majorEastAsia" w:hAnsiTheme="majorEastAsia" w:eastAsiaTheme="majorEastAsia"/>
          <w:u w:val="single"/>
        </w:rPr>
      </w:pPr>
      <w:r>
        <w:rPr>
          <w:rFonts w:cs="宋体" w:asciiTheme="majorEastAsia" w:hAnsiTheme="majorEastAsia" w:eastAsiaTheme="majorEastAsia"/>
          <w:b/>
        </w:rPr>
        <w:t>格式8：</w:t>
      </w:r>
    </w:p>
    <w:p>
      <w:pPr>
        <w:pStyle w:val="17"/>
        <w:spacing w:line="500" w:lineRule="exact"/>
        <w:jc w:val="center"/>
        <w:rPr>
          <w:rFonts w:asciiTheme="majorEastAsia" w:hAnsiTheme="majorEastAsia" w:eastAsiaTheme="majorEastAsia"/>
        </w:rPr>
      </w:pPr>
      <w:r>
        <w:rPr>
          <w:rFonts w:asciiTheme="majorEastAsia" w:hAnsiTheme="majorEastAsia" w:eastAsiaTheme="majorEastAsia"/>
          <w:b/>
          <w:bCs/>
          <w:sz w:val="30"/>
          <w:szCs w:val="30"/>
        </w:rPr>
        <w:t>商务条款偏离表（格式）</w:t>
      </w:r>
    </w:p>
    <w:p>
      <w:pPr>
        <w:pStyle w:val="17"/>
        <w:spacing w:line="440" w:lineRule="exact"/>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请逐条对应本项目招标文件第二章“服务需求一览表”中“商务条款”的要求，详细填写相应的具体内容。“偏离说明”一栏应当选择“正偏离”、“负偏离”或“无偏离”进行填写。</w:t>
      </w:r>
    </w:p>
    <w:tbl>
      <w:tblPr>
        <w:tblStyle w:val="26"/>
        <w:tblpPr w:leftFromText="180" w:rightFromText="180" w:vertAnchor="text" w:horzAnchor="margin" w:tblpXSpec="center" w:tblpY="9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402"/>
        <w:gridCol w:w="2862"/>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vAlign w:val="center"/>
          </w:tcPr>
          <w:p>
            <w:pPr>
              <w:spacing w:line="340" w:lineRule="exact"/>
              <w:jc w:val="center"/>
              <w:rPr>
                <w:rFonts w:asciiTheme="majorEastAsia" w:hAnsiTheme="majorEastAsia" w:eastAsiaTheme="majorEastAsia"/>
                <w:sz w:val="24"/>
              </w:rPr>
            </w:pPr>
            <w:r>
              <w:rPr>
                <w:rFonts w:hint="eastAsia" w:asciiTheme="majorEastAsia" w:hAnsiTheme="majorEastAsia" w:eastAsiaTheme="majorEastAsia"/>
                <w:sz w:val="24"/>
              </w:rPr>
              <w:t>项号</w:t>
            </w:r>
          </w:p>
        </w:tc>
        <w:tc>
          <w:tcPr>
            <w:tcW w:w="3402" w:type="dxa"/>
            <w:vAlign w:val="center"/>
          </w:tcPr>
          <w:p>
            <w:pPr>
              <w:spacing w:line="340" w:lineRule="exact"/>
              <w:jc w:val="center"/>
              <w:rPr>
                <w:rFonts w:asciiTheme="majorEastAsia" w:hAnsiTheme="majorEastAsia" w:eastAsiaTheme="majorEastAsia"/>
                <w:sz w:val="24"/>
              </w:rPr>
            </w:pPr>
            <w:r>
              <w:rPr>
                <w:rFonts w:hint="eastAsia" w:asciiTheme="majorEastAsia" w:hAnsiTheme="majorEastAsia" w:eastAsiaTheme="majorEastAsia"/>
                <w:sz w:val="24"/>
              </w:rPr>
              <w:t>招标文件的商务需求</w:t>
            </w:r>
          </w:p>
        </w:tc>
        <w:tc>
          <w:tcPr>
            <w:tcW w:w="2862" w:type="dxa"/>
            <w:vAlign w:val="center"/>
          </w:tcPr>
          <w:p>
            <w:pPr>
              <w:spacing w:line="340" w:lineRule="exact"/>
              <w:jc w:val="center"/>
              <w:rPr>
                <w:rFonts w:asciiTheme="majorEastAsia" w:hAnsiTheme="majorEastAsia" w:eastAsiaTheme="majorEastAsia"/>
                <w:sz w:val="24"/>
              </w:rPr>
            </w:pPr>
            <w:r>
              <w:rPr>
                <w:rFonts w:hint="eastAsia" w:asciiTheme="majorEastAsia" w:hAnsiTheme="majorEastAsia" w:eastAsiaTheme="majorEastAsia"/>
                <w:sz w:val="24"/>
              </w:rPr>
              <w:t>投标文件承诺的商务条款</w:t>
            </w:r>
          </w:p>
        </w:tc>
        <w:tc>
          <w:tcPr>
            <w:tcW w:w="2241" w:type="dxa"/>
            <w:vAlign w:val="center"/>
          </w:tcPr>
          <w:p>
            <w:pPr>
              <w:spacing w:line="340" w:lineRule="exact"/>
              <w:jc w:val="center"/>
              <w:rPr>
                <w:rFonts w:asciiTheme="majorEastAsia" w:hAnsiTheme="majorEastAsia" w:eastAsiaTheme="majorEastAsia"/>
                <w:sz w:val="24"/>
              </w:rPr>
            </w:pPr>
            <w:r>
              <w:rPr>
                <w:rFonts w:hint="eastAsia" w:asciiTheme="majorEastAsia" w:hAnsiTheme="majorEastAsia" w:eastAsiaTheme="majorEastAsia"/>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817" w:type="dxa"/>
          </w:tcPr>
          <w:p>
            <w:pPr>
              <w:spacing w:line="340" w:lineRule="exact"/>
              <w:jc w:val="center"/>
              <w:rPr>
                <w:rFonts w:asciiTheme="majorEastAsia" w:hAnsiTheme="majorEastAsia" w:eastAsiaTheme="majorEastAsia"/>
                <w:sz w:val="24"/>
              </w:rPr>
            </w:pPr>
            <w:r>
              <w:rPr>
                <w:rFonts w:hint="eastAsia" w:asciiTheme="majorEastAsia" w:hAnsiTheme="majorEastAsia" w:eastAsiaTheme="majorEastAsia"/>
                <w:sz w:val="24"/>
              </w:rPr>
              <w:t>一</w:t>
            </w:r>
          </w:p>
        </w:tc>
        <w:tc>
          <w:tcPr>
            <w:tcW w:w="3402" w:type="dxa"/>
          </w:tcPr>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hint="eastAsia" w:asciiTheme="majorEastAsia" w:hAnsiTheme="majorEastAsia" w:eastAsiaTheme="majorEastAsia"/>
                <w:sz w:val="24"/>
              </w:rPr>
              <w:t>……</w:t>
            </w:r>
          </w:p>
        </w:tc>
        <w:tc>
          <w:tcPr>
            <w:tcW w:w="2862" w:type="dxa"/>
          </w:tcPr>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hint="eastAsia" w:asciiTheme="majorEastAsia" w:hAnsiTheme="majorEastAsia" w:eastAsiaTheme="majorEastAsia"/>
                <w:sz w:val="24"/>
              </w:rPr>
              <w:t>……</w:t>
            </w:r>
          </w:p>
        </w:tc>
        <w:tc>
          <w:tcPr>
            <w:tcW w:w="2241" w:type="dxa"/>
          </w:tcPr>
          <w:p>
            <w:pPr>
              <w:spacing w:line="300" w:lineRule="exact"/>
              <w:rPr>
                <w:rFonts w:asciiTheme="majorEastAsia" w:hAnsiTheme="majorEastAsia" w:eastAsiaTheme="majorEastAsia"/>
                <w:sz w:val="24"/>
              </w:rPr>
            </w:pPr>
            <w:r>
              <w:rPr>
                <w:rFonts w:hint="eastAsia" w:asciiTheme="majorEastAsia" w:hAnsiTheme="majorEastAsia" w:eastAsiaTheme="majorEastAsia"/>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17" w:type="dxa"/>
          </w:tcPr>
          <w:p>
            <w:pPr>
              <w:spacing w:line="340" w:lineRule="exact"/>
              <w:jc w:val="center"/>
              <w:rPr>
                <w:rFonts w:asciiTheme="majorEastAsia" w:hAnsiTheme="majorEastAsia" w:eastAsiaTheme="majorEastAsia"/>
                <w:sz w:val="24"/>
              </w:rPr>
            </w:pPr>
            <w:r>
              <w:rPr>
                <w:rFonts w:hint="eastAsia" w:asciiTheme="majorEastAsia" w:hAnsiTheme="majorEastAsia" w:eastAsiaTheme="majorEastAsia"/>
                <w:sz w:val="24"/>
              </w:rPr>
              <w:t>二</w:t>
            </w:r>
          </w:p>
        </w:tc>
        <w:tc>
          <w:tcPr>
            <w:tcW w:w="3402" w:type="dxa"/>
          </w:tcPr>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hint="eastAsia" w:asciiTheme="majorEastAsia" w:hAnsiTheme="majorEastAsia" w:eastAsiaTheme="majorEastAsia"/>
                <w:sz w:val="24"/>
              </w:rPr>
              <w:t>……</w:t>
            </w:r>
          </w:p>
        </w:tc>
        <w:tc>
          <w:tcPr>
            <w:tcW w:w="2862" w:type="dxa"/>
          </w:tcPr>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hint="eastAsia" w:asciiTheme="majorEastAsia" w:hAnsiTheme="majorEastAsia" w:eastAsiaTheme="majorEastAsia"/>
                <w:sz w:val="24"/>
              </w:rPr>
              <w:t>……</w:t>
            </w:r>
          </w:p>
        </w:tc>
        <w:tc>
          <w:tcPr>
            <w:tcW w:w="2241" w:type="dxa"/>
          </w:tcPr>
          <w:p>
            <w:pPr>
              <w:spacing w:line="300" w:lineRule="exact"/>
              <w:rPr>
                <w:rFonts w:asciiTheme="majorEastAsia" w:hAnsiTheme="majorEastAsia" w:eastAsiaTheme="majorEastAsia"/>
                <w:sz w:val="24"/>
              </w:rPr>
            </w:pPr>
            <w:r>
              <w:rPr>
                <w:rFonts w:hint="eastAsia" w:asciiTheme="majorEastAsia" w:hAnsiTheme="majorEastAsia" w:eastAsiaTheme="majorEastAsia"/>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17" w:type="dxa"/>
          </w:tcPr>
          <w:p>
            <w:pPr>
              <w:spacing w:line="340" w:lineRule="exact"/>
              <w:jc w:val="center"/>
              <w:rPr>
                <w:rFonts w:asciiTheme="majorEastAsia" w:hAnsiTheme="majorEastAsia" w:eastAsiaTheme="majorEastAsia"/>
                <w:sz w:val="24"/>
              </w:rPr>
            </w:pPr>
            <w:r>
              <w:rPr>
                <w:rFonts w:asciiTheme="majorEastAsia" w:hAnsiTheme="majorEastAsia" w:eastAsiaTheme="majorEastAsia"/>
                <w:sz w:val="24"/>
              </w:rPr>
              <w:t>...</w:t>
            </w:r>
          </w:p>
        </w:tc>
        <w:tc>
          <w:tcPr>
            <w:tcW w:w="3402" w:type="dxa"/>
          </w:tcPr>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tc>
        <w:tc>
          <w:tcPr>
            <w:tcW w:w="2862" w:type="dxa"/>
          </w:tcPr>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1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2  </w:t>
            </w:r>
            <w:r>
              <w:rPr>
                <w:rFonts w:hint="eastAsia" w:asciiTheme="majorEastAsia" w:hAnsiTheme="majorEastAsia" w:eastAsiaTheme="majorEastAsia"/>
                <w:sz w:val="24"/>
              </w:rPr>
              <w:t>……</w:t>
            </w:r>
          </w:p>
          <w:p>
            <w:pPr>
              <w:spacing w:line="340" w:lineRule="exact"/>
              <w:rPr>
                <w:rFonts w:asciiTheme="majorEastAsia" w:hAnsiTheme="majorEastAsia" w:eastAsiaTheme="majorEastAsia"/>
                <w:sz w:val="24"/>
              </w:rPr>
            </w:pPr>
            <w:r>
              <w:rPr>
                <w:rFonts w:asciiTheme="majorEastAsia" w:hAnsiTheme="majorEastAsia" w:eastAsiaTheme="majorEastAsia"/>
                <w:sz w:val="24"/>
              </w:rPr>
              <w:t xml:space="preserve">3  </w:t>
            </w:r>
            <w:r>
              <w:rPr>
                <w:rFonts w:hint="eastAsia" w:asciiTheme="majorEastAsia" w:hAnsiTheme="majorEastAsia" w:eastAsiaTheme="majorEastAsia"/>
                <w:sz w:val="24"/>
              </w:rPr>
              <w:t>……</w:t>
            </w:r>
          </w:p>
        </w:tc>
        <w:tc>
          <w:tcPr>
            <w:tcW w:w="2241" w:type="dxa"/>
          </w:tcPr>
          <w:p>
            <w:pPr>
              <w:spacing w:line="300" w:lineRule="exact"/>
              <w:rPr>
                <w:rFonts w:asciiTheme="majorEastAsia" w:hAnsiTheme="majorEastAsia" w:eastAsiaTheme="majorEastAsia"/>
                <w:sz w:val="24"/>
              </w:rPr>
            </w:pPr>
            <w:r>
              <w:rPr>
                <w:rFonts w:hint="eastAsia" w:asciiTheme="majorEastAsia" w:hAnsiTheme="majorEastAsia" w:eastAsiaTheme="majorEastAsia"/>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322" w:type="dxa"/>
            <w:gridSpan w:val="4"/>
          </w:tcPr>
          <w:p>
            <w:pPr>
              <w:spacing w:line="340" w:lineRule="exact"/>
              <w:rPr>
                <w:rFonts w:asciiTheme="majorEastAsia" w:hAnsiTheme="majorEastAsia" w:eastAsiaTheme="majorEastAsia"/>
                <w:sz w:val="24"/>
              </w:rPr>
            </w:pPr>
            <w:r>
              <w:rPr>
                <w:rFonts w:hint="eastAsia" w:asciiTheme="majorEastAsia" w:hAnsiTheme="majorEastAsia" w:eastAsiaTheme="majorEastAsia"/>
                <w:sz w:val="24"/>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322" w:type="dxa"/>
            <w:gridSpan w:val="4"/>
          </w:tcPr>
          <w:p>
            <w:pPr>
              <w:spacing w:line="360" w:lineRule="exact"/>
              <w:rPr>
                <w:rFonts w:asciiTheme="majorEastAsia" w:hAnsiTheme="majorEastAsia" w:eastAsiaTheme="majorEastAsia"/>
                <w:sz w:val="24"/>
              </w:rPr>
            </w:pPr>
            <w:r>
              <w:rPr>
                <w:rFonts w:hint="eastAsia" w:asciiTheme="majorEastAsia" w:hAnsiTheme="majorEastAsia" w:eastAsiaTheme="majorEastAsia"/>
                <w:sz w:val="24"/>
              </w:rPr>
              <w:t>法定代表人或其委托代理人（签字或盖章）：</w:t>
            </w:r>
          </w:p>
        </w:tc>
      </w:tr>
    </w:tbl>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注：⑴表格内容均需按要求填写并盖章，不得留空，否则按投标无效处理。</w:t>
      </w:r>
    </w:p>
    <w:p>
      <w:pPr>
        <w:spacing w:line="400" w:lineRule="exact"/>
        <w:rPr>
          <w:rFonts w:asciiTheme="majorEastAsia" w:hAnsiTheme="majorEastAsia" w:eastAsiaTheme="majorEastAsia"/>
          <w:sz w:val="24"/>
        </w:rPr>
      </w:pPr>
      <w:r>
        <w:rPr>
          <w:rFonts w:hint="eastAsia" w:asciiTheme="majorEastAsia" w:hAnsiTheme="majorEastAsia" w:eastAsiaTheme="majorEastAsia"/>
          <w:sz w:val="24"/>
        </w:rPr>
        <w:t>⑵如果招标文件需求为小于或大于某个数值标准时，投标文件承诺不得直接复制招标文件需求，投标文件承诺内容应当写明投标货物具体参数或商务响应承诺的具体数值，否则按投标无效处理。</w:t>
      </w:r>
    </w:p>
    <w:p>
      <w:pPr>
        <w:pStyle w:val="17"/>
        <w:spacing w:line="400" w:lineRule="exact"/>
        <w:rPr>
          <w:rFonts w:asciiTheme="majorEastAsia" w:hAnsiTheme="majorEastAsia" w:eastAsiaTheme="majorEastAsia"/>
          <w:sz w:val="24"/>
          <w:szCs w:val="24"/>
        </w:rPr>
      </w:pPr>
      <w:r>
        <w:rPr>
          <w:rFonts w:asciiTheme="majorEastAsia" w:hAnsiTheme="majorEastAsia" w:eastAsiaTheme="majorEastAsia"/>
          <w:sz w:val="24"/>
          <w:szCs w:val="24"/>
        </w:rPr>
        <w:t>⑶当投标文件的商务内容低于招标文件要求时，投标人应当如实写明“负偏离”，否则视为虚假应标。</w:t>
      </w:r>
    </w:p>
    <w:p>
      <w:pPr>
        <w:pStyle w:val="17"/>
        <w:spacing w:line="400" w:lineRule="exact"/>
        <w:rPr>
          <w:rFonts w:cs="宋体" w:asciiTheme="majorEastAsia" w:hAnsiTheme="majorEastAsia" w:eastAsiaTheme="majorEastAsia"/>
        </w:rPr>
      </w:pPr>
      <w:r>
        <w:rPr>
          <w:rFonts w:cs="宋体" w:asciiTheme="majorEastAsia" w:hAnsiTheme="majorEastAsia" w:eastAsiaTheme="majorEastAsia"/>
          <w:b/>
        </w:rPr>
        <w:br w:type="page"/>
      </w:r>
      <w:r>
        <w:rPr>
          <w:rFonts w:cs="宋体" w:asciiTheme="majorEastAsia" w:hAnsiTheme="majorEastAsia" w:eastAsiaTheme="majorEastAsia"/>
          <w:b/>
        </w:rPr>
        <w:t>格式9：</w:t>
      </w:r>
    </w:p>
    <w:p>
      <w:pPr>
        <w:pStyle w:val="17"/>
        <w:spacing w:line="500" w:lineRule="exact"/>
        <w:jc w:val="center"/>
        <w:rPr>
          <w:rFonts w:cs="宋体" w:asciiTheme="majorEastAsia" w:hAnsiTheme="majorEastAsia" w:eastAsiaTheme="majorEastAsia"/>
          <w:b/>
          <w:bCs/>
          <w:sz w:val="30"/>
          <w:szCs w:val="30"/>
        </w:rPr>
      </w:pPr>
      <w:r>
        <w:rPr>
          <w:rFonts w:cs="宋体" w:asciiTheme="majorEastAsia" w:hAnsiTheme="majorEastAsia" w:eastAsiaTheme="majorEastAsia"/>
          <w:b/>
          <w:bCs/>
          <w:sz w:val="30"/>
          <w:szCs w:val="30"/>
        </w:rPr>
        <w:t>法定代表人授权委托书（格式）</w:t>
      </w:r>
    </w:p>
    <w:p>
      <w:pPr>
        <w:pStyle w:val="17"/>
        <w:spacing w:line="440" w:lineRule="exact"/>
        <w:ind w:firstLine="420" w:firstLineChars="200"/>
        <w:rPr>
          <w:rFonts w:cs="宋体" w:asciiTheme="majorEastAsia" w:hAnsiTheme="majorEastAsia" w:eastAsiaTheme="majorEastAsia"/>
          <w:u w:val="single"/>
        </w:rPr>
      </w:pPr>
    </w:p>
    <w:p>
      <w:pPr>
        <w:pStyle w:val="17"/>
        <w:spacing w:line="440" w:lineRule="exact"/>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致：</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（采购代理机构名称）</w:t>
      </w:r>
    </w:p>
    <w:p>
      <w:pPr>
        <w:pStyle w:val="17"/>
        <w:spacing w:line="440" w:lineRule="exact"/>
        <w:ind w:firstLine="480" w:firstLineChars="200"/>
        <w:rPr>
          <w:rFonts w:cs="宋体" w:asciiTheme="majorEastAsia" w:hAnsiTheme="majorEastAsia" w:eastAsiaTheme="majorEastAsia"/>
          <w:sz w:val="24"/>
          <w:szCs w:val="24"/>
        </w:rPr>
      </w:pPr>
    </w:p>
    <w:p>
      <w:pPr>
        <w:pStyle w:val="17"/>
        <w:spacing w:line="440" w:lineRule="exact"/>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本人</w:t>
      </w:r>
      <w:r>
        <w:rPr>
          <w:rFonts w:hint="eastAsia" w:cs="宋体" w:asciiTheme="majorEastAsia" w:hAnsiTheme="majorEastAsia" w:eastAsiaTheme="majorEastAsia"/>
          <w:sz w:val="24"/>
          <w:szCs w:val="24"/>
        </w:rPr>
        <w:t xml:space="preserve"> </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u w:val="single"/>
        </w:rPr>
        <w:t>（姓名）</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系</w:t>
      </w:r>
      <w:r>
        <w:rPr>
          <w:rFonts w:hint="eastAsia" w:cs="宋体" w:asciiTheme="majorEastAsia" w:hAnsiTheme="majorEastAsia" w:eastAsiaTheme="majorEastAsia"/>
          <w:sz w:val="24"/>
          <w:szCs w:val="24"/>
        </w:rPr>
        <w:t xml:space="preserve"> </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u w:val="single"/>
        </w:rPr>
        <w:t>（投标人名称）</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的法定代表人，现授权我单位在职正式员工</w:t>
      </w:r>
      <w:r>
        <w:rPr>
          <w:rFonts w:hint="eastAsia" w:cs="宋体" w:asciiTheme="majorEastAsia" w:hAnsiTheme="majorEastAsia" w:eastAsiaTheme="majorEastAsia"/>
          <w:sz w:val="24"/>
          <w:szCs w:val="24"/>
        </w:rPr>
        <w:t xml:space="preserve"> </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u w:val="single"/>
        </w:rPr>
        <w:t>（姓名和职务）</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为我方代理人。代理人根据授权，以我方名义签署、澄清、说明、补正、递交、撤回、修改贵方组织的</w:t>
      </w:r>
      <w:r>
        <w:rPr>
          <w:rFonts w:hint="eastAsia"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项目（项目编号：</w:t>
      </w:r>
      <w:r>
        <w:rPr>
          <w:rFonts w:hint="eastAsia"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）的投标文件、签订合同和处理一切有关事宜，其法律后果由我方承担。</w:t>
      </w:r>
    </w:p>
    <w:p>
      <w:pPr>
        <w:pStyle w:val="17"/>
        <w:spacing w:line="440" w:lineRule="exact"/>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本授权书于</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年</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月</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日签字生效，委托期限：</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w:t>
      </w:r>
    </w:p>
    <w:p>
      <w:pPr>
        <w:pStyle w:val="17"/>
        <w:spacing w:line="360" w:lineRule="auto"/>
        <w:ind w:firstLine="420"/>
        <w:rPr>
          <w:rFonts w:cs="宋体" w:asciiTheme="majorEastAsia" w:hAnsiTheme="majorEastAsia" w:eastAsiaTheme="majorEastAsia"/>
          <w:sz w:val="24"/>
          <w:szCs w:val="24"/>
        </w:rPr>
      </w:pPr>
    </w:p>
    <w:p>
      <w:pPr>
        <w:pStyle w:val="17"/>
        <w:spacing w:line="360" w:lineRule="auto"/>
        <w:ind w:firstLine="420"/>
        <w:rPr>
          <w:rFonts w:cs="宋体" w:asciiTheme="majorEastAsia" w:hAnsiTheme="majorEastAsia" w:eastAsiaTheme="majorEastAsia"/>
          <w:sz w:val="24"/>
          <w:szCs w:val="24"/>
        </w:rPr>
      </w:pPr>
      <w:r>
        <w:rPr>
          <w:rFonts w:cs="宋体" w:asciiTheme="majorEastAsia" w:hAnsiTheme="majorEastAsia" w:eastAsiaTheme="majorEastAsia"/>
          <w:sz w:val="24"/>
          <w:szCs w:val="24"/>
        </w:rPr>
        <w:t>代理人无转委托权。</w:t>
      </w:r>
    </w:p>
    <w:p>
      <w:pPr>
        <w:pStyle w:val="17"/>
        <w:spacing w:line="360" w:lineRule="auto"/>
        <w:ind w:firstLine="420"/>
        <w:rPr>
          <w:rFonts w:cs="宋体" w:asciiTheme="majorEastAsia" w:hAnsiTheme="majorEastAsia" w:eastAsiaTheme="majorEastAsia"/>
          <w:sz w:val="24"/>
          <w:szCs w:val="24"/>
        </w:rPr>
      </w:pPr>
    </w:p>
    <w:p>
      <w:pPr>
        <w:pStyle w:val="17"/>
        <w:spacing w:line="360" w:lineRule="auto"/>
        <w:ind w:firstLine="42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投标人（盖单位公章）：</w:t>
      </w:r>
      <w:r>
        <w:rPr>
          <w:rFonts w:hint="eastAsia" w:cs="宋体" w:asciiTheme="majorEastAsia" w:hAnsiTheme="majorEastAsia" w:eastAsiaTheme="majorEastAsia"/>
          <w:sz w:val="24"/>
          <w:szCs w:val="24"/>
        </w:rPr>
        <w:t>______________________________________</w:t>
      </w:r>
    </w:p>
    <w:p>
      <w:pPr>
        <w:pStyle w:val="17"/>
        <w:spacing w:line="360" w:lineRule="auto"/>
        <w:ind w:firstLine="42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社会统一信用代码:</w:t>
      </w:r>
      <w:r>
        <w:rPr>
          <w:rFonts w:hint="eastAsia" w:cs="宋体" w:asciiTheme="majorEastAsia" w:hAnsiTheme="majorEastAsia" w:eastAsiaTheme="majorEastAsia"/>
          <w:sz w:val="24"/>
          <w:szCs w:val="24"/>
        </w:rPr>
        <w:t>_________________________________________</w:t>
      </w:r>
    </w:p>
    <w:p>
      <w:pPr>
        <w:pStyle w:val="17"/>
        <w:spacing w:line="360" w:lineRule="auto"/>
        <w:ind w:firstLine="42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法定代表人（签字或盖章）：</w:t>
      </w:r>
      <w:r>
        <w:rPr>
          <w:rFonts w:hint="eastAsia" w:cs="宋体" w:asciiTheme="majorEastAsia" w:hAnsiTheme="majorEastAsia" w:eastAsiaTheme="majorEastAsia"/>
          <w:sz w:val="24"/>
          <w:szCs w:val="24"/>
        </w:rPr>
        <w:t>___________________________________</w:t>
      </w:r>
    </w:p>
    <w:p>
      <w:pPr>
        <w:pStyle w:val="17"/>
        <w:spacing w:line="360" w:lineRule="auto"/>
        <w:ind w:firstLine="42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法定代表人身份证号码：</w:t>
      </w:r>
      <w:r>
        <w:rPr>
          <w:rFonts w:hint="eastAsia" w:cs="宋体" w:asciiTheme="majorEastAsia" w:hAnsiTheme="majorEastAsia" w:eastAsiaTheme="majorEastAsia"/>
          <w:sz w:val="24"/>
          <w:szCs w:val="24"/>
        </w:rPr>
        <w:t>______________________________________</w:t>
      </w:r>
    </w:p>
    <w:p>
      <w:pPr>
        <w:pStyle w:val="17"/>
        <w:spacing w:line="360" w:lineRule="auto"/>
        <w:ind w:firstLine="360" w:firstLineChars="150"/>
        <w:rPr>
          <w:rFonts w:cs="宋体" w:asciiTheme="majorEastAsia" w:hAnsiTheme="majorEastAsia" w:eastAsiaTheme="majorEastAsia"/>
          <w:sz w:val="24"/>
          <w:szCs w:val="24"/>
        </w:rPr>
      </w:pPr>
      <w:r>
        <w:rPr>
          <w:rFonts w:cs="宋体" w:asciiTheme="majorEastAsia" w:hAnsiTheme="majorEastAsia" w:eastAsiaTheme="majorEastAsia"/>
          <w:sz w:val="24"/>
          <w:szCs w:val="24"/>
        </w:rPr>
        <w:t>委托代理人（签字或盖章）：</w:t>
      </w:r>
      <w:r>
        <w:rPr>
          <w:rFonts w:hint="eastAsia" w:cs="宋体" w:asciiTheme="majorEastAsia" w:hAnsiTheme="majorEastAsia" w:eastAsiaTheme="majorEastAsia"/>
          <w:sz w:val="24"/>
          <w:szCs w:val="24"/>
        </w:rPr>
        <w:t>___________________________________</w:t>
      </w:r>
    </w:p>
    <w:p>
      <w:pPr>
        <w:pStyle w:val="17"/>
        <w:spacing w:line="360" w:lineRule="auto"/>
        <w:ind w:firstLine="420"/>
        <w:rPr>
          <w:rFonts w:cs="宋体" w:asciiTheme="majorEastAsia" w:hAnsiTheme="majorEastAsia" w:eastAsiaTheme="majorEastAsia"/>
          <w:sz w:val="24"/>
          <w:szCs w:val="24"/>
          <w:u w:val="single"/>
        </w:rPr>
        <w:sectPr>
          <w:pgSz w:w="11906" w:h="16838"/>
          <w:pgMar w:top="1440" w:right="1080" w:bottom="1440" w:left="1080" w:header="851" w:footer="907" w:gutter="0"/>
          <w:cols w:space="720" w:num="1"/>
          <w:docGrid w:type="lines" w:linePitch="312" w:charSpace="0"/>
        </w:sectPr>
      </w:pPr>
      <w:r>
        <w:rPr>
          <w:rFonts w:cs="宋体" w:asciiTheme="majorEastAsia" w:hAnsiTheme="majorEastAsia" w:eastAsiaTheme="majorEastAsia"/>
          <w:sz w:val="24"/>
          <w:szCs w:val="24"/>
        </w:rPr>
        <w:t>委托代理人身份证号码：</w:t>
      </w:r>
      <w:r>
        <w:rPr>
          <w:rFonts w:hint="eastAsia" w:cs="宋体" w:asciiTheme="majorEastAsia" w:hAnsiTheme="majorEastAsia" w:eastAsiaTheme="majorEastAsia"/>
          <w:sz w:val="24"/>
          <w:szCs w:val="24"/>
        </w:rPr>
        <w:t>______________________________________</w:t>
      </w:r>
    </w:p>
    <w:p>
      <w:pPr>
        <w:pStyle w:val="17"/>
        <w:spacing w:line="360" w:lineRule="auto"/>
        <w:ind w:firstLine="420"/>
        <w:rPr>
          <w:rFonts w:cs="宋体" w:asciiTheme="majorEastAsia" w:hAnsiTheme="majorEastAsia" w:eastAsiaTheme="majorEastAsia"/>
          <w:sz w:val="24"/>
          <w:szCs w:val="24"/>
        </w:rPr>
      </w:pPr>
      <w:r>
        <w:rPr>
          <w:rFonts w:hint="eastAsia" w:cs="宋体" w:asciiTheme="majorEastAsia" w:hAnsiTheme="majorEastAsia" w:eastAsiaTheme="majorEastAsia"/>
          <w:b/>
          <w:bCs/>
        </w:rPr>
        <w:t>格式</w:t>
      </w:r>
      <w:r>
        <w:rPr>
          <w:rFonts w:cs="宋体" w:asciiTheme="majorEastAsia" w:hAnsiTheme="majorEastAsia" w:eastAsiaTheme="majorEastAsia"/>
          <w:b/>
          <w:bCs/>
        </w:rPr>
        <w:t>1</w:t>
      </w:r>
      <w:r>
        <w:rPr>
          <w:rFonts w:hint="eastAsia" w:cs="宋体" w:asciiTheme="majorEastAsia" w:hAnsiTheme="majorEastAsia" w:eastAsiaTheme="majorEastAsia"/>
          <w:b/>
          <w:bCs/>
        </w:rPr>
        <w:t>0：</w:t>
      </w:r>
    </w:p>
    <w:p>
      <w:pPr>
        <w:pStyle w:val="17"/>
        <w:spacing w:line="500" w:lineRule="exact"/>
        <w:jc w:val="center"/>
        <w:rPr>
          <w:rFonts w:cs="宋体" w:asciiTheme="majorEastAsia" w:hAnsiTheme="majorEastAsia" w:eastAsiaTheme="majorEastAsia"/>
          <w:b/>
          <w:bCs/>
          <w:sz w:val="30"/>
          <w:szCs w:val="30"/>
        </w:rPr>
      </w:pPr>
      <w:r>
        <w:rPr>
          <w:rFonts w:hint="eastAsia" w:cs="宋体" w:asciiTheme="majorEastAsia" w:hAnsiTheme="majorEastAsia" w:eastAsiaTheme="majorEastAsia"/>
          <w:b/>
          <w:bCs/>
          <w:sz w:val="30"/>
          <w:szCs w:val="30"/>
        </w:rPr>
        <w:t>投标人直接控股、管理关系信息表（格式）</w:t>
      </w:r>
    </w:p>
    <w:p>
      <w:pPr>
        <w:spacing w:before="50" w:afterLines="50"/>
        <w:jc w:val="center"/>
        <w:rPr>
          <w:rFonts w:asciiTheme="majorEastAsia" w:hAnsiTheme="majorEastAsia" w:eastAsiaTheme="majorEastAsia"/>
          <w:b/>
          <w:sz w:val="28"/>
          <w:szCs w:val="28"/>
        </w:rPr>
      </w:pPr>
    </w:p>
    <w:p>
      <w:pPr>
        <w:spacing w:before="50" w:afterLines="50"/>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投标人直接控股股东信息表</w:t>
      </w:r>
    </w:p>
    <w:tbl>
      <w:tblPr>
        <w:tblStyle w:val="26"/>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28"/>
        <w:gridCol w:w="2269"/>
        <w:gridCol w:w="1239"/>
        <w:gridCol w:w="37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直接控股股东名称</w:t>
            </w: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出资比例</w:t>
            </w: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身份证号码或统一社会信用代码</w:t>
            </w: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w:t>
            </w:r>
          </w:p>
        </w:tc>
        <w:tc>
          <w:tcPr>
            <w:tcW w:w="226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r>
    </w:tbl>
    <w:p>
      <w:pPr>
        <w:rPr>
          <w:rFonts w:asciiTheme="majorEastAsia" w:hAnsiTheme="majorEastAsia" w:eastAsiaTheme="majorEastAsia"/>
          <w:sz w:val="24"/>
          <w:szCs w:val="24"/>
        </w:rPr>
      </w:pPr>
      <w:r>
        <w:rPr>
          <w:rFonts w:hint="eastAsia" w:asciiTheme="majorEastAsia" w:hAnsiTheme="majorEastAsia" w:eastAsiaTheme="majorEastAsia"/>
          <w:sz w:val="24"/>
          <w:szCs w:val="24"/>
        </w:rPr>
        <w:t>注：</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2.本表所指的控股关系仅限于直接控股关系，不包括间接的控股关系。公司实际控制人与公司之间的关系不属于本表所指的直接控股关系。</w:t>
      </w: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pStyle w:val="17"/>
        <w:spacing w:line="600" w:lineRule="exact"/>
        <w:rPr>
          <w:rFonts w:cs="宋体" w:asciiTheme="majorEastAsia" w:hAnsiTheme="majorEastAsia" w:eastAsiaTheme="majorEastAsia"/>
          <w:sz w:val="24"/>
          <w:szCs w:val="24"/>
          <w:u w:val="single"/>
        </w:rPr>
      </w:pPr>
      <w:r>
        <w:rPr>
          <w:rFonts w:hint="eastAsia" w:cs="宋体" w:asciiTheme="majorEastAsia" w:hAnsiTheme="majorEastAsia" w:eastAsiaTheme="majorEastAsia"/>
          <w:sz w:val="24"/>
          <w:szCs w:val="24"/>
        </w:rPr>
        <w:t>投标人（盖单位公章）：</w:t>
      </w:r>
    </w:p>
    <w:p>
      <w:pPr>
        <w:pStyle w:val="17"/>
        <w:spacing w:line="600" w:lineRule="exact"/>
        <w:rPr>
          <w:rFonts w:cs="宋体" w:asciiTheme="majorEastAsia" w:hAnsiTheme="majorEastAsia" w:eastAsiaTheme="majorEastAsia"/>
          <w:sz w:val="24"/>
          <w:szCs w:val="24"/>
        </w:rPr>
      </w:pPr>
    </w:p>
    <w:p>
      <w:pPr>
        <w:pStyle w:val="17"/>
        <w:spacing w:line="600" w:lineRule="exact"/>
        <w:rPr>
          <w:rFonts w:cs="宋体" w:asciiTheme="majorEastAsia" w:hAnsiTheme="majorEastAsia" w:eastAsiaTheme="majorEastAsia"/>
          <w:sz w:val="24"/>
          <w:szCs w:val="24"/>
          <w:u w:val="single"/>
        </w:rPr>
      </w:pPr>
      <w:r>
        <w:rPr>
          <w:rFonts w:hint="eastAsia" w:cs="宋体" w:asciiTheme="majorEastAsia" w:hAnsiTheme="majorEastAsia" w:eastAsiaTheme="majorEastAsia"/>
          <w:sz w:val="24"/>
          <w:szCs w:val="24"/>
        </w:rPr>
        <w:t>法定代表人或其委托代理人（签字或盖章）：</w:t>
      </w:r>
    </w:p>
    <w:p>
      <w:pPr>
        <w:spacing w:beforeLines="50" w:after="50"/>
        <w:ind w:right="480" w:firstLine="5520" w:firstLineChars="2300"/>
        <w:rPr>
          <w:rFonts w:asciiTheme="majorEastAsia" w:hAnsiTheme="majorEastAsia" w:eastAsiaTheme="majorEastAsia"/>
          <w:sz w:val="24"/>
          <w:szCs w:val="24"/>
        </w:rPr>
      </w:pPr>
    </w:p>
    <w:p>
      <w:pPr>
        <w:spacing w:beforeLines="50" w:after="50"/>
        <w:ind w:right="480"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年    月    日</w:t>
      </w:r>
    </w:p>
    <w:p>
      <w:pPr>
        <w:jc w:val="center"/>
        <w:rPr>
          <w:rFonts w:asciiTheme="majorEastAsia" w:hAnsiTheme="majorEastAsia" w:eastAsiaTheme="majorEastAsia"/>
          <w:sz w:val="24"/>
          <w:szCs w:val="24"/>
        </w:rPr>
      </w:pPr>
      <w:r>
        <w:rPr>
          <w:rFonts w:hint="eastAsia" w:asciiTheme="majorEastAsia" w:hAnsiTheme="majorEastAsia" w:eastAsiaTheme="majorEastAsia"/>
          <w:b/>
          <w:sz w:val="24"/>
          <w:szCs w:val="24"/>
        </w:rPr>
        <w:br w:type="page"/>
      </w:r>
      <w:r>
        <w:rPr>
          <w:rFonts w:hint="eastAsia" w:asciiTheme="majorEastAsia" w:hAnsiTheme="majorEastAsia" w:eastAsiaTheme="majorEastAsia"/>
          <w:b/>
          <w:sz w:val="28"/>
          <w:szCs w:val="28"/>
        </w:rPr>
        <w:t>投标人直接管理关系信息表</w:t>
      </w:r>
    </w:p>
    <w:tbl>
      <w:tblPr>
        <w:tblStyle w:val="26"/>
        <w:tblW w:w="9652" w:type="dxa"/>
        <w:tblInd w:w="0" w:type="dxa"/>
        <w:shd w:val="clear" w:color="auto" w:fill="FFFFFF"/>
        <w:tblLayout w:type="fixed"/>
        <w:tblCellMar>
          <w:top w:w="0" w:type="dxa"/>
          <w:left w:w="0" w:type="dxa"/>
          <w:bottom w:w="0" w:type="dxa"/>
          <w:right w:w="0" w:type="dxa"/>
        </w:tblCellMar>
      </w:tblPr>
      <w:tblGrid>
        <w:gridCol w:w="1005"/>
        <w:gridCol w:w="2659"/>
        <w:gridCol w:w="3924"/>
        <w:gridCol w:w="2064"/>
      </w:tblGrid>
      <w:tr>
        <w:tblPrEx>
          <w:shd w:val="clear" w:color="auto" w:fill="FFFFFF"/>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备注</w:t>
            </w:r>
          </w:p>
        </w:tc>
      </w:tr>
      <w:tr>
        <w:tblPrEx>
          <w:shd w:val="clear" w:color="auto" w:fill="FFFFFF"/>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r>
      <w:tr>
        <w:tblPrEx>
          <w:shd w:val="clear" w:color="auto" w:fill="FFFFFF"/>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r>
      <w:tr>
        <w:tblPrEx>
          <w:shd w:val="clear" w:color="auto" w:fill="FFFFFF"/>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r>
      <w:tr>
        <w:tblPrEx>
          <w:shd w:val="clear" w:color="auto" w:fill="FFFFFF"/>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ordWrap w:val="0"/>
              <w:spacing w:line="200" w:lineRule="atLeast"/>
              <w:jc w:val="center"/>
              <w:rPr>
                <w:rFonts w:asciiTheme="majorEastAsia" w:hAnsiTheme="majorEastAsia" w:eastAsiaTheme="majorEastAsia"/>
                <w:sz w:val="24"/>
                <w:szCs w:val="24"/>
              </w:rPr>
            </w:pPr>
          </w:p>
        </w:tc>
      </w:tr>
    </w:tbl>
    <w:p>
      <w:pPr>
        <w:rPr>
          <w:rFonts w:asciiTheme="majorEastAsia" w:hAnsiTheme="majorEastAsia" w:eastAsiaTheme="majorEastAsia"/>
          <w:sz w:val="24"/>
          <w:szCs w:val="24"/>
        </w:rPr>
      </w:pPr>
      <w:r>
        <w:rPr>
          <w:rFonts w:hint="eastAsia" w:asciiTheme="majorEastAsia" w:hAnsiTheme="majorEastAsia" w:eastAsiaTheme="majorEastAsia"/>
          <w:sz w:val="24"/>
          <w:szCs w:val="24"/>
        </w:rPr>
        <w:t>注：</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1.管理关系：是指不具有出资持股关系的其他单位之间存在的管理与被管理关系，如一些上下级关系的事业单位和团体组织。</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2.本表所指的管理关系仅限于直接管理关系，不包括间接的管理关系。</w:t>
      </w: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pStyle w:val="17"/>
        <w:spacing w:line="600" w:lineRule="exact"/>
        <w:rPr>
          <w:rFonts w:cs="宋体" w:asciiTheme="majorEastAsia" w:hAnsiTheme="majorEastAsia" w:eastAsiaTheme="majorEastAsia"/>
          <w:sz w:val="24"/>
          <w:szCs w:val="24"/>
          <w:u w:val="single"/>
        </w:rPr>
      </w:pPr>
      <w:r>
        <w:rPr>
          <w:rFonts w:hint="eastAsia" w:cs="宋体" w:asciiTheme="majorEastAsia" w:hAnsiTheme="majorEastAsia" w:eastAsiaTheme="majorEastAsia"/>
          <w:sz w:val="24"/>
          <w:szCs w:val="24"/>
        </w:rPr>
        <w:t>投标人（盖单位公章）：</w:t>
      </w:r>
    </w:p>
    <w:p>
      <w:pPr>
        <w:pStyle w:val="17"/>
        <w:spacing w:line="600" w:lineRule="exact"/>
        <w:rPr>
          <w:rFonts w:cs="宋体" w:asciiTheme="majorEastAsia" w:hAnsiTheme="majorEastAsia" w:eastAsiaTheme="majorEastAsia"/>
          <w:sz w:val="24"/>
          <w:szCs w:val="24"/>
        </w:rPr>
      </w:pPr>
    </w:p>
    <w:p>
      <w:pPr>
        <w:pStyle w:val="17"/>
        <w:spacing w:line="600" w:lineRule="exact"/>
        <w:rPr>
          <w:rFonts w:cs="宋体" w:asciiTheme="majorEastAsia" w:hAnsiTheme="majorEastAsia" w:eastAsiaTheme="majorEastAsia"/>
          <w:sz w:val="24"/>
          <w:szCs w:val="24"/>
          <w:u w:val="single"/>
        </w:rPr>
      </w:pPr>
      <w:r>
        <w:rPr>
          <w:rFonts w:hint="eastAsia" w:cs="宋体" w:asciiTheme="majorEastAsia" w:hAnsiTheme="majorEastAsia" w:eastAsiaTheme="majorEastAsia"/>
          <w:sz w:val="24"/>
          <w:szCs w:val="24"/>
        </w:rPr>
        <w:t>法定代表人或其委托代理人（签字或盖章）：</w:t>
      </w:r>
    </w:p>
    <w:p>
      <w:pPr>
        <w:spacing w:beforeLines="50" w:after="50"/>
        <w:ind w:right="480" w:firstLine="5520" w:firstLineChars="2300"/>
        <w:rPr>
          <w:rFonts w:asciiTheme="majorEastAsia" w:hAnsiTheme="majorEastAsia" w:eastAsiaTheme="majorEastAsia"/>
          <w:sz w:val="24"/>
          <w:szCs w:val="24"/>
        </w:rPr>
      </w:pPr>
    </w:p>
    <w:p>
      <w:pPr>
        <w:spacing w:beforeLines="50" w:after="50"/>
        <w:ind w:right="480"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年    月    日</w:t>
      </w:r>
    </w:p>
    <w:p>
      <w:pPr>
        <w:pStyle w:val="17"/>
        <w:spacing w:line="360" w:lineRule="auto"/>
        <w:ind w:firstLine="420"/>
        <w:jc w:val="center"/>
        <w:rPr>
          <w:rFonts w:cs="宋体" w:asciiTheme="majorEastAsia" w:hAnsiTheme="majorEastAsia" w:eastAsiaTheme="majorEastAsia"/>
          <w:sz w:val="24"/>
          <w:szCs w:val="24"/>
        </w:rPr>
      </w:pPr>
    </w:p>
    <w:p>
      <w:pPr>
        <w:pStyle w:val="17"/>
        <w:spacing w:line="360" w:lineRule="auto"/>
        <w:outlineLvl w:val="0"/>
        <w:rPr>
          <w:rFonts w:cs="宋体" w:asciiTheme="majorEastAsia" w:hAnsiTheme="majorEastAsia" w:eastAsiaTheme="majorEastAsia"/>
          <w:b/>
          <w:sz w:val="36"/>
          <w:szCs w:val="36"/>
        </w:rPr>
      </w:pPr>
      <w:bookmarkStart w:id="52" w:name="_Toc213326424"/>
      <w:r>
        <w:rPr>
          <w:rFonts w:cs="宋体" w:asciiTheme="majorEastAsia" w:hAnsiTheme="majorEastAsia" w:eastAsiaTheme="majorEastAsia"/>
          <w:b/>
          <w:sz w:val="36"/>
          <w:szCs w:val="36"/>
        </w:rPr>
        <w:br w:type="page"/>
      </w:r>
    </w:p>
    <w:p>
      <w:pPr>
        <w:pStyle w:val="17"/>
        <w:spacing w:line="360" w:lineRule="auto"/>
        <w:jc w:val="center"/>
        <w:outlineLvl w:val="0"/>
        <w:rPr>
          <w:rFonts w:cs="宋体" w:asciiTheme="majorEastAsia" w:hAnsiTheme="majorEastAsia" w:eastAsiaTheme="majorEastAsia"/>
          <w:sz w:val="44"/>
        </w:rPr>
      </w:pPr>
      <w:bookmarkStart w:id="53" w:name="_Toc32454"/>
      <w:r>
        <w:rPr>
          <w:rFonts w:cs="宋体" w:asciiTheme="majorEastAsia" w:hAnsiTheme="majorEastAsia" w:eastAsiaTheme="majorEastAsia"/>
          <w:b/>
          <w:sz w:val="36"/>
          <w:szCs w:val="36"/>
        </w:rPr>
        <w:t>第六章  合同条款及格式</w:t>
      </w:r>
      <w:bookmarkEnd w:id="52"/>
      <w:bookmarkEnd w:id="53"/>
    </w:p>
    <w:p>
      <w:pPr>
        <w:spacing w:line="360" w:lineRule="auto"/>
        <w:ind w:firstLine="880" w:firstLineChars="200"/>
        <w:rPr>
          <w:rFonts w:asciiTheme="majorEastAsia" w:hAnsiTheme="majorEastAsia" w:eastAsiaTheme="majorEastAsia"/>
          <w:sz w:val="44"/>
        </w:rPr>
      </w:pPr>
    </w:p>
    <w:p>
      <w:pPr>
        <w:spacing w:line="360" w:lineRule="auto"/>
        <w:jc w:val="center"/>
        <w:rPr>
          <w:rFonts w:asciiTheme="majorEastAsia" w:hAnsiTheme="majorEastAsia" w:eastAsiaTheme="majorEastAsia"/>
          <w:b/>
          <w:bCs/>
          <w:sz w:val="52"/>
        </w:rPr>
      </w:pPr>
      <w:r>
        <w:rPr>
          <w:rFonts w:hint="eastAsia" w:asciiTheme="majorEastAsia" w:hAnsiTheme="majorEastAsia" w:eastAsiaTheme="majorEastAsia"/>
          <w:b/>
          <w:bCs/>
          <w:sz w:val="52"/>
        </w:rPr>
        <w:t>南 宁 市 政 府 采 购</w:t>
      </w:r>
    </w:p>
    <w:p>
      <w:pPr>
        <w:spacing w:line="360" w:lineRule="auto"/>
        <w:ind w:firstLine="440" w:firstLineChars="200"/>
        <w:rPr>
          <w:rFonts w:asciiTheme="majorEastAsia" w:hAnsiTheme="majorEastAsia" w:eastAsiaTheme="majorEastAsia"/>
        </w:rPr>
      </w:pPr>
    </w:p>
    <w:p>
      <w:pPr>
        <w:spacing w:line="360" w:lineRule="auto"/>
        <w:ind w:firstLine="440" w:firstLineChars="200"/>
        <w:rPr>
          <w:rFonts w:asciiTheme="majorEastAsia" w:hAnsiTheme="majorEastAsia" w:eastAsiaTheme="majorEastAsia"/>
        </w:rPr>
      </w:pPr>
    </w:p>
    <w:p>
      <w:pPr>
        <w:pStyle w:val="17"/>
        <w:spacing w:line="360" w:lineRule="auto"/>
        <w:ind w:hanging="13"/>
        <w:jc w:val="center"/>
        <w:rPr>
          <w:rFonts w:cs="宋体" w:asciiTheme="majorEastAsia" w:hAnsiTheme="majorEastAsia" w:eastAsiaTheme="majorEastAsia"/>
          <w:b/>
          <w:bCs/>
          <w:sz w:val="44"/>
        </w:rPr>
      </w:pPr>
      <w:r>
        <w:rPr>
          <w:rFonts w:hint="eastAsia" w:cs="宋体" w:asciiTheme="majorEastAsia" w:hAnsiTheme="majorEastAsia" w:eastAsiaTheme="majorEastAsia"/>
          <w:b/>
          <w:bCs/>
          <w:sz w:val="44"/>
          <w:szCs w:val="44"/>
          <w:u w:val="single"/>
        </w:rPr>
        <w:t>南宁市住房租赁服务监管平台</w:t>
      </w:r>
      <w:r>
        <w:rPr>
          <w:rFonts w:cs="宋体" w:asciiTheme="majorEastAsia" w:hAnsiTheme="majorEastAsia" w:eastAsiaTheme="majorEastAsia"/>
          <w:b/>
          <w:bCs/>
          <w:sz w:val="44"/>
        </w:rPr>
        <w:t>合 同</w:t>
      </w:r>
    </w:p>
    <w:p>
      <w:pPr>
        <w:spacing w:line="360" w:lineRule="auto"/>
        <w:rPr>
          <w:rFonts w:asciiTheme="majorEastAsia" w:hAnsiTheme="majorEastAsia" w:eastAsiaTheme="majorEastAsia"/>
          <w:b/>
          <w:bCs/>
          <w:sz w:val="44"/>
        </w:rPr>
      </w:pPr>
    </w:p>
    <w:p>
      <w:pPr>
        <w:spacing w:line="360" w:lineRule="auto"/>
        <w:ind w:firstLine="2870" w:firstLineChars="794"/>
        <w:rPr>
          <w:rFonts w:asciiTheme="majorEastAsia" w:hAnsiTheme="majorEastAsia" w:eastAsiaTheme="majorEastAsia"/>
          <w:b/>
          <w:bCs/>
          <w:sz w:val="36"/>
          <w:szCs w:val="36"/>
        </w:rPr>
      </w:pPr>
    </w:p>
    <w:p>
      <w:pPr>
        <w:ind w:firstLine="1995" w:firstLineChars="552"/>
        <w:rPr>
          <w:rFonts w:asciiTheme="majorEastAsia" w:hAnsiTheme="majorEastAsia" w:eastAsiaTheme="majorEastAsia"/>
          <w:b/>
          <w:sz w:val="36"/>
          <w:szCs w:val="36"/>
        </w:rPr>
      </w:pPr>
      <w:r>
        <w:rPr>
          <w:rFonts w:hint="eastAsia" w:asciiTheme="majorEastAsia" w:hAnsiTheme="majorEastAsia" w:eastAsiaTheme="majorEastAsia"/>
          <w:b/>
          <w:sz w:val="36"/>
          <w:szCs w:val="36"/>
        </w:rPr>
        <w:t>项目编号：NNZC2020-G3-990364-GXYZ</w:t>
      </w:r>
    </w:p>
    <w:p>
      <w:pPr>
        <w:ind w:firstLine="1995" w:firstLineChars="552"/>
        <w:rPr>
          <w:rFonts w:asciiTheme="majorEastAsia" w:hAnsiTheme="majorEastAsia" w:eastAsiaTheme="majorEastAsia"/>
          <w:b/>
          <w:sz w:val="36"/>
          <w:szCs w:val="36"/>
        </w:rPr>
      </w:pPr>
      <w:r>
        <w:rPr>
          <w:rFonts w:hint="eastAsia" w:asciiTheme="majorEastAsia" w:hAnsiTheme="majorEastAsia" w:eastAsiaTheme="majorEastAsia"/>
          <w:b/>
          <w:sz w:val="36"/>
          <w:szCs w:val="36"/>
        </w:rPr>
        <w:t xml:space="preserve">采购计划文号：[2020]NCCJB518001/3823-001    </w:t>
      </w:r>
    </w:p>
    <w:p>
      <w:pPr>
        <w:spacing w:line="360" w:lineRule="auto"/>
        <w:ind w:firstLine="1988" w:firstLineChars="550"/>
        <w:rPr>
          <w:rFonts w:asciiTheme="majorEastAsia" w:hAnsiTheme="majorEastAsia" w:eastAsiaTheme="majorEastAsia"/>
          <w:b/>
          <w:sz w:val="36"/>
          <w:szCs w:val="36"/>
        </w:rPr>
      </w:pPr>
    </w:p>
    <w:p>
      <w:pPr>
        <w:spacing w:line="360" w:lineRule="auto"/>
        <w:ind w:firstLine="1988" w:firstLineChars="550"/>
        <w:rPr>
          <w:rFonts w:asciiTheme="majorEastAsia" w:hAnsiTheme="majorEastAsia" w:eastAsiaTheme="majorEastAsia"/>
          <w:b/>
          <w:sz w:val="36"/>
          <w:szCs w:val="36"/>
        </w:rPr>
      </w:pPr>
    </w:p>
    <w:p>
      <w:pPr>
        <w:spacing w:line="360" w:lineRule="auto"/>
        <w:ind w:firstLine="1988" w:firstLineChars="550"/>
        <w:rPr>
          <w:rFonts w:asciiTheme="majorEastAsia" w:hAnsiTheme="majorEastAsia" w:eastAsiaTheme="majorEastAsia"/>
          <w:b/>
          <w:sz w:val="36"/>
          <w:szCs w:val="36"/>
        </w:rPr>
      </w:pPr>
    </w:p>
    <w:p>
      <w:pPr>
        <w:spacing w:line="360" w:lineRule="auto"/>
        <w:ind w:firstLine="1988" w:firstLineChars="550"/>
        <w:rPr>
          <w:rFonts w:asciiTheme="majorEastAsia" w:hAnsiTheme="majorEastAsia" w:eastAsiaTheme="majorEastAsia"/>
          <w:b/>
          <w:sz w:val="36"/>
          <w:szCs w:val="36"/>
        </w:rPr>
      </w:pPr>
      <w:r>
        <w:rPr>
          <w:rFonts w:hint="eastAsia" w:asciiTheme="majorEastAsia" w:hAnsiTheme="majorEastAsia" w:eastAsiaTheme="majorEastAsia"/>
          <w:b/>
          <w:sz w:val="36"/>
          <w:szCs w:val="36"/>
        </w:rPr>
        <w:t>采购人：</w:t>
      </w:r>
      <w:r>
        <w:rPr>
          <w:rFonts w:hint="eastAsia" w:asciiTheme="majorEastAsia" w:hAnsiTheme="majorEastAsia" w:eastAsiaTheme="majorEastAsia"/>
          <w:b/>
          <w:sz w:val="36"/>
          <w:szCs w:val="36"/>
          <w:u w:val="single"/>
        </w:rPr>
        <w:t>南宁市住房和城乡建设局</w:t>
      </w:r>
    </w:p>
    <w:p>
      <w:pPr>
        <w:tabs>
          <w:tab w:val="left" w:pos="7380"/>
        </w:tabs>
        <w:spacing w:line="360" w:lineRule="auto"/>
        <w:ind w:firstLine="1988" w:firstLineChars="550"/>
        <w:rPr>
          <w:rFonts w:asciiTheme="majorEastAsia" w:hAnsiTheme="majorEastAsia" w:eastAsiaTheme="majorEastAsia"/>
          <w:b/>
          <w:bCs/>
          <w:sz w:val="44"/>
        </w:rPr>
      </w:pPr>
      <w:r>
        <w:rPr>
          <w:rFonts w:hint="eastAsia" w:asciiTheme="majorEastAsia" w:hAnsiTheme="majorEastAsia" w:eastAsiaTheme="majorEastAsia"/>
          <w:b/>
          <w:sz w:val="36"/>
          <w:szCs w:val="36"/>
        </w:rPr>
        <w:t>中标供应商：</w:t>
      </w:r>
      <w:r>
        <w:rPr>
          <w:rFonts w:hint="eastAsia" w:asciiTheme="majorEastAsia" w:hAnsiTheme="majorEastAsia" w:eastAsiaTheme="majorEastAsia"/>
          <w:b/>
          <w:sz w:val="24"/>
          <w:szCs w:val="24"/>
        </w:rPr>
        <w:t>____________________________</w:t>
      </w:r>
    </w:p>
    <w:p>
      <w:pPr>
        <w:tabs>
          <w:tab w:val="left" w:pos="7380"/>
        </w:tabs>
        <w:spacing w:line="360" w:lineRule="auto"/>
        <w:jc w:val="center"/>
        <w:rPr>
          <w:rFonts w:asciiTheme="majorEastAsia" w:hAnsiTheme="majorEastAsia" w:eastAsiaTheme="majorEastAsia"/>
          <w:b/>
          <w:bCs/>
          <w:sz w:val="44"/>
        </w:rPr>
      </w:pPr>
      <w:r>
        <w:rPr>
          <w:rFonts w:hint="eastAsia" w:asciiTheme="majorEastAsia" w:hAnsiTheme="majorEastAsia" w:eastAsiaTheme="majorEastAsia"/>
          <w:b/>
          <w:bCs/>
          <w:sz w:val="44"/>
        </w:rPr>
        <w:br w:type="page"/>
      </w:r>
      <w:r>
        <w:rPr>
          <w:rFonts w:hint="eastAsia" w:asciiTheme="majorEastAsia" w:hAnsiTheme="majorEastAsia" w:eastAsiaTheme="majorEastAsia"/>
          <w:b/>
          <w:sz w:val="36"/>
          <w:szCs w:val="36"/>
        </w:rPr>
        <w:t>目  录</w:t>
      </w:r>
    </w:p>
    <w:p>
      <w:pPr>
        <w:tabs>
          <w:tab w:val="left" w:pos="1170"/>
        </w:tabs>
        <w:spacing w:line="360" w:lineRule="auto"/>
        <w:ind w:left="376" w:leftChars="171" w:firstLine="198" w:firstLineChars="71"/>
        <w:rPr>
          <w:rFonts w:asciiTheme="majorEastAsia" w:hAnsiTheme="majorEastAsia" w:eastAsiaTheme="majorEastAsia"/>
          <w:sz w:val="28"/>
        </w:rPr>
      </w:pPr>
      <w:r>
        <w:rPr>
          <w:rFonts w:hint="eastAsia" w:asciiTheme="majorEastAsia" w:hAnsiTheme="majorEastAsia" w:eastAsiaTheme="majorEastAsia"/>
          <w:sz w:val="28"/>
        </w:rPr>
        <w:tab/>
      </w:r>
    </w:p>
    <w:p>
      <w:pPr>
        <w:spacing w:line="360" w:lineRule="auto"/>
        <w:rPr>
          <w:rFonts w:asciiTheme="majorEastAsia" w:hAnsiTheme="majorEastAsia" w:eastAsiaTheme="majorEastAsia"/>
          <w:b/>
          <w:sz w:val="30"/>
          <w:szCs w:val="30"/>
        </w:rPr>
      </w:pPr>
      <w:r>
        <w:rPr>
          <w:rFonts w:hint="eastAsia" w:asciiTheme="majorEastAsia" w:hAnsiTheme="majorEastAsia" w:eastAsiaTheme="majorEastAsia"/>
          <w:b/>
          <w:sz w:val="30"/>
          <w:szCs w:val="30"/>
        </w:rPr>
        <w:t>一、南宁市政府采购合同书</w:t>
      </w:r>
    </w:p>
    <w:p>
      <w:pPr>
        <w:spacing w:line="360" w:lineRule="auto"/>
        <w:rPr>
          <w:rFonts w:asciiTheme="majorEastAsia" w:hAnsiTheme="majorEastAsia" w:eastAsiaTheme="majorEastAsia"/>
          <w:b/>
          <w:sz w:val="30"/>
          <w:szCs w:val="30"/>
        </w:rPr>
      </w:pPr>
      <w:r>
        <w:rPr>
          <w:rFonts w:hint="eastAsia" w:asciiTheme="majorEastAsia" w:hAnsiTheme="majorEastAsia" w:eastAsiaTheme="majorEastAsia"/>
          <w:b/>
          <w:sz w:val="30"/>
          <w:szCs w:val="30"/>
        </w:rPr>
        <w:t>二、合同附件</w:t>
      </w:r>
    </w:p>
    <w:p>
      <w:pPr>
        <w:pStyle w:val="17"/>
        <w:spacing w:line="360" w:lineRule="auto"/>
        <w:ind w:firstLine="560" w:firstLineChars="200"/>
        <w:rPr>
          <w:rFonts w:cs="宋体" w:asciiTheme="majorEastAsia" w:hAnsiTheme="majorEastAsia" w:eastAsiaTheme="majorEastAsia"/>
          <w:sz w:val="28"/>
          <w:szCs w:val="28"/>
        </w:rPr>
      </w:pPr>
      <w:r>
        <w:rPr>
          <w:rFonts w:cs="宋体" w:asciiTheme="majorEastAsia" w:hAnsiTheme="majorEastAsia" w:eastAsiaTheme="majorEastAsia"/>
          <w:sz w:val="28"/>
          <w:szCs w:val="28"/>
        </w:rPr>
        <w:t>1、中标通知书</w:t>
      </w:r>
    </w:p>
    <w:p>
      <w:pPr>
        <w:pStyle w:val="17"/>
        <w:spacing w:line="360" w:lineRule="auto"/>
        <w:ind w:firstLine="560" w:firstLineChars="200"/>
        <w:rPr>
          <w:rFonts w:cs="宋体" w:asciiTheme="majorEastAsia" w:hAnsiTheme="majorEastAsia" w:eastAsiaTheme="majorEastAsia"/>
          <w:sz w:val="28"/>
          <w:szCs w:val="28"/>
        </w:rPr>
      </w:pPr>
      <w:r>
        <w:rPr>
          <w:rFonts w:cs="宋体" w:asciiTheme="majorEastAsia" w:hAnsiTheme="majorEastAsia" w:eastAsiaTheme="majorEastAsia"/>
          <w:sz w:val="28"/>
          <w:szCs w:val="28"/>
        </w:rPr>
        <w:t>2、招标文件服务需求一览表</w:t>
      </w:r>
    </w:p>
    <w:p>
      <w:pPr>
        <w:pStyle w:val="17"/>
        <w:spacing w:line="360" w:lineRule="auto"/>
        <w:ind w:firstLine="560" w:firstLineChars="200"/>
        <w:rPr>
          <w:rFonts w:cs="宋体" w:asciiTheme="majorEastAsia" w:hAnsiTheme="majorEastAsia" w:eastAsiaTheme="majorEastAsia"/>
          <w:sz w:val="28"/>
          <w:szCs w:val="28"/>
        </w:rPr>
      </w:pPr>
      <w:r>
        <w:rPr>
          <w:rFonts w:cs="宋体" w:asciiTheme="majorEastAsia" w:hAnsiTheme="majorEastAsia" w:eastAsiaTheme="majorEastAsia"/>
          <w:sz w:val="28"/>
          <w:szCs w:val="28"/>
        </w:rPr>
        <w:t>3、招标文件的更改通知（如有）</w:t>
      </w:r>
    </w:p>
    <w:p>
      <w:pPr>
        <w:pStyle w:val="17"/>
        <w:spacing w:line="360" w:lineRule="auto"/>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4、投标函</w:t>
      </w:r>
    </w:p>
    <w:p>
      <w:pPr>
        <w:pStyle w:val="17"/>
        <w:spacing w:line="360" w:lineRule="auto"/>
        <w:ind w:firstLine="560" w:firstLineChars="200"/>
        <w:rPr>
          <w:rFonts w:cs="宋体" w:asciiTheme="majorEastAsia" w:hAnsiTheme="majorEastAsia" w:eastAsiaTheme="majorEastAsia"/>
          <w:sz w:val="28"/>
          <w:szCs w:val="28"/>
        </w:rPr>
      </w:pPr>
      <w:r>
        <w:rPr>
          <w:rFonts w:cs="宋体" w:asciiTheme="majorEastAsia" w:hAnsiTheme="majorEastAsia" w:eastAsiaTheme="majorEastAsia"/>
          <w:sz w:val="28"/>
          <w:szCs w:val="28"/>
        </w:rPr>
        <w:t>5、投标报价表</w:t>
      </w:r>
    </w:p>
    <w:p>
      <w:pPr>
        <w:pStyle w:val="17"/>
        <w:spacing w:line="360" w:lineRule="auto"/>
        <w:ind w:firstLine="560" w:firstLineChars="200"/>
        <w:rPr>
          <w:rFonts w:cs="宋体" w:asciiTheme="majorEastAsia" w:hAnsiTheme="majorEastAsia" w:eastAsiaTheme="majorEastAsia"/>
          <w:sz w:val="28"/>
          <w:szCs w:val="28"/>
        </w:rPr>
      </w:pPr>
      <w:r>
        <w:rPr>
          <w:rFonts w:cs="宋体" w:asciiTheme="majorEastAsia" w:hAnsiTheme="majorEastAsia" w:eastAsiaTheme="majorEastAsia"/>
          <w:sz w:val="28"/>
          <w:szCs w:val="28"/>
        </w:rPr>
        <w:t>6、投标服务技术资料表</w:t>
      </w:r>
    </w:p>
    <w:p>
      <w:pPr>
        <w:pStyle w:val="17"/>
        <w:spacing w:line="360" w:lineRule="auto"/>
        <w:ind w:firstLine="560" w:firstLineChars="200"/>
        <w:rPr>
          <w:rFonts w:cs="宋体" w:asciiTheme="majorEastAsia" w:hAnsiTheme="majorEastAsia" w:eastAsiaTheme="majorEastAsia"/>
          <w:sz w:val="28"/>
          <w:szCs w:val="28"/>
        </w:rPr>
      </w:pPr>
      <w:r>
        <w:rPr>
          <w:rFonts w:cs="宋体" w:asciiTheme="majorEastAsia" w:hAnsiTheme="majorEastAsia" w:eastAsiaTheme="majorEastAsia"/>
          <w:sz w:val="28"/>
          <w:szCs w:val="28"/>
        </w:rPr>
        <w:t>7、商务条款偏离表</w:t>
      </w:r>
    </w:p>
    <w:p>
      <w:pPr>
        <w:pStyle w:val="17"/>
        <w:spacing w:line="360" w:lineRule="auto"/>
        <w:ind w:firstLine="560" w:firstLineChars="200"/>
        <w:rPr>
          <w:rFonts w:cs="宋体" w:asciiTheme="majorEastAsia" w:hAnsiTheme="majorEastAsia" w:eastAsiaTheme="majorEastAsia"/>
          <w:sz w:val="28"/>
          <w:szCs w:val="28"/>
        </w:rPr>
      </w:pPr>
      <w:r>
        <w:rPr>
          <w:rFonts w:cs="宋体" w:asciiTheme="majorEastAsia" w:hAnsiTheme="majorEastAsia" w:eastAsiaTheme="majorEastAsia"/>
          <w:sz w:val="28"/>
          <w:szCs w:val="28"/>
        </w:rPr>
        <w:t>8、中标供应商澄清函（如有请提供）</w:t>
      </w:r>
    </w:p>
    <w:p>
      <w:pPr>
        <w:pStyle w:val="17"/>
        <w:spacing w:line="360" w:lineRule="auto"/>
        <w:ind w:firstLine="560" w:firstLineChars="200"/>
        <w:rPr>
          <w:rFonts w:cs="宋体" w:asciiTheme="majorEastAsia" w:hAnsiTheme="majorEastAsia" w:eastAsiaTheme="majorEastAsia"/>
          <w:sz w:val="28"/>
          <w:szCs w:val="28"/>
        </w:rPr>
      </w:pPr>
      <w:r>
        <w:rPr>
          <w:rFonts w:cs="宋体" w:asciiTheme="majorEastAsia" w:hAnsiTheme="majorEastAsia" w:eastAsiaTheme="majorEastAsia"/>
          <w:sz w:val="28"/>
          <w:szCs w:val="28"/>
        </w:rPr>
        <w:t>9、其他与本合同相关的资料（如有请提供）</w:t>
      </w:r>
    </w:p>
    <w:p>
      <w:pPr>
        <w:rPr>
          <w:rFonts w:asciiTheme="majorEastAsia" w:hAnsiTheme="majorEastAsia" w:eastAsiaTheme="majorEastAsia"/>
          <w:b/>
          <w:sz w:val="30"/>
          <w:szCs w:val="30"/>
        </w:rPr>
      </w:pPr>
    </w:p>
    <w:p>
      <w:pPr>
        <w:spacing w:line="360" w:lineRule="auto"/>
        <w:jc w:val="center"/>
        <w:rPr>
          <w:rFonts w:asciiTheme="majorEastAsia" w:hAnsiTheme="majorEastAsia" w:eastAsiaTheme="majorEastAsia"/>
          <w:b/>
          <w:bCs/>
          <w:sz w:val="28"/>
        </w:rPr>
      </w:pPr>
    </w:p>
    <w:p>
      <w:pPr>
        <w:spacing w:line="360" w:lineRule="auto"/>
        <w:jc w:val="center"/>
        <w:rPr>
          <w:rFonts w:asciiTheme="majorEastAsia" w:hAnsiTheme="majorEastAsia" w:eastAsiaTheme="majorEastAsia"/>
          <w:b/>
          <w:bCs/>
          <w:sz w:val="28"/>
        </w:rPr>
      </w:pPr>
    </w:p>
    <w:p>
      <w:pPr>
        <w:spacing w:line="360" w:lineRule="auto"/>
        <w:jc w:val="center"/>
        <w:rPr>
          <w:rFonts w:asciiTheme="majorEastAsia" w:hAnsiTheme="majorEastAsia" w:eastAsiaTheme="majorEastAsia"/>
          <w:b/>
          <w:bCs/>
          <w:sz w:val="28"/>
        </w:rPr>
      </w:pPr>
    </w:p>
    <w:p>
      <w:pPr>
        <w:spacing w:line="360" w:lineRule="auto"/>
        <w:jc w:val="center"/>
        <w:rPr>
          <w:rFonts w:asciiTheme="majorEastAsia" w:hAnsiTheme="majorEastAsia" w:eastAsiaTheme="majorEastAsia"/>
          <w:b/>
          <w:bCs/>
          <w:sz w:val="28"/>
        </w:rPr>
      </w:pPr>
    </w:p>
    <w:p>
      <w:pPr>
        <w:spacing w:line="360" w:lineRule="auto"/>
        <w:jc w:val="center"/>
        <w:rPr>
          <w:rFonts w:asciiTheme="majorEastAsia" w:hAnsiTheme="majorEastAsia" w:eastAsiaTheme="majorEastAsia"/>
          <w:b/>
          <w:bCs/>
          <w:sz w:val="28"/>
        </w:rPr>
      </w:pPr>
    </w:p>
    <w:p>
      <w:pPr>
        <w:spacing w:line="360" w:lineRule="auto"/>
        <w:jc w:val="center"/>
        <w:rPr>
          <w:rFonts w:asciiTheme="majorEastAsia" w:hAnsiTheme="majorEastAsia" w:eastAsiaTheme="majorEastAsia"/>
          <w:b/>
          <w:bCs/>
          <w:sz w:val="28"/>
        </w:rPr>
      </w:pPr>
    </w:p>
    <w:p>
      <w:pPr>
        <w:spacing w:line="360" w:lineRule="auto"/>
        <w:jc w:val="center"/>
        <w:rPr>
          <w:rFonts w:asciiTheme="majorEastAsia" w:hAnsiTheme="majorEastAsia" w:eastAsiaTheme="majorEastAsia"/>
          <w:b/>
          <w:bCs/>
          <w:sz w:val="30"/>
          <w:szCs w:val="30"/>
        </w:rPr>
      </w:pPr>
      <w:r>
        <w:rPr>
          <w:rFonts w:hint="eastAsia" w:asciiTheme="majorEastAsia" w:hAnsiTheme="majorEastAsia" w:eastAsiaTheme="majorEastAsia"/>
          <w:b/>
          <w:sz w:val="30"/>
          <w:szCs w:val="30"/>
        </w:rPr>
        <w:t>南宁市政府采购合同书</w:t>
      </w:r>
    </w:p>
    <w:p>
      <w:pPr>
        <w:pStyle w:val="17"/>
        <w:spacing w:line="360" w:lineRule="auto"/>
        <w:rPr>
          <w:rFonts w:cs="宋体" w:asciiTheme="majorEastAsia" w:hAnsiTheme="majorEastAsia" w:eastAsiaTheme="majorEastAsia"/>
          <w:sz w:val="24"/>
          <w:szCs w:val="24"/>
        </w:rPr>
      </w:pPr>
    </w:p>
    <w:p>
      <w:pPr>
        <w:pStyle w:val="17"/>
        <w:spacing w:line="360" w:lineRule="auto"/>
        <w:ind w:left="1200" w:hanging="1200" w:hangingChars="500"/>
        <w:rPr>
          <w:rFonts w:cs="宋体" w:asciiTheme="majorEastAsia" w:hAnsiTheme="majorEastAsia" w:eastAsiaTheme="majorEastAsia"/>
          <w:b/>
          <w:sz w:val="44"/>
          <w:szCs w:val="44"/>
          <w:u w:val="single"/>
        </w:rPr>
      </w:pPr>
      <w:r>
        <w:rPr>
          <w:rFonts w:cs="宋体" w:asciiTheme="majorEastAsia" w:hAnsiTheme="majorEastAsia" w:eastAsiaTheme="majorEastAsia"/>
          <w:sz w:val="24"/>
          <w:szCs w:val="24"/>
        </w:rPr>
        <w:t>项目名称：</w:t>
      </w:r>
      <w:r>
        <w:rPr>
          <w:rFonts w:hint="eastAsia" w:cs="宋体" w:asciiTheme="majorEastAsia" w:hAnsiTheme="majorEastAsia" w:eastAsiaTheme="majorEastAsia"/>
          <w:sz w:val="24"/>
          <w:szCs w:val="24"/>
          <w:u w:val="single"/>
        </w:rPr>
        <w:t>南宁市住房租赁服务监管平台</w:t>
      </w:r>
    </w:p>
    <w:p>
      <w:pPr>
        <w:pStyle w:val="17"/>
        <w:spacing w:line="360" w:lineRule="auto"/>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项目编号：</w:t>
      </w:r>
      <w:r>
        <w:rPr>
          <w:rFonts w:hint="eastAsia" w:cs="宋体" w:asciiTheme="majorEastAsia" w:hAnsiTheme="majorEastAsia" w:eastAsiaTheme="majorEastAsia"/>
          <w:sz w:val="24"/>
          <w:szCs w:val="24"/>
          <w:u w:val="single"/>
        </w:rPr>
        <w:t>NNZC2020-G3-990364-GXYZ</w:t>
      </w:r>
    </w:p>
    <w:p>
      <w:pPr>
        <w:pStyle w:val="17"/>
        <w:spacing w:line="360" w:lineRule="auto"/>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分标：</w:t>
      </w:r>
      <w:r>
        <w:rPr>
          <w:rFonts w:cs="宋体" w:asciiTheme="majorEastAsia" w:hAnsiTheme="majorEastAsia" w:eastAsiaTheme="majorEastAsia"/>
          <w:sz w:val="24"/>
          <w:szCs w:val="24"/>
          <w:u w:val="single"/>
        </w:rPr>
        <w:t xml:space="preserve"> / </w:t>
      </w:r>
    </w:p>
    <w:p>
      <w:pPr>
        <w:pStyle w:val="17"/>
        <w:spacing w:line="360" w:lineRule="auto"/>
        <w:rPr>
          <w:rFonts w:cs="宋体" w:asciiTheme="majorEastAsia" w:hAnsiTheme="majorEastAsia" w:eastAsiaTheme="majorEastAsia"/>
          <w:sz w:val="24"/>
          <w:szCs w:val="24"/>
        </w:rPr>
      </w:pPr>
    </w:p>
    <w:p>
      <w:pPr>
        <w:pStyle w:val="17"/>
        <w:spacing w:line="360" w:lineRule="auto"/>
        <w:rPr>
          <w:rFonts w:cs="宋体" w:asciiTheme="majorEastAsia" w:hAnsiTheme="majorEastAsia" w:eastAsiaTheme="majorEastAsia"/>
          <w:sz w:val="24"/>
          <w:szCs w:val="24"/>
        </w:rPr>
      </w:pPr>
    </w:p>
    <w:p>
      <w:pPr>
        <w:spacing w:line="360" w:lineRule="auto"/>
        <w:rPr>
          <w:rFonts w:asciiTheme="majorEastAsia" w:hAnsiTheme="majorEastAsia" w:eastAsiaTheme="majorEastAsia"/>
          <w:sz w:val="24"/>
          <w:u w:val="single"/>
        </w:rPr>
      </w:pPr>
      <w:r>
        <w:rPr>
          <w:rFonts w:hint="eastAsia" w:asciiTheme="majorEastAsia" w:hAnsiTheme="majorEastAsia" w:eastAsiaTheme="majorEastAsia"/>
          <w:sz w:val="24"/>
        </w:rPr>
        <w:t>甲方（买方）：</w:t>
      </w:r>
      <w:r>
        <w:rPr>
          <w:rFonts w:hint="eastAsia" w:asciiTheme="majorEastAsia" w:hAnsiTheme="majorEastAsia" w:eastAsiaTheme="majorEastAsia"/>
          <w:sz w:val="24"/>
          <w:u w:val="single"/>
        </w:rPr>
        <w:t>南宁市住房和城乡建设局</w:t>
      </w:r>
    </w:p>
    <w:p>
      <w:pPr>
        <w:pStyle w:val="17"/>
        <w:spacing w:line="360" w:lineRule="auto"/>
        <w:rPr>
          <w:rFonts w:cs="宋体" w:asciiTheme="majorEastAsia" w:hAnsiTheme="majorEastAsia" w:eastAsiaTheme="majorEastAsia"/>
          <w:sz w:val="24"/>
          <w:szCs w:val="24"/>
        </w:rPr>
      </w:pPr>
      <w:r>
        <w:rPr>
          <w:rFonts w:cs="宋体" w:asciiTheme="majorEastAsia" w:hAnsiTheme="majorEastAsia" w:eastAsiaTheme="majorEastAsia"/>
          <w:sz w:val="24"/>
          <w:szCs w:val="24"/>
        </w:rPr>
        <w:t>乙方（卖方）：</w:t>
      </w:r>
      <w:r>
        <w:rPr>
          <w:rFonts w:hint="eastAsia" w:cs="宋体" w:asciiTheme="majorEastAsia" w:hAnsiTheme="majorEastAsia" w:eastAsiaTheme="majorEastAsia"/>
          <w:kern w:val="0"/>
          <w:sz w:val="24"/>
          <w:szCs w:val="22"/>
          <w:u w:val="single"/>
        </w:rPr>
        <w:t xml:space="preserve">___________________________ </w:t>
      </w:r>
    </w:p>
    <w:p>
      <w:pPr>
        <w:pStyle w:val="17"/>
        <w:spacing w:line="360" w:lineRule="auto"/>
        <w:rPr>
          <w:rFonts w:cs="宋体" w:asciiTheme="majorEastAsia" w:hAnsiTheme="majorEastAsia" w:eastAsiaTheme="majorEastAsia"/>
          <w:b/>
          <w:sz w:val="24"/>
          <w:szCs w:val="24"/>
        </w:rPr>
      </w:pPr>
    </w:p>
    <w:p>
      <w:pPr>
        <w:pStyle w:val="17"/>
        <w:spacing w:line="360" w:lineRule="auto"/>
        <w:ind w:firstLine="480" w:firstLineChars="200"/>
        <w:rPr>
          <w:rFonts w:cs="宋体" w:asciiTheme="majorEastAsia" w:hAnsiTheme="majorEastAsia" w:eastAsiaTheme="majorEastAsia"/>
          <w:b/>
          <w:sz w:val="24"/>
          <w:szCs w:val="24"/>
        </w:rPr>
      </w:pPr>
      <w:r>
        <w:rPr>
          <w:rFonts w:cs="宋体" w:asciiTheme="majorEastAsia" w:hAnsiTheme="majorEastAsia" w:eastAsiaTheme="majorEastAsia"/>
          <w:sz w:val="24"/>
          <w:szCs w:val="24"/>
        </w:rPr>
        <w:t>根据</w:t>
      </w:r>
      <w:r>
        <w:rPr>
          <w:rFonts w:cs="宋体" w:asciiTheme="majorEastAsia" w:hAnsiTheme="majorEastAsia" w:eastAsiaTheme="majorEastAsia"/>
          <w:sz w:val="24"/>
          <w:szCs w:val="24"/>
          <w:u w:val="single"/>
        </w:rPr>
        <w:t>2020</w:t>
      </w:r>
      <w:r>
        <w:rPr>
          <w:rFonts w:cs="宋体" w:asciiTheme="majorEastAsia" w:hAnsiTheme="majorEastAsia" w:eastAsiaTheme="majorEastAsia"/>
          <w:sz w:val="24"/>
          <w:szCs w:val="24"/>
        </w:rPr>
        <w:t>年</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月</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日南宁市政府采购项目的采购结果，甲方接受乙方对本项目的投标，甲、乙双方同意签署本合同（以下简称合同）。</w:t>
      </w:r>
    </w:p>
    <w:p>
      <w:pPr>
        <w:pStyle w:val="17"/>
        <w:spacing w:line="360" w:lineRule="auto"/>
        <w:rPr>
          <w:rFonts w:cs="宋体" w:asciiTheme="majorEastAsia" w:hAnsiTheme="majorEastAsia" w:eastAsiaTheme="majorEastAsia"/>
          <w:b/>
          <w:sz w:val="24"/>
          <w:szCs w:val="24"/>
        </w:rPr>
      </w:pP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1.  采购内容</w:t>
      </w:r>
    </w:p>
    <w:p>
      <w:pPr>
        <w:pStyle w:val="17"/>
        <w:tabs>
          <w:tab w:val="left" w:pos="5220"/>
        </w:tabs>
        <w:spacing w:line="360" w:lineRule="auto"/>
        <w:ind w:firstLine="480" w:firstLineChars="200"/>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1.1 服务名称：</w:t>
      </w:r>
      <w:r>
        <w:rPr>
          <w:rFonts w:cs="宋体" w:asciiTheme="majorEastAsia" w:hAnsiTheme="majorEastAsia" w:eastAsiaTheme="majorEastAsia"/>
          <w:sz w:val="24"/>
          <w:szCs w:val="24"/>
          <w:u w:val="single"/>
        </w:rPr>
        <w:t>详见合同附件中投标报价表</w:t>
      </w:r>
    </w:p>
    <w:p>
      <w:pPr>
        <w:pStyle w:val="17"/>
        <w:tabs>
          <w:tab w:val="left" w:pos="5220"/>
        </w:tabs>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1.2 数量：</w:t>
      </w:r>
      <w:r>
        <w:rPr>
          <w:rFonts w:cs="宋体" w:asciiTheme="majorEastAsia" w:hAnsiTheme="majorEastAsia" w:eastAsiaTheme="majorEastAsia"/>
          <w:sz w:val="24"/>
          <w:szCs w:val="24"/>
          <w:u w:val="single"/>
        </w:rPr>
        <w:t>详见合同附件中投标报价表</w:t>
      </w:r>
    </w:p>
    <w:p>
      <w:pPr>
        <w:pStyle w:val="17"/>
        <w:tabs>
          <w:tab w:val="left" w:pos="5220"/>
        </w:tabs>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1.2 服务内容：</w:t>
      </w:r>
      <w:r>
        <w:rPr>
          <w:rFonts w:cs="宋体" w:asciiTheme="majorEastAsia" w:hAnsiTheme="majorEastAsia" w:eastAsiaTheme="majorEastAsia"/>
          <w:sz w:val="24"/>
          <w:szCs w:val="24"/>
          <w:u w:val="single"/>
        </w:rPr>
        <w:t>详见合同附件中投标服务技术资料表</w:t>
      </w:r>
    </w:p>
    <w:p>
      <w:pPr>
        <w:pStyle w:val="17"/>
        <w:tabs>
          <w:tab w:val="left" w:pos="5145"/>
        </w:tabs>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2.  合同金额</w:t>
      </w:r>
    </w:p>
    <w:p>
      <w:pPr>
        <w:pStyle w:val="17"/>
        <w:spacing w:line="360" w:lineRule="auto"/>
        <w:ind w:firstLine="470" w:firstLineChars="196"/>
        <w:rPr>
          <w:rFonts w:cs="宋体" w:asciiTheme="majorEastAsia" w:hAnsiTheme="majorEastAsia" w:eastAsiaTheme="majorEastAsia"/>
          <w:b/>
          <w:bCs/>
          <w:sz w:val="24"/>
          <w:szCs w:val="24"/>
        </w:rPr>
      </w:pPr>
      <w:r>
        <w:rPr>
          <w:rFonts w:cs="宋体" w:asciiTheme="majorEastAsia" w:hAnsiTheme="majorEastAsia" w:eastAsiaTheme="majorEastAsia"/>
          <w:sz w:val="24"/>
          <w:szCs w:val="24"/>
        </w:rPr>
        <w:t>2.1 本合同金额为（大写）人民币</w:t>
      </w:r>
      <w:r>
        <w:rPr>
          <w:rFonts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w:t>
      </w:r>
      <w:r>
        <w:rPr>
          <w:rFonts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元）。（详见投标报价表）</w:t>
      </w:r>
    </w:p>
    <w:p>
      <w:pPr>
        <w:pStyle w:val="17"/>
        <w:tabs>
          <w:tab w:val="left" w:pos="5940"/>
        </w:tabs>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3.  提交服务成果时间和地点</w:t>
      </w:r>
    </w:p>
    <w:p>
      <w:pPr>
        <w:pStyle w:val="17"/>
        <w:tabs>
          <w:tab w:val="left" w:pos="5250"/>
          <w:tab w:val="left" w:pos="5940"/>
        </w:tabs>
        <w:spacing w:line="360" w:lineRule="auto"/>
        <w:ind w:firstLine="470" w:firstLineChars="196"/>
        <w:rPr>
          <w:rFonts w:cs="宋体" w:asciiTheme="majorEastAsia" w:hAnsiTheme="majorEastAsia" w:eastAsiaTheme="majorEastAsia"/>
          <w:b/>
          <w:bCs/>
          <w:sz w:val="24"/>
          <w:szCs w:val="24"/>
          <w:u w:val="single"/>
        </w:rPr>
      </w:pPr>
      <w:r>
        <w:rPr>
          <w:rFonts w:cs="宋体" w:asciiTheme="majorEastAsia" w:hAnsiTheme="majorEastAsia" w:eastAsiaTheme="majorEastAsia"/>
          <w:bCs/>
          <w:sz w:val="24"/>
          <w:szCs w:val="24"/>
        </w:rPr>
        <w:t>3.1 提交服务成果时间：</w:t>
      </w:r>
      <w:r>
        <w:rPr>
          <w:rFonts w:hint="eastAsia" w:cs="宋体" w:asciiTheme="majorEastAsia" w:hAnsiTheme="majorEastAsia" w:eastAsiaTheme="majorEastAsia"/>
          <w:bCs/>
          <w:sz w:val="24"/>
          <w:szCs w:val="24"/>
          <w:u w:val="single"/>
        </w:rPr>
        <w:t xml:space="preserve">                </w:t>
      </w:r>
      <w:r>
        <w:rPr>
          <w:rFonts w:cs="宋体" w:asciiTheme="majorEastAsia" w:hAnsiTheme="majorEastAsia" w:eastAsiaTheme="majorEastAsia"/>
          <w:bCs/>
          <w:sz w:val="24"/>
          <w:szCs w:val="24"/>
        </w:rPr>
        <w:t>。</w:t>
      </w:r>
    </w:p>
    <w:p>
      <w:pPr>
        <w:pStyle w:val="17"/>
        <w:tabs>
          <w:tab w:val="left" w:pos="5250"/>
          <w:tab w:val="left" w:pos="5940"/>
        </w:tabs>
        <w:spacing w:line="360" w:lineRule="auto"/>
        <w:ind w:firstLine="470" w:firstLineChars="196"/>
        <w:rPr>
          <w:rFonts w:cs="宋体" w:asciiTheme="majorEastAsia" w:hAnsiTheme="majorEastAsia" w:eastAsiaTheme="majorEastAsia"/>
          <w:bCs/>
          <w:sz w:val="24"/>
          <w:szCs w:val="24"/>
        </w:rPr>
      </w:pPr>
      <w:r>
        <w:rPr>
          <w:rFonts w:cs="宋体" w:asciiTheme="majorEastAsia" w:hAnsiTheme="majorEastAsia" w:eastAsiaTheme="majorEastAsia"/>
          <w:bCs/>
          <w:sz w:val="24"/>
          <w:szCs w:val="24"/>
        </w:rPr>
        <w:t>3.2 提交服务成果</w:t>
      </w:r>
      <w:r>
        <w:rPr>
          <w:rFonts w:hint="eastAsia" w:cs="宋体" w:asciiTheme="majorEastAsia" w:hAnsiTheme="majorEastAsia" w:eastAsiaTheme="majorEastAsia"/>
          <w:bCs/>
          <w:sz w:val="24"/>
          <w:szCs w:val="24"/>
        </w:rPr>
        <w:t>地</w:t>
      </w:r>
      <w:r>
        <w:rPr>
          <w:rFonts w:cs="宋体" w:asciiTheme="majorEastAsia" w:hAnsiTheme="majorEastAsia" w:eastAsiaTheme="majorEastAsia"/>
          <w:sz w:val="24"/>
        </w:rPr>
        <w:t>点</w:t>
      </w:r>
      <w:r>
        <w:rPr>
          <w:rFonts w:cs="宋体" w:asciiTheme="majorEastAsia" w:hAnsiTheme="majorEastAsia" w:eastAsiaTheme="majorEastAsia"/>
          <w:bCs/>
          <w:sz w:val="24"/>
          <w:szCs w:val="24"/>
        </w:rPr>
        <w:t>：</w:t>
      </w:r>
      <w:r>
        <w:rPr>
          <w:rFonts w:hint="eastAsia" w:cs="宋体" w:asciiTheme="majorEastAsia" w:hAnsiTheme="majorEastAsia" w:eastAsiaTheme="majorEastAsia"/>
          <w:bCs/>
          <w:sz w:val="24"/>
          <w:szCs w:val="24"/>
          <w:u w:val="single"/>
        </w:rPr>
        <w:t xml:space="preserve">               </w:t>
      </w:r>
      <w:r>
        <w:rPr>
          <w:rFonts w:cs="宋体" w:asciiTheme="majorEastAsia" w:hAnsiTheme="majorEastAsia" w:eastAsiaTheme="majorEastAsia"/>
          <w:bCs/>
          <w:sz w:val="24"/>
          <w:szCs w:val="24"/>
        </w:rPr>
        <w:t>。</w:t>
      </w:r>
    </w:p>
    <w:p>
      <w:pPr>
        <w:pStyle w:val="17"/>
        <w:tabs>
          <w:tab w:val="left" w:pos="5940"/>
        </w:tabs>
        <w:spacing w:line="360" w:lineRule="auto"/>
        <w:ind w:firstLine="480" w:firstLineChars="200"/>
        <w:rPr>
          <w:rFonts w:cs="宋体" w:asciiTheme="majorEastAsia" w:hAnsiTheme="majorEastAsia" w:eastAsiaTheme="majorEastAsia"/>
          <w:b/>
          <w:bCs/>
          <w:sz w:val="24"/>
          <w:szCs w:val="24"/>
        </w:rPr>
      </w:pPr>
      <w:r>
        <w:rPr>
          <w:rFonts w:cs="宋体" w:asciiTheme="majorEastAsia" w:hAnsiTheme="majorEastAsia" w:eastAsiaTheme="majorEastAsia"/>
          <w:bCs/>
          <w:sz w:val="24"/>
          <w:szCs w:val="24"/>
        </w:rPr>
        <w:t xml:space="preserve">3.3 </w:t>
      </w:r>
      <w:r>
        <w:rPr>
          <w:rFonts w:cs="宋体" w:asciiTheme="majorEastAsia" w:hAnsiTheme="majorEastAsia" w:eastAsiaTheme="majorEastAsia"/>
          <w:sz w:val="24"/>
          <w:szCs w:val="24"/>
        </w:rPr>
        <w:t>乙方必须按投标文件承诺的服务响应条款向甲方提供服务。</w:t>
      </w:r>
    </w:p>
    <w:p>
      <w:pPr>
        <w:pStyle w:val="17"/>
        <w:spacing w:line="360" w:lineRule="auto"/>
        <w:ind w:left="410" w:hanging="410" w:hangingChars="170"/>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4.  履约保证金</w:t>
      </w:r>
    </w:p>
    <w:p>
      <w:pPr>
        <w:pStyle w:val="17"/>
        <w:spacing w:line="360" w:lineRule="auto"/>
        <w:ind w:left="330" w:leftChars="150"/>
        <w:rPr>
          <w:rFonts w:cs="宋体" w:asciiTheme="majorEastAsia" w:hAnsiTheme="majorEastAsia" w:eastAsiaTheme="majorEastAsia"/>
          <w:sz w:val="24"/>
          <w:szCs w:val="24"/>
        </w:rPr>
      </w:pPr>
      <w:r>
        <w:rPr>
          <w:rFonts w:cs="宋体" w:asciiTheme="majorEastAsia" w:hAnsiTheme="majorEastAsia" w:eastAsiaTheme="majorEastAsia"/>
          <w:sz w:val="24"/>
          <w:szCs w:val="24"/>
        </w:rPr>
        <w:t>本项目不收取履约保证金</w:t>
      </w:r>
    </w:p>
    <w:p>
      <w:pPr>
        <w:pStyle w:val="17"/>
        <w:spacing w:line="360" w:lineRule="auto"/>
        <w:ind w:left="412" w:hanging="412" w:hangingChars="171"/>
        <w:rPr>
          <w:rFonts w:cs="宋体" w:asciiTheme="majorEastAsia" w:hAnsiTheme="majorEastAsia" w:eastAsiaTheme="majorEastAsia"/>
          <w:b/>
          <w:sz w:val="24"/>
          <w:szCs w:val="24"/>
        </w:rPr>
      </w:pPr>
      <w:r>
        <w:rPr>
          <w:rFonts w:cs="宋体" w:asciiTheme="majorEastAsia" w:hAnsiTheme="majorEastAsia" w:eastAsiaTheme="majorEastAsia"/>
          <w:b/>
          <w:bCs/>
          <w:sz w:val="24"/>
          <w:szCs w:val="24"/>
        </w:rPr>
        <w:t>5.  产权</w:t>
      </w:r>
    </w:p>
    <w:p>
      <w:pPr>
        <w:pStyle w:val="17"/>
        <w:spacing w:line="360" w:lineRule="auto"/>
        <w:ind w:firstLine="480" w:firstLineChars="200"/>
        <w:rPr>
          <w:rFonts w:cs="宋体" w:asciiTheme="majorEastAsia" w:hAnsiTheme="majorEastAsia" w:eastAsiaTheme="majorEastAsia"/>
          <w:b/>
          <w:sz w:val="24"/>
          <w:szCs w:val="24"/>
        </w:rPr>
      </w:pPr>
      <w:r>
        <w:rPr>
          <w:rFonts w:cs="宋体" w:asciiTheme="majorEastAsia" w:hAnsiTheme="majorEastAsia" w:eastAsiaTheme="majorEastAsia"/>
          <w:sz w:val="24"/>
          <w:szCs w:val="24"/>
        </w:rPr>
        <w:t>5.1 乙方应保证所提供的服务或其任何一部分均不会侵犯任何第三方的专利权、商标权或著作权</w:t>
      </w:r>
      <w:r>
        <w:rPr>
          <w:rFonts w:cs="宋体" w:asciiTheme="majorEastAsia" w:hAnsiTheme="majorEastAsia" w:eastAsiaTheme="majorEastAsia"/>
          <w:bCs/>
          <w:sz w:val="24"/>
          <w:szCs w:val="24"/>
        </w:rPr>
        <w:t>。</w:t>
      </w:r>
    </w:p>
    <w:p>
      <w:pPr>
        <w:pStyle w:val="17"/>
        <w:spacing w:line="360" w:lineRule="auto"/>
        <w:ind w:firstLine="480" w:firstLineChars="200"/>
        <w:rPr>
          <w:rFonts w:cs="宋体" w:asciiTheme="majorEastAsia" w:hAnsiTheme="majorEastAsia" w:eastAsiaTheme="majorEastAsia"/>
          <w:b/>
          <w:sz w:val="24"/>
          <w:szCs w:val="24"/>
        </w:rPr>
      </w:pPr>
      <w:r>
        <w:rPr>
          <w:rFonts w:cs="宋体" w:asciiTheme="majorEastAsia" w:hAnsiTheme="majorEastAsia" w:eastAsiaTheme="majorEastAsia"/>
          <w:sz w:val="24"/>
          <w:szCs w:val="24"/>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7"/>
        <w:spacing w:line="360" w:lineRule="auto"/>
        <w:rPr>
          <w:rFonts w:cs="宋体" w:asciiTheme="majorEastAsia" w:hAnsiTheme="majorEastAsia" w:eastAsiaTheme="majorEastAsia"/>
          <w:b/>
          <w:sz w:val="24"/>
          <w:szCs w:val="24"/>
        </w:rPr>
      </w:pPr>
      <w:r>
        <w:rPr>
          <w:rFonts w:cs="宋体" w:asciiTheme="majorEastAsia" w:hAnsiTheme="majorEastAsia" w:eastAsiaTheme="majorEastAsia"/>
          <w:b/>
          <w:bCs/>
          <w:sz w:val="24"/>
          <w:szCs w:val="24"/>
        </w:rPr>
        <w:t>6.  技术资料</w:t>
      </w:r>
    </w:p>
    <w:p>
      <w:pPr>
        <w:pStyle w:val="17"/>
        <w:tabs>
          <w:tab w:val="left" w:pos="0"/>
        </w:tabs>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6.1 甲方应向乙方提供提交服务成果所必需的有关数据、资料等。</w:t>
      </w:r>
    </w:p>
    <w:p>
      <w:pPr>
        <w:pStyle w:val="17"/>
        <w:tabs>
          <w:tab w:val="left" w:pos="0"/>
        </w:tabs>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7.  验收</w:t>
      </w:r>
    </w:p>
    <w:p>
      <w:pPr>
        <w:pStyle w:val="17"/>
        <w:tabs>
          <w:tab w:val="left" w:pos="0"/>
        </w:tabs>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7.1 乙方应对提交的服务成果作出全面检查和整理，并列出清单，作为甲方验收和使用的技术条件依据，清单应随提交的服务成果交给甲方。</w:t>
      </w:r>
    </w:p>
    <w:p>
      <w:pPr>
        <w:pStyle w:val="17"/>
        <w:tabs>
          <w:tab w:val="left" w:pos="0"/>
        </w:tabs>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7.2 乙方在指定地点提交服务成果后，甲方应在五个工作日内依据招标文件、乙方的投标文件等组织验收，验收完毕后作出书面验收报告。验收时乙方必须在现场。</w:t>
      </w:r>
    </w:p>
    <w:p>
      <w:pPr>
        <w:pStyle w:val="17"/>
        <w:tabs>
          <w:tab w:val="left" w:pos="0"/>
        </w:tabs>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7.3 对复杂的服务，甲方可请国家认可的专业机构参与验收，并由其出具验收报告，相关费用由甲方承担。</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8.  合同款支付</w:t>
      </w:r>
    </w:p>
    <w:p>
      <w:pPr>
        <w:tabs>
          <w:tab w:val="left" w:pos="2101"/>
        </w:tabs>
        <w:spacing w:after="120" w:line="440" w:lineRule="exact"/>
        <w:ind w:firstLine="480" w:firstLineChars="200"/>
        <w:rPr>
          <w:rFonts w:cs="Times New Roman" w:asciiTheme="majorEastAsia" w:hAnsiTheme="majorEastAsia" w:eastAsiaTheme="majorEastAsia"/>
          <w:kern w:val="2"/>
          <w:sz w:val="24"/>
          <w:szCs w:val="24"/>
          <w:u w:val="single"/>
        </w:rPr>
      </w:pPr>
      <w:r>
        <w:rPr>
          <w:rFonts w:hint="eastAsia" w:asciiTheme="majorEastAsia" w:hAnsiTheme="majorEastAsia" w:eastAsiaTheme="majorEastAsia"/>
          <w:bCs/>
          <w:sz w:val="24"/>
        </w:rPr>
        <w:t>8.1 付款方</w:t>
      </w:r>
      <w:r>
        <w:rPr>
          <w:rFonts w:hint="eastAsia" w:asciiTheme="majorEastAsia" w:hAnsiTheme="majorEastAsia" w:eastAsiaTheme="majorEastAsia"/>
          <w:sz w:val="24"/>
        </w:rPr>
        <w:t>式</w:t>
      </w:r>
      <w:r>
        <w:rPr>
          <w:rFonts w:hint="eastAsia" w:asciiTheme="majorEastAsia" w:hAnsiTheme="majorEastAsia" w:eastAsiaTheme="majorEastAsia"/>
          <w:bCs/>
          <w:sz w:val="24"/>
        </w:rPr>
        <w:t>：</w:t>
      </w:r>
      <w:r>
        <w:rPr>
          <w:rFonts w:hint="eastAsia" w:asciiTheme="majorEastAsia" w:hAnsiTheme="majorEastAsia" w:eastAsiaTheme="majorEastAsia"/>
          <w:bCs/>
          <w:sz w:val="24"/>
          <w:u w:val="single"/>
        </w:rPr>
        <w:t>本项目无预付款，</w:t>
      </w:r>
      <w:r>
        <w:rPr>
          <w:rFonts w:hint="eastAsia" w:cs="Times New Roman" w:asciiTheme="majorEastAsia" w:hAnsiTheme="majorEastAsia" w:eastAsiaTheme="majorEastAsia"/>
          <w:kern w:val="2"/>
          <w:sz w:val="24"/>
          <w:szCs w:val="24"/>
          <w:u w:val="single"/>
        </w:rPr>
        <w:t>中标供应商完成开发，提交验收材料并通过采购人确认合格后，采购人向中标供应商支付合同全款。</w:t>
      </w:r>
    </w:p>
    <w:p>
      <w:pPr>
        <w:tabs>
          <w:tab w:val="left" w:pos="2101"/>
        </w:tabs>
        <w:spacing w:after="120" w:line="440" w:lineRule="exact"/>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7"/>
        <w:tabs>
          <w:tab w:val="left" w:pos="5145"/>
          <w:tab w:val="left" w:pos="5355"/>
          <w:tab w:val="left" w:pos="6195"/>
        </w:tabs>
        <w:spacing w:line="360" w:lineRule="auto"/>
        <w:ind w:firstLine="480" w:firstLineChars="200"/>
        <w:rPr>
          <w:rFonts w:cs="宋体" w:asciiTheme="majorEastAsia" w:hAnsiTheme="majorEastAsia" w:eastAsiaTheme="majorEastAsia"/>
          <w:bCs/>
          <w:sz w:val="24"/>
          <w:szCs w:val="24"/>
          <w:u w:val="single"/>
        </w:rPr>
      </w:pPr>
      <w:r>
        <w:rPr>
          <w:rFonts w:cs="宋体" w:asciiTheme="majorEastAsia" w:hAnsiTheme="majorEastAsia" w:eastAsiaTheme="majorEastAsia"/>
          <w:sz w:val="24"/>
          <w:szCs w:val="24"/>
        </w:rPr>
        <w:t>8.3 政府采购监督管理部门在处理投诉事项期间，可以视具体情况书面通知采购人暂停采购活动</w:t>
      </w:r>
      <w:r>
        <w:rPr>
          <w:rFonts w:cs="宋体" w:asciiTheme="majorEastAsia" w:hAnsiTheme="majorEastAsia" w:eastAsiaTheme="majorEastAsia"/>
          <w:bCs/>
          <w:sz w:val="24"/>
          <w:szCs w:val="24"/>
        </w:rPr>
        <w:t>，并延期支付合同款。</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9.  售后服务要求</w:t>
      </w:r>
    </w:p>
    <w:p>
      <w:pPr>
        <w:pStyle w:val="17"/>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9.1 乙方提供服务的质量保证期为：</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（自提交服务验收合格之日起计）</w:t>
      </w:r>
    </w:p>
    <w:p>
      <w:pPr>
        <w:pStyle w:val="17"/>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9.2 在本合同第9.1项约定的质量保证期内，乙方应对服务出现的问题负责处理解决并承担一切费用。</w:t>
      </w:r>
    </w:p>
    <w:p>
      <w:pPr>
        <w:pStyle w:val="17"/>
        <w:tabs>
          <w:tab w:val="left" w:pos="5250"/>
        </w:tabs>
        <w:spacing w:line="360" w:lineRule="auto"/>
        <w:ind w:firstLine="480" w:firstLineChars="200"/>
        <w:rPr>
          <w:rFonts w:cs="宋体" w:asciiTheme="majorEastAsia" w:hAnsiTheme="majorEastAsia" w:eastAsiaTheme="majorEastAsia"/>
          <w:sz w:val="24"/>
          <w:szCs w:val="24"/>
          <w:u w:val="single"/>
        </w:rPr>
      </w:pPr>
      <w:r>
        <w:rPr>
          <w:rFonts w:asciiTheme="majorEastAsia" w:hAnsiTheme="majorEastAsia" w:eastAsiaTheme="majorEastAsia"/>
          <w:sz w:val="24"/>
          <w:szCs w:val="24"/>
        </w:rPr>
        <w:t>9.3 其他售后服务要求：</w:t>
      </w:r>
      <w:r>
        <w:rPr>
          <w:rFonts w:asciiTheme="majorEastAsia" w:hAnsiTheme="majorEastAsia" w:eastAsiaTheme="majorEastAsia"/>
          <w:sz w:val="24"/>
          <w:szCs w:val="24"/>
          <w:u w:val="single"/>
        </w:rPr>
        <w:t>按投标文件商务条款偏离表内容执行。</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10.  违约责任</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10.1 甲方无正当理由拒收服务的，甲方向乙方偿付拒收服务费总值的百分之五违约金。</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10.2 甲方无故逾期验收或办理合同款支付手续的，甲方应按逾期付款总额每日万分之五向乙方支付违约金。</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10.3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11.  不可抗力事件处理</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11.1 在合同有效期内，任何一方因不可抗力事件导致不能履行合同，则合同履行期可延长，其延长期与不可抗力影响期相同。</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11.2 不可抗力事件发生后，应立即通知对方，并寄送有关权威机构出具的证明。</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11.3 不可抗力事件延续120天以上，双方应通过友好协商，确定是否继续履行合同。</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12.  诉讼</w:t>
      </w:r>
    </w:p>
    <w:p>
      <w:pPr>
        <w:pStyle w:val="17"/>
        <w:tabs>
          <w:tab w:val="left" w:pos="0"/>
        </w:tabs>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12.1 双方在执行合同中所发生的一切争议，应通过协商解决。如协商不成，可向合同签订地法院起诉，合同签订地在此约定为广西南宁市。</w:t>
      </w:r>
    </w:p>
    <w:p>
      <w:pPr>
        <w:pStyle w:val="17"/>
        <w:spacing w:line="360" w:lineRule="auto"/>
        <w:rPr>
          <w:rFonts w:cs="宋体" w:asciiTheme="majorEastAsia" w:hAnsiTheme="majorEastAsia" w:eastAsiaTheme="majorEastAsia"/>
          <w:b/>
          <w:bCs/>
          <w:sz w:val="24"/>
          <w:szCs w:val="24"/>
        </w:rPr>
      </w:pPr>
      <w:r>
        <w:rPr>
          <w:rFonts w:cs="宋体" w:asciiTheme="majorEastAsia" w:hAnsiTheme="majorEastAsia" w:eastAsiaTheme="majorEastAsia"/>
          <w:b/>
          <w:bCs/>
          <w:sz w:val="24"/>
          <w:szCs w:val="24"/>
        </w:rPr>
        <w:t>13.  合同生效及其它</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13.1 合同经双方法定代表人或授权委托代理人签字并加盖单位公章后生效。</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13.2 合同执行中涉及采购资金和采购内容修改或补充的，须经市财政部门审批，并签书面补充协议报南宁市政府采购监督管理部门备案，方可作为主合同不可分割的一部分。</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13.3 下述合同附件为本合同不可分割的部分并与本合同具有同等效力：</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（1）中标通知书；</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（2）招标文件服务需求一览表；</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（3）招标文件的澄清和修改；</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（4）投标函、投标报价表；</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（5）投标服务技术资料表、商务条款偏离表、售后服务承诺书；</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（6）中标供应商澄清函。</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13.4 本合同未尽事宜，遵照《中华人民共和国合同法》有关条文执行。</w:t>
      </w:r>
    </w:p>
    <w:p>
      <w:pPr>
        <w:pStyle w:val="17"/>
        <w:spacing w:line="360" w:lineRule="auto"/>
        <w:ind w:firstLine="480" w:firstLineChars="200"/>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13.5 </w:t>
      </w:r>
      <w:r>
        <w:rPr>
          <w:rFonts w:cs="宋体" w:asciiTheme="majorEastAsia" w:hAnsiTheme="majorEastAsia" w:eastAsiaTheme="majorEastAsia"/>
          <w:b/>
          <w:sz w:val="24"/>
        </w:rPr>
        <w:t>本合同正本一式贰份</w:t>
      </w:r>
      <w:r>
        <w:rPr>
          <w:rFonts w:cs="宋体" w:asciiTheme="majorEastAsia" w:hAnsiTheme="majorEastAsia" w:eastAsiaTheme="majorEastAsia"/>
          <w:sz w:val="24"/>
        </w:rPr>
        <w:t>，具有同等法律效力，甲乙双方各执</w:t>
      </w:r>
      <w:r>
        <w:rPr>
          <w:rFonts w:cs="宋体" w:asciiTheme="majorEastAsia" w:hAnsiTheme="majorEastAsia" w:eastAsiaTheme="majorEastAsia"/>
          <w:b/>
          <w:sz w:val="24"/>
        </w:rPr>
        <w:t>壹份</w:t>
      </w:r>
      <w:r>
        <w:rPr>
          <w:rFonts w:cs="宋体" w:asciiTheme="majorEastAsia" w:hAnsiTheme="majorEastAsia" w:eastAsiaTheme="majorEastAsia"/>
          <w:sz w:val="24"/>
        </w:rPr>
        <w:t>；</w:t>
      </w:r>
      <w:r>
        <w:rPr>
          <w:rFonts w:cs="宋体" w:asciiTheme="majorEastAsia" w:hAnsiTheme="majorEastAsia" w:eastAsiaTheme="majorEastAsia"/>
          <w:b/>
          <w:sz w:val="24"/>
        </w:rPr>
        <w:t>副本肆份</w:t>
      </w:r>
      <w:r>
        <w:rPr>
          <w:rFonts w:cs="宋体" w:asciiTheme="majorEastAsia" w:hAnsiTheme="majorEastAsia" w:eastAsiaTheme="majorEastAsia"/>
          <w:sz w:val="24"/>
        </w:rPr>
        <w:t>，甲乙双方各执</w:t>
      </w:r>
      <w:r>
        <w:rPr>
          <w:rFonts w:cs="宋体" w:asciiTheme="majorEastAsia" w:hAnsiTheme="majorEastAsia" w:eastAsiaTheme="majorEastAsia"/>
          <w:b/>
          <w:sz w:val="24"/>
        </w:rPr>
        <w:t>壹份</w:t>
      </w:r>
      <w:r>
        <w:rPr>
          <w:rFonts w:cs="宋体" w:asciiTheme="majorEastAsia" w:hAnsiTheme="majorEastAsia" w:eastAsiaTheme="majorEastAsia"/>
          <w:sz w:val="24"/>
        </w:rPr>
        <w:t>，采购代理</w:t>
      </w:r>
      <w:r>
        <w:rPr>
          <w:rFonts w:cs="宋体" w:asciiTheme="majorEastAsia" w:hAnsiTheme="majorEastAsia" w:eastAsiaTheme="majorEastAsia"/>
          <w:b/>
          <w:sz w:val="24"/>
        </w:rPr>
        <w:t>贰份</w:t>
      </w:r>
      <w:r>
        <w:rPr>
          <w:rFonts w:cs="宋体" w:asciiTheme="majorEastAsia" w:hAnsiTheme="majorEastAsia" w:eastAsiaTheme="majorEastAsia"/>
          <w:sz w:val="24"/>
        </w:rPr>
        <w:t>。自合同签订之日起</w:t>
      </w:r>
      <w:r>
        <w:rPr>
          <w:rFonts w:cs="宋体" w:asciiTheme="majorEastAsia" w:hAnsiTheme="majorEastAsia" w:eastAsiaTheme="majorEastAsia"/>
          <w:b/>
          <w:sz w:val="24"/>
        </w:rPr>
        <w:t>2个工作日内</w:t>
      </w:r>
      <w:r>
        <w:rPr>
          <w:rFonts w:cs="宋体" w:asciiTheme="majorEastAsia" w:hAnsiTheme="majorEastAsia" w:eastAsiaTheme="majorEastAsia"/>
          <w:sz w:val="24"/>
        </w:rPr>
        <w:t>由中标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pPr>
        <w:pStyle w:val="17"/>
        <w:spacing w:line="360" w:lineRule="auto"/>
        <w:ind w:firstLine="480" w:firstLineChars="200"/>
        <w:rPr>
          <w:rFonts w:cs="宋体" w:asciiTheme="majorEastAsia" w:hAnsiTheme="majorEastAsia" w:eastAsiaTheme="majorEastAsia"/>
          <w:sz w:val="24"/>
          <w:szCs w:val="24"/>
        </w:rPr>
      </w:pPr>
    </w:p>
    <w:p>
      <w:pPr>
        <w:pStyle w:val="17"/>
        <w:spacing w:line="360" w:lineRule="auto"/>
        <w:jc w:val="left"/>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甲方：</w:t>
      </w:r>
      <w:r>
        <w:rPr>
          <w:rFonts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乙方：</w:t>
      </w:r>
      <w:r>
        <w:rPr>
          <w:rFonts w:hint="eastAsia" w:cs="宋体" w:asciiTheme="majorEastAsia" w:hAnsiTheme="majorEastAsia" w:eastAsiaTheme="majorEastAsia"/>
          <w:sz w:val="24"/>
          <w:szCs w:val="24"/>
        </w:rPr>
        <w:t>_______________________________</w:t>
      </w:r>
    </w:p>
    <w:p>
      <w:pPr>
        <w:pStyle w:val="17"/>
        <w:spacing w:line="360" w:lineRule="auto"/>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地址：</w:t>
      </w:r>
      <w:r>
        <w:rPr>
          <w:rFonts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地址：</w:t>
      </w:r>
      <w:r>
        <w:rPr>
          <w:rFonts w:hint="eastAsia" w:cs="宋体" w:asciiTheme="majorEastAsia" w:hAnsiTheme="majorEastAsia" w:eastAsiaTheme="majorEastAsia"/>
          <w:sz w:val="24"/>
          <w:szCs w:val="24"/>
        </w:rPr>
        <w:t>_______________________________</w:t>
      </w:r>
    </w:p>
    <w:p>
      <w:pPr>
        <w:pStyle w:val="17"/>
        <w:spacing w:line="360" w:lineRule="auto"/>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法定代表人：</w:t>
      </w:r>
      <w:r>
        <w:rPr>
          <w:rFonts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法定代表人：</w:t>
      </w:r>
      <w:r>
        <w:rPr>
          <w:rFonts w:hint="eastAsia" w:cs="宋体" w:asciiTheme="majorEastAsia" w:hAnsiTheme="majorEastAsia" w:eastAsiaTheme="majorEastAsia"/>
          <w:sz w:val="24"/>
          <w:szCs w:val="24"/>
        </w:rPr>
        <w:t>_________________________</w:t>
      </w:r>
    </w:p>
    <w:p>
      <w:pPr>
        <w:pStyle w:val="17"/>
        <w:spacing w:line="360" w:lineRule="auto"/>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委托代理人：</w:t>
      </w:r>
      <w:r>
        <w:rPr>
          <w:rFonts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委托代理人：</w:t>
      </w:r>
      <w:r>
        <w:rPr>
          <w:rFonts w:hint="eastAsia" w:cs="宋体" w:asciiTheme="majorEastAsia" w:hAnsiTheme="majorEastAsia" w:eastAsiaTheme="majorEastAsia"/>
          <w:sz w:val="24"/>
          <w:szCs w:val="24"/>
        </w:rPr>
        <w:t>_________________________</w:t>
      </w:r>
    </w:p>
    <w:p>
      <w:pPr>
        <w:pStyle w:val="17"/>
        <w:spacing w:line="360" w:lineRule="auto"/>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电话：</w:t>
      </w:r>
      <w:r>
        <w:rPr>
          <w:rFonts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电话：</w:t>
      </w:r>
      <w:r>
        <w:rPr>
          <w:rFonts w:hint="eastAsia" w:cs="宋体" w:asciiTheme="majorEastAsia" w:hAnsiTheme="majorEastAsia" w:eastAsiaTheme="majorEastAsia"/>
          <w:sz w:val="24"/>
          <w:szCs w:val="24"/>
        </w:rPr>
        <w:t>_______________________________</w:t>
      </w:r>
    </w:p>
    <w:p>
      <w:pPr>
        <w:pStyle w:val="17"/>
        <w:spacing w:line="360" w:lineRule="auto"/>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传真：</w:t>
      </w:r>
      <w:r>
        <w:rPr>
          <w:rFonts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传真：</w:t>
      </w:r>
      <w:r>
        <w:rPr>
          <w:rFonts w:hint="eastAsia" w:cs="宋体" w:asciiTheme="majorEastAsia" w:hAnsiTheme="majorEastAsia" w:eastAsiaTheme="majorEastAsia"/>
          <w:sz w:val="24"/>
          <w:szCs w:val="24"/>
        </w:rPr>
        <w:t>_______________________________</w:t>
      </w:r>
    </w:p>
    <w:p>
      <w:pPr>
        <w:pStyle w:val="17"/>
        <w:spacing w:line="360" w:lineRule="auto"/>
        <w:jc w:val="left"/>
        <w:rPr>
          <w:rFonts w:cs="宋体" w:asciiTheme="majorEastAsia" w:hAnsiTheme="majorEastAsia" w:eastAsiaTheme="majorEastAsia"/>
          <w:sz w:val="24"/>
          <w:szCs w:val="24"/>
        </w:rPr>
      </w:pPr>
      <w:r>
        <w:rPr>
          <w:rFonts w:cs="宋体" w:asciiTheme="majorEastAsia" w:hAnsiTheme="majorEastAsia" w:eastAsiaTheme="majorEastAsia"/>
          <w:sz w:val="24"/>
          <w:szCs w:val="24"/>
        </w:rPr>
        <w:t>邮政编码：</w:t>
      </w:r>
      <w:r>
        <w:rPr>
          <w:rFonts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u w:val="single"/>
        </w:rPr>
        <w:t xml:space="preserve">                          </w:t>
      </w:r>
      <w:r>
        <w:rPr>
          <w:rFonts w:hint="eastAsia" w:cs="宋体" w:asciiTheme="majorEastAsia" w:hAnsiTheme="majorEastAsia" w:eastAsiaTheme="majorEastAsia"/>
          <w:sz w:val="24"/>
          <w:szCs w:val="24"/>
        </w:rPr>
        <w:t xml:space="preserve">  </w:t>
      </w:r>
      <w:r>
        <w:rPr>
          <w:rFonts w:cs="宋体" w:asciiTheme="majorEastAsia" w:hAnsiTheme="majorEastAsia" w:eastAsiaTheme="majorEastAsia"/>
          <w:sz w:val="24"/>
          <w:szCs w:val="24"/>
        </w:rPr>
        <w:t>邮政编码：</w:t>
      </w:r>
      <w:r>
        <w:rPr>
          <w:rFonts w:hint="eastAsia" w:cs="宋体" w:asciiTheme="majorEastAsia" w:hAnsiTheme="majorEastAsia" w:eastAsiaTheme="majorEastAsia"/>
          <w:sz w:val="24"/>
          <w:szCs w:val="24"/>
        </w:rPr>
        <w:t>___________________________</w:t>
      </w:r>
    </w:p>
    <w:p>
      <w:pPr>
        <w:pStyle w:val="17"/>
        <w:spacing w:line="360" w:lineRule="auto"/>
        <w:jc w:val="left"/>
        <w:rPr>
          <w:rFonts w:cs="宋体" w:asciiTheme="majorEastAsia" w:hAnsiTheme="majorEastAsia" w:eastAsiaTheme="majorEastAsia"/>
          <w:u w:val="single"/>
        </w:rPr>
      </w:pPr>
      <w:r>
        <w:rPr>
          <w:rFonts w:cs="宋体" w:asciiTheme="majorEastAsia" w:hAnsiTheme="majorEastAsia" w:eastAsiaTheme="majorEastAsia"/>
          <w:sz w:val="24"/>
          <w:szCs w:val="24"/>
        </w:rPr>
        <w:t xml:space="preserve">                                          统一社会代码：</w:t>
      </w:r>
      <w:r>
        <w:rPr>
          <w:rFonts w:hint="eastAsia" w:cs="宋体" w:asciiTheme="majorEastAsia" w:hAnsiTheme="majorEastAsia" w:eastAsiaTheme="majorEastAsia"/>
          <w:sz w:val="24"/>
          <w:szCs w:val="24"/>
        </w:rPr>
        <w:t>_______________________</w:t>
      </w:r>
    </w:p>
    <w:p>
      <w:pPr>
        <w:pStyle w:val="17"/>
        <w:spacing w:line="360" w:lineRule="auto"/>
        <w:ind w:firstLine="5040" w:firstLineChars="2100"/>
        <w:jc w:val="left"/>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开户银行：</w:t>
      </w:r>
      <w:r>
        <w:rPr>
          <w:rFonts w:hint="eastAsia" w:cs="宋体" w:asciiTheme="majorEastAsia" w:hAnsiTheme="majorEastAsia" w:eastAsiaTheme="majorEastAsia"/>
          <w:sz w:val="24"/>
          <w:szCs w:val="24"/>
        </w:rPr>
        <w:t>___________________________</w:t>
      </w:r>
    </w:p>
    <w:p>
      <w:pPr>
        <w:pStyle w:val="17"/>
        <w:spacing w:line="360" w:lineRule="auto"/>
        <w:jc w:val="left"/>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 xml:space="preserve">                                          开户名称：</w:t>
      </w:r>
      <w:r>
        <w:rPr>
          <w:rFonts w:hint="eastAsia" w:cs="宋体" w:asciiTheme="majorEastAsia" w:hAnsiTheme="majorEastAsia" w:eastAsiaTheme="majorEastAsia"/>
          <w:sz w:val="24"/>
          <w:szCs w:val="24"/>
        </w:rPr>
        <w:t>___________________________</w:t>
      </w:r>
    </w:p>
    <w:p>
      <w:pPr>
        <w:pStyle w:val="17"/>
        <w:spacing w:line="360" w:lineRule="auto"/>
        <w:jc w:val="left"/>
        <w:rPr>
          <w:rFonts w:cs="宋体" w:asciiTheme="majorEastAsia" w:hAnsiTheme="majorEastAsia" w:eastAsiaTheme="majorEastAsia"/>
          <w:sz w:val="24"/>
          <w:szCs w:val="24"/>
          <w:u w:val="single"/>
        </w:rPr>
      </w:pPr>
      <w:r>
        <w:rPr>
          <w:rFonts w:cs="宋体" w:asciiTheme="majorEastAsia" w:hAnsiTheme="majorEastAsia" w:eastAsiaTheme="majorEastAsia"/>
          <w:sz w:val="24"/>
          <w:szCs w:val="24"/>
        </w:rPr>
        <w:t xml:space="preserve">                                          银行账号：</w:t>
      </w:r>
      <w:r>
        <w:rPr>
          <w:rFonts w:hint="eastAsia" w:cs="宋体" w:asciiTheme="majorEastAsia" w:hAnsiTheme="majorEastAsia" w:eastAsiaTheme="majorEastAsia"/>
          <w:sz w:val="24"/>
          <w:szCs w:val="24"/>
        </w:rPr>
        <w:t>___________________________</w:t>
      </w:r>
    </w:p>
    <w:p>
      <w:pPr>
        <w:pStyle w:val="17"/>
        <w:spacing w:line="360" w:lineRule="auto"/>
        <w:rPr>
          <w:rFonts w:cs="宋体" w:asciiTheme="majorEastAsia" w:hAnsiTheme="majorEastAsia" w:eastAsiaTheme="majorEastAsia"/>
          <w:sz w:val="24"/>
          <w:szCs w:val="24"/>
        </w:rPr>
      </w:pPr>
      <w:r>
        <w:rPr>
          <w:rFonts w:cs="宋体" w:asciiTheme="majorEastAsia" w:hAnsiTheme="majorEastAsia" w:eastAsiaTheme="majorEastAsia"/>
          <w:sz w:val="24"/>
          <w:szCs w:val="24"/>
        </w:rPr>
        <w:t xml:space="preserve">合同签订地点：广西南宁市 </w:t>
      </w:r>
    </w:p>
    <w:p>
      <w:pPr>
        <w:pStyle w:val="17"/>
        <w:spacing w:line="360" w:lineRule="auto"/>
        <w:rPr>
          <w:rFonts w:cs="宋体" w:asciiTheme="majorEastAsia" w:hAnsiTheme="majorEastAsia" w:eastAsiaTheme="majorEastAsia"/>
          <w:sz w:val="24"/>
          <w:szCs w:val="24"/>
        </w:rPr>
      </w:pPr>
      <w:r>
        <w:rPr>
          <w:rFonts w:cs="宋体" w:asciiTheme="majorEastAsia" w:hAnsiTheme="majorEastAsia" w:eastAsiaTheme="majorEastAsia"/>
          <w:sz w:val="24"/>
          <w:szCs w:val="24"/>
        </w:rPr>
        <w:t>合同签订日期：</w:t>
      </w:r>
      <w:r>
        <w:rPr>
          <w:rFonts w:cs="宋体" w:asciiTheme="majorEastAsia" w:hAnsiTheme="majorEastAsia" w:eastAsiaTheme="majorEastAsia"/>
          <w:sz w:val="24"/>
          <w:szCs w:val="24"/>
          <w:u w:val="single"/>
        </w:rPr>
        <w:t>2020</w:t>
      </w:r>
      <w:r>
        <w:rPr>
          <w:rFonts w:cs="宋体" w:asciiTheme="majorEastAsia" w:hAnsiTheme="majorEastAsia" w:eastAsiaTheme="majorEastAsia"/>
          <w:sz w:val="24"/>
          <w:szCs w:val="24"/>
        </w:rPr>
        <w:t>年</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月</w:t>
      </w:r>
      <w:r>
        <w:rPr>
          <w:rFonts w:hint="eastAsia" w:cs="宋体" w:asciiTheme="majorEastAsia" w:hAnsiTheme="majorEastAsia" w:eastAsiaTheme="majorEastAsia"/>
          <w:sz w:val="24"/>
          <w:szCs w:val="24"/>
          <w:u w:val="single"/>
        </w:rPr>
        <w:t xml:space="preserve">    </w:t>
      </w:r>
      <w:r>
        <w:rPr>
          <w:rFonts w:cs="宋体" w:asciiTheme="majorEastAsia" w:hAnsiTheme="majorEastAsia" w:eastAsiaTheme="majorEastAsia"/>
          <w:sz w:val="24"/>
          <w:szCs w:val="24"/>
        </w:rPr>
        <w:t>日</w:t>
      </w:r>
    </w:p>
    <w:p>
      <w:pPr>
        <w:pStyle w:val="17"/>
        <w:spacing w:line="360" w:lineRule="auto"/>
        <w:rPr>
          <w:rFonts w:cs="宋体" w:asciiTheme="majorEastAsia" w:hAnsiTheme="majorEastAsia" w:eastAsiaTheme="majorEastAsia"/>
        </w:rPr>
      </w:pPr>
    </w:p>
    <w:p>
      <w:pPr>
        <w:spacing w:line="220" w:lineRule="atLeast"/>
        <w:rPr>
          <w:rFonts w:asciiTheme="majorEastAsia" w:hAnsiTheme="majorEastAsia" w:eastAsiaTheme="majorEastAsia"/>
        </w:rPr>
      </w:pPr>
    </w:p>
    <w:sectPr>
      <w:pgSz w:w="11906" w:h="16838"/>
      <w:pgMar w:top="1440" w:right="1080" w:bottom="1440" w:left="1080"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华文细黑">
    <w:altName w:val="微软雅黑"/>
    <w:panose1 w:val="00000000000000000000"/>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15</w:t>
    </w:r>
    <w:r>
      <w:rPr>
        <w:lang w:val="zh-CN"/>
      </w:rPr>
      <w:fldChar w:fldCharType="end"/>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16</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cs="Arial"/>
        <w:bCs/>
        <w:sz w:val="16"/>
        <w:szCs w:val="16"/>
        <w:u w:val="single"/>
      </w:rPr>
    </w:pPr>
    <w:r>
      <w:rPr>
        <w:rFonts w:hint="eastAsia" w:ascii="宋体" w:hAnsi="宋体" w:eastAsia="宋体" w:cs="Arial"/>
        <w:bCs/>
        <w:sz w:val="16"/>
        <w:szCs w:val="16"/>
        <w:u w:val="single"/>
      </w:rPr>
      <w:t xml:space="preserve">项目名称：南宁市住房租赁服务监管平台                               </w:t>
    </w:r>
    <w:r>
      <w:rPr>
        <w:rFonts w:hint="eastAsia" w:ascii="宋体" w:hAnsi="宋体" w:eastAsia="宋体" w:cs="Arial"/>
        <w:bCs/>
        <w:sz w:val="16"/>
        <w:szCs w:val="16"/>
        <w:u w:val="single"/>
        <w:lang w:val="en-US" w:eastAsia="zh-CN"/>
      </w:rPr>
      <w:t xml:space="preserve">                </w:t>
    </w:r>
    <w:r>
      <w:rPr>
        <w:rFonts w:hint="eastAsia" w:ascii="宋体" w:hAnsi="宋体" w:eastAsia="宋体" w:cs="Arial"/>
        <w:bCs/>
        <w:sz w:val="16"/>
        <w:szCs w:val="16"/>
        <w:u w:val="single"/>
      </w:rPr>
      <w:t xml:space="preserve">           项目编号：NNZC2020-G3-990364-GXYZ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jc w:val="right"/>
      <w:rPr>
        <w:rFonts w:ascii="宋体" w:hAnsi="宋体" w:eastAsia="宋体"/>
        <w:color w:val="0D0D0D"/>
        <w:sz w:val="21"/>
        <w:szCs w:val="21"/>
      </w:rPr>
    </w:pPr>
    <w:r>
      <w:rPr>
        <w:rFonts w:hint="eastAsia" w:ascii="宋体" w:hAnsi="宋体" w:eastAsia="宋体"/>
        <w:color w:val="0D0D0D"/>
        <w:sz w:val="21"/>
        <w:szCs w:val="21"/>
      </w:rPr>
      <w:t>广西邕政采购代理有限公司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B95E9"/>
    <w:multiLevelType w:val="singleLevel"/>
    <w:tmpl w:val="94EB95E9"/>
    <w:lvl w:ilvl="0" w:tentative="0">
      <w:start w:val="1"/>
      <w:numFmt w:val="decimal"/>
      <w:suff w:val="nothing"/>
      <w:lvlText w:val="(%1)"/>
      <w:lvlJc w:val="left"/>
    </w:lvl>
  </w:abstractNum>
  <w:abstractNum w:abstractNumId="1">
    <w:nsid w:val="9A10F8CC"/>
    <w:multiLevelType w:val="singleLevel"/>
    <w:tmpl w:val="9A10F8CC"/>
    <w:lvl w:ilvl="0" w:tentative="0">
      <w:start w:val="2"/>
      <w:numFmt w:val="decimal"/>
      <w:suff w:val="nothing"/>
      <w:lvlText w:val="%1、"/>
      <w:lvlJc w:val="left"/>
    </w:lvl>
  </w:abstractNum>
  <w:abstractNum w:abstractNumId="2">
    <w:nsid w:val="A65D1E0A"/>
    <w:multiLevelType w:val="singleLevel"/>
    <w:tmpl w:val="A65D1E0A"/>
    <w:lvl w:ilvl="0" w:tentative="0">
      <w:start w:val="1"/>
      <w:numFmt w:val="decimal"/>
      <w:suff w:val="nothing"/>
      <w:lvlText w:val="(%1)"/>
      <w:lvlJc w:val="left"/>
    </w:lvl>
  </w:abstractNum>
  <w:abstractNum w:abstractNumId="3">
    <w:nsid w:val="C7AA0485"/>
    <w:multiLevelType w:val="singleLevel"/>
    <w:tmpl w:val="C7AA0485"/>
    <w:lvl w:ilvl="0" w:tentative="0">
      <w:start w:val="1"/>
      <w:numFmt w:val="decimal"/>
      <w:suff w:val="nothing"/>
      <w:lvlText w:val="(%1)"/>
      <w:lvlJc w:val="left"/>
    </w:lvl>
  </w:abstractNum>
  <w:abstractNum w:abstractNumId="4">
    <w:nsid w:val="D6D369D0"/>
    <w:multiLevelType w:val="singleLevel"/>
    <w:tmpl w:val="D6D369D0"/>
    <w:lvl w:ilvl="0" w:tentative="0">
      <w:start w:val="1"/>
      <w:numFmt w:val="decimal"/>
      <w:suff w:val="nothing"/>
      <w:lvlText w:val="(%1)"/>
      <w:lvlJc w:val="left"/>
    </w:lvl>
  </w:abstractNum>
  <w:abstractNum w:abstractNumId="5">
    <w:nsid w:val="DA046FDB"/>
    <w:multiLevelType w:val="singleLevel"/>
    <w:tmpl w:val="DA046FDB"/>
    <w:lvl w:ilvl="0" w:tentative="0">
      <w:start w:val="6"/>
      <w:numFmt w:val="decimal"/>
      <w:lvlText w:val="%1."/>
      <w:lvlJc w:val="left"/>
      <w:pPr>
        <w:tabs>
          <w:tab w:val="left" w:pos="312"/>
        </w:tabs>
      </w:pPr>
    </w:lvl>
  </w:abstractNum>
  <w:abstractNum w:abstractNumId="6">
    <w:nsid w:val="E1861D70"/>
    <w:multiLevelType w:val="singleLevel"/>
    <w:tmpl w:val="E1861D70"/>
    <w:lvl w:ilvl="0" w:tentative="0">
      <w:start w:val="1"/>
      <w:numFmt w:val="decimal"/>
      <w:suff w:val="nothing"/>
      <w:lvlText w:val="(%1)"/>
      <w:lvlJc w:val="left"/>
    </w:lvl>
  </w:abstractNum>
  <w:abstractNum w:abstractNumId="7">
    <w:nsid w:val="ED49EC70"/>
    <w:multiLevelType w:val="singleLevel"/>
    <w:tmpl w:val="ED49EC70"/>
    <w:lvl w:ilvl="0" w:tentative="0">
      <w:start w:val="1"/>
      <w:numFmt w:val="decimal"/>
      <w:suff w:val="nothing"/>
      <w:lvlText w:val="(%1)"/>
      <w:lvlJc w:val="left"/>
    </w:lvl>
  </w:abstractNum>
  <w:abstractNum w:abstractNumId="8">
    <w:nsid w:val="F1CC3B7A"/>
    <w:multiLevelType w:val="singleLevel"/>
    <w:tmpl w:val="F1CC3B7A"/>
    <w:lvl w:ilvl="0" w:tentative="0">
      <w:start w:val="1"/>
      <w:numFmt w:val="decimal"/>
      <w:suff w:val="nothing"/>
      <w:lvlText w:val="(%1)"/>
      <w:lvlJc w:val="left"/>
    </w:lvl>
  </w:abstractNum>
  <w:abstractNum w:abstractNumId="9">
    <w:nsid w:val="F21F5903"/>
    <w:multiLevelType w:val="singleLevel"/>
    <w:tmpl w:val="F21F5903"/>
    <w:lvl w:ilvl="0" w:tentative="0">
      <w:start w:val="6"/>
      <w:numFmt w:val="chineseCounting"/>
      <w:suff w:val="nothing"/>
      <w:lvlText w:val="%1、"/>
      <w:lvlJc w:val="left"/>
      <w:rPr>
        <w:rFonts w:hint="eastAsia"/>
      </w:rPr>
    </w:lvl>
  </w:abstractNum>
  <w:abstractNum w:abstractNumId="10">
    <w:nsid w:val="F3CF7EC0"/>
    <w:multiLevelType w:val="singleLevel"/>
    <w:tmpl w:val="F3CF7EC0"/>
    <w:lvl w:ilvl="0" w:tentative="0">
      <w:start w:val="1"/>
      <w:numFmt w:val="decimal"/>
      <w:suff w:val="nothing"/>
      <w:lvlText w:val="(%1)"/>
      <w:lvlJc w:val="left"/>
    </w:lvl>
  </w:abstractNum>
  <w:abstractNum w:abstractNumId="11">
    <w:nsid w:val="F6D66B84"/>
    <w:multiLevelType w:val="singleLevel"/>
    <w:tmpl w:val="F6D66B84"/>
    <w:lvl w:ilvl="0" w:tentative="0">
      <w:start w:val="1"/>
      <w:numFmt w:val="decimal"/>
      <w:suff w:val="nothing"/>
      <w:lvlText w:val="(%1)"/>
      <w:lvlJc w:val="left"/>
    </w:lvl>
  </w:abstractNum>
  <w:abstractNum w:abstractNumId="12">
    <w:nsid w:val="00000002"/>
    <w:multiLevelType w:val="singleLevel"/>
    <w:tmpl w:val="00000002"/>
    <w:lvl w:ilvl="0" w:tentative="0">
      <w:start w:val="30"/>
      <w:numFmt w:val="decimal"/>
      <w:suff w:val="space"/>
      <w:lvlText w:val="%1."/>
      <w:lvlJc w:val="left"/>
    </w:lvl>
  </w:abstractNum>
  <w:abstractNum w:abstractNumId="13">
    <w:nsid w:val="00000004"/>
    <w:multiLevelType w:val="multilevel"/>
    <w:tmpl w:val="00000004"/>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00000005"/>
    <w:multiLevelType w:val="multilevel"/>
    <w:tmpl w:val="00000005"/>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5">
    <w:nsid w:val="00000006"/>
    <w:multiLevelType w:val="multilevel"/>
    <w:tmpl w:val="00000006"/>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08"/>
    <w:multiLevelType w:val="singleLevel"/>
    <w:tmpl w:val="00000008"/>
    <w:lvl w:ilvl="0" w:tentative="0">
      <w:start w:val="1"/>
      <w:numFmt w:val="chineseCounting"/>
      <w:suff w:val="nothing"/>
      <w:lvlText w:val="%1、"/>
      <w:lvlJc w:val="left"/>
    </w:lvl>
  </w:abstractNum>
  <w:abstractNum w:abstractNumId="17">
    <w:nsid w:val="00000009"/>
    <w:multiLevelType w:val="multilevel"/>
    <w:tmpl w:val="00000009"/>
    <w:lvl w:ilvl="0" w:tentative="0">
      <w:start w:val="1"/>
      <w:numFmt w:val="chineseCountingThousand"/>
      <w:suff w:val="space"/>
      <w:lvlText w:val="第%1章"/>
      <w:lvlJc w:val="left"/>
      <w:pPr>
        <w:ind w:left="0" w:firstLine="0"/>
      </w:pPr>
      <w:rPr>
        <w:rFonts w:hint="eastAsia" w:ascii="仿宋_GB2312" w:eastAsia="仿宋_GB2312"/>
        <w:b/>
        <w:i w:val="0"/>
        <w:sz w:val="44"/>
      </w:rPr>
    </w:lvl>
    <w:lvl w:ilvl="1" w:tentative="0">
      <w:start w:val="1"/>
      <w:numFmt w:val="decimal"/>
      <w:isLgl/>
      <w:suff w:val="space"/>
      <w:lvlText w:val="%1.%2"/>
      <w:lvlJc w:val="left"/>
      <w:pPr>
        <w:ind w:left="0" w:firstLine="0"/>
      </w:pPr>
      <w:rPr>
        <w:rFonts w:hint="eastAsia" w:ascii="仿宋_GB2312" w:eastAsia="仿宋_GB2312"/>
        <w:b/>
        <w:i w:val="0"/>
        <w:sz w:val="36"/>
      </w:rPr>
    </w:lvl>
    <w:lvl w:ilvl="2" w:tentative="0">
      <w:start w:val="1"/>
      <w:numFmt w:val="decimal"/>
      <w:isLgl/>
      <w:suff w:val="space"/>
      <w:lvlText w:val="%1.%2.%3"/>
      <w:lvlJc w:val="left"/>
      <w:pPr>
        <w:ind w:left="0" w:firstLine="0"/>
      </w:pPr>
      <w:rPr>
        <w:rFonts w:hint="eastAsia" w:ascii="仿宋_GB2312" w:eastAsia="仿宋_GB2312"/>
        <w:b/>
        <w:i w:val="0"/>
        <w:sz w:val="32"/>
      </w:rPr>
    </w:lvl>
    <w:lvl w:ilvl="3" w:tentative="0">
      <w:start w:val="1"/>
      <w:numFmt w:val="decimal"/>
      <w:isLgl/>
      <w:suff w:val="space"/>
      <w:lvlText w:val="%1.%2.%3.%4"/>
      <w:lvlJc w:val="left"/>
      <w:pPr>
        <w:ind w:left="0" w:firstLine="0"/>
      </w:pPr>
      <w:rPr>
        <w:rFonts w:hint="eastAsia" w:ascii="仿宋_GB2312" w:eastAsia="仿宋_GB2312"/>
        <w:b/>
        <w:i w:val="0"/>
        <w:sz w:val="30"/>
      </w:rPr>
    </w:lvl>
    <w:lvl w:ilvl="4" w:tentative="0">
      <w:start w:val="1"/>
      <w:numFmt w:val="decimal"/>
      <w:pStyle w:val="7"/>
      <w:isLgl/>
      <w:suff w:val="space"/>
      <w:lvlText w:val="%1.%2.%3.%4.%5"/>
      <w:lvlJc w:val="left"/>
      <w:pPr>
        <w:ind w:left="587" w:firstLine="0"/>
      </w:pPr>
      <w:rPr>
        <w:rFonts w:hint="eastAsia" w:ascii="仿宋_GB2312" w:eastAsia="仿宋_GB2312"/>
        <w:b/>
        <w:i w:val="0"/>
        <w:sz w:val="28"/>
      </w:rPr>
    </w:lvl>
    <w:lvl w:ilvl="5" w:tentative="0">
      <w:start w:val="1"/>
      <w:numFmt w:val="decimal"/>
      <w:isLgl/>
      <w:suff w:val="space"/>
      <w:lvlText w:val="%1.%2.%3.%4.%5.%6"/>
      <w:lvlJc w:val="left"/>
      <w:pPr>
        <w:ind w:left="0" w:firstLine="0"/>
      </w:pPr>
      <w:rPr>
        <w:rFonts w:hint="eastAsia" w:ascii="仿宋_GB2312" w:eastAsia="仿宋_GB2312"/>
        <w:b/>
        <w:i w:val="0"/>
        <w:sz w:val="28"/>
      </w:rPr>
    </w:lvl>
    <w:lvl w:ilvl="6" w:tentative="0">
      <w:start w:val="1"/>
      <w:numFmt w:val="decimal"/>
      <w:isLgl/>
      <w:suff w:val="space"/>
      <w:lvlText w:val="%1.%2.%3.%4.%5.%6.%7"/>
      <w:lvlJc w:val="left"/>
      <w:pPr>
        <w:ind w:left="0" w:firstLine="0"/>
      </w:pPr>
      <w:rPr>
        <w:rFonts w:hint="eastAsia" w:ascii="仿宋_GB2312" w:eastAsia="仿宋_GB2312"/>
        <w:b/>
        <w:i w:val="0"/>
        <w:sz w:val="28"/>
      </w:rPr>
    </w:lvl>
    <w:lvl w:ilvl="7" w:tentative="0">
      <w:start w:val="1"/>
      <w:numFmt w:val="decimal"/>
      <w:isLgl/>
      <w:suff w:val="space"/>
      <w:lvlText w:val="%1.%2.%3.%4.%5.%6.%7.%8"/>
      <w:lvlJc w:val="left"/>
      <w:pPr>
        <w:ind w:left="0" w:firstLine="0"/>
      </w:pPr>
      <w:rPr>
        <w:rFonts w:hint="eastAsia" w:ascii="仿宋_GB2312" w:eastAsia="仿宋_GB2312"/>
        <w:b/>
        <w:i w:val="0"/>
        <w:sz w:val="28"/>
      </w:rPr>
    </w:lvl>
    <w:lvl w:ilvl="8" w:tentative="0">
      <w:start w:val="1"/>
      <w:numFmt w:val="decimal"/>
      <w:lvlText w:val="%1.%2.%3.%4.%5.%6.%7.%8.%9"/>
      <w:lvlJc w:val="left"/>
      <w:pPr>
        <w:ind w:left="5102" w:hanging="1700"/>
      </w:pPr>
      <w:rPr>
        <w:rFonts w:hint="eastAsia"/>
      </w:rPr>
    </w:lvl>
  </w:abstractNum>
  <w:abstractNum w:abstractNumId="18">
    <w:nsid w:val="00E515E8"/>
    <w:multiLevelType w:val="singleLevel"/>
    <w:tmpl w:val="00E515E8"/>
    <w:lvl w:ilvl="0" w:tentative="0">
      <w:start w:val="1"/>
      <w:numFmt w:val="decimal"/>
      <w:suff w:val="nothing"/>
      <w:lvlText w:val="(%1)"/>
      <w:lvlJc w:val="left"/>
    </w:lvl>
  </w:abstractNum>
  <w:abstractNum w:abstractNumId="19">
    <w:nsid w:val="11A806F2"/>
    <w:multiLevelType w:val="singleLevel"/>
    <w:tmpl w:val="11A806F2"/>
    <w:lvl w:ilvl="0" w:tentative="0">
      <w:start w:val="1"/>
      <w:numFmt w:val="decimal"/>
      <w:suff w:val="nothing"/>
      <w:lvlText w:val="(%1)"/>
      <w:lvlJc w:val="left"/>
    </w:lvl>
  </w:abstractNum>
  <w:abstractNum w:abstractNumId="20">
    <w:nsid w:val="239AC46A"/>
    <w:multiLevelType w:val="singleLevel"/>
    <w:tmpl w:val="239AC46A"/>
    <w:lvl w:ilvl="0" w:tentative="0">
      <w:start w:val="1"/>
      <w:numFmt w:val="decimal"/>
      <w:suff w:val="nothing"/>
      <w:lvlText w:val="(%1)"/>
      <w:lvlJc w:val="left"/>
    </w:lvl>
  </w:abstractNum>
  <w:abstractNum w:abstractNumId="21">
    <w:nsid w:val="37B769AE"/>
    <w:multiLevelType w:val="singleLevel"/>
    <w:tmpl w:val="37B769AE"/>
    <w:lvl w:ilvl="0" w:tentative="0">
      <w:start w:val="1"/>
      <w:numFmt w:val="decimal"/>
      <w:suff w:val="nothing"/>
      <w:lvlText w:val="(%1)"/>
      <w:lvlJc w:val="left"/>
    </w:lvl>
  </w:abstractNum>
  <w:abstractNum w:abstractNumId="22">
    <w:nsid w:val="439202DD"/>
    <w:multiLevelType w:val="singleLevel"/>
    <w:tmpl w:val="439202DD"/>
    <w:lvl w:ilvl="0" w:tentative="0">
      <w:start w:val="1"/>
      <w:numFmt w:val="decimal"/>
      <w:suff w:val="nothing"/>
      <w:lvlText w:val="(%1)"/>
      <w:lvlJc w:val="left"/>
    </w:lvl>
  </w:abstractNum>
  <w:abstractNum w:abstractNumId="23">
    <w:nsid w:val="5ECB05DE"/>
    <w:multiLevelType w:val="singleLevel"/>
    <w:tmpl w:val="5ECB05DE"/>
    <w:lvl w:ilvl="0" w:tentative="0">
      <w:start w:val="1"/>
      <w:numFmt w:val="decimal"/>
      <w:suff w:val="nothing"/>
      <w:lvlText w:val="(%1)"/>
      <w:lvlJc w:val="left"/>
    </w:lvl>
  </w:abstractNum>
  <w:abstractNum w:abstractNumId="24">
    <w:nsid w:val="5ECB0613"/>
    <w:multiLevelType w:val="singleLevel"/>
    <w:tmpl w:val="5ECB0613"/>
    <w:lvl w:ilvl="0" w:tentative="0">
      <w:start w:val="1"/>
      <w:numFmt w:val="decimal"/>
      <w:suff w:val="nothing"/>
      <w:lvlText w:val="(%1)"/>
      <w:lvlJc w:val="left"/>
    </w:lvl>
  </w:abstractNum>
  <w:abstractNum w:abstractNumId="25">
    <w:nsid w:val="5ECB062D"/>
    <w:multiLevelType w:val="singleLevel"/>
    <w:tmpl w:val="5ECB062D"/>
    <w:lvl w:ilvl="0" w:tentative="0">
      <w:start w:val="1"/>
      <w:numFmt w:val="decimal"/>
      <w:suff w:val="nothing"/>
      <w:lvlText w:val="(%1)"/>
      <w:lvlJc w:val="left"/>
    </w:lvl>
  </w:abstractNum>
  <w:abstractNum w:abstractNumId="26">
    <w:nsid w:val="5ECB0696"/>
    <w:multiLevelType w:val="singleLevel"/>
    <w:tmpl w:val="5ECB0696"/>
    <w:lvl w:ilvl="0" w:tentative="0">
      <w:start w:val="1"/>
      <w:numFmt w:val="decimal"/>
      <w:suff w:val="nothing"/>
      <w:lvlText w:val="(%1)"/>
      <w:lvlJc w:val="left"/>
    </w:lvl>
  </w:abstractNum>
  <w:abstractNum w:abstractNumId="27">
    <w:nsid w:val="5ECB06AB"/>
    <w:multiLevelType w:val="singleLevel"/>
    <w:tmpl w:val="5ECB06AB"/>
    <w:lvl w:ilvl="0" w:tentative="0">
      <w:start w:val="1"/>
      <w:numFmt w:val="decimal"/>
      <w:suff w:val="nothing"/>
      <w:lvlText w:val="(%1)"/>
      <w:lvlJc w:val="left"/>
    </w:lvl>
  </w:abstractNum>
  <w:abstractNum w:abstractNumId="28">
    <w:nsid w:val="5ECB070C"/>
    <w:multiLevelType w:val="singleLevel"/>
    <w:tmpl w:val="5ECB070C"/>
    <w:lvl w:ilvl="0" w:tentative="0">
      <w:start w:val="1"/>
      <w:numFmt w:val="decimal"/>
      <w:suff w:val="nothing"/>
      <w:lvlText w:val="(%1)"/>
      <w:lvlJc w:val="left"/>
    </w:lvl>
  </w:abstractNum>
  <w:num w:numId="1">
    <w:abstractNumId w:val="17"/>
  </w:num>
  <w:num w:numId="2">
    <w:abstractNumId w:val="14"/>
  </w:num>
  <w:num w:numId="3">
    <w:abstractNumId w:val="9"/>
  </w:num>
  <w:num w:numId="4">
    <w:abstractNumId w:val="23"/>
  </w:num>
  <w:num w:numId="5">
    <w:abstractNumId w:val="24"/>
  </w:num>
  <w:num w:numId="6">
    <w:abstractNumId w:val="25"/>
  </w:num>
  <w:num w:numId="7">
    <w:abstractNumId w:val="19"/>
  </w:num>
  <w:num w:numId="8">
    <w:abstractNumId w:val="3"/>
  </w:num>
  <w:num w:numId="9">
    <w:abstractNumId w:val="22"/>
  </w:num>
  <w:num w:numId="10">
    <w:abstractNumId w:val="8"/>
  </w:num>
  <w:num w:numId="11">
    <w:abstractNumId w:val="7"/>
  </w:num>
  <w:num w:numId="12">
    <w:abstractNumId w:val="20"/>
  </w:num>
  <w:num w:numId="13">
    <w:abstractNumId w:val="11"/>
  </w:num>
  <w:num w:numId="14">
    <w:abstractNumId w:val="18"/>
  </w:num>
  <w:num w:numId="15">
    <w:abstractNumId w:val="26"/>
  </w:num>
  <w:num w:numId="16">
    <w:abstractNumId w:val="27"/>
  </w:num>
  <w:num w:numId="17">
    <w:abstractNumId w:val="0"/>
  </w:num>
  <w:num w:numId="18">
    <w:abstractNumId w:val="28"/>
  </w:num>
  <w:num w:numId="19">
    <w:abstractNumId w:val="6"/>
  </w:num>
  <w:num w:numId="20">
    <w:abstractNumId w:val="10"/>
  </w:num>
  <w:num w:numId="21">
    <w:abstractNumId w:val="2"/>
  </w:num>
  <w:num w:numId="22">
    <w:abstractNumId w:val="21"/>
  </w:num>
  <w:num w:numId="23">
    <w:abstractNumId w:val="4"/>
  </w:num>
  <w:num w:numId="24">
    <w:abstractNumId w:val="5"/>
  </w:num>
  <w:num w:numId="25">
    <w:abstractNumId w:val="1"/>
  </w:num>
  <w:num w:numId="26">
    <w:abstractNumId w:val="12"/>
  </w:num>
  <w:num w:numId="27">
    <w:abstractNumId w:val="1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dit="readOnly" w:enforcement="1" w:cryptProviderType="rsaFull" w:cryptAlgorithmClass="hash" w:cryptAlgorithmType="typeAny" w:cryptAlgorithmSid="4" w:cryptSpinCount="0" w:hash="FiUKFPzKoACLRxDbLRLyeHTabIg=" w:salt="1nLm0SxPvP724JdBK+y/cg=="/>
  <w:defaultTabStop w:val="720"/>
  <w:noPunctuationKerning w:val="1"/>
  <w:characterSpacingControl w:val="doNotCompress"/>
  <w:compat>
    <w:doNotExpandShiftReturn/>
    <w:useFELayout/>
    <w:compatSetting w:name="compatibilityMode" w:uri="http://schemas.microsoft.com/office/word" w:val="12"/>
  </w:compat>
  <w:rsids>
    <w:rsidRoot w:val="00B37CA3"/>
    <w:rsid w:val="00003034"/>
    <w:rsid w:val="000131D5"/>
    <w:rsid w:val="00030650"/>
    <w:rsid w:val="00034268"/>
    <w:rsid w:val="00034F7B"/>
    <w:rsid w:val="00035003"/>
    <w:rsid w:val="00046507"/>
    <w:rsid w:val="00051CFD"/>
    <w:rsid w:val="00071356"/>
    <w:rsid w:val="00083976"/>
    <w:rsid w:val="000839C1"/>
    <w:rsid w:val="000A16AA"/>
    <w:rsid w:val="000A318A"/>
    <w:rsid w:val="000B155D"/>
    <w:rsid w:val="000C1B7B"/>
    <w:rsid w:val="000D5C13"/>
    <w:rsid w:val="000F1675"/>
    <w:rsid w:val="00101C5F"/>
    <w:rsid w:val="00111C16"/>
    <w:rsid w:val="00112770"/>
    <w:rsid w:val="00117978"/>
    <w:rsid w:val="00132DCD"/>
    <w:rsid w:val="00133302"/>
    <w:rsid w:val="0013335D"/>
    <w:rsid w:val="00133719"/>
    <w:rsid w:val="00146723"/>
    <w:rsid w:val="00150935"/>
    <w:rsid w:val="0016375D"/>
    <w:rsid w:val="001807A8"/>
    <w:rsid w:val="00181946"/>
    <w:rsid w:val="0018341C"/>
    <w:rsid w:val="00191AEE"/>
    <w:rsid w:val="001D2773"/>
    <w:rsid w:val="001E12D1"/>
    <w:rsid w:val="001E7AA8"/>
    <w:rsid w:val="001F2A21"/>
    <w:rsid w:val="001F490B"/>
    <w:rsid w:val="001F585B"/>
    <w:rsid w:val="00202BC6"/>
    <w:rsid w:val="00206D2A"/>
    <w:rsid w:val="00221B5F"/>
    <w:rsid w:val="0023430D"/>
    <w:rsid w:val="00246131"/>
    <w:rsid w:val="00246387"/>
    <w:rsid w:val="002477B4"/>
    <w:rsid w:val="002505A9"/>
    <w:rsid w:val="002513F6"/>
    <w:rsid w:val="002622FB"/>
    <w:rsid w:val="00273A94"/>
    <w:rsid w:val="00275AB8"/>
    <w:rsid w:val="00276296"/>
    <w:rsid w:val="00290F19"/>
    <w:rsid w:val="002A5471"/>
    <w:rsid w:val="002C1D9B"/>
    <w:rsid w:val="002C6E46"/>
    <w:rsid w:val="002D329E"/>
    <w:rsid w:val="002E228A"/>
    <w:rsid w:val="002F4CFF"/>
    <w:rsid w:val="0030113B"/>
    <w:rsid w:val="00302FDF"/>
    <w:rsid w:val="003038A1"/>
    <w:rsid w:val="00323D45"/>
    <w:rsid w:val="00346C43"/>
    <w:rsid w:val="00347A25"/>
    <w:rsid w:val="00355123"/>
    <w:rsid w:val="00356A4A"/>
    <w:rsid w:val="0036728D"/>
    <w:rsid w:val="00374F76"/>
    <w:rsid w:val="00375B39"/>
    <w:rsid w:val="00383BF6"/>
    <w:rsid w:val="00395231"/>
    <w:rsid w:val="00395954"/>
    <w:rsid w:val="00396D8F"/>
    <w:rsid w:val="003A551C"/>
    <w:rsid w:val="003B5ACE"/>
    <w:rsid w:val="003C0385"/>
    <w:rsid w:val="003C2D7C"/>
    <w:rsid w:val="003C5914"/>
    <w:rsid w:val="003D0FE7"/>
    <w:rsid w:val="003E1CAF"/>
    <w:rsid w:val="003F2CF5"/>
    <w:rsid w:val="004063F6"/>
    <w:rsid w:val="00413B9A"/>
    <w:rsid w:val="00423B79"/>
    <w:rsid w:val="00425028"/>
    <w:rsid w:val="00433B42"/>
    <w:rsid w:val="00452E0B"/>
    <w:rsid w:val="00456506"/>
    <w:rsid w:val="00464558"/>
    <w:rsid w:val="004722E0"/>
    <w:rsid w:val="0047480E"/>
    <w:rsid w:val="0048091F"/>
    <w:rsid w:val="004924E1"/>
    <w:rsid w:val="00495DBE"/>
    <w:rsid w:val="004A47B5"/>
    <w:rsid w:val="004A78B8"/>
    <w:rsid w:val="004C052E"/>
    <w:rsid w:val="004C09F9"/>
    <w:rsid w:val="004C371A"/>
    <w:rsid w:val="004E57CF"/>
    <w:rsid w:val="004E5A84"/>
    <w:rsid w:val="00506A92"/>
    <w:rsid w:val="00545877"/>
    <w:rsid w:val="00563541"/>
    <w:rsid w:val="0056734A"/>
    <w:rsid w:val="00571D77"/>
    <w:rsid w:val="005806A6"/>
    <w:rsid w:val="005A110C"/>
    <w:rsid w:val="005B517C"/>
    <w:rsid w:val="005C5A96"/>
    <w:rsid w:val="005D17A9"/>
    <w:rsid w:val="005D244B"/>
    <w:rsid w:val="006063A4"/>
    <w:rsid w:val="00612C4D"/>
    <w:rsid w:val="006239CD"/>
    <w:rsid w:val="00643C00"/>
    <w:rsid w:val="006442DB"/>
    <w:rsid w:val="0065000F"/>
    <w:rsid w:val="0066296A"/>
    <w:rsid w:val="00675772"/>
    <w:rsid w:val="00680501"/>
    <w:rsid w:val="00690407"/>
    <w:rsid w:val="006A20FC"/>
    <w:rsid w:val="006C312E"/>
    <w:rsid w:val="006D1732"/>
    <w:rsid w:val="006D23AE"/>
    <w:rsid w:val="006D530D"/>
    <w:rsid w:val="006E503E"/>
    <w:rsid w:val="0070693D"/>
    <w:rsid w:val="00707FEF"/>
    <w:rsid w:val="00722966"/>
    <w:rsid w:val="0073532B"/>
    <w:rsid w:val="00736EC3"/>
    <w:rsid w:val="0073717A"/>
    <w:rsid w:val="00737FB9"/>
    <w:rsid w:val="007444A6"/>
    <w:rsid w:val="007571D9"/>
    <w:rsid w:val="007628BF"/>
    <w:rsid w:val="00764893"/>
    <w:rsid w:val="00775685"/>
    <w:rsid w:val="007758A3"/>
    <w:rsid w:val="00792FF7"/>
    <w:rsid w:val="007A5B70"/>
    <w:rsid w:val="007C2385"/>
    <w:rsid w:val="007E709E"/>
    <w:rsid w:val="007F04A2"/>
    <w:rsid w:val="007F332C"/>
    <w:rsid w:val="007F5F18"/>
    <w:rsid w:val="007F64BD"/>
    <w:rsid w:val="008205BC"/>
    <w:rsid w:val="00826A01"/>
    <w:rsid w:val="008453D0"/>
    <w:rsid w:val="00855518"/>
    <w:rsid w:val="00861981"/>
    <w:rsid w:val="0086353D"/>
    <w:rsid w:val="008779EB"/>
    <w:rsid w:val="00884809"/>
    <w:rsid w:val="008A5620"/>
    <w:rsid w:val="008B1015"/>
    <w:rsid w:val="008C2D75"/>
    <w:rsid w:val="008C36BD"/>
    <w:rsid w:val="008D4ECA"/>
    <w:rsid w:val="008F1D32"/>
    <w:rsid w:val="008F32B1"/>
    <w:rsid w:val="00902BAD"/>
    <w:rsid w:val="00910BE7"/>
    <w:rsid w:val="0092016A"/>
    <w:rsid w:val="00942ECF"/>
    <w:rsid w:val="009624A8"/>
    <w:rsid w:val="00962803"/>
    <w:rsid w:val="009643BD"/>
    <w:rsid w:val="00965BA5"/>
    <w:rsid w:val="009746D3"/>
    <w:rsid w:val="00976D92"/>
    <w:rsid w:val="00994169"/>
    <w:rsid w:val="009A7E57"/>
    <w:rsid w:val="009B091A"/>
    <w:rsid w:val="009B0E24"/>
    <w:rsid w:val="009B383C"/>
    <w:rsid w:val="009D491F"/>
    <w:rsid w:val="009D74A5"/>
    <w:rsid w:val="009E4BBD"/>
    <w:rsid w:val="009F0114"/>
    <w:rsid w:val="009F2B2F"/>
    <w:rsid w:val="00A01839"/>
    <w:rsid w:val="00A03C23"/>
    <w:rsid w:val="00A159C3"/>
    <w:rsid w:val="00A22C14"/>
    <w:rsid w:val="00A300C0"/>
    <w:rsid w:val="00A453BC"/>
    <w:rsid w:val="00A46AF3"/>
    <w:rsid w:val="00A51C9E"/>
    <w:rsid w:val="00A6162B"/>
    <w:rsid w:val="00A64A17"/>
    <w:rsid w:val="00A86FF3"/>
    <w:rsid w:val="00A9158A"/>
    <w:rsid w:val="00AA0230"/>
    <w:rsid w:val="00AB7B8E"/>
    <w:rsid w:val="00AC2E9C"/>
    <w:rsid w:val="00AE0BA6"/>
    <w:rsid w:val="00AE0E23"/>
    <w:rsid w:val="00AE4DCB"/>
    <w:rsid w:val="00AF1251"/>
    <w:rsid w:val="00AF342A"/>
    <w:rsid w:val="00B040F9"/>
    <w:rsid w:val="00B11DD4"/>
    <w:rsid w:val="00B151E3"/>
    <w:rsid w:val="00B2786D"/>
    <w:rsid w:val="00B32EA5"/>
    <w:rsid w:val="00B366F3"/>
    <w:rsid w:val="00B37CA3"/>
    <w:rsid w:val="00B62074"/>
    <w:rsid w:val="00B63C43"/>
    <w:rsid w:val="00B727D1"/>
    <w:rsid w:val="00B732D8"/>
    <w:rsid w:val="00B83E2A"/>
    <w:rsid w:val="00B91DEB"/>
    <w:rsid w:val="00B937AC"/>
    <w:rsid w:val="00B942CD"/>
    <w:rsid w:val="00BA61E3"/>
    <w:rsid w:val="00BD0B51"/>
    <w:rsid w:val="00BD1621"/>
    <w:rsid w:val="00BD2B70"/>
    <w:rsid w:val="00BD6210"/>
    <w:rsid w:val="00BD7239"/>
    <w:rsid w:val="00BE05C2"/>
    <w:rsid w:val="00BE2AFD"/>
    <w:rsid w:val="00C02938"/>
    <w:rsid w:val="00C171C9"/>
    <w:rsid w:val="00C20C90"/>
    <w:rsid w:val="00C22658"/>
    <w:rsid w:val="00C35282"/>
    <w:rsid w:val="00C46C96"/>
    <w:rsid w:val="00C664F1"/>
    <w:rsid w:val="00C71FF2"/>
    <w:rsid w:val="00C731A5"/>
    <w:rsid w:val="00C744B3"/>
    <w:rsid w:val="00C777BD"/>
    <w:rsid w:val="00C829B3"/>
    <w:rsid w:val="00C91065"/>
    <w:rsid w:val="00CB581A"/>
    <w:rsid w:val="00CC05CC"/>
    <w:rsid w:val="00CC6EF9"/>
    <w:rsid w:val="00CD7CB6"/>
    <w:rsid w:val="00CF30C7"/>
    <w:rsid w:val="00D048C9"/>
    <w:rsid w:val="00D1051A"/>
    <w:rsid w:val="00D154A5"/>
    <w:rsid w:val="00D34CC2"/>
    <w:rsid w:val="00D34ED8"/>
    <w:rsid w:val="00D45666"/>
    <w:rsid w:val="00D5016C"/>
    <w:rsid w:val="00D64111"/>
    <w:rsid w:val="00D70D99"/>
    <w:rsid w:val="00D92FBC"/>
    <w:rsid w:val="00DB1DD4"/>
    <w:rsid w:val="00DB354F"/>
    <w:rsid w:val="00DB6CE8"/>
    <w:rsid w:val="00DD1F5C"/>
    <w:rsid w:val="00DE4E25"/>
    <w:rsid w:val="00DF579E"/>
    <w:rsid w:val="00E00EB2"/>
    <w:rsid w:val="00E04E4B"/>
    <w:rsid w:val="00E07A7D"/>
    <w:rsid w:val="00E15697"/>
    <w:rsid w:val="00E15EAC"/>
    <w:rsid w:val="00E20AF5"/>
    <w:rsid w:val="00E326F6"/>
    <w:rsid w:val="00E32E92"/>
    <w:rsid w:val="00E478C3"/>
    <w:rsid w:val="00E62118"/>
    <w:rsid w:val="00E6453A"/>
    <w:rsid w:val="00E7104C"/>
    <w:rsid w:val="00E8738A"/>
    <w:rsid w:val="00E877F5"/>
    <w:rsid w:val="00E94A36"/>
    <w:rsid w:val="00EB5C24"/>
    <w:rsid w:val="00ED442C"/>
    <w:rsid w:val="00EE5F7E"/>
    <w:rsid w:val="00EF6BAD"/>
    <w:rsid w:val="00F00E9D"/>
    <w:rsid w:val="00F05036"/>
    <w:rsid w:val="00F25BC9"/>
    <w:rsid w:val="00F3183F"/>
    <w:rsid w:val="00F35091"/>
    <w:rsid w:val="00F432C3"/>
    <w:rsid w:val="00F55BF2"/>
    <w:rsid w:val="00F64F3B"/>
    <w:rsid w:val="00F664F1"/>
    <w:rsid w:val="00F86955"/>
    <w:rsid w:val="00FA00D5"/>
    <w:rsid w:val="00FA65F2"/>
    <w:rsid w:val="00FC3325"/>
    <w:rsid w:val="00FD0330"/>
    <w:rsid w:val="00FD7B11"/>
    <w:rsid w:val="00FE1AE4"/>
    <w:rsid w:val="00FE2BA7"/>
    <w:rsid w:val="00FF720E"/>
    <w:rsid w:val="01587987"/>
    <w:rsid w:val="025A3944"/>
    <w:rsid w:val="02B302CE"/>
    <w:rsid w:val="02F64BAF"/>
    <w:rsid w:val="045916FC"/>
    <w:rsid w:val="04EB4EDA"/>
    <w:rsid w:val="05847AD3"/>
    <w:rsid w:val="05D40816"/>
    <w:rsid w:val="05FC777E"/>
    <w:rsid w:val="062A740E"/>
    <w:rsid w:val="07011036"/>
    <w:rsid w:val="07194894"/>
    <w:rsid w:val="07487787"/>
    <w:rsid w:val="074B76D2"/>
    <w:rsid w:val="075D1783"/>
    <w:rsid w:val="076B7DFC"/>
    <w:rsid w:val="07D10F24"/>
    <w:rsid w:val="085250A1"/>
    <w:rsid w:val="08FE54EB"/>
    <w:rsid w:val="096568BD"/>
    <w:rsid w:val="09A4553A"/>
    <w:rsid w:val="0AD92CA9"/>
    <w:rsid w:val="0D6C5E11"/>
    <w:rsid w:val="0DC25511"/>
    <w:rsid w:val="0E1A7E12"/>
    <w:rsid w:val="0E3F48AA"/>
    <w:rsid w:val="0E417DB4"/>
    <w:rsid w:val="0F070A57"/>
    <w:rsid w:val="10107C46"/>
    <w:rsid w:val="111B63C0"/>
    <w:rsid w:val="111C6FA4"/>
    <w:rsid w:val="113B107D"/>
    <w:rsid w:val="11793C54"/>
    <w:rsid w:val="11F159B7"/>
    <w:rsid w:val="12130FB1"/>
    <w:rsid w:val="124949E7"/>
    <w:rsid w:val="129D38C5"/>
    <w:rsid w:val="138B02FA"/>
    <w:rsid w:val="13923F05"/>
    <w:rsid w:val="13E27FC9"/>
    <w:rsid w:val="14647E92"/>
    <w:rsid w:val="14A91241"/>
    <w:rsid w:val="151378F5"/>
    <w:rsid w:val="153737C5"/>
    <w:rsid w:val="16B25EDC"/>
    <w:rsid w:val="16BB11D9"/>
    <w:rsid w:val="176158DD"/>
    <w:rsid w:val="17BC2FAA"/>
    <w:rsid w:val="17DE2634"/>
    <w:rsid w:val="182F1062"/>
    <w:rsid w:val="18AC4184"/>
    <w:rsid w:val="18B94026"/>
    <w:rsid w:val="18C4389D"/>
    <w:rsid w:val="19BF1365"/>
    <w:rsid w:val="1A6757A2"/>
    <w:rsid w:val="1C3C2B5A"/>
    <w:rsid w:val="1CF13DA1"/>
    <w:rsid w:val="1D1B4B72"/>
    <w:rsid w:val="1E207CB6"/>
    <w:rsid w:val="1E311674"/>
    <w:rsid w:val="1E4D1C69"/>
    <w:rsid w:val="1E832491"/>
    <w:rsid w:val="1E91258C"/>
    <w:rsid w:val="1EC103F5"/>
    <w:rsid w:val="1ED45A3C"/>
    <w:rsid w:val="1F3B5483"/>
    <w:rsid w:val="1F462658"/>
    <w:rsid w:val="1F550123"/>
    <w:rsid w:val="20133F41"/>
    <w:rsid w:val="20ED3897"/>
    <w:rsid w:val="211214A1"/>
    <w:rsid w:val="218611E9"/>
    <w:rsid w:val="220C01CD"/>
    <w:rsid w:val="22721A95"/>
    <w:rsid w:val="23135615"/>
    <w:rsid w:val="234F33AF"/>
    <w:rsid w:val="24770D63"/>
    <w:rsid w:val="24CE07E6"/>
    <w:rsid w:val="25D451D4"/>
    <w:rsid w:val="26514525"/>
    <w:rsid w:val="2663340B"/>
    <w:rsid w:val="272B5A71"/>
    <w:rsid w:val="27FB6EDB"/>
    <w:rsid w:val="2819266C"/>
    <w:rsid w:val="286A2246"/>
    <w:rsid w:val="28BD3EB9"/>
    <w:rsid w:val="29D7082C"/>
    <w:rsid w:val="2A2514F8"/>
    <w:rsid w:val="2AA257C8"/>
    <w:rsid w:val="2B36276B"/>
    <w:rsid w:val="2B5345B9"/>
    <w:rsid w:val="2BEE2A4D"/>
    <w:rsid w:val="2BF208CC"/>
    <w:rsid w:val="2C647C1B"/>
    <w:rsid w:val="2CFD27FA"/>
    <w:rsid w:val="2CFD7DDA"/>
    <w:rsid w:val="2CFF44A8"/>
    <w:rsid w:val="2D640E44"/>
    <w:rsid w:val="2DEA61F3"/>
    <w:rsid w:val="2E083D88"/>
    <w:rsid w:val="2EA74841"/>
    <w:rsid w:val="2F1F3D6A"/>
    <w:rsid w:val="2F707513"/>
    <w:rsid w:val="2FBB39DE"/>
    <w:rsid w:val="2FBD77F4"/>
    <w:rsid w:val="30027AD1"/>
    <w:rsid w:val="3042474A"/>
    <w:rsid w:val="30E8140D"/>
    <w:rsid w:val="310A1064"/>
    <w:rsid w:val="32564131"/>
    <w:rsid w:val="33503B5E"/>
    <w:rsid w:val="33D075DE"/>
    <w:rsid w:val="347C19A8"/>
    <w:rsid w:val="352D44E4"/>
    <w:rsid w:val="35684C5C"/>
    <w:rsid w:val="35780C4C"/>
    <w:rsid w:val="35B45501"/>
    <w:rsid w:val="36706581"/>
    <w:rsid w:val="36925AE2"/>
    <w:rsid w:val="37544066"/>
    <w:rsid w:val="3797169A"/>
    <w:rsid w:val="379A3444"/>
    <w:rsid w:val="37D77A82"/>
    <w:rsid w:val="3A026C82"/>
    <w:rsid w:val="3A0A5EBE"/>
    <w:rsid w:val="3A327F8A"/>
    <w:rsid w:val="3A66401B"/>
    <w:rsid w:val="3AB94183"/>
    <w:rsid w:val="3B2E62A3"/>
    <w:rsid w:val="3B58662F"/>
    <w:rsid w:val="3B66326F"/>
    <w:rsid w:val="3B9751CF"/>
    <w:rsid w:val="3CD9312B"/>
    <w:rsid w:val="3D6F51F7"/>
    <w:rsid w:val="3D73084A"/>
    <w:rsid w:val="3DC33BBE"/>
    <w:rsid w:val="3DF82247"/>
    <w:rsid w:val="3DFD1806"/>
    <w:rsid w:val="3E1714CE"/>
    <w:rsid w:val="3F174953"/>
    <w:rsid w:val="3F46696A"/>
    <w:rsid w:val="3F5226A7"/>
    <w:rsid w:val="3F6D3A22"/>
    <w:rsid w:val="3F8E3B26"/>
    <w:rsid w:val="3FC14D51"/>
    <w:rsid w:val="3FCB69F5"/>
    <w:rsid w:val="3FFB2EBA"/>
    <w:rsid w:val="40412B54"/>
    <w:rsid w:val="407D52F6"/>
    <w:rsid w:val="40BE49BA"/>
    <w:rsid w:val="40E67E2E"/>
    <w:rsid w:val="41681DD1"/>
    <w:rsid w:val="4231047C"/>
    <w:rsid w:val="4250392D"/>
    <w:rsid w:val="426C7C9E"/>
    <w:rsid w:val="42845038"/>
    <w:rsid w:val="42BD707F"/>
    <w:rsid w:val="42DE6BFF"/>
    <w:rsid w:val="43A338DA"/>
    <w:rsid w:val="441F31AC"/>
    <w:rsid w:val="44315155"/>
    <w:rsid w:val="44556220"/>
    <w:rsid w:val="4490013D"/>
    <w:rsid w:val="44E342AF"/>
    <w:rsid w:val="457D3335"/>
    <w:rsid w:val="457D3B0A"/>
    <w:rsid w:val="458D1505"/>
    <w:rsid w:val="45991BD4"/>
    <w:rsid w:val="464B765E"/>
    <w:rsid w:val="46FE4324"/>
    <w:rsid w:val="472406D0"/>
    <w:rsid w:val="478D6057"/>
    <w:rsid w:val="481D4641"/>
    <w:rsid w:val="48637F96"/>
    <w:rsid w:val="4895152D"/>
    <w:rsid w:val="48AD52C8"/>
    <w:rsid w:val="48C80863"/>
    <w:rsid w:val="48F100C2"/>
    <w:rsid w:val="498B6EE0"/>
    <w:rsid w:val="49A63015"/>
    <w:rsid w:val="49C5526C"/>
    <w:rsid w:val="4C445B13"/>
    <w:rsid w:val="4C5574AC"/>
    <w:rsid w:val="4D2E266E"/>
    <w:rsid w:val="4D6728EF"/>
    <w:rsid w:val="4E36073D"/>
    <w:rsid w:val="4E9C2A97"/>
    <w:rsid w:val="4EF915CE"/>
    <w:rsid w:val="4F661C87"/>
    <w:rsid w:val="50843301"/>
    <w:rsid w:val="513B6772"/>
    <w:rsid w:val="513D6074"/>
    <w:rsid w:val="517200B3"/>
    <w:rsid w:val="51AF0BAF"/>
    <w:rsid w:val="528500B0"/>
    <w:rsid w:val="52E8725C"/>
    <w:rsid w:val="52EE6111"/>
    <w:rsid w:val="534539D3"/>
    <w:rsid w:val="538D1BE4"/>
    <w:rsid w:val="543D6114"/>
    <w:rsid w:val="54815E90"/>
    <w:rsid w:val="54EF1EF6"/>
    <w:rsid w:val="54FB3E22"/>
    <w:rsid w:val="551F3A5E"/>
    <w:rsid w:val="552A3D6D"/>
    <w:rsid w:val="56324CEF"/>
    <w:rsid w:val="564C22D3"/>
    <w:rsid w:val="56A256F9"/>
    <w:rsid w:val="571E2B99"/>
    <w:rsid w:val="574C6A78"/>
    <w:rsid w:val="57851C74"/>
    <w:rsid w:val="57FB662A"/>
    <w:rsid w:val="5823390A"/>
    <w:rsid w:val="583E61CC"/>
    <w:rsid w:val="58674C0A"/>
    <w:rsid w:val="58882E8A"/>
    <w:rsid w:val="5A3259D3"/>
    <w:rsid w:val="5A602CAF"/>
    <w:rsid w:val="5ACC0689"/>
    <w:rsid w:val="5BEB6C84"/>
    <w:rsid w:val="5C2600CB"/>
    <w:rsid w:val="5C855D5F"/>
    <w:rsid w:val="5CE91DF5"/>
    <w:rsid w:val="5DBD7CD6"/>
    <w:rsid w:val="5DE35F96"/>
    <w:rsid w:val="5E1A5499"/>
    <w:rsid w:val="5E2D369E"/>
    <w:rsid w:val="5F170A6C"/>
    <w:rsid w:val="61F30C49"/>
    <w:rsid w:val="62054DD6"/>
    <w:rsid w:val="62AC6585"/>
    <w:rsid w:val="62DF7AEC"/>
    <w:rsid w:val="6344551B"/>
    <w:rsid w:val="635F47D8"/>
    <w:rsid w:val="63A154B6"/>
    <w:rsid w:val="641D25B0"/>
    <w:rsid w:val="6437573D"/>
    <w:rsid w:val="64386C11"/>
    <w:rsid w:val="647901D5"/>
    <w:rsid w:val="648624B3"/>
    <w:rsid w:val="64E04669"/>
    <w:rsid w:val="6595720F"/>
    <w:rsid w:val="66057AD8"/>
    <w:rsid w:val="66314FB1"/>
    <w:rsid w:val="665B32AA"/>
    <w:rsid w:val="66B217D3"/>
    <w:rsid w:val="672C7B48"/>
    <w:rsid w:val="6758047F"/>
    <w:rsid w:val="67847BA5"/>
    <w:rsid w:val="683D6053"/>
    <w:rsid w:val="692771CC"/>
    <w:rsid w:val="69392693"/>
    <w:rsid w:val="6A5A5B7C"/>
    <w:rsid w:val="6A74529E"/>
    <w:rsid w:val="6A8E71CD"/>
    <w:rsid w:val="6A9A0FEF"/>
    <w:rsid w:val="6B4D3641"/>
    <w:rsid w:val="6B691F55"/>
    <w:rsid w:val="6CE21BF1"/>
    <w:rsid w:val="6D5C4A68"/>
    <w:rsid w:val="6E9C2730"/>
    <w:rsid w:val="6EA34451"/>
    <w:rsid w:val="6EC1468F"/>
    <w:rsid w:val="6F3832A2"/>
    <w:rsid w:val="6FD2031E"/>
    <w:rsid w:val="703C7BC9"/>
    <w:rsid w:val="704E114F"/>
    <w:rsid w:val="708B0A5E"/>
    <w:rsid w:val="71394F19"/>
    <w:rsid w:val="71CA7ED0"/>
    <w:rsid w:val="723468EB"/>
    <w:rsid w:val="72532062"/>
    <w:rsid w:val="727F6A05"/>
    <w:rsid w:val="72AB6F9C"/>
    <w:rsid w:val="7318080A"/>
    <w:rsid w:val="737D783F"/>
    <w:rsid w:val="73A05F3D"/>
    <w:rsid w:val="73C51F2A"/>
    <w:rsid w:val="74533462"/>
    <w:rsid w:val="74635E26"/>
    <w:rsid w:val="74B426FC"/>
    <w:rsid w:val="7516446B"/>
    <w:rsid w:val="758E7065"/>
    <w:rsid w:val="75C83C18"/>
    <w:rsid w:val="75EA61AA"/>
    <w:rsid w:val="761E49F4"/>
    <w:rsid w:val="7691664D"/>
    <w:rsid w:val="76BF3DDF"/>
    <w:rsid w:val="76FB63F3"/>
    <w:rsid w:val="778F5196"/>
    <w:rsid w:val="783861EF"/>
    <w:rsid w:val="78496C4E"/>
    <w:rsid w:val="78CF210D"/>
    <w:rsid w:val="796E2D45"/>
    <w:rsid w:val="797314CF"/>
    <w:rsid w:val="7A382C83"/>
    <w:rsid w:val="7AA61CF7"/>
    <w:rsid w:val="7B15235A"/>
    <w:rsid w:val="7B4F54B2"/>
    <w:rsid w:val="7B863BC9"/>
    <w:rsid w:val="7BE923BB"/>
    <w:rsid w:val="7C0A6E44"/>
    <w:rsid w:val="7C59757A"/>
    <w:rsid w:val="7DCC2021"/>
    <w:rsid w:val="7DEC7BF6"/>
    <w:rsid w:val="7E7260F9"/>
    <w:rsid w:val="7E8752F9"/>
    <w:rsid w:val="7EAC3D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paragraph" w:styleId="3">
    <w:name w:val="heading 1"/>
    <w:basedOn w:val="1"/>
    <w:next w:val="1"/>
    <w:qFormat/>
    <w:uiPriority w:val="9"/>
    <w:pPr>
      <w:spacing w:beforeAutospacing="1" w:after="0" w:afterAutospacing="1"/>
      <w:outlineLvl w:val="0"/>
    </w:pPr>
    <w:rPr>
      <w:rFonts w:hint="eastAsia" w:ascii="宋体" w:hAnsi="宋体" w:eastAsia="宋体" w:cs="Times New Roman"/>
      <w:b/>
      <w:kern w:val="44"/>
      <w:sz w:val="48"/>
      <w:szCs w:val="48"/>
    </w:rPr>
  </w:style>
  <w:style w:type="paragraph" w:styleId="4">
    <w:name w:val="heading 2"/>
    <w:basedOn w:val="1"/>
    <w:next w:val="1"/>
    <w:link w:val="41"/>
    <w:qFormat/>
    <w:uiPriority w:val="9"/>
    <w:pPr>
      <w:keepNext/>
      <w:keepLines/>
      <w:widowControl w:val="0"/>
      <w:adjustRightInd/>
      <w:snapToGrid/>
      <w:spacing w:before="260" w:after="260" w:line="377" w:lineRule="auto"/>
      <w:jc w:val="center"/>
      <w:outlineLvl w:val="1"/>
    </w:pPr>
    <w:rPr>
      <w:rFonts w:ascii="Cambria" w:hAnsi="Cambria" w:eastAsia="宋体" w:cs="Times New Roman"/>
      <w:b/>
      <w:bCs/>
      <w:sz w:val="28"/>
      <w:szCs w:val="32"/>
    </w:rPr>
  </w:style>
  <w:style w:type="paragraph" w:styleId="5">
    <w:name w:val="heading 3"/>
    <w:basedOn w:val="1"/>
    <w:next w:val="1"/>
    <w:link w:val="42"/>
    <w:qFormat/>
    <w:uiPriority w:val="0"/>
    <w:pPr>
      <w:widowControl w:val="0"/>
      <w:adjustRightInd/>
      <w:snapToGrid/>
      <w:spacing w:before="120" w:after="120" w:line="360" w:lineRule="auto"/>
      <w:jc w:val="both"/>
      <w:outlineLvl w:val="2"/>
    </w:pPr>
    <w:rPr>
      <w:rFonts w:ascii="宋体" w:hAnsi="宋体" w:eastAsia="宋体" w:cs="Times New Roman"/>
      <w:b/>
      <w:bCs/>
      <w:kern w:val="2"/>
      <w:sz w:val="28"/>
      <w:szCs w:val="32"/>
    </w:rPr>
  </w:style>
  <w:style w:type="paragraph" w:styleId="6">
    <w:name w:val="heading 4"/>
    <w:basedOn w:val="1"/>
    <w:next w:val="1"/>
    <w:link w:val="43"/>
    <w:qFormat/>
    <w:uiPriority w:val="0"/>
    <w:pPr>
      <w:widowControl w:val="0"/>
      <w:tabs>
        <w:tab w:val="left" w:pos="2155"/>
      </w:tabs>
      <w:snapToGrid/>
      <w:spacing w:before="120" w:after="0" w:line="360" w:lineRule="auto"/>
      <w:ind w:left="2155" w:hanging="1078"/>
      <w:jc w:val="both"/>
      <w:textAlignment w:val="baseline"/>
      <w:outlineLvl w:val="3"/>
    </w:pPr>
    <w:rPr>
      <w:rFonts w:ascii="Arial" w:hAnsi="Calibri" w:eastAsia="黑体" w:cs="Times New Roman"/>
      <w:sz w:val="28"/>
      <w:szCs w:val="20"/>
    </w:rPr>
  </w:style>
  <w:style w:type="paragraph" w:styleId="7">
    <w:name w:val="heading 5"/>
    <w:next w:val="1"/>
    <w:link w:val="44"/>
    <w:qFormat/>
    <w:uiPriority w:val="0"/>
    <w:pPr>
      <w:keepNext/>
      <w:keepLines/>
      <w:numPr>
        <w:ilvl w:val="4"/>
        <w:numId w:val="1"/>
      </w:numPr>
      <w:spacing w:before="120" w:after="120"/>
      <w:outlineLvl w:val="4"/>
    </w:pPr>
    <w:rPr>
      <w:rFonts w:ascii="仿宋_GB2312" w:hAnsi="Calibri" w:eastAsia="仿宋_GB2312" w:cs="Times New Roman"/>
      <w:b/>
      <w:bCs/>
      <w:kern w:val="2"/>
      <w:sz w:val="28"/>
      <w:szCs w:val="28"/>
      <w:lang w:val="en-US" w:eastAsia="zh-CN" w:bidi="ar-SA"/>
    </w:rPr>
  </w:style>
  <w:style w:type="paragraph" w:styleId="8">
    <w:name w:val="heading 6"/>
    <w:basedOn w:val="1"/>
    <w:next w:val="1"/>
    <w:link w:val="45"/>
    <w:qFormat/>
    <w:uiPriority w:val="0"/>
    <w:pPr>
      <w:keepNext/>
      <w:keepLines/>
      <w:widowControl w:val="0"/>
      <w:numPr>
        <w:ilvl w:val="5"/>
        <w:numId w:val="2"/>
      </w:numPr>
      <w:adjustRightInd/>
      <w:snapToGrid/>
      <w:spacing w:before="240" w:after="64" w:line="320" w:lineRule="auto"/>
      <w:jc w:val="both"/>
      <w:outlineLvl w:val="5"/>
    </w:pPr>
    <w:rPr>
      <w:rFonts w:ascii="Arial" w:hAnsi="Arial" w:eastAsia="黑体" w:cs="Times New Roman"/>
      <w:b/>
      <w:kern w:val="2"/>
      <w:sz w:val="24"/>
      <w:szCs w:val="24"/>
    </w:rPr>
  </w:style>
  <w:style w:type="paragraph" w:styleId="9">
    <w:name w:val="heading 9"/>
    <w:basedOn w:val="1"/>
    <w:next w:val="1"/>
    <w:link w:val="48"/>
    <w:qFormat/>
    <w:uiPriority w:val="0"/>
    <w:pPr>
      <w:keepNext/>
      <w:keepLines/>
      <w:widowControl w:val="0"/>
      <w:adjustRightInd/>
      <w:snapToGrid/>
      <w:spacing w:before="240" w:after="64" w:line="320" w:lineRule="auto"/>
      <w:jc w:val="both"/>
      <w:outlineLvl w:val="8"/>
    </w:pPr>
    <w:rPr>
      <w:rFonts w:ascii="Cambria" w:hAnsi="Cambria" w:eastAsia="宋体" w:cs="Times New Roman"/>
      <w:kern w:val="2"/>
      <w:sz w:val="21"/>
      <w:szCs w:val="21"/>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7"/>
    <w:qFormat/>
    <w:uiPriority w:val="0"/>
    <w:pPr>
      <w:tabs>
        <w:tab w:val="center" w:pos="4153"/>
        <w:tab w:val="right" w:pos="8306"/>
      </w:tabs>
    </w:pPr>
    <w:rPr>
      <w:sz w:val="18"/>
      <w:szCs w:val="18"/>
    </w:rPr>
  </w:style>
  <w:style w:type="paragraph" w:styleId="10">
    <w:name w:val="index 8"/>
    <w:basedOn w:val="1"/>
    <w:next w:val="1"/>
    <w:qFormat/>
    <w:uiPriority w:val="0"/>
    <w:pPr>
      <w:ind w:left="2940"/>
    </w:pPr>
  </w:style>
  <w:style w:type="paragraph" w:styleId="11">
    <w:name w:val="Normal Indent"/>
    <w:basedOn w:val="1"/>
    <w:link w:val="83"/>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12">
    <w:name w:val="caption"/>
    <w:basedOn w:val="1"/>
    <w:next w:val="1"/>
    <w:qFormat/>
    <w:uiPriority w:val="35"/>
    <w:pPr>
      <w:widowControl w:val="0"/>
      <w:adjustRightInd/>
      <w:snapToGrid/>
      <w:spacing w:after="0"/>
      <w:jc w:val="both"/>
    </w:pPr>
    <w:rPr>
      <w:rFonts w:ascii="Arial" w:hAnsi="Arial" w:eastAsia="黑体" w:cs="Times New Roman"/>
      <w:kern w:val="2"/>
      <w:sz w:val="20"/>
    </w:rPr>
  </w:style>
  <w:style w:type="paragraph" w:styleId="13">
    <w:name w:val="Document Map"/>
    <w:basedOn w:val="1"/>
    <w:link w:val="50"/>
    <w:qFormat/>
    <w:uiPriority w:val="0"/>
    <w:pPr>
      <w:widowControl w:val="0"/>
      <w:adjustRightInd/>
      <w:snapToGrid/>
      <w:spacing w:after="0"/>
      <w:jc w:val="both"/>
    </w:pPr>
    <w:rPr>
      <w:rFonts w:ascii="宋体" w:hAnsi="Calibri" w:eastAsia="宋体" w:cs="Times New Roman"/>
      <w:kern w:val="2"/>
      <w:sz w:val="18"/>
      <w:szCs w:val="18"/>
    </w:rPr>
  </w:style>
  <w:style w:type="paragraph" w:styleId="14">
    <w:name w:val="annotation text"/>
    <w:basedOn w:val="1"/>
    <w:link w:val="51"/>
    <w:qFormat/>
    <w:uiPriority w:val="0"/>
    <w:pPr>
      <w:widowControl w:val="0"/>
      <w:adjustRightInd/>
      <w:snapToGrid/>
      <w:spacing w:after="0"/>
    </w:pPr>
    <w:rPr>
      <w:rFonts w:ascii="Calibri" w:hAnsi="Calibri" w:eastAsia="宋体" w:cs="Times New Roman"/>
      <w:kern w:val="2"/>
      <w:sz w:val="21"/>
      <w:szCs w:val="24"/>
    </w:rPr>
  </w:style>
  <w:style w:type="paragraph" w:styleId="15">
    <w:name w:val="Body Text"/>
    <w:basedOn w:val="1"/>
    <w:link w:val="49"/>
    <w:qFormat/>
    <w:uiPriority w:val="0"/>
    <w:pPr>
      <w:widowControl w:val="0"/>
      <w:adjustRightInd/>
      <w:snapToGrid/>
      <w:spacing w:after="120"/>
      <w:jc w:val="both"/>
    </w:pPr>
    <w:rPr>
      <w:rFonts w:ascii="Calibri" w:hAnsi="Calibri" w:eastAsia="宋体" w:cs="Times New Roman"/>
      <w:kern w:val="2"/>
      <w:sz w:val="21"/>
      <w:szCs w:val="24"/>
    </w:rPr>
  </w:style>
  <w:style w:type="paragraph" w:styleId="16">
    <w:name w:val="Body Text Indent"/>
    <w:basedOn w:val="1"/>
    <w:link w:val="52"/>
    <w:qFormat/>
    <w:uiPriority w:val="99"/>
    <w:pPr>
      <w:widowControl w:val="0"/>
      <w:adjustRightInd/>
      <w:snapToGrid/>
      <w:spacing w:after="0" w:line="200" w:lineRule="exact"/>
      <w:ind w:firstLine="301"/>
      <w:jc w:val="both"/>
    </w:pPr>
    <w:rPr>
      <w:rFonts w:hint="eastAsia" w:ascii="宋体" w:hAnsi="Courier New" w:eastAsia="宋体" w:cs="Times New Roman"/>
      <w:spacing w:val="-4"/>
      <w:kern w:val="2"/>
      <w:sz w:val="18"/>
      <w:szCs w:val="20"/>
    </w:rPr>
  </w:style>
  <w:style w:type="paragraph" w:styleId="17">
    <w:name w:val="Plain Text"/>
    <w:basedOn w:val="1"/>
    <w:next w:val="10"/>
    <w:link w:val="54"/>
    <w:qFormat/>
    <w:uiPriority w:val="0"/>
    <w:pPr>
      <w:widowControl w:val="0"/>
      <w:adjustRightInd/>
      <w:snapToGrid/>
      <w:spacing w:after="0"/>
      <w:jc w:val="both"/>
    </w:pPr>
    <w:rPr>
      <w:rFonts w:ascii="宋体" w:hAnsi="Courier New" w:eastAsia="宋体" w:cs="Times New Roman"/>
      <w:kern w:val="2"/>
      <w:sz w:val="21"/>
      <w:szCs w:val="20"/>
    </w:rPr>
  </w:style>
  <w:style w:type="paragraph" w:styleId="18">
    <w:name w:val="Balloon Text"/>
    <w:basedOn w:val="1"/>
    <w:link w:val="55"/>
    <w:qFormat/>
    <w:uiPriority w:val="0"/>
    <w:pPr>
      <w:widowControl w:val="0"/>
      <w:adjustRightInd/>
      <w:snapToGrid/>
      <w:spacing w:after="0"/>
      <w:jc w:val="both"/>
    </w:pPr>
    <w:rPr>
      <w:rFonts w:ascii="Calibri" w:hAnsi="Calibri" w:eastAsia="宋体" w:cs="Times New Roman"/>
      <w:kern w:val="2"/>
      <w:sz w:val="18"/>
      <w:szCs w:val="18"/>
    </w:rPr>
  </w:style>
  <w:style w:type="paragraph" w:styleId="19">
    <w:name w:val="header"/>
    <w:basedOn w:val="1"/>
    <w:link w:val="46"/>
    <w:qFormat/>
    <w:uiPriority w:val="99"/>
    <w:pPr>
      <w:pBdr>
        <w:bottom w:val="single" w:color="auto" w:sz="6" w:space="1"/>
      </w:pBdr>
      <w:tabs>
        <w:tab w:val="center" w:pos="4153"/>
        <w:tab w:val="right" w:pos="8306"/>
      </w:tabs>
      <w:jc w:val="center"/>
    </w:pPr>
    <w:rPr>
      <w:sz w:val="18"/>
      <w:szCs w:val="18"/>
    </w:rPr>
  </w:style>
  <w:style w:type="paragraph" w:styleId="20">
    <w:name w:val="toc 1"/>
    <w:basedOn w:val="1"/>
    <w:next w:val="1"/>
    <w:qFormat/>
    <w:uiPriority w:val="39"/>
    <w:pPr>
      <w:widowControl w:val="0"/>
      <w:adjustRightInd/>
      <w:snapToGrid/>
      <w:spacing w:after="0"/>
      <w:jc w:val="both"/>
    </w:pPr>
    <w:rPr>
      <w:rFonts w:ascii="Calibri" w:hAnsi="Calibri" w:eastAsia="宋体" w:cs="Times New Roman"/>
      <w:kern w:val="2"/>
      <w:sz w:val="21"/>
      <w:szCs w:val="24"/>
    </w:rPr>
  </w:style>
  <w:style w:type="paragraph" w:styleId="21">
    <w:name w:val="toc 2"/>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styleId="22">
    <w:name w:val="Normal (Web)"/>
    <w:basedOn w:val="1"/>
    <w:qFormat/>
    <w:uiPriority w:val="0"/>
    <w:pPr>
      <w:adjustRightInd/>
      <w:snapToGrid/>
      <w:spacing w:before="100" w:beforeAutospacing="1" w:after="100" w:afterAutospacing="1"/>
    </w:pPr>
    <w:rPr>
      <w:rFonts w:ascii="宋体" w:hAnsi="宋体" w:eastAsia="宋体"/>
      <w:sz w:val="24"/>
      <w:szCs w:val="24"/>
    </w:rPr>
  </w:style>
  <w:style w:type="paragraph" w:styleId="23">
    <w:name w:val="Title"/>
    <w:basedOn w:val="1"/>
    <w:next w:val="1"/>
    <w:link w:val="56"/>
    <w:qFormat/>
    <w:uiPriority w:val="0"/>
    <w:pPr>
      <w:widowControl w:val="0"/>
      <w:adjustRightInd/>
      <w:snapToGrid/>
      <w:spacing w:before="240" w:after="60"/>
      <w:jc w:val="center"/>
      <w:outlineLvl w:val="0"/>
    </w:pPr>
    <w:rPr>
      <w:rFonts w:ascii="Cambria" w:hAnsi="Cambria" w:eastAsia="宋体" w:cs="Times New Roman"/>
      <w:b/>
      <w:bCs/>
      <w:sz w:val="32"/>
      <w:szCs w:val="32"/>
    </w:rPr>
  </w:style>
  <w:style w:type="paragraph" w:styleId="24">
    <w:name w:val="annotation subject"/>
    <w:basedOn w:val="14"/>
    <w:next w:val="14"/>
    <w:link w:val="57"/>
    <w:qFormat/>
    <w:uiPriority w:val="0"/>
    <w:rPr>
      <w:b/>
      <w:bCs/>
    </w:rPr>
  </w:style>
  <w:style w:type="paragraph" w:styleId="25">
    <w:name w:val="Body Text First Indent 2"/>
    <w:basedOn w:val="16"/>
    <w:link w:val="93"/>
    <w:semiHidden/>
    <w:unhideWhenUsed/>
    <w:qFormat/>
    <w:uiPriority w:val="99"/>
    <w:pPr>
      <w:widowControl/>
      <w:adjustRightInd w:val="0"/>
      <w:snapToGrid w:val="0"/>
      <w:spacing w:after="120" w:line="240" w:lineRule="auto"/>
      <w:ind w:left="420" w:leftChars="200" w:firstLine="420" w:firstLineChars="200"/>
      <w:jc w:val="left"/>
    </w:pPr>
    <w:rPr>
      <w:rFonts w:hint="default" w:ascii="Tahoma" w:hAnsi="Tahoma" w:eastAsia="微软雅黑" w:cs="宋体"/>
      <w:spacing w:val="0"/>
      <w:kern w:val="0"/>
      <w:sz w:val="22"/>
      <w:szCs w:val="22"/>
    </w:rPr>
  </w:style>
  <w:style w:type="character" w:styleId="28">
    <w:name w:val="Strong"/>
    <w:qFormat/>
    <w:uiPriority w:val="22"/>
    <w:rPr>
      <w:b/>
    </w:rPr>
  </w:style>
  <w:style w:type="character" w:styleId="29">
    <w:name w:val="page number"/>
    <w:basedOn w:val="27"/>
    <w:qFormat/>
    <w:uiPriority w:val="0"/>
  </w:style>
  <w:style w:type="character" w:styleId="30">
    <w:name w:val="FollowedHyperlink"/>
    <w:basedOn w:val="27"/>
    <w:qFormat/>
    <w:uiPriority w:val="0"/>
    <w:rPr>
      <w:color w:val="0000CC"/>
      <w:u w:val="none"/>
    </w:rPr>
  </w:style>
  <w:style w:type="character" w:styleId="31">
    <w:name w:val="Emphasis"/>
    <w:qFormat/>
    <w:uiPriority w:val="0"/>
  </w:style>
  <w:style w:type="character" w:styleId="32">
    <w:name w:val="HTML Definition"/>
    <w:qFormat/>
    <w:uiPriority w:val="0"/>
  </w:style>
  <w:style w:type="character" w:styleId="33">
    <w:name w:val="HTML Variable"/>
    <w:qFormat/>
    <w:uiPriority w:val="0"/>
  </w:style>
  <w:style w:type="character" w:styleId="34">
    <w:name w:val="Hyperlink"/>
    <w:qFormat/>
    <w:uiPriority w:val="99"/>
    <w:rPr>
      <w:color w:val="0000CC"/>
      <w:u w:val="none"/>
    </w:rPr>
  </w:style>
  <w:style w:type="character" w:styleId="35">
    <w:name w:val="HTML Code"/>
    <w:qFormat/>
    <w:uiPriority w:val="0"/>
    <w:rPr>
      <w:rFonts w:hint="default" w:ascii="monospace" w:hAnsi="monospace" w:eastAsia="monospace" w:cs="monospace"/>
      <w:sz w:val="21"/>
      <w:szCs w:val="21"/>
    </w:rPr>
  </w:style>
  <w:style w:type="character" w:styleId="36">
    <w:name w:val="annotation reference"/>
    <w:qFormat/>
    <w:uiPriority w:val="0"/>
    <w:rPr>
      <w:sz w:val="21"/>
      <w:szCs w:val="21"/>
    </w:rPr>
  </w:style>
  <w:style w:type="character" w:styleId="37">
    <w:name w:val="HTML Cite"/>
    <w:qFormat/>
    <w:uiPriority w:val="0"/>
  </w:style>
  <w:style w:type="character" w:styleId="38">
    <w:name w:val="HTML Keyboard"/>
    <w:qFormat/>
    <w:uiPriority w:val="0"/>
    <w:rPr>
      <w:rFonts w:hint="default" w:ascii="monospace" w:hAnsi="monospace" w:eastAsia="monospace" w:cs="monospace"/>
      <w:sz w:val="21"/>
      <w:szCs w:val="21"/>
    </w:rPr>
  </w:style>
  <w:style w:type="character" w:styleId="39">
    <w:name w:val="HTML Sample"/>
    <w:qFormat/>
    <w:uiPriority w:val="0"/>
    <w:rPr>
      <w:rFonts w:ascii="monospace" w:hAnsi="monospace" w:eastAsia="monospace" w:cs="monospace"/>
      <w:sz w:val="21"/>
      <w:szCs w:val="21"/>
    </w:rPr>
  </w:style>
  <w:style w:type="paragraph" w:customStyle="1" w:styleId="40">
    <w:name w:val="表格文字"/>
    <w:basedOn w:val="1"/>
    <w:qFormat/>
    <w:uiPriority w:val="99"/>
    <w:pPr>
      <w:spacing w:before="25" w:after="25"/>
    </w:pPr>
    <w:rPr>
      <w:bCs/>
      <w:spacing w:val="10"/>
      <w:sz w:val="24"/>
    </w:rPr>
  </w:style>
  <w:style w:type="character" w:customStyle="1" w:styleId="41">
    <w:name w:val="标题 2 Char"/>
    <w:basedOn w:val="27"/>
    <w:link w:val="4"/>
    <w:qFormat/>
    <w:uiPriority w:val="9"/>
    <w:rPr>
      <w:rFonts w:ascii="Cambria" w:hAnsi="Cambria" w:eastAsia="宋体" w:cs="Times New Roman"/>
      <w:b/>
      <w:bCs/>
      <w:sz w:val="28"/>
      <w:szCs w:val="32"/>
    </w:rPr>
  </w:style>
  <w:style w:type="character" w:customStyle="1" w:styleId="42">
    <w:name w:val="标题 3 Char"/>
    <w:basedOn w:val="27"/>
    <w:link w:val="5"/>
    <w:qFormat/>
    <w:uiPriority w:val="0"/>
    <w:rPr>
      <w:rFonts w:ascii="宋体" w:hAnsi="宋体" w:eastAsia="宋体" w:cs="Times New Roman"/>
      <w:b/>
      <w:bCs/>
      <w:kern w:val="2"/>
      <w:sz w:val="28"/>
      <w:szCs w:val="32"/>
    </w:rPr>
  </w:style>
  <w:style w:type="character" w:customStyle="1" w:styleId="43">
    <w:name w:val="标题 4 Char"/>
    <w:basedOn w:val="27"/>
    <w:link w:val="6"/>
    <w:qFormat/>
    <w:uiPriority w:val="0"/>
    <w:rPr>
      <w:rFonts w:ascii="Arial" w:hAnsi="Calibri" w:eastAsia="黑体" w:cs="Times New Roman"/>
      <w:sz w:val="28"/>
      <w:szCs w:val="20"/>
    </w:rPr>
  </w:style>
  <w:style w:type="character" w:customStyle="1" w:styleId="44">
    <w:name w:val="标题 5 Char"/>
    <w:basedOn w:val="27"/>
    <w:link w:val="7"/>
    <w:qFormat/>
    <w:uiPriority w:val="0"/>
    <w:rPr>
      <w:rFonts w:ascii="仿宋_GB2312" w:hAnsi="Calibri" w:eastAsia="仿宋_GB2312" w:cs="Times New Roman"/>
      <w:b/>
      <w:bCs/>
      <w:kern w:val="2"/>
      <w:sz w:val="28"/>
      <w:szCs w:val="28"/>
    </w:rPr>
  </w:style>
  <w:style w:type="character" w:customStyle="1" w:styleId="45">
    <w:name w:val="标题 6 Char"/>
    <w:basedOn w:val="27"/>
    <w:link w:val="8"/>
    <w:qFormat/>
    <w:uiPriority w:val="0"/>
    <w:rPr>
      <w:rFonts w:ascii="Arial" w:hAnsi="Arial" w:eastAsia="黑体" w:cs="Times New Roman"/>
      <w:b/>
      <w:kern w:val="2"/>
      <w:sz w:val="24"/>
      <w:szCs w:val="24"/>
    </w:rPr>
  </w:style>
  <w:style w:type="character" w:customStyle="1" w:styleId="46">
    <w:name w:val="页眉 Char"/>
    <w:basedOn w:val="27"/>
    <w:link w:val="19"/>
    <w:qFormat/>
    <w:uiPriority w:val="99"/>
    <w:rPr>
      <w:rFonts w:ascii="Tahoma" w:hAnsi="Tahoma"/>
      <w:sz w:val="18"/>
      <w:szCs w:val="18"/>
    </w:rPr>
  </w:style>
  <w:style w:type="character" w:customStyle="1" w:styleId="47">
    <w:name w:val="页脚 Char"/>
    <w:basedOn w:val="27"/>
    <w:link w:val="2"/>
    <w:qFormat/>
    <w:uiPriority w:val="99"/>
    <w:rPr>
      <w:rFonts w:ascii="Tahoma" w:hAnsi="Tahoma"/>
      <w:sz w:val="18"/>
      <w:szCs w:val="18"/>
    </w:rPr>
  </w:style>
  <w:style w:type="character" w:customStyle="1" w:styleId="48">
    <w:name w:val="标题 9 Char"/>
    <w:basedOn w:val="27"/>
    <w:link w:val="9"/>
    <w:qFormat/>
    <w:uiPriority w:val="0"/>
    <w:rPr>
      <w:rFonts w:ascii="Cambria" w:hAnsi="Cambria" w:eastAsia="宋体" w:cs="Times New Roman"/>
      <w:kern w:val="2"/>
      <w:sz w:val="21"/>
      <w:szCs w:val="21"/>
    </w:rPr>
  </w:style>
  <w:style w:type="character" w:customStyle="1" w:styleId="49">
    <w:name w:val="正文文本 Char"/>
    <w:basedOn w:val="27"/>
    <w:link w:val="15"/>
    <w:qFormat/>
    <w:uiPriority w:val="0"/>
    <w:rPr>
      <w:rFonts w:ascii="Calibri" w:hAnsi="Calibri" w:eastAsia="宋体" w:cs="Times New Roman"/>
      <w:kern w:val="2"/>
      <w:sz w:val="21"/>
      <w:szCs w:val="24"/>
    </w:rPr>
  </w:style>
  <w:style w:type="character" w:customStyle="1" w:styleId="50">
    <w:name w:val="文档结构图 Char"/>
    <w:basedOn w:val="27"/>
    <w:link w:val="13"/>
    <w:qFormat/>
    <w:uiPriority w:val="0"/>
    <w:rPr>
      <w:rFonts w:ascii="宋体" w:hAnsi="Calibri" w:eastAsia="宋体" w:cs="Times New Roman"/>
      <w:kern w:val="2"/>
      <w:sz w:val="18"/>
      <w:szCs w:val="18"/>
    </w:rPr>
  </w:style>
  <w:style w:type="character" w:customStyle="1" w:styleId="51">
    <w:name w:val="批注文字 Char"/>
    <w:basedOn w:val="27"/>
    <w:link w:val="14"/>
    <w:qFormat/>
    <w:uiPriority w:val="0"/>
    <w:rPr>
      <w:rFonts w:ascii="Calibri" w:hAnsi="Calibri" w:eastAsia="宋体" w:cs="Times New Roman"/>
      <w:kern w:val="2"/>
      <w:sz w:val="21"/>
      <w:szCs w:val="24"/>
    </w:rPr>
  </w:style>
  <w:style w:type="character" w:customStyle="1" w:styleId="52">
    <w:name w:val="正文文本缩进 Char"/>
    <w:basedOn w:val="27"/>
    <w:link w:val="16"/>
    <w:qFormat/>
    <w:uiPriority w:val="99"/>
    <w:rPr>
      <w:rFonts w:ascii="宋体" w:hAnsi="Courier New" w:eastAsia="宋体" w:cs="Times New Roman"/>
      <w:spacing w:val="-4"/>
      <w:kern w:val="2"/>
      <w:sz w:val="18"/>
      <w:szCs w:val="20"/>
    </w:rPr>
  </w:style>
  <w:style w:type="character" w:customStyle="1" w:styleId="53">
    <w:name w:val="纯文本 Char1"/>
    <w:qFormat/>
    <w:uiPriority w:val="99"/>
    <w:rPr>
      <w:rFonts w:ascii="宋体" w:hAnsi="Courier New" w:eastAsia="宋体" w:cs="Times New Roman"/>
      <w:kern w:val="2"/>
      <w:sz w:val="21"/>
      <w:szCs w:val="20"/>
    </w:rPr>
  </w:style>
  <w:style w:type="character" w:customStyle="1" w:styleId="54">
    <w:name w:val="纯文本 Char"/>
    <w:basedOn w:val="27"/>
    <w:link w:val="17"/>
    <w:qFormat/>
    <w:uiPriority w:val="0"/>
    <w:rPr>
      <w:rFonts w:ascii="宋体" w:hAnsi="Courier New" w:eastAsia="宋体" w:cs="Courier New"/>
      <w:sz w:val="21"/>
      <w:szCs w:val="21"/>
    </w:rPr>
  </w:style>
  <w:style w:type="character" w:customStyle="1" w:styleId="55">
    <w:name w:val="批注框文本 Char"/>
    <w:basedOn w:val="27"/>
    <w:link w:val="18"/>
    <w:qFormat/>
    <w:uiPriority w:val="0"/>
    <w:rPr>
      <w:rFonts w:ascii="Calibri" w:hAnsi="Calibri" w:eastAsia="宋体" w:cs="Times New Roman"/>
      <w:kern w:val="2"/>
      <w:sz w:val="18"/>
      <w:szCs w:val="18"/>
    </w:rPr>
  </w:style>
  <w:style w:type="character" w:customStyle="1" w:styleId="56">
    <w:name w:val="标题 Char"/>
    <w:basedOn w:val="27"/>
    <w:link w:val="23"/>
    <w:qFormat/>
    <w:uiPriority w:val="0"/>
    <w:rPr>
      <w:rFonts w:ascii="Cambria" w:hAnsi="Cambria" w:eastAsia="宋体" w:cs="Times New Roman"/>
      <w:b/>
      <w:bCs/>
      <w:sz w:val="32"/>
      <w:szCs w:val="32"/>
    </w:rPr>
  </w:style>
  <w:style w:type="character" w:customStyle="1" w:styleId="57">
    <w:name w:val="批注主题 Char"/>
    <w:basedOn w:val="51"/>
    <w:link w:val="24"/>
    <w:qFormat/>
    <w:uiPriority w:val="0"/>
    <w:rPr>
      <w:rFonts w:ascii="Calibri" w:hAnsi="Calibri" w:eastAsia="宋体" w:cs="Times New Roman"/>
      <w:b/>
      <w:bCs/>
      <w:kern w:val="2"/>
      <w:sz w:val="21"/>
      <w:szCs w:val="24"/>
    </w:rPr>
  </w:style>
  <w:style w:type="character" w:customStyle="1" w:styleId="58">
    <w:name w:val="已访问的超链接1"/>
    <w:qFormat/>
    <w:uiPriority w:val="0"/>
    <w:rPr>
      <w:color w:val="0000CC"/>
      <w:u w:val="none"/>
    </w:rPr>
  </w:style>
  <w:style w:type="character" w:customStyle="1" w:styleId="59">
    <w:name w:val="fontborder"/>
    <w:qFormat/>
    <w:uiPriority w:val="0"/>
    <w:rPr>
      <w:bdr w:val="single" w:color="000000" w:sz="6" w:space="0"/>
    </w:rPr>
  </w:style>
  <w:style w:type="character" w:customStyle="1" w:styleId="60">
    <w:name w:val="释义正文2"/>
    <w:qFormat/>
    <w:uiPriority w:val="0"/>
    <w:rPr>
      <w:sz w:val="24"/>
    </w:rPr>
  </w:style>
  <w:style w:type="character" w:customStyle="1" w:styleId="61">
    <w:name w:val="神路正文"/>
    <w:qFormat/>
    <w:uiPriority w:val="0"/>
    <w:rPr>
      <w:rFonts w:ascii="宋体" w:hAnsi="宋体" w:eastAsia="仿宋_GB2312"/>
      <w:color w:val="000000"/>
      <w:sz w:val="24"/>
    </w:rPr>
  </w:style>
  <w:style w:type="character" w:customStyle="1" w:styleId="62">
    <w:name w:val="fontstrikethrough"/>
    <w:qFormat/>
    <w:uiPriority w:val="0"/>
    <w:rPr>
      <w:strike/>
    </w:rPr>
  </w:style>
  <w:style w:type="paragraph" w:customStyle="1" w:styleId="63">
    <w:name w:val="目录 21"/>
    <w:basedOn w:val="1"/>
    <w:next w:val="1"/>
    <w:qFormat/>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customStyle="1" w:styleId="64">
    <w:name w:val="目录 1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customStyle="1" w:styleId="65">
    <w:name w:val="正文段"/>
    <w:basedOn w:val="1"/>
    <w:qFormat/>
    <w:uiPriority w:val="0"/>
    <w:pPr>
      <w:adjustRightInd/>
      <w:spacing w:afterLines="50"/>
      <w:ind w:firstLine="200" w:firstLineChars="200"/>
      <w:jc w:val="both"/>
    </w:pPr>
    <w:rPr>
      <w:rFonts w:ascii="Calibri" w:hAnsi="Calibri" w:eastAsia="宋体" w:cs="Times New Roman"/>
      <w:sz w:val="24"/>
      <w:szCs w:val="20"/>
    </w:rPr>
  </w:style>
  <w:style w:type="paragraph" w:customStyle="1" w:styleId="66">
    <w:name w:val="修订1"/>
    <w:qFormat/>
    <w:uiPriority w:val="99"/>
    <w:rPr>
      <w:rFonts w:ascii="Calibri" w:hAnsi="Calibri" w:eastAsia="宋体" w:cs="Times New Roman"/>
      <w:kern w:val="2"/>
      <w:sz w:val="21"/>
      <w:szCs w:val="24"/>
      <w:lang w:val="en-US" w:eastAsia="zh-CN" w:bidi="ar-SA"/>
    </w:rPr>
  </w:style>
  <w:style w:type="paragraph" w:customStyle="1" w:styleId="67">
    <w:name w:val="纯文本11"/>
    <w:basedOn w:val="1"/>
    <w:qFormat/>
    <w:uiPriority w:val="0"/>
    <w:pPr>
      <w:widowControl w:val="0"/>
      <w:suppressAutoHyphens/>
      <w:adjustRightInd/>
      <w:snapToGrid/>
      <w:spacing w:after="0"/>
      <w:jc w:val="both"/>
    </w:pPr>
    <w:rPr>
      <w:rFonts w:ascii="宋体" w:hAnsi="宋体" w:eastAsia="宋体" w:cs="Calibri"/>
      <w:kern w:val="1"/>
      <w:sz w:val="20"/>
      <w:szCs w:val="21"/>
      <w:lang w:eastAsia="ar-SA"/>
    </w:rPr>
  </w:style>
  <w:style w:type="paragraph" w:customStyle="1" w:styleId="68">
    <w:name w:val="列出段落1"/>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69">
    <w:name w:val="最终规范标题3"/>
    <w:basedOn w:val="1"/>
    <w:qFormat/>
    <w:uiPriority w:val="0"/>
    <w:pPr>
      <w:widowControl w:val="0"/>
      <w:adjustRightInd/>
      <w:snapToGrid/>
      <w:spacing w:after="0" w:line="300" w:lineRule="auto"/>
      <w:jc w:val="both"/>
      <w:outlineLvl w:val="2"/>
    </w:pPr>
    <w:rPr>
      <w:rFonts w:ascii="Calibri" w:hAnsi="Calibri" w:eastAsia="宋体" w:cs="Times New Roman"/>
      <w:kern w:val="2"/>
      <w:sz w:val="21"/>
      <w:szCs w:val="21"/>
    </w:rPr>
  </w:style>
  <w:style w:type="paragraph" w:customStyle="1" w:styleId="70">
    <w:name w:val="imap正文"/>
    <w:basedOn w:val="1"/>
    <w:qFormat/>
    <w:uiPriority w:val="0"/>
    <w:pPr>
      <w:widowControl w:val="0"/>
      <w:adjustRightInd/>
      <w:snapToGrid/>
      <w:spacing w:after="0" w:line="360" w:lineRule="auto"/>
      <w:ind w:firstLine="480" w:firstLineChars="200"/>
      <w:jc w:val="both"/>
    </w:pPr>
    <w:rPr>
      <w:rFonts w:ascii="Calibri" w:hAnsi="Calibri" w:eastAsia="宋体" w:cs="Times New Roman"/>
      <w:kern w:val="2"/>
      <w:sz w:val="24"/>
    </w:rPr>
  </w:style>
  <w:style w:type="paragraph" w:customStyle="1" w:styleId="71">
    <w:name w:val="list_item_address"/>
    <w:basedOn w:val="1"/>
    <w:qFormat/>
    <w:uiPriority w:val="0"/>
    <w:pPr>
      <w:adjustRightInd/>
      <w:snapToGrid/>
      <w:spacing w:before="100" w:beforeAutospacing="1" w:after="100" w:afterAutospacing="1"/>
    </w:pPr>
    <w:rPr>
      <w:rFonts w:ascii="宋体" w:hAnsi="宋体" w:eastAsia="宋体"/>
      <w:sz w:val="24"/>
      <w:szCs w:val="24"/>
    </w:rPr>
  </w:style>
  <w:style w:type="paragraph" w:customStyle="1" w:styleId="72">
    <w:name w:val="列表段落1"/>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73">
    <w:name w:val="文档正文"/>
    <w:basedOn w:val="1"/>
    <w:qFormat/>
    <w:uiPriority w:val="0"/>
    <w:pPr>
      <w:widowControl w:val="0"/>
      <w:snapToGrid/>
      <w:spacing w:after="120" w:line="360" w:lineRule="auto"/>
      <w:ind w:firstLine="480" w:firstLineChars="200"/>
      <w:jc w:val="both"/>
      <w:textAlignment w:val="baseline"/>
    </w:pPr>
    <w:rPr>
      <w:rFonts w:ascii="华文细黑" w:hAnsi="华文细黑" w:eastAsia="华文细黑" w:cs="Times New Roman"/>
      <w:color w:val="000000"/>
      <w:sz w:val="24"/>
      <w:szCs w:val="20"/>
    </w:rPr>
  </w:style>
  <w:style w:type="paragraph" w:customStyle="1" w:styleId="74">
    <w:name w:val="普通正文"/>
    <w:basedOn w:val="1"/>
    <w:qFormat/>
    <w:uiPriority w:val="0"/>
    <w:pPr>
      <w:widowControl w:val="0"/>
      <w:suppressAutoHyphens/>
      <w:adjustRightInd/>
      <w:snapToGrid/>
      <w:spacing w:before="120" w:after="120" w:line="360" w:lineRule="auto"/>
      <w:ind w:firstLine="480"/>
    </w:pPr>
    <w:rPr>
      <w:rFonts w:ascii="Arial" w:hAnsi="Arial" w:eastAsia="宋体" w:cs="Times New Roman"/>
      <w:kern w:val="2"/>
      <w:sz w:val="24"/>
      <w:szCs w:val="24"/>
      <w:lang w:eastAsia="ar-SA"/>
    </w:rPr>
  </w:style>
  <w:style w:type="paragraph" w:customStyle="1" w:styleId="75">
    <w:name w:val="样式 正文缩进 + 首行缩进:  2 字符"/>
    <w:basedOn w:val="11"/>
    <w:qFormat/>
    <w:uiPriority w:val="0"/>
    <w:pPr>
      <w:spacing w:line="360" w:lineRule="auto"/>
      <w:ind w:firstLine="200"/>
    </w:pPr>
    <w:rPr>
      <w:rFonts w:ascii="Times New Roman" w:hAnsi="Times New Roman"/>
      <w:sz w:val="24"/>
      <w:szCs w:val="20"/>
    </w:rPr>
  </w:style>
  <w:style w:type="paragraph" w:customStyle="1" w:styleId="76">
    <w:name w:val="列出段落2"/>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77">
    <w:name w:val="_正文段落"/>
    <w:basedOn w:val="1"/>
    <w:qFormat/>
    <w:uiPriority w:val="0"/>
    <w:pPr>
      <w:widowControl w:val="0"/>
      <w:adjustRightInd/>
      <w:snapToGrid/>
      <w:spacing w:after="0" w:line="360" w:lineRule="auto"/>
      <w:ind w:firstLine="200" w:firstLineChars="200"/>
      <w:jc w:val="both"/>
    </w:pPr>
    <w:rPr>
      <w:rFonts w:ascii="仿宋_GB2312" w:hAnsi="Times New Roman" w:eastAsia="仿宋_GB2312" w:cs="Times New Roman"/>
      <w:sz w:val="28"/>
      <w:szCs w:val="24"/>
    </w:rPr>
  </w:style>
  <w:style w:type="paragraph" w:customStyle="1" w:styleId="78">
    <w:name w:val="zhengwen2"/>
    <w:basedOn w:val="1"/>
    <w:qFormat/>
    <w:uiPriority w:val="0"/>
    <w:pPr>
      <w:widowControl w:val="0"/>
      <w:adjustRightInd/>
      <w:snapToGrid/>
      <w:spacing w:after="0" w:line="360" w:lineRule="auto"/>
      <w:ind w:firstLine="200" w:firstLineChars="200"/>
      <w:jc w:val="both"/>
    </w:pPr>
    <w:rPr>
      <w:rFonts w:ascii="宋体" w:hAnsi="等线" w:eastAsia="仿宋_GB2312" w:cs="Times New Roman"/>
      <w:kern w:val="2"/>
      <w:sz w:val="28"/>
    </w:rPr>
  </w:style>
  <w:style w:type="paragraph" w:customStyle="1" w:styleId="79">
    <w:name w:val="p16"/>
    <w:basedOn w:val="1"/>
    <w:qFormat/>
    <w:uiPriority w:val="0"/>
    <w:pPr>
      <w:adjustRightInd/>
      <w:snapToGrid/>
      <w:spacing w:after="0"/>
      <w:jc w:val="both"/>
    </w:pPr>
    <w:rPr>
      <w:rFonts w:ascii="宋体" w:hAnsi="宋体" w:eastAsia="宋体"/>
      <w:sz w:val="21"/>
      <w:szCs w:val="21"/>
    </w:rPr>
  </w:style>
  <w:style w:type="paragraph" w:customStyle="1" w:styleId="80">
    <w:name w:val="_Style 6"/>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styleId="81">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82">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character" w:customStyle="1" w:styleId="83">
    <w:name w:val="正文缩进 Char"/>
    <w:link w:val="11"/>
    <w:qFormat/>
    <w:uiPriority w:val="0"/>
    <w:rPr>
      <w:rFonts w:ascii="Calibri" w:hAnsi="Calibri" w:eastAsia="宋体" w:cs="Times New Roman"/>
      <w:kern w:val="2"/>
      <w:sz w:val="21"/>
      <w:szCs w:val="24"/>
    </w:rPr>
  </w:style>
  <w:style w:type="character" w:customStyle="1" w:styleId="84">
    <w:name w:val="c-icon14"/>
    <w:basedOn w:val="27"/>
    <w:qFormat/>
    <w:uiPriority w:val="0"/>
  </w:style>
  <w:style w:type="paragraph" w:customStyle="1" w:styleId="85">
    <w:name w:val="cjk"/>
    <w:basedOn w:val="1"/>
    <w:qFormat/>
    <w:uiPriority w:val="0"/>
    <w:pPr>
      <w:adjustRightInd/>
      <w:snapToGrid/>
      <w:spacing w:after="0" w:line="480" w:lineRule="auto"/>
    </w:pPr>
    <w:rPr>
      <w:rFonts w:ascii="宋体" w:hAnsi="宋体" w:eastAsia="宋体"/>
      <w:sz w:val="24"/>
      <w:szCs w:val="24"/>
    </w:rPr>
  </w:style>
  <w:style w:type="character" w:customStyle="1" w:styleId="86">
    <w:name w:val="layui-layer-tabnow"/>
    <w:basedOn w:val="27"/>
    <w:qFormat/>
    <w:uiPriority w:val="0"/>
    <w:rPr>
      <w:bdr w:val="single" w:color="CCCCCC" w:sz="6" w:space="0"/>
      <w:shd w:val="clear" w:color="auto" w:fill="FFFFFF"/>
    </w:rPr>
  </w:style>
  <w:style w:type="character" w:customStyle="1" w:styleId="87">
    <w:name w:val="first-child"/>
    <w:basedOn w:val="27"/>
    <w:qFormat/>
    <w:uiPriority w:val="0"/>
  </w:style>
  <w:style w:type="character" w:customStyle="1" w:styleId="88">
    <w:name w:val="time"/>
    <w:basedOn w:val="27"/>
    <w:qFormat/>
    <w:uiPriority w:val="0"/>
    <w:rPr>
      <w:color w:val="999999"/>
    </w:rPr>
  </w:style>
  <w:style w:type="character" w:customStyle="1" w:styleId="89">
    <w:name w:val="dot"/>
    <w:basedOn w:val="27"/>
    <w:qFormat/>
    <w:uiPriority w:val="0"/>
  </w:style>
  <w:style w:type="character" w:customStyle="1" w:styleId="90">
    <w:name w:val="time2"/>
    <w:basedOn w:val="27"/>
    <w:qFormat/>
    <w:uiPriority w:val="0"/>
    <w:rPr>
      <w:color w:val="999999"/>
    </w:rPr>
  </w:style>
  <w:style w:type="paragraph" w:customStyle="1" w:styleId="91">
    <w:name w:val="修订2"/>
    <w:hidden/>
    <w:unhideWhenUsed/>
    <w:qFormat/>
    <w:uiPriority w:val="99"/>
    <w:rPr>
      <w:rFonts w:ascii="Tahoma" w:hAnsi="Tahoma" w:eastAsia="微软雅黑" w:cs="宋体"/>
      <w:sz w:val="22"/>
      <w:szCs w:val="22"/>
      <w:lang w:val="en-US" w:eastAsia="zh-CN" w:bidi="ar-SA"/>
    </w:rPr>
  </w:style>
  <w:style w:type="paragraph" w:customStyle="1" w:styleId="92">
    <w:name w:val="Plain Text1"/>
    <w:basedOn w:val="1"/>
    <w:qFormat/>
    <w:uiPriority w:val="0"/>
    <w:rPr>
      <w:rFonts w:ascii="宋体" w:hAnsi="Courier New"/>
      <w:szCs w:val="20"/>
    </w:rPr>
  </w:style>
  <w:style w:type="character" w:customStyle="1" w:styleId="93">
    <w:name w:val="正文首行缩进 2 Char"/>
    <w:basedOn w:val="52"/>
    <w:link w:val="25"/>
    <w:semiHidden/>
    <w:qFormat/>
    <w:uiPriority w:val="99"/>
    <w:rPr>
      <w:rFonts w:ascii="Tahoma" w:hAnsi="Tahoma" w:eastAsia="微软雅黑" w:cs="宋体"/>
      <w:spacing w:val="-4"/>
      <w:kern w:val="2"/>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0B19C4-E061-4C97-AEC2-1BA994996F1F}">
  <ds:schemaRefs/>
</ds:datastoreItem>
</file>

<file path=customXml/itemProps3.xml><?xml version="1.0" encoding="utf-8"?>
<ds:datastoreItem xmlns:ds="http://schemas.openxmlformats.org/officeDocument/2006/customXml" ds:itemID="{7EBD8BD5-4022-4567-B4AE-68A0C699D75B}">
  <ds:schemaRefs/>
</ds:datastoreItem>
</file>

<file path=customXml/itemProps4.xml><?xml version="1.0" encoding="utf-8"?>
<ds:datastoreItem xmlns:ds="http://schemas.openxmlformats.org/officeDocument/2006/customXml" ds:itemID="{BA07D2ED-479A-4B6A-96AA-50609F9729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5408</Words>
  <Characters>30827</Characters>
  <Lines>256</Lines>
  <Paragraphs>72</Paragraphs>
  <TotalTime>7</TotalTime>
  <ScaleCrop>false</ScaleCrop>
  <LinksUpToDate>false</LinksUpToDate>
  <CharactersWithSpaces>36163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2020-09-03T01:57:00Z</dcterms:created>
  <dc:creator>Administrator</dc:creator>
  <cp:lastModifiedBy>Administrator</cp:lastModifiedBy>
  <cp:lastPrinted>2020-09-16T09:51:00Z</cp:lastPrinted>
  <dcterms:modified xsi:type="dcterms:W3CDTF">2020-11-05T10:10:00Z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