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center" w:pos="4950"/>
          <w:tab w:val="right" w:pos="9781"/>
        </w:tabs>
        <w:rPr>
          <w:rFonts w:asciiTheme="majorEastAsia" w:hAnsiTheme="majorEastAsia" w:eastAsiaTheme="majorEastAsia"/>
          <w:color w:val="000000" w:themeColor="text1"/>
          <w:sz w:val="96"/>
          <w:szCs w:val="96"/>
        </w:rPr>
      </w:pPr>
      <w:bookmarkStart w:id="0" w:name="_Toc139967210"/>
      <w:bookmarkStart w:id="1" w:name="_Toc139966426"/>
    </w:p>
    <w:p>
      <w:pPr>
        <w:pStyle w:val="9"/>
        <w:tabs>
          <w:tab w:val="center" w:pos="4950"/>
          <w:tab w:val="right" w:pos="9781"/>
        </w:tabs>
        <w:jc w:val="center"/>
        <w:rPr>
          <w:rFonts w:asciiTheme="majorEastAsia" w:hAnsiTheme="majorEastAsia" w:eastAsiaTheme="majorEastAsia"/>
          <w:b/>
          <w:bCs/>
          <w:color w:val="000000" w:themeColor="text1"/>
          <w:sz w:val="72"/>
          <w:szCs w:val="72"/>
        </w:rPr>
      </w:pPr>
      <w:r>
        <w:rPr>
          <w:rFonts w:hint="eastAsia" w:asciiTheme="majorEastAsia" w:hAnsiTheme="majorEastAsia" w:eastAsiaTheme="majorEastAsia"/>
          <w:color w:val="000000" w:themeColor="text1"/>
          <w:sz w:val="96"/>
          <w:szCs w:val="96"/>
        </w:rPr>
        <w:t>竞争性磋商</w:t>
      </w:r>
      <w:r>
        <w:rPr>
          <w:rFonts w:asciiTheme="majorEastAsia" w:hAnsiTheme="majorEastAsia" w:eastAsiaTheme="majorEastAsia"/>
          <w:color w:val="000000" w:themeColor="text1"/>
          <w:sz w:val="96"/>
          <w:szCs w:val="96"/>
        </w:rPr>
        <w:t>文件</w:t>
      </w:r>
    </w:p>
    <w:p>
      <w:pPr>
        <w:ind w:left="2962" w:leftChars="550" w:hanging="1807" w:hangingChars="500"/>
        <w:rPr>
          <w:rFonts w:cs="宋体" w:asciiTheme="majorEastAsia" w:hAnsiTheme="majorEastAsia" w:eastAsiaTheme="majorEastAsia"/>
          <w:b/>
          <w:bCs/>
          <w:color w:val="000000" w:themeColor="text1"/>
          <w:sz w:val="36"/>
          <w:szCs w:val="36"/>
        </w:rPr>
      </w:pPr>
    </w:p>
    <w:p>
      <w:pPr>
        <w:ind w:left="2962" w:leftChars="550" w:hanging="1807" w:hangingChars="500"/>
        <w:rPr>
          <w:rFonts w:cs="宋体" w:asciiTheme="majorEastAsia" w:hAnsiTheme="majorEastAsia" w:eastAsiaTheme="majorEastAsia"/>
          <w:b/>
          <w:bCs/>
          <w:color w:val="000000" w:themeColor="text1"/>
          <w:sz w:val="36"/>
          <w:szCs w:val="36"/>
        </w:rPr>
      </w:pP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项目名称：OA内部协同办公系统</w:t>
      </w:r>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项目编号：NNZC2020-C3-990366-GXYZ</w:t>
      </w:r>
      <w:bookmarkStart w:id="138" w:name="_GoBack"/>
      <w:bookmarkEnd w:id="138"/>
    </w:p>
    <w:p>
      <w:pPr>
        <w:ind w:left="2883" w:leftChars="608" w:hanging="1606" w:hangingChars="500"/>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32"/>
          <w:szCs w:val="32"/>
        </w:rPr>
        <w:t>采购计划文号：[2020]NCCJB518001/2157-001</w:t>
      </w:r>
    </w:p>
    <w:p>
      <w:pPr>
        <w:rPr>
          <w:rFonts w:cs="宋体" w:asciiTheme="majorEastAsia" w:hAnsiTheme="majorEastAsia" w:eastAsiaTheme="majorEastAsia"/>
          <w:b/>
          <w:bCs/>
          <w:color w:val="000000" w:themeColor="text1"/>
          <w:sz w:val="32"/>
          <w:szCs w:val="32"/>
        </w:rPr>
      </w:pPr>
    </w:p>
    <w:p>
      <w:pPr>
        <w:rPr>
          <w:rFonts w:cs="宋体" w:asciiTheme="majorEastAsia" w:hAnsiTheme="majorEastAsia" w:eastAsiaTheme="majorEastAsia"/>
          <w:b/>
          <w:bCs/>
          <w:color w:val="000000" w:themeColor="text1"/>
          <w:sz w:val="32"/>
          <w:szCs w:val="32"/>
        </w:rPr>
      </w:pPr>
      <w:r>
        <w:drawing>
          <wp:anchor distT="0" distB="0" distL="114300" distR="114300" simplePos="0" relativeHeight="251661312" behindDoc="1" locked="0" layoutInCell="1" allowOverlap="1">
            <wp:simplePos x="0" y="0"/>
            <wp:positionH relativeFrom="column">
              <wp:posOffset>104775</wp:posOffset>
            </wp:positionH>
            <wp:positionV relativeFrom="paragraph">
              <wp:posOffset>314960</wp:posOffset>
            </wp:positionV>
            <wp:extent cx="5857875" cy="2905125"/>
            <wp:effectExtent l="0" t="0" r="9525" b="9525"/>
            <wp:wrapTight wrapText="bothSides">
              <wp:wrapPolygon>
                <wp:start x="0" y="0"/>
                <wp:lineTo x="0" y="21529"/>
                <wp:lineTo x="21565" y="21529"/>
                <wp:lineTo x="2156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857875" cy="2905125"/>
                    </a:xfrm>
                    <a:prstGeom prst="rect">
                      <a:avLst/>
                    </a:prstGeom>
                    <a:noFill/>
                    <a:ln>
                      <a:noFill/>
                    </a:ln>
                  </pic:spPr>
                </pic:pic>
              </a:graphicData>
            </a:graphic>
          </wp:anchor>
        </w:drawing>
      </w:r>
    </w:p>
    <w:p>
      <w:pPr>
        <w:ind w:firstLine="1285" w:firstLineChars="400"/>
        <w:rPr>
          <w:rFonts w:cs="宋体" w:asciiTheme="majorEastAsia" w:hAnsiTheme="majorEastAsia" w:eastAsiaTheme="majorEastAsia"/>
          <w:b/>
          <w:bCs/>
          <w:color w:val="000000" w:themeColor="text1"/>
          <w:sz w:val="32"/>
          <w:szCs w:val="32"/>
        </w:rPr>
      </w:pPr>
    </w:p>
    <w:p>
      <w:pPr>
        <w:ind w:firstLine="1285" w:firstLineChars="400"/>
        <w:rPr>
          <w:rFonts w:cs="宋体" w:asciiTheme="majorEastAsia" w:hAnsiTheme="majorEastAsia" w:eastAsiaTheme="majorEastAsia"/>
          <w:b/>
          <w:bCs/>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118" w:left="1080" w:header="720" w:footer="720" w:gutter="0"/>
          <w:cols w:space="720" w:num="1"/>
          <w:titlePg/>
          <w:docGrid w:type="lines" w:linePitch="331" w:charSpace="0"/>
        </w:sectPr>
      </w:pPr>
    </w:p>
    <w:p>
      <w:pPr>
        <w:tabs>
          <w:tab w:val="left" w:pos="2092"/>
          <w:tab w:val="center" w:pos="5174"/>
        </w:tabs>
        <w:spacing w:before="100" w:beforeAutospacing="1" w:after="100" w:afterAutospacing="1" w:line="380" w:lineRule="atLeast"/>
        <w:ind w:firstLine="482"/>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t>通知</w:t>
      </w:r>
    </w:p>
    <w:p>
      <w:pPr>
        <w:spacing w:before="100" w:beforeAutospacing="1" w:after="100" w:afterAutospacing="1" w:line="380" w:lineRule="atLeast"/>
        <w:ind w:firstLine="482"/>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为做好新型冠状病毒肺炎疫情防控工作，根据南宁市财政局《关于做好疫情防控期间政府采购工作有关事项的通知》（南财采〔2020〕12号）要求，现对本项目相关事项通知如下：</w:t>
      </w:r>
    </w:p>
    <w:p>
      <w:pPr>
        <w:widowControl/>
        <w:spacing w:before="100" w:beforeAutospacing="1" w:after="100" w:afterAutospacing="1" w:line="380" w:lineRule="atLeast"/>
        <w:ind w:firstLine="482"/>
        <w:jc w:val="left"/>
        <w:rPr>
          <w:rFonts w:cs="宋体" w:asciiTheme="majorEastAsia" w:hAnsiTheme="majorEastAsia" w:eastAsiaTheme="majorEastAsia"/>
          <w:b/>
          <w:bCs/>
          <w:color w:val="000000" w:themeColor="text1"/>
          <w:kern w:val="0"/>
          <w:sz w:val="24"/>
          <w:u w:val="single"/>
        </w:rPr>
      </w:pPr>
      <w:r>
        <w:rPr>
          <w:rFonts w:hint="eastAsia" w:cs="宋体" w:asciiTheme="majorEastAsia" w:hAnsiTheme="majorEastAsia" w:eastAsiaTheme="majorEastAsia"/>
          <w:color w:val="000000" w:themeColor="text1"/>
          <w:kern w:val="0"/>
          <w:sz w:val="24"/>
        </w:rPr>
        <w:t>一、本项目的响应文件通过</w:t>
      </w:r>
      <w:r>
        <w:rPr>
          <w:rFonts w:hint="eastAsia" w:cs="宋体" w:asciiTheme="majorEastAsia" w:hAnsiTheme="majorEastAsia" w:eastAsiaTheme="majorEastAsia"/>
          <w:b/>
          <w:bCs/>
          <w:color w:val="000000" w:themeColor="text1"/>
          <w:kern w:val="0"/>
          <w:sz w:val="24"/>
          <w:u w:val="single"/>
        </w:rPr>
        <w:t>邮寄快递方式送达。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接收邮寄快递包裹的时间为工作日9：00～17：00。响应文件必须在响应截止时间前送达，且须交由采购代理机构当面签收。采购代理机构签收邮寄包裹的时间即为磋商供货商响应文件的送达时间，逾期送达的响应文件无效，后果由磋商供应商自行承担。</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（二）采购代理机构将在响应截止时间前一个小时（即</w:t>
      </w:r>
      <w:r>
        <w:rPr>
          <w:rFonts w:hint="eastAsia" w:cs="宋体" w:asciiTheme="majorEastAsia" w:hAnsiTheme="majorEastAsia" w:eastAsiaTheme="majorEastAsia"/>
          <w:color w:val="000000" w:themeColor="text1"/>
          <w:kern w:val="0"/>
          <w:sz w:val="24"/>
          <w:lang w:val="en-US" w:eastAsia="zh-CN"/>
        </w:rPr>
        <w:t>08</w:t>
      </w:r>
      <w:r>
        <w:rPr>
          <w:rFonts w:hint="eastAsia" w:cs="宋体" w:asciiTheme="majorEastAsia" w:hAnsiTheme="majorEastAsia" w:eastAsiaTheme="majorEastAsia"/>
          <w:color w:val="000000" w:themeColor="text1"/>
          <w:kern w:val="0"/>
          <w:sz w:val="24"/>
        </w:rPr>
        <w:t>时</w:t>
      </w:r>
      <w:r>
        <w:rPr>
          <w:rFonts w:hint="eastAsia" w:cs="宋体" w:asciiTheme="majorEastAsia" w:hAnsiTheme="majorEastAsia" w:eastAsiaTheme="majorEastAsia"/>
          <w:color w:val="000000" w:themeColor="text1"/>
          <w:kern w:val="0"/>
          <w:sz w:val="24"/>
          <w:lang w:val="en-US" w:eastAsia="zh-CN"/>
        </w:rPr>
        <w:t>30</w:t>
      </w:r>
      <w:r>
        <w:rPr>
          <w:rFonts w:hint="eastAsia" w:cs="宋体" w:asciiTheme="majorEastAsia" w:hAnsiTheme="majorEastAsia" w:eastAsiaTheme="majorEastAsia"/>
          <w:color w:val="000000" w:themeColor="text1"/>
          <w:kern w:val="0"/>
          <w:sz w:val="24"/>
        </w:rPr>
        <w:t>分）统一将收到的响应文件运送至南宁市公共资源交易中心，以确保本项目能在响应截止（开标）时间准时开标。供应商应充分预留响应文件邮寄、送达所需要的时间。为确保疫情防控期间邮寄包裹能及时送达，应选择邮寄运送时间有保障的快递公司寄送响应文件，并尽量在投标截止日期</w:t>
      </w:r>
      <w:r>
        <w:rPr>
          <w:rFonts w:cs="宋体" w:asciiTheme="majorEastAsia" w:hAnsiTheme="majorEastAsia" w:eastAsiaTheme="majorEastAsia"/>
          <w:color w:val="000000" w:themeColor="text1"/>
          <w:kern w:val="0"/>
          <w:sz w:val="24"/>
        </w:rPr>
        <w:t>1</w:t>
      </w:r>
      <w:r>
        <w:rPr>
          <w:rFonts w:hint="eastAsia" w:cs="宋体" w:asciiTheme="majorEastAsia" w:hAnsiTheme="majorEastAsia" w:eastAsiaTheme="majorEastAsia"/>
          <w:color w:val="000000" w:themeColor="text1"/>
          <w:kern w:val="0"/>
          <w:sz w:val="24"/>
        </w:rPr>
        <w:t>日前送达。</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（三）供应商按照采购文件要求装订密封好响应文件后，应使用不透明、防水的邮寄袋或箱子再次包裹已密封的响应文件，</w:t>
      </w:r>
      <w:r>
        <w:rPr>
          <w:rFonts w:hint="eastAsia" w:cs="宋体" w:asciiTheme="majorEastAsia" w:hAnsiTheme="majorEastAsia" w:eastAsiaTheme="majorEastAsia"/>
          <w:b/>
          <w:bCs/>
          <w:color w:val="000000" w:themeColor="text1"/>
          <w:kern w:val="0"/>
          <w:sz w:val="24"/>
          <w:u w:val="single"/>
        </w:rPr>
        <w:t>并在邮寄袋或箱子上粘牢注明项目名称、项目编号、有效的电子邮箱、联系人及联系方式的纸质表格</w:t>
      </w:r>
      <w:r>
        <w:rPr>
          <w:rFonts w:hint="eastAsia" w:cs="宋体" w:asciiTheme="majorEastAsia" w:hAnsiTheme="majorEastAsia" w:eastAsiaTheme="majorEastAsia"/>
          <w:color w:val="000000" w:themeColor="text1"/>
          <w:kern w:val="0"/>
          <w:sz w:val="24"/>
        </w:rPr>
        <w:t>。如因响应文件包裹信息注明不完整或缺失造成响应文件无法辨认属于哪一个项目造成的后果供应商自负。</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（四）响应文件邮寄地址：南宁市青秀区思贤路45号创投中心16A层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收件人：罗工  联系电话：0771-2442850</w:t>
      </w:r>
    </w:p>
    <w:p>
      <w:pPr>
        <w:widowControl/>
        <w:spacing w:before="100" w:beforeAutospacing="1" w:after="100" w:afterAutospacing="1" w:line="380" w:lineRule="atLeast"/>
        <w:jc w:val="left"/>
        <w:rPr>
          <w:rFonts w:cs="宋体" w:asciiTheme="majorEastAsia" w:hAnsiTheme="majorEastAsia" w:eastAsiaTheme="majorEastAsia"/>
          <w:b/>
          <w:color w:val="000000" w:themeColor="text1"/>
          <w:kern w:val="0"/>
          <w:sz w:val="24"/>
        </w:rPr>
      </w:pPr>
      <w:r>
        <w:rPr>
          <w:rFonts w:hint="eastAsia" w:cs="宋体" w:asciiTheme="majorEastAsia" w:hAnsiTheme="majorEastAsia" w:eastAsiaTheme="majorEastAsia"/>
          <w:b/>
          <w:color w:val="000000" w:themeColor="text1"/>
          <w:kern w:val="0"/>
          <w:sz w:val="24"/>
        </w:rPr>
        <w:t>（五）磋商供应商不参加现场开标活动。</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响应文件拆封及密封性检查：</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 xml:space="preserve">      截标后，采购代理机构工作人员在南宁市公共资源交易中心工作人员和采购人的见证下拆开响应文件包封，采购人对响应文件密封性进行签字确认。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二、关于澄清、谈判的有关要求</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（一）为便于采购代理机构或谈判小组在项目评审期间与供应商取得联系，做好评审过程中供应商对响应文件的澄清、说明或者补正，以及谈判等工作，供应商务必做到：</w:t>
      </w:r>
      <w:r>
        <w:rPr>
          <w:rFonts w:hint="eastAsia" w:cs="宋体" w:asciiTheme="majorEastAsia" w:hAnsiTheme="majorEastAsia" w:eastAsiaTheme="majorEastAsia"/>
          <w:b/>
          <w:bCs/>
          <w:color w:val="000000" w:themeColor="text1"/>
          <w:kern w:val="0"/>
          <w:sz w:val="24"/>
          <w:u w:val="single"/>
        </w:rPr>
        <w:t>“第五章响应文件格式”中“响应函（格式）”落款处的“电话”务必填写法定代表人或委托代理人的电话联系方式</w:t>
      </w:r>
      <w:r>
        <w:rPr>
          <w:rFonts w:hint="eastAsia" w:cs="宋体" w:asciiTheme="majorEastAsia" w:hAnsiTheme="majorEastAsia" w:eastAsiaTheme="majorEastAsia"/>
          <w:color w:val="000000" w:themeColor="text1"/>
          <w:kern w:val="0"/>
          <w:sz w:val="24"/>
        </w:rPr>
        <w:t>。</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二）评审当天供应商务必保持电话畅通。如果评审过程中需要与供应商进行谈判、要求供应商进行报价以及对响应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cs="宋体" w:asciiTheme="majorEastAsia" w:hAnsiTheme="majorEastAsia" w:eastAsiaTheme="majorEastAsia"/>
          <w:color w:val="000000" w:themeColor="text1"/>
          <w:kern w:val="0"/>
          <w:sz w:val="24"/>
        </w:rPr>
      </w:pPr>
      <w:r>
        <w:rPr>
          <w:rFonts w:hint="eastAsia" w:cs="宋体" w:asciiTheme="majorEastAsia" w:hAnsiTheme="majorEastAsia" w:eastAsiaTheme="majorEastAsia"/>
          <w:color w:val="000000" w:themeColor="text1"/>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pPr>
        <w:widowControl/>
        <w:jc w:val="left"/>
        <w:rPr>
          <w:rFonts w:asciiTheme="majorEastAsia" w:hAnsiTheme="majorEastAsia" w:eastAsiaTheme="majorEastAsia"/>
          <w:b/>
          <w:color w:val="000000" w:themeColor="text1"/>
          <w:sz w:val="48"/>
          <w:szCs w:val="48"/>
        </w:rPr>
      </w:pPr>
      <w:r>
        <w:rPr>
          <w:rFonts w:hint="eastAsia" w:cs="宋体" w:asciiTheme="majorEastAsia" w:hAnsiTheme="majorEastAsia" w:eastAsiaTheme="majorEastAsia"/>
          <w:color w:val="000000" w:themeColor="text1"/>
          <w:kern w:val="0"/>
          <w:sz w:val="24"/>
        </w:rPr>
        <w:t>四、请按通知内容执行，采购文件其余内容不变。</w:t>
      </w: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p>
    <w:p>
      <w:pPr>
        <w:pStyle w:val="9"/>
        <w:spacing w:line="560" w:lineRule="exac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采购代理机构：广西邕政采购代理有限公司                                  </w:t>
      </w:r>
    </w:p>
    <w:p>
      <w:pPr>
        <w:widowControl/>
        <w:jc w:val="center"/>
        <w:rPr>
          <w:rFonts w:asciiTheme="majorEastAsia" w:hAnsiTheme="majorEastAsia" w:eastAsiaTheme="majorEastAsia" w:cstheme="majorEastAsia"/>
          <w:b/>
          <w:color w:val="000000" w:themeColor="text1"/>
          <w:sz w:val="48"/>
          <w:szCs w:val="48"/>
        </w:rPr>
        <w:sectPr>
          <w:pgSz w:w="11906" w:h="16838"/>
          <w:pgMar w:top="1440" w:right="1080" w:bottom="1118" w:left="1080" w:header="720" w:footer="720" w:gutter="0"/>
          <w:cols w:space="720" w:num="1"/>
          <w:docGrid w:type="lines" w:linePitch="331" w:charSpace="0"/>
        </w:sectPr>
      </w:pPr>
      <w:r>
        <w:rPr>
          <w:rFonts w:hint="eastAsia" w:asciiTheme="majorEastAsia" w:hAnsiTheme="majorEastAsia" w:eastAsiaTheme="majorEastAsia"/>
          <w:color w:val="000000" w:themeColor="text1"/>
          <w:sz w:val="24"/>
        </w:rPr>
        <w:t xml:space="preserve">          日期：2020年</w:t>
      </w:r>
      <w:r>
        <w:rPr>
          <w:rFonts w:hint="eastAsia" w:asciiTheme="majorEastAsia" w:hAnsiTheme="majorEastAsia" w:eastAsiaTheme="majorEastAsia"/>
          <w:color w:val="000000" w:themeColor="text1"/>
          <w:sz w:val="24"/>
          <w:lang w:val="en-US" w:eastAsia="zh-CN"/>
        </w:rPr>
        <w:t>11</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04</w:t>
      </w:r>
      <w:r>
        <w:rPr>
          <w:rFonts w:hint="eastAsia" w:asciiTheme="majorEastAsia" w:hAnsiTheme="majorEastAsia" w:eastAsiaTheme="majorEastAsia"/>
          <w:color w:val="000000" w:themeColor="text1"/>
          <w:sz w:val="24"/>
        </w:rPr>
        <w:t>日</w:t>
      </w:r>
    </w:p>
    <w:sdt>
      <w:sdtPr>
        <w:rPr>
          <w:rFonts w:asciiTheme="majorEastAsia" w:hAnsiTheme="majorEastAsia" w:eastAsiaTheme="majorEastAsia"/>
        </w:rPr>
        <w:id w:val="147457188"/>
        <w:docPartObj>
          <w:docPartGallery w:val="Table of Contents"/>
          <w:docPartUnique/>
        </w:docPartObj>
      </w:sdtPr>
      <w:sdtEndPr>
        <w:rPr>
          <w:rFonts w:asciiTheme="majorEastAsia" w:hAnsiTheme="majorEastAsia" w:eastAsiaTheme="majorEastAsia" w:cstheme="majorEastAsia"/>
          <w:b/>
          <w:color w:val="000000" w:themeColor="text1"/>
          <w:sz w:val="18"/>
          <w:szCs w:val="21"/>
        </w:rPr>
      </w:sdtEndPr>
      <w:sdtContent>
        <w:p>
          <w:pPr>
            <w:jc w:val="center"/>
            <w:rPr>
              <w:rFonts w:asciiTheme="majorEastAsia" w:hAnsiTheme="majorEastAsia" w:eastAsiaTheme="majorEastAsia"/>
              <w:sz w:val="28"/>
              <w:szCs w:val="28"/>
            </w:rPr>
          </w:pPr>
          <w:bookmarkStart w:id="2" w:name="_Toc460253689"/>
          <w:bookmarkStart w:id="3" w:name="_Toc485920200"/>
          <w:r>
            <w:rPr>
              <w:rFonts w:asciiTheme="majorEastAsia" w:hAnsiTheme="majorEastAsia" w:eastAsiaTheme="majorEastAsia"/>
              <w:b/>
              <w:sz w:val="28"/>
              <w:szCs w:val="28"/>
            </w:rPr>
            <w:t>目录</w:t>
          </w:r>
        </w:p>
        <w:p>
          <w:pPr>
            <w:pStyle w:val="13"/>
            <w:tabs>
              <w:tab w:val="right" w:leader="dot" w:pos="9746"/>
            </w:tabs>
            <w:rPr>
              <w:sz w:val="28"/>
              <w:szCs w:val="28"/>
            </w:rPr>
          </w:pPr>
          <w:r>
            <w:rPr>
              <w:rFonts w:asciiTheme="majorEastAsia" w:hAnsiTheme="majorEastAsia" w:eastAsiaTheme="majorEastAsia" w:cstheme="majorEastAsia"/>
              <w:color w:val="000000" w:themeColor="text1"/>
              <w:sz w:val="28"/>
              <w:szCs w:val="28"/>
              <w:highlight w:val="yellow"/>
            </w:rPr>
            <w:fldChar w:fldCharType="begin"/>
          </w:r>
          <w:r>
            <w:rPr>
              <w:rFonts w:asciiTheme="majorEastAsia" w:hAnsiTheme="majorEastAsia" w:eastAsiaTheme="majorEastAsia" w:cstheme="majorEastAsia"/>
              <w:color w:val="000000" w:themeColor="text1"/>
              <w:sz w:val="28"/>
              <w:szCs w:val="28"/>
              <w:highlight w:val="yellow"/>
            </w:rPr>
            <w:instrText xml:space="preserve">TOC \o "1-2" \h \u </w:instrText>
          </w:r>
          <w:r>
            <w:rPr>
              <w:rFonts w:asciiTheme="majorEastAsia" w:hAnsiTheme="majorEastAsia" w:eastAsiaTheme="majorEastAsia" w:cstheme="majorEastAsia"/>
              <w:color w:val="000000" w:themeColor="text1"/>
              <w:sz w:val="28"/>
              <w:szCs w:val="28"/>
              <w:highlight w:val="yellow"/>
            </w:rPr>
            <w:fldChar w:fldCharType="separate"/>
          </w:r>
          <w:r>
            <w:fldChar w:fldCharType="begin"/>
          </w:r>
          <w:r>
            <w:instrText xml:space="preserve"> HYPERLINK \l "_Toc19007" </w:instrText>
          </w:r>
          <w:r>
            <w:fldChar w:fldCharType="separate"/>
          </w:r>
          <w:r>
            <w:rPr>
              <w:rFonts w:hint="eastAsia" w:cs="宋体" w:asciiTheme="majorEastAsia" w:hAnsiTheme="majorEastAsia" w:eastAsiaTheme="majorEastAsia"/>
              <w:sz w:val="28"/>
              <w:szCs w:val="28"/>
            </w:rPr>
            <w:t>第一章 竞争性磋商公告</w:t>
          </w:r>
          <w:r>
            <w:rPr>
              <w:sz w:val="28"/>
              <w:szCs w:val="28"/>
            </w:rPr>
            <w:tab/>
          </w:r>
          <w:r>
            <w:rPr>
              <w:sz w:val="28"/>
              <w:szCs w:val="28"/>
            </w:rPr>
            <w:fldChar w:fldCharType="begin"/>
          </w:r>
          <w:r>
            <w:rPr>
              <w:sz w:val="28"/>
              <w:szCs w:val="28"/>
            </w:rPr>
            <w:instrText xml:space="preserve"> PAGEREF _Toc19007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"_Toc8452" </w:instrText>
          </w:r>
          <w:r>
            <w:fldChar w:fldCharType="separate"/>
          </w:r>
          <w:r>
            <w:rPr>
              <w:rFonts w:hint="eastAsia" w:asciiTheme="majorEastAsia" w:hAnsiTheme="majorEastAsia" w:eastAsiaTheme="majorEastAsia" w:cstheme="majorEastAsia"/>
              <w:bCs/>
              <w:sz w:val="28"/>
              <w:szCs w:val="28"/>
            </w:rPr>
            <w:t>第二章  服务需求一览表</w:t>
          </w:r>
          <w:r>
            <w:rPr>
              <w:sz w:val="28"/>
              <w:szCs w:val="28"/>
            </w:rPr>
            <w:tab/>
          </w:r>
          <w:r>
            <w:rPr>
              <w:sz w:val="28"/>
              <w:szCs w:val="28"/>
            </w:rPr>
            <w:fldChar w:fldCharType="begin"/>
          </w:r>
          <w:r>
            <w:rPr>
              <w:sz w:val="28"/>
              <w:szCs w:val="28"/>
            </w:rPr>
            <w:instrText xml:space="preserve"> PAGEREF _Toc8452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"_Toc20179" </w:instrText>
          </w:r>
          <w:r>
            <w:fldChar w:fldCharType="separate"/>
          </w:r>
          <w:r>
            <w:rPr>
              <w:rFonts w:hint="eastAsia" w:asciiTheme="majorEastAsia" w:hAnsiTheme="majorEastAsia" w:eastAsiaTheme="majorEastAsia" w:cstheme="majorEastAsia"/>
              <w:sz w:val="28"/>
              <w:szCs w:val="28"/>
            </w:rPr>
            <w:t>第三章  评审方法</w:t>
          </w:r>
          <w:r>
            <w:rPr>
              <w:sz w:val="28"/>
              <w:szCs w:val="28"/>
            </w:rPr>
            <w:tab/>
          </w:r>
          <w:r>
            <w:rPr>
              <w:sz w:val="28"/>
              <w:szCs w:val="28"/>
            </w:rPr>
            <w:fldChar w:fldCharType="begin"/>
          </w:r>
          <w:r>
            <w:rPr>
              <w:sz w:val="28"/>
              <w:szCs w:val="28"/>
            </w:rPr>
            <w:instrText xml:space="preserve"> PAGEREF _Toc20179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"_Toc20673" </w:instrText>
          </w:r>
          <w:r>
            <w:fldChar w:fldCharType="separate"/>
          </w:r>
          <w:r>
            <w:rPr>
              <w:rFonts w:hint="eastAsia" w:asciiTheme="majorEastAsia" w:hAnsiTheme="majorEastAsia" w:eastAsiaTheme="majorEastAsia" w:cstheme="majorEastAsia"/>
              <w:sz w:val="28"/>
              <w:szCs w:val="28"/>
            </w:rPr>
            <w:t>第四章   磋商供应商须知</w:t>
          </w:r>
          <w:r>
            <w:rPr>
              <w:sz w:val="28"/>
              <w:szCs w:val="28"/>
            </w:rPr>
            <w:tab/>
          </w:r>
          <w:r>
            <w:rPr>
              <w:sz w:val="28"/>
              <w:szCs w:val="28"/>
            </w:rPr>
            <w:fldChar w:fldCharType="begin"/>
          </w:r>
          <w:r>
            <w:rPr>
              <w:sz w:val="28"/>
              <w:szCs w:val="28"/>
            </w:rPr>
            <w:instrText xml:space="preserve"> PAGEREF _Toc20673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"_Toc985" </w:instrText>
          </w:r>
          <w:r>
            <w:fldChar w:fldCharType="separate"/>
          </w:r>
          <w:r>
            <w:rPr>
              <w:rFonts w:hint="eastAsia" w:asciiTheme="majorEastAsia" w:hAnsiTheme="majorEastAsia" w:eastAsiaTheme="majorEastAsia" w:cstheme="majorEastAsia"/>
              <w:sz w:val="28"/>
              <w:szCs w:val="28"/>
            </w:rPr>
            <w:t>一   总则</w:t>
          </w:r>
          <w:r>
            <w:rPr>
              <w:sz w:val="28"/>
              <w:szCs w:val="28"/>
            </w:rPr>
            <w:tab/>
          </w:r>
          <w:r>
            <w:rPr>
              <w:sz w:val="28"/>
              <w:szCs w:val="28"/>
            </w:rPr>
            <w:fldChar w:fldCharType="begin"/>
          </w:r>
          <w:r>
            <w:rPr>
              <w:sz w:val="28"/>
              <w:szCs w:val="28"/>
            </w:rPr>
            <w:instrText xml:space="preserve"> PAGEREF _Toc985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"_Toc28442" </w:instrText>
          </w:r>
          <w:r>
            <w:fldChar w:fldCharType="separate"/>
          </w:r>
          <w:r>
            <w:rPr>
              <w:rFonts w:hint="eastAsia" w:asciiTheme="majorEastAsia" w:hAnsiTheme="majorEastAsia" w:eastAsiaTheme="majorEastAsia" w:cstheme="majorEastAsia"/>
              <w:sz w:val="28"/>
              <w:szCs w:val="28"/>
            </w:rPr>
            <w:t>二   竞争性磋商采购文件</w:t>
          </w:r>
          <w:r>
            <w:rPr>
              <w:sz w:val="28"/>
              <w:szCs w:val="28"/>
            </w:rPr>
            <w:tab/>
          </w:r>
          <w:r>
            <w:rPr>
              <w:sz w:val="28"/>
              <w:szCs w:val="28"/>
            </w:rPr>
            <w:fldChar w:fldCharType="begin"/>
          </w:r>
          <w:r>
            <w:rPr>
              <w:sz w:val="28"/>
              <w:szCs w:val="28"/>
            </w:rPr>
            <w:instrText xml:space="preserve"> PAGEREF _Toc28442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"_Toc21035" </w:instrText>
          </w:r>
          <w:r>
            <w:fldChar w:fldCharType="separate"/>
          </w:r>
          <w:r>
            <w:rPr>
              <w:rFonts w:hint="eastAsia" w:asciiTheme="majorEastAsia" w:hAnsiTheme="majorEastAsia" w:eastAsiaTheme="majorEastAsia" w:cstheme="majorEastAsia"/>
              <w:sz w:val="28"/>
              <w:szCs w:val="28"/>
            </w:rPr>
            <w:t>三   响应文件</w:t>
          </w:r>
          <w:r>
            <w:rPr>
              <w:sz w:val="28"/>
              <w:szCs w:val="28"/>
            </w:rPr>
            <w:tab/>
          </w:r>
          <w:r>
            <w:rPr>
              <w:sz w:val="28"/>
              <w:szCs w:val="28"/>
            </w:rPr>
            <w:fldChar w:fldCharType="begin"/>
          </w:r>
          <w:r>
            <w:rPr>
              <w:sz w:val="28"/>
              <w:szCs w:val="28"/>
            </w:rPr>
            <w:instrText xml:space="preserve"> PAGEREF _Toc21035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"_Toc25392" </w:instrText>
          </w:r>
          <w:r>
            <w:fldChar w:fldCharType="separate"/>
          </w:r>
          <w:r>
            <w:rPr>
              <w:rFonts w:hint="eastAsia" w:asciiTheme="majorEastAsia" w:hAnsiTheme="majorEastAsia" w:eastAsiaTheme="majorEastAsia" w:cstheme="majorEastAsia"/>
              <w:sz w:val="28"/>
              <w:szCs w:val="28"/>
            </w:rPr>
            <w:t>四   磋商响应</w:t>
          </w:r>
          <w:r>
            <w:rPr>
              <w:sz w:val="28"/>
              <w:szCs w:val="28"/>
            </w:rPr>
            <w:tab/>
          </w:r>
          <w:r>
            <w:rPr>
              <w:sz w:val="28"/>
              <w:szCs w:val="28"/>
            </w:rPr>
            <w:fldChar w:fldCharType="begin"/>
          </w:r>
          <w:r>
            <w:rPr>
              <w:sz w:val="28"/>
              <w:szCs w:val="28"/>
            </w:rPr>
            <w:instrText xml:space="preserve"> PAGEREF _Toc25392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"_Toc18279" </w:instrText>
          </w:r>
          <w:r>
            <w:fldChar w:fldCharType="separate"/>
          </w:r>
          <w:r>
            <w:rPr>
              <w:rFonts w:hint="eastAsia" w:asciiTheme="majorEastAsia" w:hAnsiTheme="majorEastAsia" w:eastAsiaTheme="majorEastAsia" w:cstheme="majorEastAsia"/>
              <w:sz w:val="28"/>
              <w:szCs w:val="28"/>
            </w:rPr>
            <w:t>五   评审与磋商</w:t>
          </w:r>
          <w:r>
            <w:rPr>
              <w:sz w:val="28"/>
              <w:szCs w:val="28"/>
            </w:rPr>
            <w:tab/>
          </w:r>
          <w:r>
            <w:rPr>
              <w:sz w:val="28"/>
              <w:szCs w:val="28"/>
            </w:rPr>
            <w:fldChar w:fldCharType="begin"/>
          </w:r>
          <w:r>
            <w:rPr>
              <w:sz w:val="28"/>
              <w:szCs w:val="28"/>
            </w:rPr>
            <w:instrText xml:space="preserve"> PAGEREF _Toc18279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"_Toc17182" </w:instrText>
          </w:r>
          <w:r>
            <w:fldChar w:fldCharType="separate"/>
          </w:r>
          <w:r>
            <w:rPr>
              <w:rFonts w:hint="eastAsia" w:asciiTheme="majorEastAsia" w:hAnsiTheme="majorEastAsia" w:eastAsiaTheme="majorEastAsia" w:cstheme="majorEastAsia"/>
              <w:sz w:val="28"/>
              <w:szCs w:val="28"/>
            </w:rPr>
            <w:t>六   合同授予</w:t>
          </w:r>
          <w:r>
            <w:rPr>
              <w:sz w:val="28"/>
              <w:szCs w:val="28"/>
            </w:rPr>
            <w:tab/>
          </w:r>
          <w:r>
            <w:rPr>
              <w:sz w:val="28"/>
              <w:szCs w:val="28"/>
            </w:rPr>
            <w:fldChar w:fldCharType="begin"/>
          </w:r>
          <w:r>
            <w:rPr>
              <w:sz w:val="28"/>
              <w:szCs w:val="28"/>
            </w:rPr>
            <w:instrText xml:space="preserve"> PAGEREF _Toc17182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"_Toc19534" </w:instrText>
          </w:r>
          <w:r>
            <w:fldChar w:fldCharType="separate"/>
          </w:r>
          <w:r>
            <w:rPr>
              <w:rFonts w:hint="eastAsia" w:asciiTheme="majorEastAsia" w:hAnsiTheme="majorEastAsia" w:eastAsiaTheme="majorEastAsia" w:cstheme="majorEastAsia"/>
              <w:sz w:val="28"/>
              <w:szCs w:val="28"/>
            </w:rPr>
            <w:t>七   其他事项</w:t>
          </w:r>
          <w:r>
            <w:rPr>
              <w:sz w:val="28"/>
              <w:szCs w:val="28"/>
            </w:rPr>
            <w:tab/>
          </w:r>
          <w:r>
            <w:rPr>
              <w:sz w:val="28"/>
              <w:szCs w:val="28"/>
            </w:rPr>
            <w:fldChar w:fldCharType="begin"/>
          </w:r>
          <w:r>
            <w:rPr>
              <w:sz w:val="28"/>
              <w:szCs w:val="28"/>
            </w:rPr>
            <w:instrText xml:space="preserve"> PAGEREF _Toc19534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"_Toc7026" </w:instrText>
          </w:r>
          <w:r>
            <w:fldChar w:fldCharType="separate"/>
          </w: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响应文件格式</w:t>
          </w:r>
          <w:r>
            <w:rPr>
              <w:sz w:val="28"/>
              <w:szCs w:val="28"/>
            </w:rPr>
            <w:tab/>
          </w:r>
          <w:r>
            <w:rPr>
              <w:sz w:val="28"/>
              <w:szCs w:val="28"/>
            </w:rPr>
            <w:fldChar w:fldCharType="begin"/>
          </w:r>
          <w:r>
            <w:rPr>
              <w:sz w:val="28"/>
              <w:szCs w:val="28"/>
            </w:rPr>
            <w:instrText xml:space="preserve"> PAGEREF _Toc7026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13"/>
            <w:tabs>
              <w:tab w:val="right" w:leader="dot" w:pos="9746"/>
            </w:tabs>
            <w:rPr>
              <w:sz w:val="28"/>
              <w:szCs w:val="28"/>
            </w:rPr>
          </w:pPr>
          <w:r>
            <w:fldChar w:fldCharType="begin"/>
          </w:r>
          <w:r>
            <w:instrText xml:space="preserve"> HYPERLINK \l "_Toc17100" </w:instrText>
          </w:r>
          <w:r>
            <w:fldChar w:fldCharType="separate"/>
          </w:r>
          <w:r>
            <w:rPr>
              <w:rFonts w:hint="eastAsia" w:asciiTheme="majorEastAsia" w:hAnsiTheme="majorEastAsia" w:eastAsiaTheme="majorEastAsia" w:cstheme="majorEastAsia"/>
              <w:sz w:val="28"/>
              <w:szCs w:val="28"/>
            </w:rPr>
            <w:t>第六章  合同条款及格式</w:t>
          </w:r>
          <w:r>
            <w:rPr>
              <w:sz w:val="28"/>
              <w:szCs w:val="28"/>
            </w:rPr>
            <w:tab/>
          </w:r>
          <w:r>
            <w:rPr>
              <w:sz w:val="28"/>
              <w:szCs w:val="28"/>
            </w:rPr>
            <w:fldChar w:fldCharType="begin"/>
          </w:r>
          <w:r>
            <w:rPr>
              <w:sz w:val="28"/>
              <w:szCs w:val="28"/>
            </w:rPr>
            <w:instrText xml:space="preserve"> PAGEREF _Toc17100 </w:instrText>
          </w:r>
          <w:r>
            <w:rPr>
              <w:sz w:val="28"/>
              <w:szCs w:val="28"/>
            </w:rPr>
            <w:fldChar w:fldCharType="separate"/>
          </w:r>
          <w:r>
            <w:rPr>
              <w:sz w:val="28"/>
              <w:szCs w:val="28"/>
            </w:rPr>
            <w:t>54</w:t>
          </w:r>
          <w:r>
            <w:rPr>
              <w:sz w:val="28"/>
              <w:szCs w:val="28"/>
            </w:rPr>
            <w:fldChar w:fldCharType="end"/>
          </w:r>
          <w:r>
            <w:rPr>
              <w:sz w:val="28"/>
              <w:szCs w:val="28"/>
            </w:rPr>
            <w:fldChar w:fldCharType="end"/>
          </w:r>
        </w:p>
        <w:p>
          <w:pPr>
            <w:widowControl/>
            <w:jc w:val="left"/>
            <w:rPr>
              <w:rFonts w:asciiTheme="majorEastAsia" w:hAnsiTheme="majorEastAsia" w:eastAsiaTheme="majorEastAsia" w:cstheme="majorEastAsia"/>
              <w:color w:val="000000" w:themeColor="text1"/>
              <w:sz w:val="18"/>
              <w:szCs w:val="21"/>
            </w:rPr>
          </w:pPr>
          <w:r>
            <w:rPr>
              <w:rFonts w:asciiTheme="majorEastAsia" w:hAnsiTheme="majorEastAsia" w:eastAsiaTheme="majorEastAsia" w:cstheme="majorEastAsia"/>
              <w:color w:val="000000" w:themeColor="text1"/>
              <w:sz w:val="28"/>
              <w:szCs w:val="28"/>
              <w:highlight w:val="yellow"/>
            </w:rPr>
            <w:fldChar w:fldCharType="end"/>
          </w:r>
        </w:p>
      </w:sdtContent>
    </w:sdt>
    <w:bookmarkEnd w:id="2"/>
    <w:bookmarkEnd w:id="3"/>
    <w:p>
      <w:pPr>
        <w:rPr>
          <w:rFonts w:cs="宋体" w:asciiTheme="majorEastAsia" w:hAnsiTheme="majorEastAsia" w:eastAsiaTheme="majorEastAsia"/>
          <w:b/>
          <w:color w:val="000000" w:themeColor="text1"/>
          <w:sz w:val="24"/>
        </w:rPr>
      </w:pPr>
      <w:bookmarkStart w:id="4" w:name="_Toc12030"/>
      <w:r>
        <w:rPr>
          <w:rFonts w:hint="eastAsia" w:cs="宋体" w:asciiTheme="majorEastAsia" w:hAnsiTheme="majorEastAsia" w:eastAsiaTheme="majorEastAsia"/>
          <w:b/>
          <w:color w:val="000000" w:themeColor="text1"/>
          <w:sz w:val="24"/>
        </w:rPr>
        <w:br w:type="page"/>
      </w:r>
    </w:p>
    <w:p>
      <w:pPr>
        <w:pStyle w:val="3"/>
        <w:wordWrap w:val="0"/>
        <w:ind w:left="283" w:leftChars="135" w:firstLine="3534" w:firstLineChars="1100"/>
        <w:rPr>
          <w:rFonts w:cs="宋体" w:asciiTheme="majorEastAsia" w:hAnsiTheme="majorEastAsia" w:eastAsiaTheme="majorEastAsia"/>
          <w:b/>
          <w:color w:val="000000" w:themeColor="text1"/>
          <w:sz w:val="32"/>
          <w:szCs w:val="32"/>
        </w:rPr>
      </w:pPr>
      <w:bookmarkStart w:id="5" w:name="_Toc19007"/>
      <w:bookmarkStart w:id="6" w:name="_Toc32412"/>
      <w:r>
        <w:rPr>
          <w:rFonts w:hint="eastAsia" w:cs="宋体" w:asciiTheme="majorEastAsia" w:hAnsiTheme="majorEastAsia" w:eastAsiaTheme="majorEastAsia"/>
          <w:b/>
          <w:color w:val="000000" w:themeColor="text1"/>
          <w:sz w:val="32"/>
          <w:szCs w:val="32"/>
        </w:rPr>
        <w:t>第一章 竞争性磋商公告</w:t>
      </w:r>
      <w:bookmarkEnd w:id="4"/>
      <w:bookmarkEnd w:id="5"/>
      <w:bookmarkEnd w:id="6"/>
    </w:p>
    <w:p>
      <w:pPr>
        <w:pBdr>
          <w:top w:val="single" w:color="auto" w:sz="4" w:space="1"/>
          <w:left w:val="single" w:color="auto" w:sz="4" w:space="4"/>
          <w:bottom w:val="single" w:color="auto" w:sz="4" w:space="3"/>
          <w:right w:val="single" w:color="auto" w:sz="4" w:space="4"/>
        </w:pBdr>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项目概况：</w:t>
      </w:r>
    </w:p>
    <w:p>
      <w:pPr>
        <w:pBdr>
          <w:top w:val="single" w:color="auto" w:sz="4" w:space="1"/>
          <w:left w:val="single" w:color="auto" w:sz="4" w:space="4"/>
          <w:bottom w:val="single" w:color="auto" w:sz="4" w:space="3"/>
          <w:right w:val="single" w:color="auto" w:sz="4" w:space="4"/>
        </w:pBd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u w:val="single"/>
        </w:rPr>
        <w:t>OA内部协同办公系统（项目编号：NNZC2020-C3-990366-GXYZ）</w:t>
      </w:r>
      <w:r>
        <w:rPr>
          <w:rFonts w:hint="eastAsia" w:cs="宋体" w:asciiTheme="majorEastAsia" w:hAnsiTheme="majorEastAsia" w:eastAsiaTheme="majorEastAsia"/>
          <w:color w:val="000000" w:themeColor="text1"/>
          <w:sz w:val="24"/>
        </w:rPr>
        <w:t>采购项目的潜在供应商应在</w:t>
      </w:r>
      <w:r>
        <w:rPr>
          <w:rFonts w:hint="eastAsia" w:cs="宋体" w:asciiTheme="majorEastAsia" w:hAnsiTheme="majorEastAsia" w:eastAsiaTheme="majorEastAsia"/>
          <w:color w:val="000000" w:themeColor="text1"/>
          <w:sz w:val="24"/>
          <w:u w:val="single"/>
        </w:rPr>
        <w:t>南宁市公共资源交易平台(https://www.nnggzy.org.cn/gxnnzbw/)</w:t>
      </w:r>
      <w:r>
        <w:rPr>
          <w:rFonts w:hint="eastAsia" w:cs="宋体" w:asciiTheme="majorEastAsia" w:hAnsiTheme="majorEastAsia" w:eastAsiaTheme="majorEastAsia"/>
          <w:color w:val="000000" w:themeColor="text1"/>
          <w:sz w:val="24"/>
        </w:rPr>
        <w:t>的信息公告处自行下载获取本项目采购文件，并于</w:t>
      </w:r>
      <w:r>
        <w:rPr>
          <w:rFonts w:hint="eastAsia" w:cs="宋体" w:asciiTheme="majorEastAsia" w:hAnsiTheme="majorEastAsia" w:eastAsiaTheme="majorEastAsia"/>
          <w:color w:val="000000" w:themeColor="text1"/>
          <w:sz w:val="24"/>
          <w:u w:val="single"/>
        </w:rPr>
        <w:t xml:space="preserve"> 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09</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30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（北京时间）前提交响应文件。</w:t>
      </w:r>
    </w:p>
    <w:p>
      <w:pPr>
        <w:widowControl/>
        <w:numPr>
          <w:ilvl w:val="255"/>
          <w:numId w:val="0"/>
        </w:numPr>
        <w:tabs>
          <w:tab w:val="left" w:pos="1021"/>
        </w:tabs>
        <w:spacing w:line="46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一、项目基本情况</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项目编号：NNZC2020-C3-990366-GXYZ</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项目名称：OA内部协同办公系统</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采购计划文号：[2020]NCCJB518001/2157-001</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采购方式：竞争性磋商</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预算金额：</w:t>
      </w:r>
      <w:r>
        <w:rPr>
          <w:rFonts w:hint="eastAsia" w:asciiTheme="majorEastAsia" w:hAnsiTheme="majorEastAsia" w:eastAsiaTheme="majorEastAsia" w:cstheme="majorEastAsia"/>
          <w:color w:val="000000" w:themeColor="text1"/>
          <w:sz w:val="24"/>
        </w:rPr>
        <w:t>人民币陆拾万元整（¥600000.00元）</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最高限价：</w:t>
      </w:r>
      <w:r>
        <w:rPr>
          <w:rFonts w:hint="eastAsia" w:asciiTheme="majorEastAsia" w:hAnsiTheme="majorEastAsia" w:eastAsiaTheme="majorEastAsia" w:cstheme="majorEastAsia"/>
          <w:color w:val="000000" w:themeColor="text1"/>
          <w:sz w:val="24"/>
        </w:rPr>
        <w:t>人民币陆拾万元整（¥600000.00元）</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采购需求：</w:t>
      </w:r>
    </w:p>
    <w:tbl>
      <w:tblPr>
        <w:tblStyle w:val="18"/>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169"/>
        <w:gridCol w:w="1120"/>
        <w:gridCol w:w="5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Mar>
              <w:left w:w="0" w:type="dxa"/>
              <w:bottom w:w="0" w:type="dxa"/>
              <w:right w:w="0" w:type="dxa"/>
            </w:tcMar>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项号</w:t>
            </w:r>
          </w:p>
        </w:tc>
        <w:tc>
          <w:tcPr>
            <w:tcW w:w="2169" w:type="dxa"/>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服务名称</w:t>
            </w:r>
          </w:p>
        </w:tc>
        <w:tc>
          <w:tcPr>
            <w:tcW w:w="1120" w:type="dxa"/>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kern w:val="0"/>
                <w:sz w:val="24"/>
              </w:rPr>
              <w:t>数量</w:t>
            </w:r>
          </w:p>
        </w:tc>
        <w:tc>
          <w:tcPr>
            <w:tcW w:w="5506" w:type="dxa"/>
            <w:tcBorders>
              <w:right w:val="single" w:color="auto" w:sz="4" w:space="0"/>
            </w:tcBorders>
            <w:vAlign w:val="center"/>
          </w:tcPr>
          <w:p>
            <w:pPr>
              <w:spacing w:line="460" w:lineRule="exact"/>
              <w:jc w:val="center"/>
              <w:rPr>
                <w:rFonts w:cs="新宋体" w:asciiTheme="majorEastAsia" w:hAnsiTheme="majorEastAsia" w:eastAsiaTheme="majorEastAsia"/>
                <w:bCs/>
                <w:sz w:val="24"/>
              </w:rPr>
            </w:pPr>
            <w:r>
              <w:rPr>
                <w:rFonts w:hint="eastAsia" w:cs="新宋体" w:asciiTheme="majorEastAsia" w:hAnsiTheme="majorEastAsia" w:eastAsiaTheme="majorEastAsia"/>
                <w:bCs/>
                <w:sz w:val="24"/>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782" w:type="dxa"/>
            <w:vAlign w:val="center"/>
          </w:tcPr>
          <w:p>
            <w:pPr>
              <w:spacing w:line="460" w:lineRule="exact"/>
              <w:jc w:val="center"/>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w:t>
            </w:r>
          </w:p>
        </w:tc>
        <w:tc>
          <w:tcPr>
            <w:tcW w:w="2169" w:type="dxa"/>
            <w:vAlign w:val="center"/>
          </w:tcPr>
          <w:p>
            <w:pPr>
              <w:spacing w:line="460" w:lineRule="exact"/>
              <w:rPr>
                <w:rFonts w:cs="新宋体" w:asciiTheme="majorEastAsia" w:hAnsiTheme="majorEastAsia" w:eastAsiaTheme="majorEastAsia"/>
                <w:bCs/>
                <w:color w:val="000000" w:themeColor="text1"/>
                <w:sz w:val="24"/>
              </w:rPr>
            </w:pPr>
            <w:r>
              <w:rPr>
                <w:rFonts w:hint="eastAsia" w:cs="宋体" w:asciiTheme="majorEastAsia" w:hAnsiTheme="majorEastAsia" w:eastAsiaTheme="majorEastAsia"/>
                <w:color w:val="000000" w:themeColor="text1"/>
                <w:sz w:val="24"/>
              </w:rPr>
              <w:t>OA内部协同办公系统</w:t>
            </w:r>
          </w:p>
        </w:tc>
        <w:tc>
          <w:tcPr>
            <w:tcW w:w="1120" w:type="dxa"/>
            <w:vAlign w:val="center"/>
          </w:tcPr>
          <w:p>
            <w:pPr>
              <w:spacing w:line="460" w:lineRule="exact"/>
              <w:ind w:firstLine="240" w:firstLineChars="100"/>
              <w:rPr>
                <w:rFonts w:cs="新宋体" w:asciiTheme="majorEastAsia" w:hAnsiTheme="majorEastAsia" w:eastAsiaTheme="majorEastAsia"/>
                <w:bCs/>
                <w:color w:val="000000" w:themeColor="text1"/>
                <w:sz w:val="24"/>
              </w:rPr>
            </w:pPr>
            <w:r>
              <w:rPr>
                <w:rFonts w:hint="eastAsia" w:cs="新宋体" w:asciiTheme="majorEastAsia" w:hAnsiTheme="majorEastAsia" w:eastAsiaTheme="majorEastAsia"/>
                <w:bCs/>
                <w:color w:val="000000" w:themeColor="text1"/>
                <w:sz w:val="24"/>
              </w:rPr>
              <w:t>1项</w:t>
            </w:r>
          </w:p>
        </w:tc>
        <w:tc>
          <w:tcPr>
            <w:tcW w:w="5506" w:type="dxa"/>
            <w:tcBorders>
              <w:right w:val="single" w:color="auto" w:sz="4" w:space="0"/>
            </w:tcBorders>
            <w:vAlign w:val="center"/>
          </w:tcPr>
          <w:p>
            <w:pPr>
              <w:widowControl/>
              <w:jc w:val="left"/>
              <w:rPr>
                <w:rFonts w:ascii="宋体" w:hAnsi="宋体" w:cs="宋体"/>
                <w:b/>
                <w:bCs/>
                <w:kern w:val="0"/>
                <w:sz w:val="24"/>
              </w:rPr>
            </w:pPr>
            <w:r>
              <w:rPr>
                <w:rFonts w:hint="eastAsia" w:ascii="宋体" w:hAnsi="宋体"/>
                <w:sz w:val="24"/>
              </w:rPr>
              <w:t>一、</w:t>
            </w:r>
            <w:r>
              <w:rPr>
                <w:rFonts w:hint="eastAsia" w:ascii="宋体" w:hAnsi="宋体" w:cs="宋体"/>
                <w:b/>
                <w:bCs/>
                <w:kern w:val="0"/>
                <w:sz w:val="24"/>
              </w:rPr>
              <w:t>项目概况</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根据机构改革调整，南宁市住建局下设12个直属单位（详情可上政务网自行查询），为满足统一信息化建设和业务发展需要，将在2018年开发的OA内部协同办公系统基础上，对机构行政办公、数据库分离又统一集约管理，网络安全传输进行定制设计开发。</w:t>
            </w:r>
          </w:p>
          <w:p>
            <w:pPr>
              <w:rPr>
                <w:rFonts w:cs="新宋体" w:asciiTheme="majorEastAsia" w:hAnsiTheme="majorEastAsia" w:eastAsiaTheme="majorEastAsia"/>
                <w:sz w:val="24"/>
              </w:rPr>
            </w:pPr>
            <w:r>
              <w:rPr>
                <w:rFonts w:hint="eastAsia" w:cs="新宋体" w:asciiTheme="majorEastAsia" w:hAnsiTheme="majorEastAsia" w:eastAsiaTheme="majorEastAsia"/>
                <w:sz w:val="24"/>
              </w:rPr>
              <w:t>......</w:t>
            </w:r>
          </w:p>
        </w:tc>
      </w:tr>
    </w:tbl>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合同履行期限：详见竞争性磋商文件。</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二、申请人的资格要求：</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1、满足《中华人民共和国政府采购法》第二十二条规定；</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2、落实政府采购政策需满足的资格要求：本项目适用政府采购促进中小企业、监狱企业发展、促进残疾人就业等有关政策，具体详见竞争性磋商文件；</w:t>
      </w:r>
    </w:p>
    <w:p>
      <w:pPr>
        <w:numPr>
          <w:ilvl w:val="255"/>
          <w:numId w:val="0"/>
        </w:num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3、本项目的特定资格要求：无</w:t>
      </w:r>
    </w:p>
    <w:p>
      <w:pPr>
        <w:numPr>
          <w:ilvl w:val="255"/>
          <w:numId w:val="0"/>
        </w:num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4、具有国内法人资格，注册经营范围满足所采购内容的供应商。</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4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7、不接受联合体响应。</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三、获取采购文件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05</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至</w:t>
      </w:r>
      <w:r>
        <w:rPr>
          <w:rFonts w:hint="eastAsia" w:cs="宋体" w:asciiTheme="majorEastAsia" w:hAnsiTheme="majorEastAsia" w:eastAsiaTheme="majorEastAsia"/>
          <w:color w:val="000000" w:themeColor="text1"/>
          <w:sz w:val="24"/>
          <w:u w:val="single"/>
        </w:rPr>
        <w:t>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rPr>
        <w:t>，（北京时间，法定节假日除外 ）。</w:t>
      </w:r>
    </w:p>
    <w:p>
      <w:pPr>
        <w:spacing w:line="460" w:lineRule="exact"/>
        <w:ind w:firstLine="54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地点：南宁市公共资源交易平台(https://www.nnggzy.org.cn/gxnnhy)的信息公告处。</w:t>
      </w:r>
    </w:p>
    <w:p>
      <w:pPr>
        <w:pStyle w:val="15"/>
        <w:spacing w:before="75" w:beforeAutospacing="0" w:after="75" w:afterAutospacing="0" w:line="460" w:lineRule="exact"/>
        <w:ind w:firstLine="42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方式：</w:t>
      </w:r>
      <w:r>
        <w:rPr>
          <w:rFonts w:hint="eastAsia" w:asciiTheme="majorEastAsia" w:hAnsiTheme="majorEastAsia" w:eastAsiaTheme="majorEastAsia"/>
          <w:color w:val="000000" w:themeColor="text1"/>
        </w:rPr>
        <w:t>本项目不发放纸质文件，供应商自行在南宁市公共资源交易平台(https://www.nnggzy.org.cn/gxnnhy)的信息公告处下载采购文件。</w:t>
      </w:r>
    </w:p>
    <w:p>
      <w:pPr>
        <w:spacing w:line="460" w:lineRule="exact"/>
        <w:ind w:firstLine="54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售价：0元</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四、响应文件提交</w:t>
      </w:r>
    </w:p>
    <w:p>
      <w:pPr>
        <w:spacing w:line="460" w:lineRule="exact"/>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截止时间：</w:t>
      </w:r>
      <w:r>
        <w:rPr>
          <w:rFonts w:hint="eastAsia" w:cs="宋体" w:asciiTheme="majorEastAsia" w:hAnsiTheme="majorEastAsia" w:eastAsiaTheme="majorEastAsia"/>
          <w:color w:val="000000" w:themeColor="text1"/>
          <w:sz w:val="24"/>
          <w:u w:val="single"/>
        </w:rPr>
        <w:t xml:space="preserve"> 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09</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30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pStyle w:val="15"/>
        <w:spacing w:before="75" w:beforeAutospacing="0" w:after="75" w:afterAutospacing="0" w:line="460" w:lineRule="exact"/>
        <w:ind w:firstLine="480" w:firstLineChars="200"/>
        <w:jc w:val="both"/>
        <w:rPr>
          <w:rFonts w:asciiTheme="majorEastAsia" w:hAnsiTheme="majorEastAsia" w:eastAsiaTheme="majorEastAsia"/>
          <w:color w:val="000000" w:themeColor="text1"/>
          <w:kern w:val="2"/>
          <w:u w:val="single"/>
        </w:rPr>
      </w:pPr>
      <w:r>
        <w:rPr>
          <w:rFonts w:hint="eastAsia" w:asciiTheme="majorEastAsia" w:hAnsiTheme="majorEastAsia" w:eastAsiaTheme="majorEastAsia"/>
          <w:color w:val="000000" w:themeColor="text1"/>
          <w:kern w:val="2"/>
        </w:rPr>
        <w:t>地点：</w:t>
      </w:r>
      <w:r>
        <w:rPr>
          <w:rFonts w:hint="eastAsia" w:asciiTheme="majorEastAsia" w:hAnsiTheme="majorEastAsia" w:eastAsiaTheme="majorEastAsia"/>
          <w:color w:val="000000" w:themeColor="text1"/>
        </w:rPr>
        <w:t>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000000" w:themeColor="text1"/>
        </w:rPr>
        <w:t>为做好疫情防控工作，本项目的响应文件通过邮寄快递的方式送达，具体要求详见关于响应文件邮寄形式的通知。</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五、开启</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时间：</w:t>
      </w:r>
      <w:r>
        <w:rPr>
          <w:rFonts w:hint="eastAsia" w:cs="宋体" w:asciiTheme="majorEastAsia" w:hAnsiTheme="majorEastAsia" w:eastAsiaTheme="majorEastAsia"/>
          <w:color w:val="000000" w:themeColor="text1"/>
          <w:sz w:val="24"/>
          <w:u w:val="single"/>
        </w:rPr>
        <w:t xml:space="preserve"> 2020年</w:t>
      </w:r>
      <w:r>
        <w:rPr>
          <w:rFonts w:hint="eastAsia" w:cs="宋体" w:asciiTheme="majorEastAsia" w:hAnsiTheme="majorEastAsia" w:eastAsiaTheme="majorEastAsia"/>
          <w:color w:val="000000" w:themeColor="text1"/>
          <w:sz w:val="24"/>
          <w:u w:val="single"/>
          <w:lang w:val="en-US" w:eastAsia="zh-CN"/>
        </w:rPr>
        <w:t>11</w:t>
      </w:r>
      <w:r>
        <w:rPr>
          <w:rFonts w:hint="eastAsia" w:cs="宋体" w:asciiTheme="majorEastAsia" w:hAnsiTheme="majorEastAsia" w:eastAsiaTheme="majorEastAsia"/>
          <w:color w:val="000000" w:themeColor="text1"/>
          <w:sz w:val="24"/>
          <w:u w:val="single"/>
        </w:rPr>
        <w:t>月</w:t>
      </w:r>
      <w:r>
        <w:rPr>
          <w:rFonts w:hint="eastAsia" w:cs="宋体" w:asciiTheme="majorEastAsia" w:hAnsiTheme="majorEastAsia" w:eastAsiaTheme="majorEastAsia"/>
          <w:color w:val="000000" w:themeColor="text1"/>
          <w:sz w:val="24"/>
          <w:u w:val="single"/>
          <w:lang w:val="en-US" w:eastAsia="zh-CN"/>
        </w:rPr>
        <w:t>16</w:t>
      </w:r>
      <w:r>
        <w:rPr>
          <w:rFonts w:hint="eastAsia" w:cs="宋体" w:asciiTheme="majorEastAsia" w:hAnsiTheme="majorEastAsia" w:eastAsiaTheme="majorEastAsia"/>
          <w:color w:val="000000" w:themeColor="text1"/>
          <w:sz w:val="24"/>
          <w:u w:val="single"/>
        </w:rPr>
        <w:t>日</w:t>
      </w:r>
      <w:r>
        <w:rPr>
          <w:rFonts w:hint="eastAsia" w:cs="宋体" w:asciiTheme="majorEastAsia" w:hAnsiTheme="majorEastAsia" w:eastAsiaTheme="majorEastAsia"/>
          <w:color w:val="000000" w:themeColor="text1"/>
          <w:sz w:val="24"/>
          <w:u w:val="single"/>
          <w:lang w:val="en-US" w:eastAsia="zh-CN"/>
        </w:rPr>
        <w:t>09</w:t>
      </w:r>
      <w:r>
        <w:rPr>
          <w:rFonts w:hint="eastAsia" w:cs="宋体" w:asciiTheme="majorEastAsia" w:hAnsiTheme="majorEastAsia" w:eastAsiaTheme="majorEastAsia"/>
          <w:color w:val="000000" w:themeColor="text1"/>
          <w:sz w:val="24"/>
          <w:u w:val="single"/>
        </w:rPr>
        <w:t>点</w:t>
      </w:r>
      <w:r>
        <w:rPr>
          <w:rFonts w:hint="eastAsia" w:cs="宋体" w:asciiTheme="majorEastAsia" w:hAnsiTheme="majorEastAsia" w:eastAsiaTheme="majorEastAsia"/>
          <w:color w:val="000000" w:themeColor="text1"/>
          <w:sz w:val="24"/>
          <w:u w:val="single"/>
          <w:lang w:val="en-US" w:eastAsia="zh-CN"/>
        </w:rPr>
        <w:t>30</w:t>
      </w:r>
      <w:r>
        <w:rPr>
          <w:rFonts w:hint="eastAsia" w:cs="宋体" w:asciiTheme="majorEastAsia" w:hAnsiTheme="majorEastAsia" w:eastAsiaTheme="majorEastAsia"/>
          <w:color w:val="000000" w:themeColor="text1"/>
          <w:sz w:val="24"/>
          <w:u w:val="single"/>
        </w:rPr>
        <w:t>分</w:t>
      </w:r>
      <w:r>
        <w:rPr>
          <w:rFonts w:hint="eastAsia" w:cs="宋体" w:asciiTheme="majorEastAsia" w:hAnsiTheme="majorEastAsia" w:eastAsiaTheme="majorEastAsia"/>
          <w:color w:val="000000" w:themeColor="text1"/>
          <w:sz w:val="24"/>
        </w:rPr>
        <w:t>（北京时间）</w:t>
      </w:r>
    </w:p>
    <w:p>
      <w:pPr>
        <w:spacing w:line="460" w:lineRule="exact"/>
        <w:ind w:firstLine="480" w:firstLineChars="2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地点：南宁市良庆区玉洞大道33号（青少年活动中心旁）市民中心9楼南宁市公共资源交易中心（具体详见9楼电子显示屏场地安排）。</w:t>
      </w:r>
    </w:p>
    <w:p>
      <w:pPr>
        <w:widowControl/>
        <w:numPr>
          <w:ilvl w:val="1"/>
          <w:numId w:val="0"/>
        </w:numPr>
        <w:tabs>
          <w:tab w:val="left" w:pos="1021"/>
        </w:tabs>
        <w:spacing w:line="460" w:lineRule="exact"/>
        <w:ind w:firstLine="480" w:firstLineChars="200"/>
        <w:rPr>
          <w:rFonts w:cs="宋体" w:asciiTheme="majorEastAsia" w:hAnsiTheme="majorEastAsia" w:eastAsiaTheme="majorEastAsia"/>
          <w:bCs/>
          <w:color w:val="000000" w:themeColor="text1"/>
          <w:kern w:val="0"/>
          <w:sz w:val="24"/>
        </w:rPr>
      </w:pPr>
      <w:r>
        <w:rPr>
          <w:rFonts w:hint="eastAsia" w:cs="宋体" w:asciiTheme="majorEastAsia" w:hAnsiTheme="majorEastAsia" w:eastAsiaTheme="majorEastAsia"/>
          <w:color w:val="000000" w:themeColor="text1"/>
          <w:sz w:val="24"/>
        </w:rPr>
        <w:t>六、公告期限：</w:t>
      </w:r>
      <w:r>
        <w:rPr>
          <w:rFonts w:hint="eastAsia" w:cs="宋体" w:asciiTheme="majorEastAsia" w:hAnsiTheme="majorEastAsia" w:eastAsiaTheme="majorEastAsia"/>
          <w:bCs/>
          <w:color w:val="000000" w:themeColor="text1"/>
          <w:kern w:val="0"/>
          <w:sz w:val="24"/>
        </w:rPr>
        <w:t>自本公告发布之日起5个工作日（2020年</w:t>
      </w:r>
      <w:r>
        <w:rPr>
          <w:rFonts w:hint="eastAsia" w:cs="宋体" w:asciiTheme="majorEastAsia" w:hAnsiTheme="majorEastAsia" w:eastAsiaTheme="majorEastAsia"/>
          <w:bCs/>
          <w:color w:val="000000" w:themeColor="text1"/>
          <w:kern w:val="0"/>
          <w:sz w:val="24"/>
          <w:lang w:val="en-US" w:eastAsia="zh-CN"/>
        </w:rPr>
        <w:t>11</w:t>
      </w:r>
      <w:r>
        <w:rPr>
          <w:rFonts w:hint="eastAsia" w:cs="宋体" w:asciiTheme="majorEastAsia" w:hAnsiTheme="majorEastAsia" w:eastAsiaTheme="majorEastAsia"/>
          <w:bCs/>
          <w:color w:val="000000" w:themeColor="text1"/>
          <w:kern w:val="0"/>
          <w:sz w:val="24"/>
        </w:rPr>
        <w:t>月</w:t>
      </w:r>
      <w:r>
        <w:rPr>
          <w:rFonts w:hint="eastAsia" w:cs="宋体" w:asciiTheme="majorEastAsia" w:hAnsiTheme="majorEastAsia" w:eastAsiaTheme="majorEastAsia"/>
          <w:bCs/>
          <w:color w:val="000000" w:themeColor="text1"/>
          <w:kern w:val="0"/>
          <w:sz w:val="24"/>
          <w:lang w:val="en-US" w:eastAsia="zh-CN"/>
        </w:rPr>
        <w:t>05</w:t>
      </w:r>
      <w:r>
        <w:rPr>
          <w:rFonts w:hint="eastAsia" w:cs="宋体" w:asciiTheme="majorEastAsia" w:hAnsiTheme="majorEastAsia" w:eastAsiaTheme="majorEastAsia"/>
          <w:bCs/>
          <w:color w:val="000000" w:themeColor="text1"/>
          <w:kern w:val="0"/>
          <w:sz w:val="24"/>
        </w:rPr>
        <w:t>日至2020年</w:t>
      </w:r>
      <w:r>
        <w:rPr>
          <w:rFonts w:hint="eastAsia" w:cs="宋体" w:asciiTheme="majorEastAsia" w:hAnsiTheme="majorEastAsia" w:eastAsiaTheme="majorEastAsia"/>
          <w:bCs/>
          <w:color w:val="000000" w:themeColor="text1"/>
          <w:kern w:val="0"/>
          <w:sz w:val="24"/>
          <w:lang w:val="en-US" w:eastAsia="zh-CN"/>
        </w:rPr>
        <w:t>11</w:t>
      </w:r>
      <w:r>
        <w:rPr>
          <w:rFonts w:hint="eastAsia" w:cs="宋体" w:asciiTheme="majorEastAsia" w:hAnsiTheme="majorEastAsia" w:eastAsiaTheme="majorEastAsia"/>
          <w:bCs/>
          <w:color w:val="000000" w:themeColor="text1"/>
          <w:kern w:val="0"/>
          <w:sz w:val="24"/>
        </w:rPr>
        <w:t>月</w:t>
      </w:r>
      <w:r>
        <w:rPr>
          <w:rFonts w:hint="eastAsia" w:cs="宋体" w:asciiTheme="majorEastAsia" w:hAnsiTheme="majorEastAsia" w:eastAsiaTheme="majorEastAsia"/>
          <w:bCs/>
          <w:color w:val="000000" w:themeColor="text1"/>
          <w:kern w:val="0"/>
          <w:sz w:val="24"/>
          <w:lang w:val="en-US" w:eastAsia="zh-CN"/>
        </w:rPr>
        <w:t>11</w:t>
      </w:r>
      <w:r>
        <w:rPr>
          <w:rFonts w:hint="eastAsia" w:cs="宋体" w:asciiTheme="majorEastAsia" w:hAnsiTheme="majorEastAsia" w:eastAsiaTheme="majorEastAsia"/>
          <w:bCs/>
          <w:color w:val="000000" w:themeColor="text1"/>
          <w:kern w:val="0"/>
          <w:sz w:val="24"/>
        </w:rPr>
        <w:t>日结束）</w:t>
      </w:r>
      <w:r>
        <w:rPr>
          <w:rFonts w:hint="eastAsia" w:cs="宋体" w:asciiTheme="majorEastAsia" w:hAnsiTheme="majorEastAsia" w:eastAsiaTheme="majorEastAsia"/>
          <w:bCs/>
          <w:color w:val="000000" w:themeColor="text1"/>
          <w:kern w:val="0"/>
          <w:sz w:val="24"/>
        </w:rPr>
        <w:t>。</w:t>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七、其他补充事宜：</w:t>
      </w:r>
    </w:p>
    <w:p>
      <w:pPr>
        <w:widowControl/>
        <w:numPr>
          <w:ilvl w:val="1"/>
          <w:numId w:val="0"/>
        </w:numPr>
        <w:tabs>
          <w:tab w:val="left" w:pos="1021"/>
        </w:tabs>
        <w:adjustRightInd w:val="0"/>
        <w:spacing w:line="460" w:lineRule="exact"/>
        <w:ind w:left="425"/>
        <w:textAlignment w:val="baseline"/>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网上查询地址：</w:t>
      </w:r>
      <w:r>
        <w:fldChar w:fldCharType="begin"/>
      </w:r>
      <w:r>
        <w:instrText xml:space="preserve"> HYPERLINK </w:instrText>
      </w:r>
      <w:r>
        <w:fldChar w:fldCharType="separate"/>
      </w:r>
      <w:r>
        <w:rPr>
          <w:rFonts w:hint="eastAsia" w:cs="宋体" w:asciiTheme="majorEastAsia" w:hAnsiTheme="majorEastAsia" w:eastAsiaTheme="majorEastAsia"/>
          <w:color w:val="000000" w:themeColor="text1"/>
          <w:sz w:val="24"/>
        </w:rPr>
        <w:t>http://zfcg.gxzf.gov.cn/（广西壮族自治区政府采购网），https://www.nnggzy.org.cn/gxnnzbw/（南宁市公共资源交易中心网）</w:t>
      </w:r>
      <w:r>
        <w:rPr>
          <w:rFonts w:hint="eastAsia" w:cs="宋体" w:asciiTheme="majorEastAsia" w:hAnsiTheme="majorEastAsia" w:eastAsiaTheme="majorEastAsia"/>
          <w:color w:val="000000" w:themeColor="text1"/>
          <w:sz w:val="24"/>
        </w:rPr>
        <w:fldChar w:fldCharType="end"/>
      </w:r>
    </w:p>
    <w:p>
      <w:pPr>
        <w:widowControl/>
        <w:numPr>
          <w:ilvl w:val="255"/>
          <w:numId w:val="0"/>
        </w:numPr>
        <w:tabs>
          <w:tab w:val="left" w:pos="1021"/>
        </w:tabs>
        <w:spacing w:line="460" w:lineRule="exact"/>
        <w:ind w:left="425"/>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八、凡对本次采购提出询问，请按以下方式联系。</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7" w:name="_Toc23955"/>
      <w:bookmarkStart w:id="8" w:name="_Toc1019"/>
      <w:r>
        <w:rPr>
          <w:rFonts w:hint="eastAsia" w:cs="宋体" w:asciiTheme="majorEastAsia" w:hAnsiTheme="majorEastAsia" w:eastAsiaTheme="majorEastAsia"/>
          <w:color w:val="000000" w:themeColor="text1"/>
          <w:sz w:val="24"/>
        </w:rPr>
        <w:t>1.采购人信息</w:t>
      </w:r>
      <w:bookmarkEnd w:id="7"/>
      <w:bookmarkEnd w:id="8"/>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南宁市住房和城乡建设局  </w:t>
      </w:r>
    </w:p>
    <w:p>
      <w:pPr>
        <w:spacing w:line="460" w:lineRule="exact"/>
        <w:ind w:left="1079" w:leftChars="371" w:hanging="300" w:hangingChars="125"/>
        <w:jc w:val="left"/>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南宁市青秀区金湖路59-1号</w:t>
      </w:r>
    </w:p>
    <w:p>
      <w:pPr>
        <w:spacing w:line="460" w:lineRule="exact"/>
        <w:ind w:left="1079" w:leftChars="371" w:hanging="300" w:hangingChars="125"/>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联系方式：</w:t>
      </w:r>
      <w:r>
        <w:rPr>
          <w:rFonts w:hint="eastAsia" w:cs="宋体" w:asciiTheme="majorEastAsia" w:hAnsiTheme="majorEastAsia" w:eastAsiaTheme="majorEastAsia"/>
          <w:color w:val="000000" w:themeColor="text1"/>
          <w:sz w:val="24"/>
          <w:u w:val="single"/>
        </w:rPr>
        <w:t xml:space="preserve"> 农云浩   0771-5527061 </w:t>
      </w:r>
    </w:p>
    <w:p>
      <w:pPr>
        <w:widowControl/>
        <w:numPr>
          <w:ilvl w:val="255"/>
          <w:numId w:val="0"/>
        </w:numPr>
        <w:tabs>
          <w:tab w:val="left" w:pos="1021"/>
        </w:tabs>
        <w:spacing w:line="460" w:lineRule="exact"/>
        <w:ind w:left="630" w:leftChars="300"/>
        <w:rPr>
          <w:rFonts w:cs="宋体" w:asciiTheme="majorEastAsia" w:hAnsiTheme="majorEastAsia" w:eastAsiaTheme="majorEastAsia"/>
          <w:color w:val="000000" w:themeColor="text1"/>
          <w:sz w:val="24"/>
        </w:rPr>
      </w:pPr>
      <w:bookmarkStart w:id="9" w:name="_Toc31103"/>
      <w:bookmarkStart w:id="10" w:name="_Toc8684"/>
      <w:r>
        <w:rPr>
          <w:rFonts w:hint="eastAsia" w:cs="宋体" w:asciiTheme="majorEastAsia" w:hAnsiTheme="majorEastAsia" w:eastAsiaTheme="majorEastAsia"/>
          <w:color w:val="000000" w:themeColor="text1"/>
          <w:sz w:val="24"/>
        </w:rPr>
        <w:t>2.采购代理机构信息</w:t>
      </w:r>
      <w:bookmarkEnd w:id="9"/>
      <w:bookmarkEnd w:id="10"/>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名    称：</w:t>
      </w:r>
      <w:r>
        <w:rPr>
          <w:rFonts w:hint="eastAsia" w:cs="宋体" w:asciiTheme="majorEastAsia" w:hAnsiTheme="majorEastAsia" w:eastAsiaTheme="majorEastAsia"/>
          <w:color w:val="000000" w:themeColor="text1"/>
          <w:sz w:val="24"/>
          <w:u w:val="single"/>
        </w:rPr>
        <w:t xml:space="preserve"> 广西邕政采购代理有限公司     </w:t>
      </w:r>
    </w:p>
    <w:p>
      <w:pPr>
        <w:spacing w:line="460" w:lineRule="exact"/>
        <w:ind w:firstLine="720" w:firstLineChars="3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地  址：</w:t>
      </w:r>
      <w:r>
        <w:rPr>
          <w:rFonts w:hint="eastAsia" w:cs="宋体" w:asciiTheme="majorEastAsia" w:hAnsiTheme="majorEastAsia" w:eastAsiaTheme="majorEastAsia"/>
          <w:color w:val="000000" w:themeColor="text1"/>
          <w:sz w:val="24"/>
          <w:u w:val="single"/>
        </w:rPr>
        <w:t xml:space="preserve"> 南宁市思贤路45号创投中心16A层</w:t>
      </w:r>
    </w:p>
    <w:p>
      <w:pPr>
        <w:pStyle w:val="23"/>
        <w:spacing w:afterLines="0" w:line="460" w:lineRule="exact"/>
        <w:ind w:firstLine="720" w:firstLineChars="300"/>
        <w:jc w:val="left"/>
        <w:rPr>
          <w:rFonts w:asciiTheme="majorEastAsia" w:hAnsiTheme="majorEastAsia" w:eastAsiaTheme="majorEastAsia" w:cstheme="majorEastAsia"/>
          <w:color w:val="000000" w:themeColor="text1"/>
          <w:szCs w:val="24"/>
        </w:rPr>
      </w:pPr>
      <w:r>
        <w:rPr>
          <w:rFonts w:hint="eastAsia" w:cs="宋体" w:asciiTheme="majorEastAsia" w:hAnsiTheme="majorEastAsia" w:eastAsiaTheme="majorEastAsia"/>
          <w:color w:val="000000" w:themeColor="text1"/>
          <w:kern w:val="2"/>
          <w:szCs w:val="24"/>
        </w:rPr>
        <w:t>联系方式：</w:t>
      </w:r>
      <w:r>
        <w:rPr>
          <w:rFonts w:hint="eastAsia" w:cs="宋体" w:asciiTheme="majorEastAsia" w:hAnsiTheme="majorEastAsia" w:eastAsiaTheme="majorEastAsia"/>
          <w:color w:val="000000" w:themeColor="text1"/>
          <w:kern w:val="2"/>
          <w:szCs w:val="24"/>
          <w:u w:val="single"/>
        </w:rPr>
        <w:t xml:space="preserve"> 蔺工、罗工  0771-2442850     </w:t>
      </w:r>
    </w:p>
    <w:p>
      <w:pPr>
        <w:widowControl/>
        <w:numPr>
          <w:ilvl w:val="255"/>
          <w:numId w:val="0"/>
        </w:numPr>
        <w:tabs>
          <w:tab w:val="left" w:pos="1021"/>
        </w:tabs>
        <w:spacing w:line="460" w:lineRule="exact"/>
        <w:ind w:firstLine="480" w:firstLineChars="200"/>
        <w:rPr>
          <w:rFonts w:cs="宋体" w:asciiTheme="majorEastAsia" w:hAnsiTheme="majorEastAsia" w:eastAsiaTheme="majorEastAsia"/>
          <w:color w:val="000000" w:themeColor="text1"/>
          <w:sz w:val="24"/>
        </w:rPr>
      </w:pPr>
      <w:bookmarkStart w:id="11" w:name="_Toc20753"/>
      <w:bookmarkStart w:id="12" w:name="_Toc11360"/>
      <w:r>
        <w:rPr>
          <w:rFonts w:hint="eastAsia" w:cs="宋体" w:asciiTheme="majorEastAsia" w:hAnsiTheme="majorEastAsia" w:eastAsiaTheme="majorEastAsia"/>
          <w:color w:val="000000" w:themeColor="text1"/>
          <w:sz w:val="24"/>
        </w:rPr>
        <w:t>3.项目联系方式</w:t>
      </w:r>
      <w:bookmarkEnd w:id="11"/>
      <w:bookmarkEnd w:id="12"/>
    </w:p>
    <w:p>
      <w:pPr>
        <w:pStyle w:val="9"/>
        <w:widowControl/>
        <w:spacing w:line="460" w:lineRule="exact"/>
        <w:ind w:firstLine="720" w:firstLineChars="3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项目联系人：</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蔺工、罗工</w:t>
      </w:r>
      <w:r>
        <w:rPr>
          <w:rFonts w:cs="宋体" w:asciiTheme="majorEastAsia" w:hAnsiTheme="majorEastAsia" w:eastAsiaTheme="majorEastAsia"/>
          <w:color w:val="000000" w:themeColor="text1"/>
          <w:sz w:val="24"/>
          <w:szCs w:val="24"/>
          <w:u w:val="single"/>
        </w:rPr>
        <w:t xml:space="preserve">  0771-2442850  </w:t>
      </w:r>
    </w:p>
    <w:p>
      <w:pPr>
        <w:spacing w:line="460" w:lineRule="exact"/>
        <w:ind w:firstLine="720" w:firstLineChars="300"/>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电   话：</w:t>
      </w:r>
      <w:r>
        <w:rPr>
          <w:rFonts w:hint="eastAsia" w:cs="宋体" w:asciiTheme="majorEastAsia" w:hAnsiTheme="majorEastAsia" w:eastAsiaTheme="majorEastAsia"/>
          <w:color w:val="000000" w:themeColor="text1"/>
          <w:sz w:val="24"/>
          <w:u w:val="single"/>
        </w:rPr>
        <w:t xml:space="preserve"> 0771-2442850  </w:t>
      </w:r>
    </w:p>
    <w:p>
      <w:pPr>
        <w:spacing w:line="460" w:lineRule="exact"/>
        <w:ind w:firstLine="480" w:firstLineChars="200"/>
        <w:jc w:val="lef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                                                 </w:t>
      </w: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p>
    <w:p>
      <w:pPr>
        <w:spacing w:line="480" w:lineRule="exact"/>
        <w:ind w:firstLine="4680" w:firstLineChars="1950"/>
        <w:jc w:val="righ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发布日期：2020年</w:t>
      </w:r>
      <w:r>
        <w:rPr>
          <w:rFonts w:hint="eastAsia" w:asciiTheme="majorEastAsia" w:hAnsiTheme="majorEastAsia" w:eastAsiaTheme="majorEastAsia" w:cstheme="majorEastAsia"/>
          <w:color w:val="000000" w:themeColor="text1"/>
          <w:kern w:val="0"/>
          <w:sz w:val="24"/>
          <w:lang w:val="en-US" w:eastAsia="zh-CN"/>
        </w:rPr>
        <w:t>11</w:t>
      </w:r>
      <w:r>
        <w:rPr>
          <w:rFonts w:hint="eastAsia" w:asciiTheme="majorEastAsia" w:hAnsiTheme="majorEastAsia" w:eastAsiaTheme="majorEastAsia" w:cstheme="majorEastAsia"/>
          <w:color w:val="000000" w:themeColor="text1"/>
          <w:kern w:val="0"/>
          <w:sz w:val="24"/>
        </w:rPr>
        <w:t>月</w:t>
      </w:r>
      <w:r>
        <w:rPr>
          <w:rFonts w:hint="eastAsia" w:asciiTheme="majorEastAsia" w:hAnsiTheme="majorEastAsia" w:eastAsiaTheme="majorEastAsia" w:cstheme="majorEastAsia"/>
          <w:color w:val="000000" w:themeColor="text1"/>
          <w:kern w:val="0"/>
          <w:sz w:val="24"/>
          <w:lang w:val="en-US" w:eastAsia="zh-CN"/>
        </w:rPr>
        <w:t>04</w:t>
      </w:r>
      <w:r>
        <w:rPr>
          <w:rFonts w:hint="eastAsia" w:asciiTheme="majorEastAsia" w:hAnsiTheme="majorEastAsia" w:eastAsiaTheme="majorEastAsia" w:cstheme="majorEastAsia"/>
          <w:color w:val="000000" w:themeColor="text1"/>
          <w:kern w:val="0"/>
          <w:sz w:val="24"/>
        </w:rPr>
        <w:t>日</w:t>
      </w:r>
    </w:p>
    <w:p>
      <w:pPr>
        <w:widowControl/>
        <w:jc w:val="center"/>
        <w:rPr>
          <w:rFonts w:asciiTheme="majorEastAsia" w:hAnsiTheme="majorEastAsia" w:eastAsiaTheme="majorEastAsia" w:cstheme="majorEastAsia"/>
          <w:b/>
          <w:bCs/>
          <w:color w:val="000000" w:themeColor="text1"/>
          <w:sz w:val="32"/>
          <w:szCs w:val="40"/>
        </w:rPr>
        <w:sectPr>
          <w:headerReference r:id="rId9" w:type="default"/>
          <w:footerReference r:id="rId10" w:type="default"/>
          <w:pgSz w:w="11906" w:h="16838"/>
          <w:pgMar w:top="1440" w:right="1080" w:bottom="1118" w:left="1080" w:header="720" w:footer="720" w:gutter="0"/>
          <w:cols w:space="720" w:num="1"/>
          <w:docGrid w:type="lines" w:linePitch="331" w:charSpace="0"/>
        </w:sectPr>
      </w:pPr>
      <w:bookmarkStart w:id="13" w:name="_Toc485920201"/>
      <w:bookmarkStart w:id="14" w:name="_Toc460253699"/>
      <w:bookmarkStart w:id="15" w:name="_Toc139967215"/>
      <w:bookmarkStart w:id="16" w:name="_Toc213326412"/>
      <w:bookmarkStart w:id="17" w:name="_Toc213325921"/>
      <w:bookmarkStart w:id="18" w:name="_Toc139966431"/>
      <w:bookmarkStart w:id="19" w:name="_Toc213206172"/>
    </w:p>
    <w:p>
      <w:pPr>
        <w:widowControl/>
        <w:jc w:val="center"/>
        <w:outlineLvl w:val="0"/>
        <w:rPr>
          <w:rFonts w:asciiTheme="majorEastAsia" w:hAnsiTheme="majorEastAsia" w:eastAsiaTheme="majorEastAsia" w:cstheme="majorEastAsia"/>
          <w:b/>
          <w:bCs/>
          <w:caps/>
          <w:color w:val="000000" w:themeColor="text1"/>
          <w:sz w:val="32"/>
          <w:szCs w:val="40"/>
        </w:rPr>
      </w:pPr>
      <w:bookmarkStart w:id="20" w:name="_Toc6237"/>
      <w:bookmarkStart w:id="21" w:name="_Toc8452"/>
      <w:bookmarkStart w:id="22" w:name="_Toc15101"/>
      <w:r>
        <w:rPr>
          <w:rFonts w:hint="eastAsia" w:asciiTheme="majorEastAsia" w:hAnsiTheme="majorEastAsia" w:eastAsiaTheme="majorEastAsia" w:cstheme="majorEastAsia"/>
          <w:b/>
          <w:bCs/>
          <w:color w:val="000000" w:themeColor="text1"/>
          <w:sz w:val="32"/>
          <w:szCs w:val="40"/>
        </w:rPr>
        <w:t>第二章  服务需求一览表</w:t>
      </w:r>
      <w:bookmarkEnd w:id="13"/>
      <w:bookmarkEnd w:id="14"/>
      <w:bookmarkEnd w:id="20"/>
      <w:bookmarkEnd w:id="21"/>
      <w:bookmarkEnd w:id="22"/>
    </w:p>
    <w:p>
      <w:pPr>
        <w:spacing w:line="360" w:lineRule="auto"/>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说明：</w:t>
      </w:r>
    </w:p>
    <w:p>
      <w:pPr>
        <w:spacing w:line="360" w:lineRule="auto"/>
        <w:ind w:firstLine="602" w:firstLineChars="25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1、本服务需求一览表中标注★号的部分为实质性要求和条件。</w:t>
      </w:r>
    </w:p>
    <w:p>
      <w:pPr>
        <w:spacing w:line="360" w:lineRule="auto"/>
        <w:ind w:firstLine="600" w:firstLineChars="25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2、本服务需求一览表中内容如与第六章“合同条款及格式”相关条款不一致的，以本表为准。</w:t>
      </w:r>
    </w:p>
    <w:p>
      <w:pPr>
        <w:spacing w:line="460" w:lineRule="exact"/>
        <w:ind w:firstLine="482" w:firstLineChars="200"/>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bCs/>
          <w:color w:val="000000" w:themeColor="text1"/>
          <w:sz w:val="24"/>
        </w:rPr>
        <w:t>3、本次服务采购最高限价为：人民币陆拾万元整（¥600000.00元）</w:t>
      </w:r>
    </w:p>
    <w:bookmarkEnd w:id="15"/>
    <w:bookmarkEnd w:id="16"/>
    <w:bookmarkEnd w:id="17"/>
    <w:bookmarkEnd w:id="18"/>
    <w:bookmarkEnd w:id="19"/>
    <w:tbl>
      <w:tblPr>
        <w:tblStyle w:val="18"/>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937"/>
        <w:gridCol w:w="7212"/>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285" w:hRule="atLeast"/>
        </w:trPr>
        <w:tc>
          <w:tcPr>
            <w:tcW w:w="725" w:type="dxa"/>
            <w:vAlign w:val="center"/>
          </w:tcPr>
          <w:p>
            <w:pPr>
              <w:widowControl/>
              <w:spacing w:line="360" w:lineRule="auto"/>
              <w:ind w:right="-107" w:rightChars="-51"/>
              <w:jc w:val="center"/>
              <w:rPr>
                <w:rFonts w:asciiTheme="majorEastAsia" w:hAnsiTheme="majorEastAsia" w:eastAsiaTheme="majorEastAsia" w:cstheme="majorEastAsia"/>
                <w:b/>
                <w:color w:val="000000" w:themeColor="text1"/>
                <w:kern w:val="0"/>
                <w:sz w:val="24"/>
              </w:rPr>
            </w:pPr>
            <w:bookmarkStart w:id="23" w:name="_Toc485920211"/>
            <w:bookmarkStart w:id="24" w:name="_Toc139967216"/>
            <w:bookmarkStart w:id="25" w:name="_Toc460253700"/>
            <w:bookmarkStart w:id="26" w:name="_Toc213325922"/>
            <w:bookmarkStart w:id="27" w:name="_Toc213326413"/>
            <w:bookmarkStart w:id="28" w:name="_Toc139966432"/>
            <w:bookmarkStart w:id="29" w:name="_Toc213206173"/>
            <w:r>
              <w:rPr>
                <w:rFonts w:hint="eastAsia" w:asciiTheme="majorEastAsia" w:hAnsiTheme="majorEastAsia" w:eastAsiaTheme="majorEastAsia" w:cstheme="majorEastAsia"/>
                <w:b/>
                <w:color w:val="000000" w:themeColor="text1"/>
                <w:kern w:val="0"/>
                <w:sz w:val="24"/>
              </w:rPr>
              <w:t>项号</w:t>
            </w:r>
          </w:p>
        </w:tc>
        <w:tc>
          <w:tcPr>
            <w:tcW w:w="1350" w:type="dxa"/>
            <w:vAlign w:val="center"/>
          </w:tcPr>
          <w:p>
            <w:pPr>
              <w:widowControl/>
              <w:spacing w:line="360" w:lineRule="auto"/>
              <w:jc w:val="center"/>
              <w:rPr>
                <w:rFonts w:asciiTheme="majorEastAsia" w:hAnsiTheme="majorEastAsia" w:eastAsiaTheme="majorEastAsia" w:cstheme="majorEastAsia"/>
                <w:b/>
                <w:color w:val="000000" w:themeColor="text1"/>
                <w:kern w:val="0"/>
                <w:sz w:val="24"/>
              </w:rPr>
            </w:pPr>
            <w:r>
              <w:rPr>
                <w:rFonts w:hint="eastAsia" w:asciiTheme="majorEastAsia" w:hAnsiTheme="majorEastAsia" w:eastAsiaTheme="majorEastAsia" w:cstheme="majorEastAsia"/>
                <w:b/>
                <w:color w:val="000000" w:themeColor="text1"/>
                <w:kern w:val="0"/>
                <w:sz w:val="24"/>
              </w:rPr>
              <w:t>服务名称</w:t>
            </w:r>
          </w:p>
        </w:tc>
        <w:tc>
          <w:tcPr>
            <w:tcW w:w="937" w:type="dxa"/>
            <w:vAlign w:val="center"/>
          </w:tcPr>
          <w:p>
            <w:pPr>
              <w:widowControl/>
              <w:spacing w:line="360" w:lineRule="auto"/>
              <w:jc w:val="center"/>
              <w:rPr>
                <w:rFonts w:asciiTheme="majorEastAsia" w:hAnsiTheme="majorEastAsia" w:eastAsiaTheme="majorEastAsia" w:cstheme="majorEastAsia"/>
                <w:b/>
                <w:color w:val="000000" w:themeColor="text1"/>
                <w:kern w:val="0"/>
                <w:sz w:val="24"/>
              </w:rPr>
            </w:pPr>
            <w:r>
              <w:rPr>
                <w:rFonts w:hint="eastAsia" w:asciiTheme="majorEastAsia" w:hAnsiTheme="majorEastAsia" w:eastAsiaTheme="majorEastAsia" w:cstheme="majorEastAsia"/>
                <w:b/>
                <w:color w:val="000000" w:themeColor="text1"/>
                <w:kern w:val="0"/>
                <w:sz w:val="24"/>
              </w:rPr>
              <w:t>数量</w:t>
            </w:r>
          </w:p>
        </w:tc>
        <w:tc>
          <w:tcPr>
            <w:tcW w:w="7212" w:type="dxa"/>
            <w:vAlign w:val="center"/>
          </w:tcPr>
          <w:p>
            <w:pPr>
              <w:widowControl/>
              <w:spacing w:line="360" w:lineRule="auto"/>
              <w:jc w:val="center"/>
              <w:rPr>
                <w:rFonts w:asciiTheme="majorEastAsia" w:hAnsiTheme="majorEastAsia" w:eastAsiaTheme="majorEastAsia" w:cstheme="majorEastAsia"/>
                <w:b/>
                <w:color w:val="000000" w:themeColor="text1"/>
                <w:kern w:val="0"/>
                <w:sz w:val="24"/>
              </w:rPr>
            </w:pPr>
            <w:r>
              <w:rPr>
                <w:rFonts w:hint="eastAsia" w:asciiTheme="majorEastAsia" w:hAnsiTheme="majorEastAsia" w:eastAsiaTheme="majorEastAsia" w:cstheme="majorEastAsia"/>
                <w:b/>
                <w:color w:val="000000" w:themeColor="text1"/>
                <w:kern w:val="0"/>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0" w:hRule="atLeast"/>
        </w:trPr>
        <w:tc>
          <w:tcPr>
            <w:tcW w:w="725" w:type="dxa"/>
            <w:vAlign w:val="center"/>
          </w:tcPr>
          <w:p>
            <w:pPr>
              <w:spacing w:line="360" w:lineRule="auto"/>
              <w:jc w:val="center"/>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bCs/>
                <w:color w:val="000000" w:themeColor="text1"/>
                <w:sz w:val="24"/>
              </w:rPr>
              <w:t>1</w:t>
            </w:r>
          </w:p>
        </w:tc>
        <w:tc>
          <w:tcPr>
            <w:tcW w:w="1350" w:type="dxa"/>
            <w:vAlign w:val="center"/>
          </w:tcPr>
          <w:p>
            <w:pPr>
              <w:spacing w:line="360" w:lineRule="auto"/>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sz w:val="24"/>
              </w:rPr>
              <w:t>OA内部协同办公系统</w:t>
            </w:r>
          </w:p>
        </w:tc>
        <w:tc>
          <w:tcPr>
            <w:tcW w:w="937" w:type="dxa"/>
            <w:vAlign w:val="center"/>
          </w:tcPr>
          <w:p>
            <w:pPr>
              <w:widowControl/>
              <w:spacing w:line="360" w:lineRule="auto"/>
              <w:jc w:val="center"/>
              <w:textAlignment w:val="center"/>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sz w:val="24"/>
              </w:rPr>
              <w:t>1项</w:t>
            </w:r>
          </w:p>
        </w:tc>
        <w:tc>
          <w:tcPr>
            <w:tcW w:w="7212" w:type="dxa"/>
            <w:vAlign w:val="center"/>
          </w:tcPr>
          <w:p>
            <w:pPr>
              <w:widowControl/>
              <w:spacing w:line="360" w:lineRule="auto"/>
              <w:jc w:val="left"/>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
                <w:bCs/>
                <w:kern w:val="0"/>
                <w:sz w:val="24"/>
              </w:rPr>
              <w:t>项目概况</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机构改革调整，南宁市住建局下设12个直属单位（详情可上政务网自行查询），为满足统一信息化建设和业务发展需要，将在2018年开发的OA内部协同办公系统基础上，对机构行政办公、数据库分离又统一集约管理，网络安全传输进行定制设计开发。</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现使用OA系统采用B/S架构，系统编程语言：.NET语言，系统使用数据库类型：sqlserver 2014；服务运行平台提供用以唯一标识调用者身份的Guid字符串的接口、公用的服务调用的接口、用户数、文件数等。</w:t>
            </w:r>
          </w:p>
          <w:p>
            <w:pPr>
              <w:widowControl/>
              <w:spacing w:line="360" w:lineRule="auto"/>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二、</w:t>
            </w:r>
            <w:r>
              <w:rPr>
                <w:rFonts w:hint="eastAsia" w:asciiTheme="majorEastAsia" w:hAnsiTheme="majorEastAsia" w:eastAsiaTheme="majorEastAsia" w:cstheme="majorEastAsia"/>
                <w:b/>
                <w:bCs/>
                <w:sz w:val="24"/>
              </w:rPr>
              <w:t>服务目标</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OA使用人员在办公管理的过程中提供沟通、协调、控制的辅助手段，实现管理规范化，即业务规范化和信息规范化。同时提升使用人员之间相互交流的灵活性、方便性以及对各项工作的监督和控制能力，通过建立OA内部协同办公系统与南宁市住建局业务系统的无缝链接，实现业务系统数据与办公系统数据相互调用，达到业务办理全过程闭环管理和控制的目的，使业务数据的更新修改有据可查，所有工作流程一目了然。</w:t>
            </w:r>
          </w:p>
          <w:p>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三、</w:t>
            </w:r>
            <w:r>
              <w:rPr>
                <w:rFonts w:hint="eastAsia" w:asciiTheme="majorEastAsia" w:hAnsiTheme="majorEastAsia" w:eastAsiaTheme="majorEastAsia" w:cstheme="majorEastAsia"/>
                <w:b/>
                <w:bCs/>
                <w:sz w:val="24"/>
              </w:rPr>
              <w:t>服务范围</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基于SOA架构实现，以OA内部协同办公系统为基础，实现与南宁市住建局业务系统及业务数据的快速、灵活的整合，本次需纳入的业务系统包含：</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（一）南宁市住房保障综合平台</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（二）南宁市房产交易与监管平台</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（三）南宁市商品房预售资金监管系统</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（四）南宁市商品房价格控制系统</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（五）政策性住房管理综合平台</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（六）对外住房数据提供的API服务</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（七）各业务子系统相关移动端调优</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因各业务系统相对独立，如需了解各业务系统，请自行联系探勘了解。</w:t>
            </w:r>
          </w:p>
          <w:p>
            <w:pPr>
              <w:spacing w:line="36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四、服务内容及要求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本项目主要分为数据库优化维护、数据整理应用、安全设计修改、系统集成服务、功能开发等方面，每部分的需求具体如下：</w:t>
            </w:r>
          </w:p>
          <w:p>
            <w:pPr>
              <w:autoSpaceDE w:val="0"/>
              <w:autoSpaceDN w:val="0"/>
              <w:adjustRightIn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（一）数据库优化维护</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对数据库操作源代码按等保规范要求，在保持其行为和信息语义不变的前提下，优化代码设计，使代码处理起来效率更高。重构过程要保持代码的行为语义，既不添加东西也不减少东西，只是改进代码的质量。优化操作定义，改变应用代码中所有对缺陷操作的调用，直到所有的代码重新运行之后，重构才算完成。本次重构应包含：数据库结构部分，如表和视图的定义；功能部分，如存储过程和触发器。重构数据库时，不仅需要改变数据库本身，也需要修改与其耦合在一起的外部系统，如业务应用或数据。</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基于现有OA数据库基础，分离设计市住建局下设12个机构单位独立部署的数据库，数据库按机构独立存储，不同机构存储到不同的数据镜像中，DBMS根据要求，自动把不同机构的数据库或其中的关键数据复制到另一个磁盘上，每当主数据库更新时，DBMS会自动把更新后的数据复制过去，即DBMS自动保证镜像数据与主数据的一致性。</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3、数据库分系统域和业务域，系统域前缀为SYS,业务域前缀为RF，明确域划分，实现不同域库管理和维护，保证业务数据和系统数据之间互不影响，保证域与域之间数据之间的解耦隔离，互不干扰。</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对数据库进行空间扩展和升级，提供现场巡检服务并定期提交巡检报告、数据库隐患排查、数据库SQL语句性能持续优化、数据灾备、数据审计、数据监控方案咨询等服务；发生重要、重大事件期间，提供现场保障服务，协助采购人开展数据库安全管理、数据库升级处理、数据备份可靠性检查、数据故障处理以及数据恢复等工作，防范数据泄露。</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5、空间检查：检查系统数据库表空间的使用扩展情况。</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6、内存资源使用情况：检查数据库使用情况。</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7、数据库热点和碎片分析：对数据库热点和表空间的碎片情况进行跟踪分析。</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8、数据库安全检查：对数据库备份情况进行检查，对数据库安全、异常登录、权限控制、密码更换等进行检查。</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9、跟踪分析数据库运行状态、资源占用最多的SQL语句，并提供相应的优化措施，包括参数优化、系统配置优化、SQL语句优化、重建无效索引、更改数据库、语句优化方式等，具体要求如下：</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（1）进行参数优化和跟踪分析。</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（2）查找TOP5 SQL并进行跟踪分析优化。</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（3）查找TOP5 事件并进行跟踪优化。</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（4）检查数据库内的无效对象，并进行重建或者删除。</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（5）对相关操作的SQL语句进行跟踪，调整数据库优化方式。</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（6）对数据库的索引进行优化。</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（7）对业务前端反映明显慢的应用进行分析并找出原因，提供优化建议。</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（8）采用AWR报告分析数据库负载，针对性进行数据库优化。</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完善现有数据库备份机制，实现全库完整备份，防止灾难性数据丢失后能进行还原处理，保证数据库层面的安全性和可靠性，解决数据库系统灾难或恢复数据。此种方式主要是采用专业存储管理软件（成交供应商自行使用，采购人不对成交供应商所使用软件负责）完成数据库的在线备份和恢复，满足系统自动、快速的备份和恢复要求，使得应用系统能更好的满足7 *24小时要求。通过可靠的、自动的备份规划最大程度的保证系统数据的可靠性。通过快速的恢复计划，使得系统宕机时间缩短到最小，通过快速和简单的备份计划缩短了系统备份时间，可以方便的完成集中的存储管理策略。</w:t>
            </w:r>
          </w:p>
          <w:p>
            <w:pPr>
              <w:autoSpaceDE w:val="0"/>
              <w:autoSpaceDN w:val="0"/>
              <w:adjustRightIn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（二）数据整理应用</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按要求对接整合相关的业务系统数据。通过对接相关业务系统，如档案管理系统、房产业务系统或者其他外部单位系统，将各系统数据整合到OA系统中，为预警提示、决策分析和一张图等应用或者大屏展示提供数据基础。接入建筑、房产等局业务科室数据，作为业务科室呈报工作的辅助内容，以图表形式导出分析报表等；控制浏览权限与确保数据安全，作为内部模块嵌入。</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 按需整合住建局原有OA数据。按南宁市住建局的需要对原有OA数据（3个OA系统），包括公文数据、会议活动数据、通讯录数据等，实现数据传承和迭代。</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★3、根据采购人的需要，在对各类数据整合过程中提供7*24小时现场技术保障，包括数据库安装、调试、数据备份、数据恢复、优化配置、性能调整、故障排除等，保障数据整合前后都能够正常运行。</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4、支持数据全系统检索。全文检索引擎扫描系统数据库中存储的每一个关键词或关键字，对常用词建立索引，当用户查询相应词语时，检索程序就根据事先建立的索引进行查找。</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5、提供支持与第三方系统单点登录集成，数据直接集成展示多种集成方式，第三方系统可提供服务供引用或提供数据报表结构。</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6、优化原数据分析功能：完善原PC端数据分析指标，包括对用户的公文处理量、公文流转速度，用户在线时长、在线时间分布、使用功能模块频率等进行统计图表分析与展示。</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可以对备份数据能够实现分级别管理，实现备份数据的生命周期策略管理，根据备份数据重要性的不同，能够在定义的时间将数据分别备份、迁移到合适的存储上，需要时做过期处理。</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可以对系统站点进行备份（独立备份）的作业，包含程序与数据的备份，同时提供业务相关的备份系统报告功能，清楚地描述各应用系统的备份状况，数据增长趋势等，同时要求提供的备份策略及恢复作业功能。站点。</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为保障备份管理服务器的数据安全，要求具备在数据访问不受影响的情况下对备份数据存储卷进行在线管理，包括磁盘故障在线修复、新设备在线扩容、对备份数据存储卷进行在线扩大和缩小调整以及在线性能优化。</w:t>
            </w:r>
          </w:p>
          <w:p>
            <w:pPr>
              <w:autoSpaceDE w:val="0"/>
              <w:autoSpaceDN w:val="0"/>
              <w:adjustRightIn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（三）安全设计修改</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1、遵循CAS协议，保证与其它系统的集成后，均能通过单个用户账号关联绑定，无需删除旧账号，直接关联处理。</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2、提供数据各种网络传输加密方式，保证单点登录的安全性。</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3、可由用户根据规范不断扩展需要单点登录的系统，支持对南宁市住建局使用系统的无缝支持，兼顾不同时期开发的应用管理系统。</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★4、系统登录除了需要账号密码之外，还要实现验证码方式，防止网络爬取和恶意篡改的风险。</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★5、手机端的流程操作进行拦截校验，校验登录信息和授权信息，需要两项信息都具备的情况下才能进行相关操作。</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★6、架构互联网防火墙，开放系统互联网访问功能，今后可在有互联网的设备上登录OA办公系统。</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提供系统安全漏洞检测。对本系统，使用最新的检测技术进行全面的检测，检测范围包括：缓冲区溢出、SQL注入、XSS安全、CSRF劫持、ClickJacking劫持、Cookie安全、Session安全、文件上传安全、WEB框架安全、DDOS防御能力、WEB容器配置、网络架构安全；</w:t>
            </w:r>
            <w:r>
              <w:rPr>
                <w:rFonts w:hint="eastAsia" w:asciiTheme="majorEastAsia" w:hAnsiTheme="majorEastAsia" w:eastAsiaTheme="majorEastAsia" w:cstheme="majorEastAsia"/>
                <w:sz w:val="24"/>
              </w:rPr>
              <w:t>成交供应商</w:t>
            </w:r>
            <w:r>
              <w:rPr>
                <w:rFonts w:hint="eastAsia" w:asciiTheme="majorEastAsia" w:hAnsiTheme="majorEastAsia" w:eastAsiaTheme="majorEastAsia" w:cstheme="majorEastAsia"/>
                <w:kern w:val="0"/>
                <w:sz w:val="24"/>
              </w:rPr>
              <w:t>应针对检测范围内各项安全参数进行逐一检测并记录检测细节，分类整理检测记录，针对检测结果给出修补建议。</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提供安全修补。在应用框架级别进行较为安全漏洞的登记。全面查阅信息系统的页面参数处理部分源代码，并对不当的参数处理方式进行修正。全面查阅信息系统的数据库存取部分源代码，并对不当的sql参数处理进行修正。对应用服务的容器进行版本更新，检查容器用户权限，限制容器用户的操作系统级别的操作权限。对操作系统环境配置进行优化，保证应用的性能以及服务器的安全。协助采购人对网络设备进行参数调整，保证网络设备的安全运行。</w:t>
            </w:r>
          </w:p>
          <w:p>
            <w:pPr>
              <w:autoSpaceDE w:val="0"/>
              <w:autoSpaceDN w:val="0"/>
              <w:adjustRightIn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（四）系统集成服务</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成交供应商应以本项目服务范围内的信息系统平稳运行为目标，对采购人指定的信息系统提供总集成技术支持服务，包含对应用系统涉及的各方面进行故障诊断、监控和巡检、应用级运维和调优、系统调整部署、升级规划和评估和相关单位服务调度，但不包含该系统所涉及系统硬件设备和系统软件产品本身的原厂维护和保修服务。</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主要中间件与应用软件协同配置调整、网络设备配置优工作包括：根据应用软件系统运行要求提供应用级集成调优、数据库化和部署优化、主机操作系统、双机集群、中间件等系统软件的部署、配置、调优工作，备份容灾的应用级维护服务和定期演练等。 </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2、向采购人提供集成技术支持服务方案，明确对系统运行监控和巡检、系统运行故障诊断、应用级运维和调优、应用系统按需部署调整、系统规划评估等方面的服务计划安排。</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采购人如因业务要求有新的系统建设要求，成交供应商应根据需求给出建设方案、预算规划和指导性意见，并协助采购人进行前期方案论证、建设阶段的集成、数据迁移、数据库升级、应用迁移等工作，并协调相关厂商完成全部建设工作。</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★4、基于SOA架构实现，快速灵活的与第三方系统整合。支持集群布署，可支持高并发用户的访问。</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5、集成性与系统扩展性要求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（1）支持部分功能无代码自定义开发新应用、支持基于组件开发新应用。</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（2）支持各类整合开发。</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（3）手机端开发，实现各类手机的自动适配。</w:t>
            </w:r>
          </w:p>
          <w:p>
            <w:pPr>
              <w:autoSpaceDE w:val="0"/>
              <w:autoSpaceDN w:val="0"/>
              <w:adjustRightInd w:val="0"/>
              <w:spacing w:line="360" w:lineRule="auto"/>
              <w:ind w:firstLine="482" w:firstLineChars="200"/>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（五）功能开发</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★1、系统在维护过程中，涉及源程序开发的内容，开发建设技术标准规范要以住建部颁布的《房地产市场信息系统技术规程》（JGJ 278-2012）、《房地产市场基础信息数据标准》（JGJ/T 252-2011）、《住房保障信息系统技术规范》和《住房保障信息系统数据标准》标准进行编制。</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★2、在维护期内对现有功能模块设计的调整，满足维护期内因政策变化对系统的功能开发和升级。在升级设计时，提供具有新增功能的升级的可行性研究和设计理念，必要时需制作demo演示系统升级情况。</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涉及升级开发的系统，系统中要求有严格的权限机制，对数据库操作的所有功能都是相互隔离，基于权限的基础上保证数据库的安全性；建立内部、外部数据操作的权限管理模块，提供保障数据库安全性的相关方案。</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涉及升级开发的系统，出于项目的需要使用任何第三方的软件知识产权的产品，需具有对该产品合法所有权或使用权或分许可权，在不侵犯第三方合法权益的情况下使用，使用第三方产品产生的费用纳入本项目的开发成本。违反本条规定而产生侵权纠纷，导致采购人不能正常运行本项目开发的系统，则负责赔偿采购人由此造成的全部损失。</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5、升级开发的业务系统，性能满足以下要求：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（1）对于专业的分析功能，满足单次访问时操作少于3秒，复杂操作少于5秒的相应性能。</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对于各类服务访问接口，满足单次访问3秒以内，复杂操作5秒以内的相应性能。高峰时并发用户不低于1000人，在线人数不少于10000人。信息查询、数据可视化演示和模型运行时，服务器请求响应时间少于3秒。</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（3）资源搜索响应时间少于5秒。</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6、完整性要求：各新功能的开发需直接在现使用系统上直接开发，开发出的功能必须和现系统成为一个整体，不能是独立功能模块。</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7、升级开发源代码要求：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升级开发需在采购人提供的服务器设备上建立源代码管理系统，每日工作结束后，需提交当日可编译、运行的源代码（含编写过程中的注释）到源代码管理服务器中，并与采购人共享，源代码服务器由采购人进行管理。</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软件升级完成，稳定运行7日后，需向采购人提交各系统开发的全部源代码和相关文档（包含全部开发文档）。提交的代码需是符合要求、代码完整、最新、已编译上线运行的系统源代码，并及时组织对采购单位技术人员进行培训。</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8、软件开发和升级完善遇到不能按时完成等重大问题时，须提前提出，双方协商解决。</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★9、本次重点新增功能：因本OA内部协同办公系统为专业定制，所以在质保期内，成交供应商不仅对以下明确功能进行开发，还应在质保期内，对采购人需求，开发不少于五个功能模块。本次明确新增功能如下：</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（1）UI界面调整。全面设计提供不少于2套UI界面，采用扁平化设计、简约页面版式。设计风格需经采购人确认。</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移动端优化。增加移动端发文登记簿、收文登记簿查询的功能；优化移动端列表展示功能；增加支持在移动端上初始化工资条密码；优化移动端发短信功能，短信内容默认增加当前发起人姓名；增加移动端业务代理处理；支持移动端文档批量上传文件、图片等内容；支持URL、H5应用包接入和集成，满足单位个性化需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事务管理优化。增加流程动态匹配，支持流程制作与审批条件/审批人员的分权管理的功能；增加流程节点自动匹配审批路径表，可以根据审批条件自动找到对应审批人员；增加流程仿真功能，支持流程仿真校准流程时，当检测到流程中有人员离职，或者因人员异常等情况，可匹配对应权限人员功能；增加事务附件归档能对表单模板、附件支持单独归档；优化事务列表，增加显示上一步处理人员；优化对批量处理功能交互改进，增加对可批量处理和不可批量处理事务的提醒；优化关联文档事务排序显示。事务界面增加相关数据绑定功能，可在处理界面查看与当前待办有关的数据信息；支持表单正文带入Word正文和套红功能；支持事务/表单超期多次系统提醒设置；支持流程标题支持根据表单内容动态刷新。</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会议管理优化。增加对会议室催办功能，可对参会人员和会议室审核员进行催办、提醒；增加会议归档功能；调整“待开会议/待审核会议”列表中的标题展示信息，列表中的标题应包含“会议时间段、申请科室/部门、会议名称”等信息；且排序显示为倒序；新增移动端会议撤销、邀请功能；增加行政议题管理功能、党组议题管理功能。</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公文管理优化。优化公文单设置，支持公文触发新流程/消息；优化公文单下载打印的功能；优化公文回退意见留痕显示功能；优化公文附件在线预览查看功能；增加公文处理意见功能，且回复意见可针对特定人员进行隐藏；公文签章；公文预归档支持单独归档公文正式附件。</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（6）新增固定资产管理模块、请假（离邕）管理模块、公务用车使用管理。</w:t>
            </w:r>
          </w:p>
          <w:p>
            <w:pPr>
              <w:widowControl/>
              <w:spacing w:line="360" w:lineRule="auto"/>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bCs/>
                <w:sz w:val="24"/>
              </w:rPr>
              <w:t>五、服务方式：提供驻场式维护服务。</w:t>
            </w:r>
          </w:p>
          <w:p>
            <w:pPr>
              <w:widowControl/>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六、其他要求</w:t>
            </w:r>
          </w:p>
          <w:p>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（一）总体技术要求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1、系统开发中贯彻全面质量管理，实行工程化的开发方法，实行阶段性冻结与改动控制，验证阶段成果并及时纠正错误。</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2、成交供应商需遵守采购人开发约定，需包含主持过电子政务项目开发的软件开发人员和项目管理人员。</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系统要求采用多层架构体系，中间层的应用服务器与Web等其他服务器支持跨平台运行环境、可同时支持Windows与Linux等不同操作系统；系统架构拥有较强的适应性与伸缩性弹性，各模块相对独立，低耦合高内聚，升级扩容简单方便。</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4、软件应安全、准确、可靠，具有高可用性功能(或容错功能)，能够长时间不间断运行，能够防止不良侵害发生、降低故障发生率，确保安全生产。</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5、软件要具有较强的硬件规模扩展能力、对硬件要具有兼容性。</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6、软件本身要具有良好的扩展能力，具备高度的可伸缩扩充能力和良好的负载均衡能力；</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7、软件应提供符合业务规范的数据接口，以实现与其它系统的连接；</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8、面向数据进行软件设计，易于系统的构造和重组织；</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9、能够在不同的管理层次和领域具备互操作能力；</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10、系统用户操作界面友好，可操作性强，响应速度快，容错能力强；</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11、应用系统部署要方便，维护要简单易用；</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系统采用多层应用体系架构，系统设计采用国际、国内标准和技术规范，及相关文件要求，搭建成熟、稳定、可靠的分布式网络系统，软件的调用、配置、管理、信息传送及数据交换等必须建立在标准化及规范体系之上。</w:t>
            </w:r>
          </w:p>
          <w:p>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（二）性能需求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★1、与南宁市住建局现使用的OA内部协同办公系统平台在技术、数据上均能良好对接，不会出现数据丢失、功能混乱等基本问题。</w:t>
            </w:r>
          </w:p>
          <w:p>
            <w:pPr>
              <w:widowControl/>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★2、提供丰富的二次开发接口，可实现更多的定制化功能，满足用户使用需求。</w:t>
            </w:r>
          </w:p>
          <w:p>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（三）实施服务</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★1、系统版次更新：安装、部署。结合用户单位管理制度、组织结构、角色权限等具体情况，为每位用户更新系统版次，包括PC端与移动端，要求合同签订起7日内完成所有账户建立。</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★2、能够对接市住建局原有OA内部协同办公系统平台数据，实现查询2017年1月至今办文数据约10万条；设有对接市住建局业务部门系统平台接口，以备后期开发需要。</w:t>
            </w:r>
          </w:p>
          <w:p>
            <w:pPr>
              <w:spacing w:line="360" w:lineRule="auto"/>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（四）系统设计遵循的原则</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1、先进性：应当采用当今先进技术，既要考虑应用平台和工具的先进，更要考虑系统结构和应用设计的先进性，以适应宏观上业务管理、发展规划和微观上事务办理的需求。</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★2、安全性：采用主流加密方式，对用户访问权限严格控制。保证系统安全，并有相应的技术手段对数据安全和操作安全加以保护。</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3、可靠性：系统设计应采用成熟、稳定、可掌的软件技术。保证系统在大数据量、高并发的情况下长时间不问断地安全运行。</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4、实用性：根据业务需求和业务流程，从方便用户使用的角度进行系统设计、功能和模块划分。</w:t>
            </w:r>
          </w:p>
          <w:p>
            <w:pPr>
              <w:widowControl/>
              <w:spacing w:line="360" w:lineRule="auto"/>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★5、可扩展性：设计要简明。各功能模块间的耦合度小。以适应业务发展需要，便于系统的继承和扩展。</w:t>
            </w:r>
          </w:p>
          <w:p>
            <w:pPr>
              <w:spacing w:beforeLines="50" w:afterLines="50" w:line="360" w:lineRule="auto"/>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b/>
                <w:sz w:val="24"/>
              </w:rPr>
              <w:t>(五)规范化管理要求：</w:t>
            </w:r>
            <w:r>
              <w:rPr>
                <w:rFonts w:hint="eastAsia" w:asciiTheme="majorEastAsia" w:hAnsiTheme="majorEastAsia" w:eastAsiaTheme="majorEastAsia" w:cstheme="majorEastAsia"/>
                <w:kern w:val="0"/>
                <w:sz w:val="24"/>
              </w:rPr>
              <w:t>对采购人的技术部人员培训维护知识，提供管理规定范本，协助制定系统管理制度，减少故障发生频率，建立系统管理档案、维护记录档案，方便今后对系统的运行情况统计分析提供有利依据。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012" w:type="dxa"/>
            <w:gridSpan w:val="3"/>
            <w:vAlign w:val="center"/>
          </w:tcPr>
          <w:p>
            <w:pPr>
              <w:spacing w:line="360" w:lineRule="auto"/>
              <w:jc w:val="center"/>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b/>
                <w:color w:val="000000" w:themeColor="text1"/>
                <w:sz w:val="24"/>
              </w:rPr>
              <w:t>分项最高限价合计（元）</w:t>
            </w:r>
          </w:p>
        </w:tc>
        <w:tc>
          <w:tcPr>
            <w:tcW w:w="7252" w:type="dxa"/>
            <w:gridSpan w:val="2"/>
            <w:vAlign w:val="center"/>
          </w:tcPr>
          <w:p>
            <w:pPr>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5" w:type="dxa"/>
            <w:vAlign w:val="center"/>
          </w:tcPr>
          <w:p>
            <w:pPr>
              <w:spacing w:line="360" w:lineRule="auto"/>
              <w:jc w:val="center"/>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商 务</w:t>
            </w:r>
          </w:p>
          <w:p>
            <w:pPr>
              <w:spacing w:line="360" w:lineRule="auto"/>
              <w:jc w:val="center"/>
              <w:rPr>
                <w:rFonts w:asciiTheme="majorEastAsia" w:hAnsiTheme="majorEastAsia" w:eastAsiaTheme="majorEastAsia" w:cstheme="majorEastAsia"/>
                <w:b/>
                <w:bCs/>
                <w:color w:val="000000" w:themeColor="text1"/>
                <w:sz w:val="24"/>
              </w:rPr>
            </w:pPr>
            <w:r>
              <w:rPr>
                <w:rFonts w:hint="eastAsia" w:asciiTheme="majorEastAsia" w:hAnsiTheme="majorEastAsia" w:eastAsiaTheme="majorEastAsia" w:cstheme="majorEastAsia"/>
                <w:b/>
                <w:color w:val="000000" w:themeColor="text1"/>
                <w:sz w:val="24"/>
              </w:rPr>
              <w:t>条 款</w:t>
            </w:r>
          </w:p>
        </w:tc>
        <w:tc>
          <w:tcPr>
            <w:tcW w:w="9539" w:type="dxa"/>
            <w:gridSpan w:val="4"/>
          </w:tcPr>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一、合同签订期：自成交通知书发出之日起7个工作日内。</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★二、提交服务成果时间：在合同签订后20个工作日内完成系统需求调研、确认、设计、开发、测试、联调、部署、培训等工作，确保根据采购人的需要准时上线运行。</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 xml:space="preserve">三、提交服务成果地点： 南宁市住房和城乡建设局 </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四、售后服务要求</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★1、质量保证期 1 年（自交货并验收合格之日起计）</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处理问题响应时间：接到采购人处理问题通知后2小时内到达采购人指定现场，1个工作日内解决问题。并指定专人进行技术服务，技术服务人员必须熟悉系统开发整个过程，同时需提供成交工作地址（姓名、电话、地址）。</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3、项目开发过程服务要求：</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项目的需求设计经采购人评审认定后，因有新文件、新政策发布造成的新增需求，成交供应商应承诺在项目投标的总工作量5%以内的新增和变更需求免费提供服务，超出部分双方另行协商议定。新增的工作量以双方对新增需求分析认定。</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成交供应商在项目进行过程中，应提供项目安装调试时所需的工程资料，成交供应商有责任在保证安全和质量的前提下提供技术服务，包括：技术咨询、技术资料、技术说明书、使用说明书、维护说明书等。</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（3）测试阶段现场服务承诺</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①承诺完成项目实施工作的规划、软件系统安装和配置应用环境等工作，能够保证软件的正常运行。</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②承诺在现场服务阶段，能够根据采购人的要求和具体需要，提供基于响应本次项目产品开发平台的二次应用开发，并且负责提供合理可行的系统运行调优方案和建议。</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★③现场服务要求至少派出1名具有实际项目经验的工程师。</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★④现场服务的时间由采购人指定。</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4、售后服务</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★（1）成交供应商必须向采购人承诺技术后援支持。在免费维护期内，工作日（包括加班日）提供5×8小时服务现场支持服务，非工作时间或节假日提供7×24小时热线或电话支持服务，如有需要，须现场解决。</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★（2）技术支持服务内容至少须包括：</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由于误操作等意外情况造成的数据库混乱，需对数据库或程序进行修复、整理、更换；由于系统环境造成的数据破坏，需对数据库进行修复、整理、更换；由于病毒和计算机系统软件的故障问题，需成交供应商重新安装、调试软件和数据库的；采购人因更换设备需进行软件的安装与调试。针对突发事件，如病毒入侵，使用时断电、误操作等，引发的数据危机，需提供数据紧急修复备份服务；定期电话和现场回访制度。</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5、验收要求：</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（1）完成保密协议签订；</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（2）完成上述系统功能开发；</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（3）完成系统运行健康状态报告编写；</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w:t>
            </w:r>
            <w:bookmarkStart w:id="30" w:name="_Hlk517957667"/>
            <w:r>
              <w:rPr>
                <w:rFonts w:hint="eastAsia" w:asciiTheme="majorEastAsia" w:hAnsiTheme="majorEastAsia" w:eastAsiaTheme="majorEastAsia" w:cstheme="majorEastAsia"/>
                <w:color w:val="000000" w:themeColor="text1"/>
                <w:sz w:val="24"/>
              </w:rPr>
              <w:t>成交供应商完成整个信息系统项目的主框架搭建、完成数据库结构组建、完成各应用模块的启用、落实数据接口方式等具体事项,同时完成系统软件交货完毕、软件开发、联调测试完毕、系统初步完成开发上线并连续试运行10个工作日，成交供应商在系统试运行期对发现的问题进行修改、补充、完善后，项目试运行结束后，成交供应商以书面形式向采购人提出验收申请，采购人在收到终验申请书后十个工作日内组织验收</w:t>
            </w:r>
            <w:bookmarkEnd w:id="30"/>
            <w:r>
              <w:rPr>
                <w:rFonts w:hint="eastAsia" w:asciiTheme="majorEastAsia" w:hAnsiTheme="majorEastAsia" w:eastAsiaTheme="majorEastAsia" w:cstheme="majorEastAsia"/>
                <w:color w:val="000000" w:themeColor="text1"/>
                <w:sz w:val="24"/>
              </w:rPr>
              <w:t>。</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（5）验收依据：完成本项目的所有开发工作，且系统能正式上线正常试运行3日，提交的服务经采购人验收合格之后，采购人给供应商出具书面验收合格证明材料。</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五、其他要求：</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★1、报价必须含以下部分，包括：</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（1）服务的价格；</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（2）必要的保险费用和各项税金；</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（3）其他：如运输、装卸、安装、调试、培训、技术支持、售后服务、更新升级等费用。</w:t>
            </w:r>
          </w:p>
          <w:p>
            <w:pPr>
              <w:widowControl/>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000000" w:themeColor="text1"/>
                <w:sz w:val="24"/>
              </w:rPr>
              <w:t>★2、付</w:t>
            </w:r>
            <w:r>
              <w:rPr>
                <w:rFonts w:hint="eastAsia" w:asciiTheme="majorEastAsia" w:hAnsiTheme="majorEastAsia" w:eastAsiaTheme="majorEastAsia" w:cstheme="majorEastAsia"/>
                <w:color w:val="auto"/>
                <w:sz w:val="24"/>
              </w:rPr>
              <w:t>款方式：本项目无预付款，成交供应商完成开发，提交验收材料并通过采购人确认合格后，采购人向成交供应商一次性支付合同全款。</w:t>
            </w:r>
          </w:p>
          <w:p>
            <w:pPr>
              <w:widowControl/>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★3、安全与保密问题：</w:t>
            </w:r>
          </w:p>
          <w:p>
            <w:pPr>
              <w:widowControl/>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 成交供应商需对可能出现的安全问题需提出详细的解决方案和具体的措施，不允许通过设置“后门”实现服务。</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 成交供应商应无条件接受项目业主方单位的保密约定，包括在合同期结束后承诺保密义务，并承担相应的涉密责任。</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★4、验收后，成交供应商应向采购人提交本次开发系统全部源代码和相关文档（包含全部开发文档）。磋商供应商应提供功能符合要求、代码完整、最新、已编译上线运行的应用系统源代码给项目采购人单位。</w:t>
            </w:r>
          </w:p>
          <w:p>
            <w:pPr>
              <w:widowControl/>
              <w:spacing w:line="360" w:lineRule="auto"/>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★5、成交供应商不得在向采购人交付研究开发成果之前，将研究开发成果及非专利技术泄露或转让给第三方。</w:t>
            </w:r>
          </w:p>
        </w:tc>
      </w:tr>
      <w:bookmarkEnd w:id="23"/>
    </w:tbl>
    <w:p>
      <w:pPr>
        <w:pStyle w:val="2"/>
        <w:rPr>
          <w:rFonts w:asciiTheme="majorEastAsia" w:hAnsiTheme="majorEastAsia" w:eastAsiaTheme="majorEastAsia"/>
          <w:color w:val="000000" w:themeColor="text1"/>
        </w:rPr>
        <w:sectPr>
          <w:pgSz w:w="11906" w:h="16838"/>
          <w:pgMar w:top="1440" w:right="1080" w:bottom="1118" w:left="1080" w:header="720" w:footer="720" w:gutter="0"/>
          <w:cols w:space="720" w:num="1"/>
          <w:docGrid w:type="lines" w:linePitch="331" w:charSpace="0"/>
        </w:sectPr>
      </w:pPr>
    </w:p>
    <w:p>
      <w:pPr>
        <w:widowControl/>
        <w:jc w:val="center"/>
        <w:outlineLvl w:val="0"/>
        <w:rPr>
          <w:rFonts w:asciiTheme="majorEastAsia" w:hAnsiTheme="majorEastAsia" w:eastAsiaTheme="majorEastAsia" w:cstheme="majorEastAsia"/>
          <w:color w:val="000000" w:themeColor="text1"/>
        </w:rPr>
      </w:pPr>
      <w:bookmarkStart w:id="31" w:name="_Toc13451"/>
      <w:bookmarkStart w:id="32" w:name="_Toc508092927"/>
      <w:bookmarkStart w:id="33" w:name="_Toc10048"/>
      <w:bookmarkStart w:id="34" w:name="_Toc20179"/>
      <w:bookmarkStart w:id="35" w:name="_Toc2911"/>
      <w:r>
        <w:rPr>
          <w:rFonts w:hint="eastAsia" w:asciiTheme="majorEastAsia" w:hAnsiTheme="majorEastAsia" w:eastAsiaTheme="majorEastAsia" w:cstheme="majorEastAsia"/>
          <w:b/>
          <w:color w:val="000000" w:themeColor="text1"/>
          <w:sz w:val="36"/>
        </w:rPr>
        <w:t>第三章  评审方法</w:t>
      </w:r>
      <w:bookmarkEnd w:id="31"/>
      <w:bookmarkEnd w:id="32"/>
      <w:bookmarkEnd w:id="33"/>
      <w:bookmarkEnd w:id="34"/>
      <w:bookmarkEnd w:id="35"/>
    </w:p>
    <w:p>
      <w:pPr>
        <w:pStyle w:val="9"/>
        <w:spacing w:line="324" w:lineRule="auto"/>
        <w:jc w:val="center"/>
        <w:rPr>
          <w:rFonts w:asciiTheme="majorEastAsia" w:hAnsiTheme="majorEastAsia" w:eastAsiaTheme="majorEastAsia"/>
          <w:b/>
          <w:color w:val="000000" w:themeColor="text1"/>
          <w:sz w:val="36"/>
        </w:rPr>
      </w:pPr>
      <w:r>
        <w:rPr>
          <w:rFonts w:asciiTheme="majorEastAsia" w:hAnsiTheme="majorEastAsia" w:eastAsiaTheme="majorEastAsia"/>
          <w:b/>
          <w:color w:val="000000" w:themeColor="text1"/>
          <w:sz w:val="30"/>
          <w:szCs w:val="30"/>
        </w:rPr>
        <w:t>综合评分法</w:t>
      </w:r>
    </w:p>
    <w:p>
      <w:pPr>
        <w:spacing w:line="324" w:lineRule="auto"/>
        <w:ind w:firstLine="480" w:firstLineChars="200"/>
        <w:rPr>
          <w:rFonts w:cs="宋体"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sz w:val="24"/>
        </w:rPr>
        <w:t>一）磋商小组以采购文件为依据，对响应文件进行评审，对磋商供应商的响应报价、技术文件、商务文件等三部分内容按百分制打分，其中价格分15分，技术分50分，商务分35分。（对于带有主观因素的评分，由磋商小组在打分前确定方案档次标准后，对各磋商供应商技术文件各部分的优劣程度应由各评委独立进行评价、打分。）</w:t>
      </w:r>
    </w:p>
    <w:p>
      <w:pPr>
        <w:spacing w:line="324" w:lineRule="auto"/>
        <w:ind w:firstLine="480" w:firstLineChars="20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（二）评分细则：（按四舍五入取至百分位）</w:t>
      </w:r>
    </w:p>
    <w:p>
      <w:pPr>
        <w:spacing w:line="324" w:lineRule="auto"/>
        <w:ind w:firstLine="482" w:firstLineChars="200"/>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1、价格分………………………………………………………………………………15分</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对于非专门面向中小企业的项目，对小型和微型企业产品的价格给予10%的价格扣除，扣除后的价格为评标价，即评标价＝响应报价×（1-10%）；（以磋商供应商按第五章“响应文件格式”要求提供的《报价表》和《中小企业声明函》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响应报价×（1-2%）；（以磋商供应商按第五章“响应文件格式”要求提供的《报价表》、《中小企业声明函》和《联合体协议书》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产品提供企业按《关于政府采购支持监狱企业发展有关问题的通知》(财库[2014]68号)认定为监狱企业的，在政府采购活动中，监狱企业视同小型、微型企业。（以磋商供应商按第五章“响应文件格式”要求提供的《报价表》和由省级以上监狱管理局、戒毒管理局(含新疆生产建设兵团)出具的属于监狱企业的证明文件为评分依据。</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（4）投标产品提供企业按《关于促进残疾人就业政府采购政策的通知》(财库〔2017〕141号)认定为残疾人福利性单位的，在政府采购活动中，残疾人福利性单位视同小型、微型企业。</w:t>
      </w:r>
      <w:r>
        <w:rPr>
          <w:rFonts w:hint="eastAsia" w:asciiTheme="majorEastAsia" w:hAnsiTheme="majorEastAsia" w:eastAsiaTheme="majorEastAsia" w:cstheme="majorEastAsia"/>
          <w:color w:val="000000" w:themeColor="text1"/>
          <w:sz w:val="24"/>
          <w:szCs w:val="24"/>
        </w:rPr>
        <w:t>残疾人福利性单位参加政府采购活动时，应当提供该通知规定的《残疾人福利性单位声明函》，并对声明的真实性负责。声明函应随成交结果同时公告，接受社会监督。</w:t>
      </w:r>
      <w:r>
        <w:rPr>
          <w:rFonts w:asciiTheme="majorEastAsia" w:hAnsiTheme="majorEastAsia" w:eastAsiaTheme="majorEastAsia" w:cstheme="majorEastAsia"/>
          <w:color w:val="000000" w:themeColor="text1"/>
          <w:sz w:val="24"/>
          <w:szCs w:val="24"/>
        </w:rPr>
        <w:t>（以磋商供应商按第五章“投标文件格式”要求提供的《报价表》和《残疾人福利性单位声明函》为评分依据）</w:t>
      </w:r>
      <w:r>
        <w:rPr>
          <w:rFonts w:hint="eastAsia" w:asciiTheme="majorEastAsia" w:hAnsiTheme="majorEastAsia" w:eastAsiaTheme="majorEastAsia" w:cstheme="majorEastAsia"/>
          <w:color w:val="000000" w:themeColor="text1"/>
          <w:sz w:val="24"/>
          <w:szCs w:val="24"/>
        </w:rPr>
        <w:t>。</w:t>
      </w:r>
    </w:p>
    <w:p>
      <w:pPr>
        <w:pStyle w:val="9"/>
        <w:spacing w:line="324"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（5）除上述情况外，评标价＝响应报价；</w:t>
      </w:r>
    </w:p>
    <w:p>
      <w:pPr>
        <w:spacing w:line="324" w:lineRule="auto"/>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（6）价格分计算公式：</w:t>
      </w:r>
    </w:p>
    <w:p>
      <w:pPr>
        <w:pStyle w:val="8"/>
        <w:spacing w:line="324" w:lineRule="auto"/>
        <w:ind w:firstLine="3840" w:firstLineChars="16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pacing w:val="0"/>
          <w:sz w:val="24"/>
          <w:szCs w:val="24"/>
        </w:rPr>
        <w:t>磋商供应商最低评</w:t>
      </w:r>
      <w:r>
        <w:rPr>
          <w:rFonts w:hint="eastAsia" w:asciiTheme="majorEastAsia" w:hAnsiTheme="majorEastAsia" w:eastAsiaTheme="majorEastAsia" w:cstheme="majorEastAsia"/>
          <w:color w:val="000000" w:themeColor="text1"/>
          <w:sz w:val="24"/>
          <w:szCs w:val="24"/>
        </w:rPr>
        <w:t>标价金额</w:t>
      </w:r>
    </w:p>
    <w:p>
      <w:pPr>
        <w:pStyle w:val="8"/>
        <w:spacing w:line="324" w:lineRule="auto"/>
        <w:ind w:firstLine="1200" w:firstLineChars="5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pacing w:val="0"/>
          <w:sz w:val="24"/>
          <w:szCs w:val="24"/>
        </w:rPr>
        <w:pict>
          <v:line id="_x0000_s1026" o:spid="_x0000_s1026" o:spt="20" style="position:absolute;left:0pt;margin-left:199.5pt;margin-top:12.7pt;height:0pt;width:131.55pt;z-index:251660288;mso-width-relative:page;mso-height-relative:page;" coordsize="21600,21600" o:gfxdata="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vrC&#10;PNcAAAAJAQAADwAAAAAAAAABACAAAAAiAAAAZHJzL2Rvd25yZXYueG1sUEsBAhQAFAAAAAgAh07i&#10;QAie7UbqAQAAuAMAAA4AAAAAAAAAAQAgAAAAJgEAAGRycy9lMm9Eb2MueG1sUEsFBgAAAAAGAAYA&#10;WQEAAIIFAAAAAA==&#10;">
            <v:path arrowok="t"/>
            <v:fill focussize="0,0"/>
            <v:stroke/>
            <v:imagedata o:title=""/>
            <o:lock v:ext="edit"/>
          </v:line>
        </w:pict>
      </w:r>
      <w:r>
        <w:rPr>
          <w:rFonts w:hint="eastAsia" w:asciiTheme="majorEastAsia" w:hAnsiTheme="majorEastAsia" w:eastAsiaTheme="majorEastAsia" w:cstheme="majorEastAsia"/>
          <w:color w:val="000000" w:themeColor="text1"/>
          <w:spacing w:val="0"/>
          <w:sz w:val="24"/>
          <w:szCs w:val="24"/>
        </w:rPr>
        <w:t>某磋商供应商价格</w:t>
      </w:r>
      <w:r>
        <w:rPr>
          <w:rFonts w:hint="eastAsia" w:asciiTheme="majorEastAsia" w:hAnsiTheme="majorEastAsia" w:eastAsiaTheme="majorEastAsia" w:cstheme="majorEastAsia"/>
          <w:color w:val="000000" w:themeColor="text1"/>
          <w:sz w:val="24"/>
          <w:szCs w:val="24"/>
        </w:rPr>
        <w:t>分 ＝                             × 15分</w:t>
      </w:r>
    </w:p>
    <w:p>
      <w:pPr>
        <w:pStyle w:val="8"/>
        <w:spacing w:line="324" w:lineRule="auto"/>
        <w:ind w:firstLine="464" w:firstLineChars="200"/>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sz w:val="24"/>
          <w:szCs w:val="24"/>
        </w:rPr>
        <w:t xml:space="preserve">                   　          </w:t>
      </w:r>
      <w:r>
        <w:rPr>
          <w:rFonts w:hint="eastAsia" w:asciiTheme="majorEastAsia" w:hAnsiTheme="majorEastAsia" w:eastAsiaTheme="majorEastAsia" w:cstheme="majorEastAsia"/>
          <w:color w:val="000000" w:themeColor="text1"/>
          <w:spacing w:val="0"/>
          <w:sz w:val="24"/>
          <w:szCs w:val="24"/>
        </w:rPr>
        <w:t>某磋商供应商评标</w:t>
      </w:r>
      <w:r>
        <w:rPr>
          <w:rFonts w:hint="eastAsia" w:asciiTheme="majorEastAsia" w:hAnsiTheme="majorEastAsia" w:eastAsiaTheme="majorEastAsia" w:cstheme="majorEastAsia"/>
          <w:color w:val="000000" w:themeColor="text1"/>
          <w:sz w:val="24"/>
          <w:szCs w:val="24"/>
        </w:rPr>
        <w:t>价金额</w:t>
      </w:r>
    </w:p>
    <w:p>
      <w:pPr>
        <w:numPr>
          <w:ilvl w:val="0"/>
          <w:numId w:val="2"/>
        </w:numPr>
        <w:spacing w:line="440" w:lineRule="exact"/>
        <w:ind w:firstLine="482" w:firstLineChars="200"/>
        <w:rPr>
          <w:rFonts w:ascii="宋体" w:hAnsi="宋体" w:cs="宋体"/>
          <w:b/>
          <w:color w:val="auto"/>
          <w:sz w:val="24"/>
        </w:rPr>
      </w:pPr>
      <w:r>
        <w:rPr>
          <w:rFonts w:hint="eastAsia" w:ascii="宋体" w:hAnsi="宋体" w:cs="宋体"/>
          <w:b/>
          <w:sz w:val="24"/>
        </w:rPr>
        <w:t>技术分…</w:t>
      </w:r>
      <w:r>
        <w:rPr>
          <w:rFonts w:hint="eastAsia" w:ascii="宋体" w:hAnsi="宋体" w:cs="宋体"/>
          <w:b/>
          <w:color w:val="auto"/>
          <w:sz w:val="24"/>
        </w:rPr>
        <w:t>……………………………………………………………………………50分</w:t>
      </w:r>
    </w:p>
    <w:p>
      <w:pPr>
        <w:spacing w:line="440" w:lineRule="exact"/>
        <w:ind w:left="413"/>
        <w:rPr>
          <w:rFonts w:ascii="宋体" w:hAnsi="宋体" w:cs="宋体"/>
          <w:b/>
          <w:bCs/>
          <w:color w:val="auto"/>
          <w:sz w:val="24"/>
        </w:rPr>
      </w:pPr>
      <w:r>
        <w:rPr>
          <w:rFonts w:hint="eastAsia" w:ascii="宋体" w:hAnsi="宋体" w:cs="宋体"/>
          <w:b/>
          <w:bCs/>
          <w:color w:val="auto"/>
          <w:sz w:val="24"/>
        </w:rPr>
        <w:t>（1）现状分析（满分15分，不提供或不满足不得分。）</w:t>
      </w:r>
    </w:p>
    <w:p>
      <w:pPr>
        <w:spacing w:line="360" w:lineRule="auto"/>
        <w:ind w:firstLine="480" w:firstLineChars="200"/>
        <w:rPr>
          <w:rFonts w:ascii="宋体" w:hAnsi="宋体" w:cs="宋体"/>
          <w:color w:val="auto"/>
          <w:sz w:val="24"/>
        </w:rPr>
      </w:pPr>
      <w:r>
        <w:rPr>
          <w:rFonts w:hint="eastAsia" w:ascii="宋体" w:hAnsi="宋体" w:cs="宋体"/>
          <w:color w:val="auto"/>
          <w:sz w:val="24"/>
        </w:rPr>
        <w:t>现状分析：磋商供应商对采购人网络硬件环境及协同办公应用系统现状分析说明。</w:t>
      </w:r>
    </w:p>
    <w:p>
      <w:pPr>
        <w:spacing w:line="360" w:lineRule="auto"/>
        <w:ind w:firstLine="480" w:firstLineChars="200"/>
        <w:rPr>
          <w:rFonts w:ascii="宋体" w:hAnsi="宋体" w:cs="宋体"/>
          <w:color w:val="auto"/>
          <w:sz w:val="24"/>
        </w:rPr>
      </w:pPr>
      <w:r>
        <w:rPr>
          <w:rFonts w:hint="eastAsia" w:ascii="宋体" w:hAnsi="宋体" w:cs="宋体"/>
          <w:color w:val="auto"/>
          <w:sz w:val="24"/>
        </w:rPr>
        <w:t>一档（1分）：磋商供应商对采购人所用网络IT硬件情况及OA办公应用系统现状基本了解；</w:t>
      </w:r>
    </w:p>
    <w:p>
      <w:pPr>
        <w:spacing w:line="360" w:lineRule="auto"/>
        <w:ind w:firstLine="480" w:firstLineChars="200"/>
        <w:rPr>
          <w:rFonts w:ascii="宋体" w:hAnsi="宋体" w:cs="宋体"/>
          <w:color w:val="auto"/>
          <w:sz w:val="24"/>
        </w:rPr>
      </w:pPr>
      <w:r>
        <w:rPr>
          <w:rFonts w:hint="eastAsia" w:ascii="宋体" w:hAnsi="宋体" w:cs="宋体"/>
          <w:color w:val="auto"/>
          <w:sz w:val="24"/>
        </w:rPr>
        <w:t>二档（5分）：磋商供应商熟悉采购人网络IT硬件情况及OA办公应用系统现状，掌握应用系统整体架构及相互关系，基本把握采购人对办公系统的需求；</w:t>
      </w:r>
    </w:p>
    <w:p>
      <w:pPr>
        <w:spacing w:line="360" w:lineRule="auto"/>
        <w:ind w:firstLine="480" w:firstLineChars="200"/>
        <w:rPr>
          <w:rFonts w:ascii="宋体" w:hAnsi="宋体" w:cs="宋体"/>
          <w:color w:val="auto"/>
          <w:sz w:val="24"/>
        </w:rPr>
      </w:pPr>
      <w:r>
        <w:rPr>
          <w:rFonts w:hint="eastAsia" w:ascii="宋体" w:hAnsi="宋体" w:cs="宋体"/>
          <w:color w:val="auto"/>
          <w:sz w:val="24"/>
        </w:rPr>
        <w:t>三档（10分）：磋商供应商在满足二档的基础上，能准确把握采购人对OA办公系统功能的需求，进行详细分析描述；</w:t>
      </w:r>
    </w:p>
    <w:p>
      <w:pPr>
        <w:spacing w:line="360" w:lineRule="auto"/>
        <w:ind w:firstLine="480" w:firstLineChars="200"/>
        <w:rPr>
          <w:rFonts w:ascii="宋体" w:hAnsi="宋体" w:cs="宋体"/>
          <w:bCs/>
          <w:color w:val="auto"/>
          <w:sz w:val="24"/>
        </w:rPr>
      </w:pPr>
      <w:r>
        <w:rPr>
          <w:rFonts w:hint="eastAsia" w:ascii="宋体" w:hAnsi="宋体" w:cs="宋体"/>
          <w:color w:val="auto"/>
          <w:sz w:val="24"/>
        </w:rPr>
        <w:t>四档（15分）：磋商供应商熟悉采购人IT硬件情况及OA办公系统应用系统现状，清晰准确的描述采购人对办公OA系统的需求，熟悉政务办公OA系统业务逻辑，熟悉各业务应用系统工作流程，需求分析详细明确。</w:t>
      </w:r>
    </w:p>
    <w:p>
      <w:pPr>
        <w:spacing w:line="440" w:lineRule="exact"/>
        <w:ind w:left="413"/>
        <w:rPr>
          <w:rFonts w:ascii="宋体" w:hAnsi="宋体" w:cs="宋体"/>
          <w:b/>
          <w:bCs/>
          <w:color w:val="auto"/>
          <w:sz w:val="24"/>
        </w:rPr>
      </w:pPr>
      <w:r>
        <w:rPr>
          <w:rFonts w:hint="eastAsia" w:ascii="宋体" w:hAnsi="宋体" w:cs="宋体"/>
          <w:b/>
          <w:bCs/>
          <w:color w:val="auto"/>
          <w:sz w:val="24"/>
        </w:rPr>
        <w:t>（2）项目设计方案分（满分15分，不提供方案或不满足不得分。）</w:t>
      </w:r>
    </w:p>
    <w:p>
      <w:pPr>
        <w:spacing w:line="440" w:lineRule="exact"/>
        <w:ind w:firstLine="480" w:firstLineChars="200"/>
        <w:rPr>
          <w:rFonts w:ascii="宋体" w:hAnsi="宋体" w:cs="宋体"/>
          <w:bCs/>
          <w:color w:val="auto"/>
          <w:sz w:val="24"/>
        </w:rPr>
      </w:pPr>
      <w:r>
        <w:rPr>
          <w:rFonts w:hint="eastAsia" w:ascii="宋体" w:hAnsi="宋体" w:cs="宋体"/>
          <w:color w:val="auto"/>
          <w:sz w:val="24"/>
        </w:rPr>
        <w:t>一档（5分）：</w:t>
      </w:r>
      <w:r>
        <w:rPr>
          <w:rFonts w:hint="eastAsia" w:ascii="宋体" w:hAnsi="宋体" w:cs="宋体"/>
          <w:bCs/>
          <w:color w:val="auto"/>
          <w:sz w:val="24"/>
        </w:rPr>
        <w:t>磋商供应商能提供简单的技术方案，基本满足采购文件要求的；</w:t>
      </w:r>
    </w:p>
    <w:p>
      <w:pPr>
        <w:spacing w:line="440" w:lineRule="exact"/>
        <w:ind w:firstLine="480" w:firstLineChars="200"/>
        <w:rPr>
          <w:rFonts w:ascii="宋体" w:hAnsi="宋体" w:cs="宋体"/>
          <w:color w:val="auto"/>
          <w:sz w:val="24"/>
        </w:rPr>
      </w:pPr>
      <w:r>
        <w:rPr>
          <w:rFonts w:hint="eastAsia" w:ascii="宋体" w:hAnsi="宋体" w:cs="宋体"/>
          <w:color w:val="auto"/>
          <w:sz w:val="24"/>
        </w:rPr>
        <w:t>二档（10分）：</w:t>
      </w:r>
      <w:r>
        <w:rPr>
          <w:rFonts w:hint="eastAsia" w:ascii="宋体" w:hAnsi="宋体" w:cs="宋体"/>
          <w:bCs/>
          <w:color w:val="auto"/>
          <w:sz w:val="24"/>
        </w:rPr>
        <w:t>磋商供应商能提供简单的技术方案</w:t>
      </w:r>
      <w:r>
        <w:rPr>
          <w:rFonts w:hint="eastAsia" w:ascii="宋体" w:hAnsi="宋体" w:cs="宋体"/>
          <w:color w:val="auto"/>
          <w:sz w:val="24"/>
        </w:rPr>
        <w:t>可行、论证基本准确，没有明显技术错误，系统数据库设计相对合理，命名相对规范，模块功能描述相对具体，方案阐述比较详细；</w:t>
      </w:r>
    </w:p>
    <w:p>
      <w:pPr>
        <w:spacing w:line="440" w:lineRule="exact"/>
        <w:ind w:firstLine="480" w:firstLineChars="200"/>
        <w:rPr>
          <w:rFonts w:ascii="宋体" w:hAnsi="宋体" w:cs="宋体"/>
          <w:color w:val="auto"/>
          <w:sz w:val="24"/>
        </w:rPr>
      </w:pPr>
      <w:r>
        <w:rPr>
          <w:rFonts w:hint="eastAsia" w:ascii="宋体" w:hAnsi="宋体" w:cs="宋体"/>
          <w:color w:val="auto"/>
          <w:sz w:val="24"/>
        </w:rPr>
        <w:t>三档（15分）：方案达到以下整体要求：开发技术及设计架构的合理性、采用技术的先进性、设计的完整性以及系统的扩展性、实用性、规范性、易用性、可行性、可靠性设计很好；方案可行且具先进性、创新性，论证很准确；系统数据库设计合理，命名较为规范，符合数据库表命名标准规范；能详细提供项目的建设目标、建设内容、整体架构、系统功能；实现技术新，模块功能描述非常具体，方案阐述非常详细。</w:t>
      </w:r>
    </w:p>
    <w:p>
      <w:pPr>
        <w:spacing w:line="440" w:lineRule="exact"/>
        <w:ind w:left="413"/>
        <w:rPr>
          <w:rFonts w:ascii="宋体" w:hAnsi="宋体" w:cs="宋体"/>
          <w:b/>
          <w:bCs/>
          <w:color w:val="auto"/>
          <w:sz w:val="24"/>
        </w:rPr>
      </w:pPr>
      <w:r>
        <w:rPr>
          <w:rFonts w:hint="eastAsia" w:ascii="宋体" w:hAnsi="宋体" w:cs="宋体"/>
          <w:b/>
          <w:bCs/>
          <w:color w:val="auto"/>
          <w:sz w:val="24"/>
        </w:rPr>
        <w:t xml:space="preserve">（3）项目实施方案分（满分15分，不提供方案或不满足不得分。） </w:t>
      </w:r>
    </w:p>
    <w:p>
      <w:pPr>
        <w:spacing w:line="440" w:lineRule="exact"/>
        <w:ind w:firstLine="480" w:firstLineChars="200"/>
        <w:rPr>
          <w:rFonts w:ascii="宋体" w:hAnsi="宋体" w:cs="宋体"/>
          <w:color w:val="auto"/>
          <w:sz w:val="24"/>
        </w:rPr>
      </w:pPr>
      <w:r>
        <w:rPr>
          <w:rFonts w:hint="eastAsia" w:ascii="宋体" w:hAnsi="宋体" w:cs="宋体"/>
          <w:color w:val="auto"/>
          <w:sz w:val="24"/>
        </w:rPr>
        <w:t>一档（5分）：</w:t>
      </w:r>
      <w:r>
        <w:rPr>
          <w:rFonts w:hint="eastAsia" w:ascii="宋体" w:hAnsi="宋体" w:cs="宋体"/>
          <w:bCs/>
          <w:color w:val="auto"/>
          <w:sz w:val="24"/>
        </w:rPr>
        <w:t>磋商供应商能提供简单的实施方案的，基本满足招标需要的；</w:t>
      </w:r>
    </w:p>
    <w:p>
      <w:pPr>
        <w:spacing w:line="440" w:lineRule="exact"/>
        <w:ind w:firstLine="480" w:firstLineChars="200"/>
        <w:rPr>
          <w:rFonts w:ascii="宋体" w:hAnsi="宋体" w:cs="宋体"/>
          <w:color w:val="auto"/>
          <w:sz w:val="24"/>
        </w:rPr>
      </w:pPr>
      <w:r>
        <w:rPr>
          <w:rFonts w:hint="eastAsia" w:ascii="宋体" w:hAnsi="宋体" w:cs="宋体"/>
          <w:color w:val="auto"/>
          <w:sz w:val="24"/>
        </w:rPr>
        <w:t>二档（10分）：磋商供应商能提供较好的实施方案，包括系统测试方案、试运转方案、培训方案及验收方案，有项目管理组织机构、人员工作安排及施工进度安排，所提供方案内容可行，科学合理；</w:t>
      </w:r>
    </w:p>
    <w:p>
      <w:pPr>
        <w:spacing w:line="440" w:lineRule="exact"/>
        <w:ind w:firstLine="480" w:firstLineChars="200"/>
        <w:rPr>
          <w:rFonts w:ascii="宋体" w:hAnsi="宋体" w:cs="宋体"/>
          <w:sz w:val="24"/>
        </w:rPr>
      </w:pPr>
      <w:r>
        <w:rPr>
          <w:rFonts w:hint="eastAsia" w:ascii="宋体" w:hAnsi="宋体" w:cs="宋体"/>
          <w:color w:val="auto"/>
          <w:sz w:val="24"/>
        </w:rPr>
        <w:t>三档（15分）：磋商供应商能提供详细的项目实施方案，项目实施方案表述清晰、完整、严谨、合理，可操作性较强，方案思路清晰。包括测试方案、试运行方</w:t>
      </w:r>
      <w:r>
        <w:rPr>
          <w:rFonts w:hint="eastAsia" w:ascii="宋体" w:hAnsi="宋体" w:cs="宋体"/>
          <w:sz w:val="24"/>
        </w:rPr>
        <w:t>案、培训方案及验收方案，具备合理性与可行性，有项目进度计划和工期保证措施、项目质量保证措施、项目风险管理措施，详细说明各个阶段工作安排，阐述清楚实施组织办法及保障体系，指明项目重点难点及解决办法。</w:t>
      </w:r>
    </w:p>
    <w:p>
      <w:pPr>
        <w:spacing w:line="440" w:lineRule="exact"/>
        <w:ind w:left="413"/>
        <w:rPr>
          <w:rFonts w:ascii="宋体" w:hAnsi="宋体" w:cs="宋体"/>
          <w:b/>
          <w:bCs/>
          <w:sz w:val="24"/>
        </w:rPr>
      </w:pPr>
      <w:r>
        <w:rPr>
          <w:rFonts w:hint="eastAsia" w:ascii="宋体" w:hAnsi="宋体" w:cs="宋体"/>
          <w:b/>
          <w:bCs/>
          <w:sz w:val="24"/>
        </w:rPr>
        <w:t>（4）售后服务方案分（满分5分）</w:t>
      </w:r>
    </w:p>
    <w:p>
      <w:pPr>
        <w:spacing w:line="440" w:lineRule="exact"/>
        <w:ind w:firstLine="480" w:firstLineChars="200"/>
        <w:rPr>
          <w:rFonts w:ascii="宋体" w:hAnsi="宋体" w:cs="宋体"/>
          <w:sz w:val="24"/>
        </w:rPr>
      </w:pPr>
      <w:r>
        <w:rPr>
          <w:rFonts w:hint="eastAsia" w:ascii="宋体" w:hAnsi="宋体" w:cs="宋体"/>
          <w:sz w:val="24"/>
        </w:rPr>
        <w:t>一档（1分）：售后服务方案简单，基本满足招标要求；</w:t>
      </w:r>
    </w:p>
    <w:p>
      <w:pPr>
        <w:spacing w:line="440" w:lineRule="exact"/>
        <w:ind w:firstLine="480" w:firstLineChars="200"/>
        <w:rPr>
          <w:rFonts w:ascii="宋体" w:hAnsi="宋体" w:cs="宋体"/>
          <w:sz w:val="24"/>
        </w:rPr>
      </w:pPr>
      <w:r>
        <w:rPr>
          <w:rFonts w:hint="eastAsia" w:ascii="宋体" w:hAnsi="宋体" w:cs="宋体"/>
          <w:sz w:val="24"/>
        </w:rPr>
        <w:t>二档（3分）：完全满足以下条件：①供应商有详细的售后服务方案、培训方案；② 供应商承诺响应时间、故障到场时间、一般故障排除时间满足采购文件要求；</w:t>
      </w:r>
    </w:p>
    <w:p>
      <w:pPr>
        <w:spacing w:line="440" w:lineRule="exact"/>
        <w:ind w:firstLine="480" w:firstLineChars="200"/>
        <w:rPr>
          <w:rFonts w:ascii="宋体" w:hAnsi="宋体" w:cs="宋体"/>
          <w:sz w:val="24"/>
        </w:rPr>
      </w:pPr>
      <w:r>
        <w:rPr>
          <w:rFonts w:hint="eastAsia" w:ascii="宋体" w:hAnsi="宋体" w:cs="宋体"/>
          <w:sz w:val="24"/>
        </w:rPr>
        <w:t>三档（5分）：完全满足以下条件：①供应商有详细的售后服务方案、培训方案；②供应商承诺响应时间、故障到场时间、一般故障排除时间优于采购文件要求；③提供售后人员相关资质证书。（须提供证书复印件及供应商缴纳的拟投入人员最近半年内连续三个月的社保证明）。</w:t>
      </w:r>
    </w:p>
    <w:p>
      <w:pPr>
        <w:numPr>
          <w:ilvl w:val="0"/>
          <w:numId w:val="2"/>
        </w:numPr>
        <w:spacing w:line="440" w:lineRule="exact"/>
        <w:ind w:firstLine="482" w:firstLineChars="200"/>
        <w:rPr>
          <w:rFonts w:ascii="宋体" w:hAnsi="宋体" w:cs="宋体"/>
          <w:b/>
          <w:sz w:val="24"/>
        </w:rPr>
      </w:pPr>
      <w:r>
        <w:rPr>
          <w:rFonts w:hint="eastAsia" w:ascii="宋体" w:hAnsi="宋体" w:cs="宋体"/>
          <w:b/>
          <w:sz w:val="24"/>
        </w:rPr>
        <w:t>商务分…………………………………………………………………35分</w:t>
      </w:r>
    </w:p>
    <w:p>
      <w:pPr>
        <w:spacing w:line="440" w:lineRule="exact"/>
        <w:ind w:left="413"/>
        <w:rPr>
          <w:rFonts w:ascii="宋体" w:hAnsi="宋体" w:cs="宋体"/>
          <w:b/>
          <w:bCs/>
          <w:sz w:val="24"/>
        </w:rPr>
      </w:pPr>
      <w:r>
        <w:rPr>
          <w:rFonts w:hint="eastAsia" w:ascii="宋体" w:hAnsi="宋体" w:cs="宋体"/>
          <w:b/>
          <w:bCs/>
          <w:sz w:val="24"/>
        </w:rPr>
        <w:t>（1）磋商供应商能力和信誉（9分）</w:t>
      </w:r>
    </w:p>
    <w:p>
      <w:pPr>
        <w:spacing w:line="360" w:lineRule="auto"/>
        <w:ind w:firstLine="480" w:firstLineChars="200"/>
        <w:rPr>
          <w:rFonts w:ascii="宋体" w:hAnsi="宋体" w:cs="宋体"/>
          <w:sz w:val="24"/>
        </w:rPr>
      </w:pPr>
      <w:r>
        <w:rPr>
          <w:rFonts w:hint="eastAsia" w:ascii="宋体" w:hAnsi="宋体" w:cs="宋体"/>
          <w:sz w:val="24"/>
        </w:rPr>
        <w:t>1）磋商供应商提供有效期内质量管理体系认证证书得1分，未提供不得分；</w:t>
      </w:r>
    </w:p>
    <w:p>
      <w:pPr>
        <w:spacing w:line="360" w:lineRule="auto"/>
        <w:ind w:firstLine="480" w:firstLineChars="200"/>
        <w:rPr>
          <w:rFonts w:ascii="宋体" w:hAnsi="宋体" w:cs="宋体"/>
          <w:sz w:val="24"/>
        </w:rPr>
      </w:pPr>
      <w:r>
        <w:rPr>
          <w:rFonts w:hint="eastAsia" w:ascii="宋体" w:hAnsi="宋体" w:cs="宋体"/>
          <w:sz w:val="24"/>
        </w:rPr>
        <w:t>2）磋商供应商提供有效期内职业健康安全管理体系证书得1分，未提供不得分；</w:t>
      </w:r>
    </w:p>
    <w:p>
      <w:pPr>
        <w:spacing w:line="360" w:lineRule="auto"/>
        <w:ind w:firstLine="480" w:firstLineChars="200"/>
        <w:rPr>
          <w:rFonts w:ascii="宋体" w:hAnsi="宋体" w:cs="宋体"/>
          <w:sz w:val="24"/>
        </w:rPr>
      </w:pPr>
      <w:r>
        <w:rPr>
          <w:rFonts w:hint="eastAsia" w:ascii="宋体" w:hAnsi="宋体" w:cs="宋体"/>
          <w:sz w:val="24"/>
        </w:rPr>
        <w:t>3）磋商供应商提供有效期内环境管理体系证书得2分，未提供不得分；</w:t>
      </w:r>
    </w:p>
    <w:p>
      <w:pPr>
        <w:spacing w:line="360" w:lineRule="auto"/>
        <w:ind w:firstLine="480" w:firstLineChars="200"/>
        <w:rPr>
          <w:rFonts w:ascii="宋体" w:hAnsi="宋体" w:cs="宋体"/>
          <w:sz w:val="24"/>
        </w:rPr>
      </w:pPr>
      <w:r>
        <w:rPr>
          <w:rFonts w:hint="eastAsia" w:ascii="宋体" w:hAnsi="宋体" w:cs="宋体"/>
          <w:sz w:val="24"/>
        </w:rPr>
        <w:t>4）磋商供应商提供有效期内信息安全管理体系证书得2分，未提供不得分；</w:t>
      </w:r>
    </w:p>
    <w:p>
      <w:pPr>
        <w:spacing w:line="440" w:lineRule="exact"/>
        <w:ind w:firstLine="480" w:firstLineChars="200"/>
        <w:rPr>
          <w:rFonts w:ascii="宋体" w:hAnsi="宋体" w:cs="宋体"/>
          <w:sz w:val="24"/>
        </w:rPr>
      </w:pPr>
      <w:r>
        <w:rPr>
          <w:rFonts w:hint="eastAsia" w:ascii="宋体" w:hAnsi="宋体" w:cs="宋体"/>
          <w:sz w:val="24"/>
        </w:rPr>
        <w:t>5）项目负责人具有正高级工程师专业技术职称得3分，未提供不得分。（需提交投标截止时间前三个月的社保证明复印件、原件备查）</w:t>
      </w:r>
    </w:p>
    <w:p>
      <w:pPr>
        <w:spacing w:line="440" w:lineRule="exact"/>
        <w:ind w:left="413"/>
        <w:rPr>
          <w:rFonts w:ascii="宋体" w:hAnsi="宋体" w:cs="宋体"/>
          <w:b/>
          <w:bCs/>
          <w:sz w:val="24"/>
        </w:rPr>
      </w:pPr>
      <w:r>
        <w:rPr>
          <w:rFonts w:hint="eastAsia" w:ascii="宋体" w:hAnsi="宋体" w:cs="宋体"/>
          <w:b/>
          <w:bCs/>
          <w:sz w:val="24"/>
        </w:rPr>
        <w:t>（2）磋商供应商业绩（8分）</w:t>
      </w:r>
    </w:p>
    <w:p>
      <w:pPr>
        <w:spacing w:line="440" w:lineRule="exact"/>
        <w:ind w:firstLine="480" w:firstLineChars="200"/>
        <w:rPr>
          <w:rFonts w:ascii="宋体" w:hAnsi="宋体" w:cs="宋体"/>
          <w:sz w:val="24"/>
        </w:rPr>
      </w:pPr>
      <w:r>
        <w:rPr>
          <w:rFonts w:hint="eastAsia" w:ascii="宋体" w:hAnsi="宋体" w:cs="宋体"/>
          <w:sz w:val="24"/>
        </w:rPr>
        <w:t>磋商供应商2017年以来同类业绩（数据库、信息系统软件开发类等），每项业绩得1分。（提供中标通知书或合同复印件）（满分8分）</w:t>
      </w:r>
    </w:p>
    <w:p>
      <w:pPr>
        <w:spacing w:line="440" w:lineRule="exact"/>
        <w:ind w:left="413"/>
        <w:rPr>
          <w:rFonts w:ascii="宋体" w:hAnsi="宋体" w:cs="宋体"/>
          <w:b/>
          <w:bCs/>
          <w:sz w:val="24"/>
        </w:rPr>
      </w:pPr>
      <w:r>
        <w:rPr>
          <w:rFonts w:hint="eastAsia" w:ascii="宋体" w:hAnsi="宋体" w:cs="宋体"/>
          <w:b/>
          <w:bCs/>
          <w:sz w:val="24"/>
        </w:rPr>
        <w:t>（3）磋商供应商荣誉（13分）</w:t>
      </w:r>
    </w:p>
    <w:p>
      <w:pPr>
        <w:spacing w:line="440" w:lineRule="exact"/>
        <w:ind w:firstLine="480" w:firstLineChars="200"/>
        <w:rPr>
          <w:rFonts w:ascii="宋体" w:hAnsi="宋体" w:cs="宋体"/>
          <w:color w:val="auto"/>
          <w:sz w:val="24"/>
        </w:rPr>
      </w:pPr>
      <w:r>
        <w:rPr>
          <w:rFonts w:hint="eastAsia" w:ascii="宋体" w:hAnsi="宋体" w:cs="宋体"/>
          <w:color w:val="auto"/>
          <w:sz w:val="24"/>
        </w:rPr>
        <w:t>1）磋商供应商2017年以来获得市级或以上人民政府颁发的奖项的，每项得2分；（提供证书复印件）（满分4分）</w:t>
      </w:r>
    </w:p>
    <w:p>
      <w:pPr>
        <w:spacing w:line="440" w:lineRule="exact"/>
        <w:ind w:firstLine="480" w:firstLineChars="200"/>
        <w:rPr>
          <w:rFonts w:ascii="宋体" w:hAnsi="宋体" w:cs="宋体"/>
          <w:color w:val="auto"/>
          <w:sz w:val="24"/>
        </w:rPr>
      </w:pPr>
      <w:r>
        <w:rPr>
          <w:rFonts w:hint="eastAsia" w:ascii="宋体" w:hAnsi="宋体" w:cs="宋体"/>
          <w:color w:val="auto"/>
          <w:sz w:val="24"/>
        </w:rPr>
        <w:t>2）磋商供应商2017年以来获得省级行业行政主管部门或其认定的行业协会颁发的有关奖项，每项得0.5分；（提供证书复印件）（满分3分）</w:t>
      </w:r>
    </w:p>
    <w:p>
      <w:pPr>
        <w:spacing w:line="440" w:lineRule="exact"/>
        <w:ind w:firstLine="480" w:firstLineChars="200"/>
        <w:rPr>
          <w:rFonts w:ascii="宋体" w:hAnsi="宋体" w:cs="宋体"/>
          <w:color w:val="auto"/>
          <w:sz w:val="24"/>
        </w:rPr>
      </w:pPr>
      <w:r>
        <w:rPr>
          <w:rFonts w:hint="eastAsia" w:ascii="宋体" w:hAnsi="宋体" w:cs="宋体"/>
          <w:color w:val="auto"/>
          <w:sz w:val="24"/>
        </w:rPr>
        <w:t>3）磋商供应商2017年以来获得全国性行业协会颁发的有关奖项的，每项得1分。（提供证书复印件）（满分6分）</w:t>
      </w:r>
    </w:p>
    <w:p>
      <w:pPr>
        <w:spacing w:line="440" w:lineRule="exact"/>
        <w:ind w:left="413"/>
        <w:rPr>
          <w:rFonts w:ascii="宋体" w:hAnsi="宋体" w:cs="宋体"/>
          <w:b/>
          <w:bCs/>
          <w:sz w:val="24"/>
        </w:rPr>
      </w:pPr>
      <w:r>
        <w:rPr>
          <w:rFonts w:hint="eastAsia" w:ascii="宋体" w:hAnsi="宋体" w:cs="宋体"/>
          <w:b/>
          <w:bCs/>
          <w:sz w:val="24"/>
        </w:rPr>
        <w:t>（4）本地化服务（5分）</w:t>
      </w:r>
    </w:p>
    <w:p>
      <w:pPr>
        <w:spacing w:line="440" w:lineRule="exact"/>
        <w:ind w:firstLine="480" w:firstLineChars="200"/>
        <w:rPr>
          <w:rFonts w:ascii="宋体" w:hAnsi="宋体" w:cs="宋体"/>
          <w:sz w:val="24"/>
        </w:rPr>
      </w:pPr>
      <w:r>
        <w:rPr>
          <w:rFonts w:hint="eastAsia" w:ascii="宋体" w:hAnsi="宋体" w:cs="宋体"/>
          <w:sz w:val="24"/>
        </w:rPr>
        <w:t>磋商供应商对本项目提供的驻点维护人员达2人的，得1分；针对本项目提供的驻点维护人员达4人的，得3分；针对本项目提供的驻点维护人员6人以上的，得5分。（在投标文件中提供维护团队人员花名册包括姓名、身份证号、职称证复印件，需提交响应截止时间前连续</w:t>
      </w:r>
      <w:r>
        <w:rPr>
          <w:rFonts w:hint="eastAsia" w:ascii="宋体" w:hAnsi="宋体" w:cs="宋体"/>
          <w:bCs/>
          <w:sz w:val="24"/>
        </w:rPr>
        <w:t>三个月的社保缴纳证明复印件</w:t>
      </w:r>
      <w:r>
        <w:rPr>
          <w:rFonts w:hint="eastAsia" w:ascii="宋体" w:hAnsi="宋体" w:cs="宋体"/>
          <w:sz w:val="24"/>
        </w:rPr>
        <w:t>）（满分5分）</w:t>
      </w:r>
    </w:p>
    <w:p>
      <w:pPr>
        <w:pStyle w:val="9"/>
        <w:spacing w:line="351" w:lineRule="auto"/>
        <w:ind w:firstLine="480" w:firstLineChars="200"/>
        <w:rPr>
          <w:rFonts w:hAnsi="宋体" w:cs="宋体"/>
          <w:sz w:val="24"/>
          <w:szCs w:val="24"/>
        </w:rPr>
      </w:pPr>
      <w:r>
        <w:rPr>
          <w:rFonts w:hint="eastAsia" w:hAnsi="宋体" w:cs="宋体"/>
          <w:sz w:val="24"/>
          <w:szCs w:val="24"/>
        </w:rPr>
        <w:t>（5）诚信分：</w:t>
      </w:r>
      <w:r>
        <w:rPr>
          <w:rFonts w:hint="eastAsia" w:hAnsi="宋体" w:cs="宋体"/>
          <w:bCs/>
          <w:sz w:val="24"/>
          <w:szCs w:val="24"/>
        </w:rPr>
        <w:t>磋商供应商</w:t>
      </w:r>
      <w:r>
        <w:rPr>
          <w:rFonts w:hint="eastAsia" w:hAnsi="宋体" w:cs="宋体"/>
          <w:sz w:val="24"/>
          <w:szCs w:val="24"/>
        </w:rPr>
        <w:t>在截标日前1年内在政府采购活动中存在违约违规情形的（以财政部门出具的书面材料为评分依据），每次扣除3分，最高扣分6分扣完为止。</w:t>
      </w:r>
    </w:p>
    <w:p>
      <w:pPr>
        <w:spacing w:line="351" w:lineRule="auto"/>
        <w:ind w:firstLine="480" w:firstLineChars="200"/>
        <w:rPr>
          <w:rFonts w:ascii="新宋体" w:hAnsi="新宋体" w:eastAsia="新宋体" w:cs="新宋体"/>
          <w:sz w:val="24"/>
        </w:rPr>
      </w:pPr>
      <w:r>
        <w:rPr>
          <w:rFonts w:hint="eastAsia" w:ascii="新宋体" w:hAnsi="新宋体" w:eastAsia="新宋体" w:cs="新宋体"/>
          <w:sz w:val="24"/>
        </w:rPr>
        <w:t>（四）总得分＝1＋2＋3+4</w:t>
      </w:r>
    </w:p>
    <w:p>
      <w:pPr>
        <w:spacing w:line="351" w:lineRule="auto"/>
        <w:jc w:val="left"/>
        <w:rPr>
          <w:rFonts w:asciiTheme="majorEastAsia" w:hAnsiTheme="majorEastAsia" w:eastAsiaTheme="majorEastAsia" w:cstheme="majorEastAsia"/>
          <w:b/>
          <w:color w:val="000000" w:themeColor="text1"/>
          <w:sz w:val="24"/>
        </w:rPr>
      </w:pPr>
      <w:r>
        <w:rPr>
          <w:rFonts w:hint="eastAsia" w:asciiTheme="majorEastAsia" w:hAnsiTheme="majorEastAsia" w:eastAsiaTheme="majorEastAsia" w:cstheme="majorEastAsia"/>
          <w:b/>
          <w:color w:val="000000" w:themeColor="text1"/>
          <w:sz w:val="24"/>
        </w:rPr>
        <w:t>（四）成交候选供应商推荐原则</w:t>
      </w:r>
    </w:p>
    <w:bookmarkEnd w:id="0"/>
    <w:bookmarkEnd w:id="1"/>
    <w:bookmarkEnd w:id="24"/>
    <w:bookmarkEnd w:id="25"/>
    <w:bookmarkEnd w:id="26"/>
    <w:bookmarkEnd w:id="27"/>
    <w:bookmarkEnd w:id="28"/>
    <w:bookmarkEnd w:id="29"/>
    <w:p>
      <w:pPr>
        <w:spacing w:line="351" w:lineRule="auto"/>
        <w:ind w:firstLine="480" w:firstLineChars="200"/>
        <w:rPr>
          <w:rFonts w:cs="宋体" w:asciiTheme="majorEastAsia" w:hAnsiTheme="majorEastAsia" w:eastAsiaTheme="majorEastAsia"/>
          <w:color w:val="000000" w:themeColor="text1"/>
          <w:kern w:val="0"/>
          <w:sz w:val="24"/>
        </w:rPr>
      </w:pPr>
      <w:bookmarkStart w:id="36" w:name="_Toc213325923"/>
      <w:bookmarkStart w:id="37" w:name="_Toc213326414"/>
      <w:bookmarkStart w:id="38" w:name="_Toc460253701"/>
      <w:bookmarkStart w:id="39" w:name="_Toc213206174"/>
      <w:bookmarkStart w:id="40" w:name="_Toc485920212"/>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w:t>
      </w:r>
      <w:r>
        <w:rPr>
          <w:rFonts w:hint="eastAsia" w:cs="宋体" w:asciiTheme="majorEastAsia" w:hAnsiTheme="majorEastAsia" w:eastAsiaTheme="majorEastAsia"/>
          <w:color w:val="000000" w:themeColor="text1"/>
          <w:kern w:val="0"/>
          <w:sz w:val="24"/>
        </w:rPr>
        <w:t>磋商小组将按总得分由高到低排列成交候选供</w:t>
      </w:r>
      <w:r>
        <w:rPr>
          <w:rFonts w:hint="eastAsia" w:asciiTheme="majorEastAsia" w:hAnsiTheme="majorEastAsia" w:eastAsiaTheme="majorEastAsia"/>
          <w:color w:val="000000" w:themeColor="text1"/>
          <w:sz w:val="24"/>
        </w:rPr>
        <w:t>应商顺序（</w:t>
      </w:r>
      <w:r>
        <w:rPr>
          <w:rFonts w:asciiTheme="majorEastAsia" w:hAnsiTheme="majorEastAsia" w:eastAsiaTheme="majorEastAsia"/>
          <w:color w:val="000000" w:themeColor="text1"/>
          <w:sz w:val="24"/>
        </w:rPr>
        <w:t>评标价相同时，依次按节能环保产品优先、技术指标高优先、质量保证期长优先、故障响应时间短优先的顺序排列</w:t>
      </w:r>
      <w:r>
        <w:rPr>
          <w:rFonts w:hint="eastAsia" w:asciiTheme="majorEastAsia" w:hAnsiTheme="majorEastAsia" w:eastAsiaTheme="majorEastAsia"/>
          <w:color w:val="000000" w:themeColor="text1"/>
          <w:sz w:val="24"/>
        </w:rPr>
        <w:t>；前述指标均相同时，由磋商小组各成员对供应商当场投票表决，得票多者优先；按前述程序仍无法确定供应商排名顺序的，由磋商小组抽签决定），并依照次序确定成交供</w:t>
      </w:r>
      <w:r>
        <w:rPr>
          <w:rFonts w:hint="eastAsia" w:cs="宋体" w:asciiTheme="majorEastAsia" w:hAnsiTheme="majorEastAsia" w:eastAsiaTheme="majorEastAsia"/>
          <w:color w:val="000000" w:themeColor="text1"/>
          <w:kern w:val="0"/>
          <w:sz w:val="24"/>
        </w:rPr>
        <w:t>应商。</w:t>
      </w:r>
    </w:p>
    <w:p>
      <w:pPr>
        <w:spacing w:line="351" w:lineRule="auto"/>
        <w:ind w:firstLine="480" w:firstLineChars="200"/>
        <w:rPr>
          <w:rFonts w:cs="宋体" w:asciiTheme="majorEastAsia" w:hAnsiTheme="majorEastAsia" w:eastAsiaTheme="majorEastAsia"/>
          <w:color w:val="000000" w:themeColor="text1"/>
          <w:sz w:val="24"/>
          <w:szCs w:val="22"/>
        </w:rPr>
      </w:pPr>
      <w:r>
        <w:rPr>
          <w:rFonts w:hint="eastAsia" w:cs="宋体" w:asciiTheme="majorEastAsia" w:hAnsiTheme="majorEastAsia" w:eastAsiaTheme="majorEastAsia"/>
          <w:color w:val="000000" w:themeColor="text1"/>
          <w:sz w:val="24"/>
          <w:szCs w:val="22"/>
        </w:rPr>
        <w:t>2、根据《财政部关于政府采购竞争性磋商采购方式管理暂行办法有关问题的补充通知》（财库【2015】124号）规定：采用竞争性磋商采购方式的政府购买服务项目或政府和社会资本合作项目，在采购过程中符合要求的供应商只有2家的，其采购活动可以继续进行。</w:t>
      </w:r>
    </w:p>
    <w:p>
      <w:pPr>
        <w:spacing w:line="351" w:lineRule="auto"/>
        <w:ind w:firstLine="480" w:firstLineChars="200"/>
        <w:rPr>
          <w:rFonts w:cs="宋体" w:asciiTheme="majorEastAsia" w:hAnsiTheme="majorEastAsia" w:eastAsiaTheme="majorEastAsia"/>
          <w:color w:val="000000" w:themeColor="text1"/>
          <w:sz w:val="24"/>
          <w:szCs w:val="22"/>
        </w:rPr>
      </w:pPr>
      <w:r>
        <w:rPr>
          <w:rFonts w:hint="eastAsia" w:cs="宋体" w:asciiTheme="majorEastAsia" w:hAnsiTheme="majorEastAsia" w:eastAsiaTheme="majorEastAsia"/>
          <w:color w:val="000000" w:themeColor="text1"/>
          <w:sz w:val="24"/>
          <w:szCs w:val="22"/>
        </w:rPr>
        <w:t>3、根据《政府采购竞争性磋商采购方式管理暂行办法》（财库【2014】214号）规定并结合《政府采购货物和服务招标投标管理办法》南财采【2019】36号文的要求：采用竞争性磋商采购方式的市场竞争不充分的科研项目或需要扶持科技成果转化项目，在符合专业条件的供应商或者对招标文件作实质响应的供应商不少三家前提下，且提交最后报价的供应商有2家的，其采购活动可以继续进行。</w:t>
      </w:r>
    </w:p>
    <w:p>
      <w:pPr>
        <w:spacing w:line="351" w:lineRule="auto"/>
        <w:ind w:firstLine="482" w:firstLineChars="200"/>
        <w:rPr>
          <w:rFonts w:asciiTheme="majorEastAsia" w:hAnsiTheme="majorEastAsia" w:eastAsiaTheme="majorEastAsia"/>
          <w:color w:val="000000" w:themeColor="text1"/>
          <w:sz w:val="24"/>
        </w:rPr>
      </w:pPr>
      <w:r>
        <w:rPr>
          <w:rFonts w:hint="eastAsia" w:asciiTheme="majorEastAsia" w:hAnsiTheme="majorEastAsia" w:eastAsiaTheme="majorEastAsia"/>
          <w:b/>
          <w:bCs/>
          <w:color w:val="000000" w:themeColor="text1"/>
          <w:sz w:val="24"/>
        </w:rPr>
        <w:t>4、磋</w:t>
      </w:r>
      <w:r>
        <w:rPr>
          <w:rFonts w:hint="eastAsia" w:asciiTheme="majorEastAsia" w:hAnsiTheme="majorEastAsia" w:eastAsiaTheme="majorEastAsia"/>
          <w:b/>
          <w:color w:val="000000" w:themeColor="text1"/>
          <w:sz w:val="24"/>
        </w:rPr>
        <w:t>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应商以低于成本报价响应，其响应无效。</w:t>
      </w:r>
    </w:p>
    <w:p>
      <w:pPr>
        <w:jc w:val="center"/>
        <w:rPr>
          <w:rFonts w:asciiTheme="majorEastAsia" w:hAnsiTheme="majorEastAsia" w:eastAsiaTheme="majorEastAsia" w:cstheme="majorEastAsia"/>
          <w:b/>
          <w:color w:val="000000" w:themeColor="text1"/>
          <w:sz w:val="32"/>
          <w:szCs w:val="32"/>
        </w:rPr>
      </w:pPr>
    </w:p>
    <w:p>
      <w:pPr>
        <w:pStyle w:val="3"/>
        <w:sectPr>
          <w:pgSz w:w="11906" w:h="16838"/>
          <w:pgMar w:top="1440" w:right="1080" w:bottom="1440" w:left="1080" w:header="720" w:footer="720" w:gutter="0"/>
          <w:cols w:space="720" w:num="1"/>
          <w:docGrid w:type="lines" w:linePitch="331" w:charSpace="0"/>
        </w:sectPr>
      </w:pPr>
    </w:p>
    <w:p>
      <w:pPr>
        <w:pStyle w:val="3"/>
        <w:jc w:val="center"/>
        <w:rPr>
          <w:rFonts w:asciiTheme="majorEastAsia" w:hAnsiTheme="majorEastAsia" w:eastAsiaTheme="majorEastAsia" w:cstheme="majorEastAsia"/>
          <w:b/>
          <w:bCs/>
          <w:color w:val="000000" w:themeColor="text1"/>
          <w:sz w:val="32"/>
          <w:szCs w:val="32"/>
        </w:rPr>
      </w:pPr>
      <w:bookmarkStart w:id="41" w:name="_Toc20673"/>
      <w:bookmarkStart w:id="42" w:name="_Toc6053"/>
      <w:bookmarkStart w:id="43" w:name="_Toc24864"/>
      <w:r>
        <w:rPr>
          <w:rFonts w:hint="eastAsia" w:asciiTheme="majorEastAsia" w:hAnsiTheme="majorEastAsia" w:eastAsiaTheme="majorEastAsia" w:cstheme="majorEastAsia"/>
          <w:b/>
          <w:color w:val="000000" w:themeColor="text1"/>
          <w:sz w:val="32"/>
          <w:szCs w:val="32"/>
        </w:rPr>
        <w:t>第四章   磋商供应商须知</w:t>
      </w:r>
      <w:bookmarkEnd w:id="36"/>
      <w:bookmarkEnd w:id="37"/>
      <w:bookmarkEnd w:id="38"/>
      <w:bookmarkEnd w:id="39"/>
      <w:bookmarkEnd w:id="40"/>
      <w:bookmarkEnd w:id="41"/>
      <w:bookmarkEnd w:id="42"/>
      <w:bookmarkEnd w:id="43"/>
      <w:bookmarkStart w:id="44" w:name="_Toc213326415"/>
    </w:p>
    <w:bookmarkEnd w:id="44"/>
    <w:p>
      <w:pPr>
        <w:pStyle w:val="9"/>
        <w:spacing w:line="360" w:lineRule="auto"/>
        <w:ind w:firstLine="482" w:firstLineChars="200"/>
        <w:jc w:val="left"/>
        <w:rPr>
          <w:rFonts w:asciiTheme="majorEastAsia" w:hAnsiTheme="majorEastAsia" w:eastAsiaTheme="majorEastAsia" w:cstheme="majorEastAsia"/>
          <w:b/>
          <w:color w:val="000000" w:themeColor="text1"/>
          <w:sz w:val="24"/>
          <w:szCs w:val="24"/>
        </w:rPr>
      </w:pPr>
      <w:bookmarkStart w:id="45" w:name="_Toc460253702"/>
      <w:r>
        <w:rPr>
          <w:rFonts w:hint="eastAsia" w:asciiTheme="majorEastAsia" w:hAnsiTheme="majorEastAsia" w:eastAsiaTheme="majorEastAsia" w:cstheme="majorEastAsia"/>
          <w:b/>
          <w:color w:val="000000" w:themeColor="text1"/>
          <w:sz w:val="24"/>
          <w:szCs w:val="24"/>
        </w:rPr>
        <w:t>本表是关于本次采购项目的具体资料，是对后列条款的具体补充和修改。所有与本次采购有关的事宜，以本表规定的为准。</w:t>
      </w:r>
      <w:bookmarkEnd w:id="45"/>
    </w:p>
    <w:tbl>
      <w:tblPr>
        <w:tblStyle w:val="18"/>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640"/>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条款号</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条款名称</w:t>
            </w:r>
          </w:p>
        </w:tc>
        <w:tc>
          <w:tcPr>
            <w:tcW w:w="6459"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采购人</w:t>
            </w:r>
          </w:p>
        </w:tc>
        <w:tc>
          <w:tcPr>
            <w:tcW w:w="6459" w:type="dxa"/>
            <w:vAlign w:val="center"/>
          </w:tcPr>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名称：南宁市住房和城乡建设局</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地址：南宁市嘉宾路1号市政府大楼10楼 </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 xml:space="preserve">联系人：农云浩  </w:t>
            </w:r>
          </w:p>
          <w:p>
            <w:pPr>
              <w:pStyle w:val="9"/>
              <w:spacing w:line="440" w:lineRule="exac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联系电话：0771-5527061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采购代理机构</w:t>
            </w:r>
          </w:p>
        </w:tc>
        <w:tc>
          <w:tcPr>
            <w:tcW w:w="6459" w:type="dxa"/>
            <w:vAlign w:val="center"/>
          </w:tcPr>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名称：广西邕政采购代理有限公司</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地址：南宁市青秀区思贤路45号创投中心16A层  </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项目联系人：蔺工、罗工</w:t>
            </w:r>
          </w:p>
          <w:p>
            <w:pPr>
              <w:pStyle w:val="9"/>
              <w:spacing w:line="440" w:lineRule="exac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项目名称</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rPr>
              <w:t>OA内部协同办公系统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1.4</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项目编号</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NNZC2020-C3-990366-GXYZ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采购预算</w:t>
            </w:r>
          </w:p>
        </w:tc>
        <w:tc>
          <w:tcPr>
            <w:tcW w:w="6459" w:type="dxa"/>
            <w:vAlign w:val="center"/>
          </w:tcPr>
          <w:p>
            <w:pPr>
              <w:pStyle w:val="9"/>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人民币陆拾万元整（¥600000.00元）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获取招标文件的方式</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1、本项目不发放纸质文件，磋商供应商自行在南宁市公共资源交易平台(https://www.nnggzy.org.cn/gxnnzbw/)的信息公告处下载采购文件。</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2、采购文件每套售价0元。</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3、本项目竞争性磋商公告期限为公告发布之日起5个工作日（2020年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05</w:t>
            </w:r>
            <w:r>
              <w:rPr>
                <w:rFonts w:hint="eastAsia" w:asciiTheme="majorEastAsia" w:hAnsiTheme="majorEastAsia" w:eastAsiaTheme="majorEastAsia" w:cstheme="majorEastAsia"/>
                <w:color w:val="000000" w:themeColor="text1"/>
                <w:sz w:val="24"/>
                <w:szCs w:val="24"/>
              </w:rPr>
              <w:t>日至2020年</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lang w:val="en-US" w:eastAsia="zh-CN"/>
              </w:rPr>
              <w:t>11</w:t>
            </w:r>
            <w:r>
              <w:rPr>
                <w:rFonts w:hint="eastAsia" w:asciiTheme="majorEastAsia" w:hAnsiTheme="majorEastAsia" w:eastAsiaTheme="majorEastAsia" w:cstheme="majorEastAsia"/>
                <w:color w:val="000000" w:themeColor="text1"/>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w:t>
            </w:r>
          </w:p>
        </w:tc>
        <w:tc>
          <w:tcPr>
            <w:tcW w:w="2640" w:type="dxa"/>
            <w:vAlign w:val="center"/>
          </w:tcPr>
          <w:p>
            <w:pPr>
              <w:pStyle w:val="9"/>
              <w:spacing w:line="440" w:lineRule="exact"/>
              <w:jc w:val="center"/>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预留采购份额</w:t>
            </w:r>
          </w:p>
        </w:tc>
        <w:tc>
          <w:tcPr>
            <w:tcW w:w="6459" w:type="dxa"/>
            <w:vAlign w:val="center"/>
          </w:tcPr>
          <w:p>
            <w:pPr>
              <w:snapToGrid w:val="0"/>
              <w:spacing w:line="440" w:lineRule="exac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磋商供应商应具备的资格条件</w:t>
            </w:r>
          </w:p>
        </w:tc>
        <w:tc>
          <w:tcPr>
            <w:tcW w:w="6459" w:type="dxa"/>
            <w:vAlign w:val="center"/>
          </w:tcPr>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1、满足《中华人民共和国政府采购法》第二十二条规定；</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2、落实政府采购政策需满足的资格要求：本项目适用政府采购促进中小企业、监狱企业发展、促进残疾人就业等有关政策，具体详见竞争性磋商文件；</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3、本项目的特定资格要求：无</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4、具有国内法人资格，注册经营范围满足所采购内容的供应商。</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3.3</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是否接受联合体</w:t>
            </w:r>
          </w:p>
        </w:tc>
        <w:tc>
          <w:tcPr>
            <w:tcW w:w="6459" w:type="dxa"/>
            <w:vAlign w:val="center"/>
          </w:tcPr>
          <w:p>
            <w:pPr>
              <w:spacing w:line="500" w:lineRule="exact"/>
              <w:jc w:val="left"/>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4.1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质疑受理</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质疑书的提交地点：广西邕政采购代理有限公司（南宁市思贤路45号创投中心16A层）</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质疑受理电话：0771-2442850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8.8</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响应文件份数</w:t>
            </w:r>
          </w:p>
        </w:tc>
        <w:tc>
          <w:tcPr>
            <w:tcW w:w="6459" w:type="dxa"/>
            <w:vAlign w:val="center"/>
          </w:tcPr>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首次报价文件：正本1份，副本4份</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商务文件：正本1份，副本4份</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11.4</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采购代理服务费</w:t>
            </w:r>
          </w:p>
        </w:tc>
        <w:tc>
          <w:tcPr>
            <w:tcW w:w="6459" w:type="dxa"/>
            <w:vAlign w:val="center"/>
          </w:tcPr>
          <w:p>
            <w:pPr>
              <w:pStyle w:val="9"/>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本项目代理服务费按国家发展计划委员会《招标代理服务费管理暂行办法》（计价格</w:t>
            </w:r>
            <w:r>
              <w:rPr>
                <w:rFonts w:cs="宋体" w:asciiTheme="majorEastAsia" w:hAnsiTheme="majorEastAsia" w:eastAsiaTheme="majorEastAsia"/>
                <w:color w:val="000000" w:themeColor="text1"/>
                <w:sz w:val="24"/>
                <w:szCs w:val="24"/>
              </w:rPr>
              <w:t>[2002]1980</w:t>
            </w:r>
            <w:r>
              <w:rPr>
                <w:rFonts w:hint="eastAsia" w:cs="宋体" w:asciiTheme="majorEastAsia" w:hAnsiTheme="majorEastAsia" w:eastAsiaTheme="majorEastAsia"/>
                <w:color w:val="000000" w:themeColor="text1"/>
                <w:sz w:val="24"/>
                <w:szCs w:val="24"/>
              </w:rPr>
              <w:t>号）收费标准下浮10%计取。由成交单位在领</w:t>
            </w:r>
            <w:r>
              <w:rPr>
                <w:rFonts w:hint="eastAsia" w:cs="宋体" w:asciiTheme="majorEastAsia" w:hAnsiTheme="majorEastAsia" w:eastAsiaTheme="majorEastAsia"/>
                <w:color w:val="000000" w:themeColor="text1"/>
                <w:kern w:val="0"/>
                <w:sz w:val="24"/>
              </w:rPr>
              <w:t>成交</w:t>
            </w:r>
            <w:r>
              <w:rPr>
                <w:rFonts w:hint="eastAsia" w:cs="宋体" w:asciiTheme="majorEastAsia" w:hAnsiTheme="majorEastAsia" w:eastAsiaTheme="majorEastAsia"/>
                <w:color w:val="000000" w:themeColor="text1"/>
                <w:sz w:val="24"/>
                <w:szCs w:val="24"/>
              </w:rPr>
              <w:t>通知书时一次性支付采购代理服务费。</w:t>
            </w:r>
            <w:r>
              <w:rPr>
                <w:rFonts w:cs="宋体" w:asciiTheme="majorEastAsia" w:hAnsiTheme="majorEastAsia" w:eastAsiaTheme="majorEastAsia"/>
                <w:color w:val="000000" w:themeColor="text1"/>
                <w:sz w:val="24"/>
                <w:szCs w:val="24"/>
              </w:rPr>
              <w:t xml:space="preserve"> </w:t>
            </w:r>
          </w:p>
          <w:tbl>
            <w:tblPr>
              <w:tblStyle w:val="18"/>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某</w:t>
                  </w:r>
                  <w:r>
                    <w:rPr>
                      <w:rFonts w:hint="eastAsia" w:cs="宋体" w:asciiTheme="majorEastAsia" w:hAnsiTheme="majorEastAsia" w:eastAsiaTheme="majorEastAsia"/>
                      <w:color w:val="000000" w:themeColor="text1"/>
                      <w:kern w:val="0"/>
                      <w:sz w:val="24"/>
                    </w:rPr>
                    <w:t>成交</w:t>
                  </w:r>
                  <w:r>
                    <w:rPr>
                      <w:rFonts w:asciiTheme="majorEastAsia" w:hAnsiTheme="majorEastAsia" w:eastAsiaTheme="majorEastAsia"/>
                      <w:color w:val="000000" w:themeColor="text1"/>
                      <w:sz w:val="24"/>
                      <w:szCs w:val="24"/>
                    </w:rPr>
                    <w:t>金额（万元）</w:t>
                  </w:r>
                </w:p>
              </w:tc>
              <w:tc>
                <w:tcPr>
                  <w:tcW w:w="1560" w:type="dxa"/>
                  <w:vAlign w:val="center"/>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100以下</w:t>
                  </w:r>
                </w:p>
              </w:tc>
              <w:tc>
                <w:tcPr>
                  <w:tcW w:w="156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100-500</w:t>
                  </w:r>
                </w:p>
              </w:tc>
              <w:tc>
                <w:tcPr>
                  <w:tcW w:w="1560" w:type="dxa"/>
                </w:tcPr>
                <w:p>
                  <w:pPr>
                    <w:pStyle w:val="9"/>
                    <w:spacing w:line="440" w:lineRule="exact"/>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9"/>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500-1000</w:t>
                  </w:r>
                </w:p>
              </w:tc>
              <w:tc>
                <w:tcPr>
                  <w:tcW w:w="1560" w:type="dxa"/>
                </w:tcPr>
                <w:p>
                  <w:pPr>
                    <w:pStyle w:val="9"/>
                    <w:spacing w:line="44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0.45%</w:t>
                  </w:r>
                </w:p>
              </w:tc>
            </w:tr>
          </w:tbl>
          <w:p>
            <w:pPr>
              <w:pStyle w:val="9"/>
              <w:spacing w:line="440" w:lineRule="exact"/>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注：招标代理服务费按差额定率累进法计算。</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开户名称：广西邕政采购代理有限公司</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开户银行：交通银行南宁东葛西支行</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账号：</w:t>
            </w:r>
            <w:r>
              <w:rPr>
                <w:rFonts w:asciiTheme="majorEastAsia" w:hAnsiTheme="majorEastAsia" w:eastAsiaTheme="majorEastAsia" w:cstheme="majorEastAsia"/>
                <w:color w:val="000000" w:themeColor="text1"/>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12.1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响应有效期</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自提交响应文件截止时间起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13.1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磋商保证金金额</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本项目不收取</w:t>
            </w:r>
            <w:r>
              <w:rPr>
                <w:rFonts w:hint="eastAsia" w:asciiTheme="majorEastAsia" w:hAnsiTheme="majorEastAsia" w:eastAsiaTheme="majorEastAsia" w:cstheme="majorEastAsia"/>
                <w:bCs/>
                <w:color w:val="000000" w:themeColor="text1"/>
                <w:sz w:val="24"/>
                <w:szCs w:val="24"/>
              </w:rPr>
              <w:t>磋商</w:t>
            </w:r>
            <w:r>
              <w:rPr>
                <w:rFonts w:hint="eastAsia" w:asciiTheme="majorEastAsia" w:hAnsiTheme="majorEastAsia" w:eastAsiaTheme="majorEastAsia" w:cstheme="majorEastAsia"/>
                <w:color w:val="000000" w:themeColor="text1"/>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提交响应文件截止时间</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rPr>
              <w:t>2020年</w:t>
            </w:r>
            <w:r>
              <w:rPr>
                <w:rFonts w:hint="eastAsia" w:asciiTheme="majorEastAsia" w:hAnsiTheme="majorEastAsia" w:eastAsiaTheme="majorEastAsia" w:cstheme="majorEastAsia"/>
                <w:color w:val="000000" w:themeColor="text1"/>
                <w:kern w:val="0"/>
                <w:sz w:val="24"/>
                <w:lang w:val="en-US" w:eastAsia="zh-CN"/>
              </w:rPr>
              <w:t>11</w:t>
            </w:r>
            <w:r>
              <w:rPr>
                <w:rFonts w:hint="eastAsia" w:asciiTheme="majorEastAsia" w:hAnsiTheme="majorEastAsia" w:eastAsiaTheme="majorEastAsia" w:cstheme="majorEastAsia"/>
                <w:color w:val="000000" w:themeColor="text1"/>
                <w:kern w:val="0"/>
                <w:sz w:val="24"/>
              </w:rPr>
              <w:t>月</w:t>
            </w:r>
            <w:r>
              <w:rPr>
                <w:rFonts w:hint="eastAsia" w:asciiTheme="majorEastAsia" w:hAnsiTheme="majorEastAsia" w:eastAsiaTheme="majorEastAsia" w:cstheme="majorEastAsia"/>
                <w:color w:val="000000" w:themeColor="text1"/>
                <w:kern w:val="0"/>
                <w:sz w:val="24"/>
                <w:lang w:val="en-US" w:eastAsia="zh-CN"/>
              </w:rPr>
              <w:t>16</w:t>
            </w:r>
            <w:r>
              <w:rPr>
                <w:rFonts w:hint="eastAsia" w:asciiTheme="majorEastAsia" w:hAnsiTheme="majorEastAsia" w:eastAsiaTheme="majorEastAsia" w:cstheme="majorEastAsia"/>
                <w:color w:val="000000" w:themeColor="text1"/>
                <w:kern w:val="0"/>
                <w:sz w:val="24"/>
              </w:rPr>
              <w:t>日</w:t>
            </w:r>
            <w:r>
              <w:rPr>
                <w:rFonts w:hint="eastAsia" w:asciiTheme="majorEastAsia" w:hAnsiTheme="majorEastAsia" w:eastAsiaTheme="majorEastAsia" w:cstheme="majorEastAsia"/>
                <w:color w:val="000000" w:themeColor="text1"/>
                <w:kern w:val="0"/>
                <w:sz w:val="24"/>
                <w:lang w:val="en-US" w:eastAsia="zh-CN"/>
              </w:rPr>
              <w:t>09</w:t>
            </w:r>
            <w:r>
              <w:rPr>
                <w:rFonts w:hint="eastAsia" w:asciiTheme="majorEastAsia" w:hAnsiTheme="majorEastAsia" w:eastAsiaTheme="majorEastAsia" w:cstheme="majorEastAsia"/>
                <w:color w:val="000000" w:themeColor="text1"/>
                <w:kern w:val="0"/>
                <w:sz w:val="24"/>
              </w:rPr>
              <w:t>时</w:t>
            </w:r>
            <w:r>
              <w:rPr>
                <w:rFonts w:hint="eastAsia" w:asciiTheme="majorEastAsia" w:hAnsiTheme="majorEastAsia" w:eastAsiaTheme="majorEastAsia" w:cstheme="majorEastAsia"/>
                <w:color w:val="000000" w:themeColor="text1"/>
                <w:kern w:val="0"/>
                <w:sz w:val="24"/>
                <w:lang w:val="en-US" w:eastAsia="zh-CN"/>
              </w:rPr>
              <w:t>30</w:t>
            </w:r>
            <w:r>
              <w:rPr>
                <w:rFonts w:hint="eastAsia" w:asciiTheme="majorEastAsia" w:hAnsiTheme="majorEastAsia" w:eastAsiaTheme="majorEastAsia" w:cstheme="majorEastAsia"/>
                <w:color w:val="000000" w:themeColor="text1"/>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15.2</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提交响应文件地点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南宁市良庆区玉洞大道33号（青少年活动中心旁）市民中心9楼南宁市公共资源交易中心（具体详见9楼电子显示屏场地安排）</w:t>
            </w:r>
            <w:r>
              <w:rPr>
                <w:rFonts w:hint="eastAsia" w:asciiTheme="majorEastAsia" w:hAnsiTheme="majorEastAsia" w:eastAsiaTheme="majorEastAsia" w:cstheme="majorEastAsia"/>
                <w:color w:val="000000" w:themeColor="text1"/>
                <w:kern w:val="0"/>
                <w:sz w:val="24"/>
              </w:rPr>
              <w:t>，</w:t>
            </w:r>
            <w:r>
              <w:rPr>
                <w:rFonts w:hint="eastAsia" w:asciiTheme="majorEastAsia" w:hAnsiTheme="majorEastAsia" w:eastAsiaTheme="majorEastAsia"/>
                <w:color w:val="000000" w:themeColor="text1"/>
                <w:sz w:val="24"/>
                <w:szCs w:val="24"/>
              </w:rPr>
              <w:t>为做好疫情防控工作，本项目的</w:t>
            </w:r>
            <w:r>
              <w:rPr>
                <w:rFonts w:hint="eastAsia" w:cs="宋体" w:asciiTheme="majorEastAsia" w:hAnsiTheme="majorEastAsia" w:eastAsiaTheme="majorEastAsia"/>
                <w:color w:val="000000" w:themeColor="text1"/>
                <w:kern w:val="0"/>
                <w:sz w:val="24"/>
              </w:rPr>
              <w:t>响应</w:t>
            </w:r>
            <w:r>
              <w:rPr>
                <w:rFonts w:hint="eastAsia" w:asciiTheme="majorEastAsia" w:hAnsiTheme="majorEastAsia" w:eastAsiaTheme="majorEastAsia"/>
                <w:color w:val="000000" w:themeColor="text1"/>
                <w:sz w:val="24"/>
                <w:szCs w:val="24"/>
              </w:rPr>
              <w:t>文件通过邮寄快递的方式送达，具体要求详见采购文件</w:t>
            </w:r>
            <w:r>
              <w:rPr>
                <w:rFonts w:hint="eastAsia" w:asciiTheme="majorEastAsia" w:hAnsiTheme="majorEastAsia" w:eastAsiaTheme="majorEastAsia" w:cstheme="maj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17.4.8（1）</w:t>
            </w:r>
          </w:p>
        </w:tc>
        <w:tc>
          <w:tcPr>
            <w:tcW w:w="2640" w:type="dxa"/>
            <w:vAlign w:val="center"/>
          </w:tcPr>
          <w:p>
            <w:pPr>
              <w:pStyle w:val="9"/>
              <w:snapToGrid w:val="0"/>
              <w:spacing w:afterLines="50" w:line="440" w:lineRule="exact"/>
              <w:jc w:val="center"/>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kern w:val="0"/>
                <w:sz w:val="24"/>
                <w:szCs w:val="24"/>
              </w:rPr>
              <w:t>磋商地点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color w:val="000000" w:themeColor="text1"/>
                <w:kern w:val="0"/>
                <w:sz w:val="24"/>
                <w:szCs w:val="24"/>
              </w:rPr>
            </w:pPr>
            <w:r>
              <w:rPr>
                <w:rFonts w:hint="eastAsia" w:asciiTheme="majorEastAsia" w:hAnsiTheme="majorEastAsia" w:eastAsiaTheme="majorEastAsia" w:cstheme="majorEastAsia"/>
                <w:color w:val="000000" w:themeColor="text1"/>
                <w:sz w:val="24"/>
                <w:szCs w:val="24"/>
              </w:rPr>
              <w:t>与递交响应文件地点相同。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361" w:type="dxa"/>
            <w:vAlign w:val="center"/>
          </w:tcPr>
          <w:p>
            <w:pPr>
              <w:pStyle w:val="9"/>
              <w:snapToGrid w:val="0"/>
              <w:spacing w:afterLines="50" w:line="440" w:lineRule="exact"/>
              <w:jc w:val="center"/>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kern w:val="0"/>
                <w:sz w:val="24"/>
                <w:szCs w:val="24"/>
              </w:rPr>
              <w:t>30</w:t>
            </w:r>
          </w:p>
        </w:tc>
        <w:tc>
          <w:tcPr>
            <w:tcW w:w="2640" w:type="dxa"/>
            <w:vAlign w:val="center"/>
          </w:tcPr>
          <w:p>
            <w:pPr>
              <w:pStyle w:val="9"/>
              <w:snapToGrid w:val="0"/>
              <w:spacing w:afterLines="50" w:line="440" w:lineRule="exact"/>
              <w:jc w:val="left"/>
              <w:rPr>
                <w:rFonts w:asciiTheme="majorEastAsia" w:hAnsiTheme="majorEastAsia" w:eastAsiaTheme="majorEastAsia" w:cstheme="majorEastAsia"/>
                <w:b/>
                <w:color w:val="000000" w:themeColor="text1"/>
                <w:kern w:val="0"/>
                <w:sz w:val="24"/>
                <w:szCs w:val="24"/>
              </w:rPr>
            </w:pPr>
            <w:r>
              <w:rPr>
                <w:rFonts w:hint="eastAsia" w:asciiTheme="majorEastAsia" w:hAnsiTheme="majorEastAsia" w:eastAsiaTheme="majorEastAsia" w:cstheme="majorEastAsia"/>
                <w:b/>
                <w:color w:val="000000" w:themeColor="text1"/>
                <w:sz w:val="24"/>
                <w:szCs w:val="24"/>
              </w:rPr>
              <w:t>需要补充的其他内容</w:t>
            </w:r>
          </w:p>
        </w:tc>
        <w:tc>
          <w:tcPr>
            <w:tcW w:w="6459" w:type="dxa"/>
            <w:vAlign w:val="center"/>
          </w:tcPr>
          <w:p>
            <w:pPr>
              <w:pStyle w:val="9"/>
              <w:snapToGrid w:val="0"/>
              <w:spacing w:afterLines="50" w:line="440" w:lineRule="exact"/>
              <w:jc w:val="left"/>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color w:val="000000" w:themeColor="text1"/>
                <w:sz w:val="24"/>
                <w:szCs w:val="24"/>
              </w:rPr>
              <w:t>注：为帮助中小微企业解决资金周转或融资困难问题，南宁市政府采购试行政府采购信用融资制度，为中小企业参与政府采购活动提供金融服务。磋商供应商可凭政府采购合同申请政府采购信用融资，具体办理要求与办理方式，详见南宁市公共资源交易中心网‘政府采购信用融资’专栏。</w:t>
            </w:r>
          </w:p>
        </w:tc>
      </w:tr>
    </w:tbl>
    <w:p>
      <w:pPr>
        <w:pStyle w:val="16"/>
        <w:outlineLvl w:val="9"/>
        <w:rPr>
          <w:rFonts w:asciiTheme="majorEastAsia" w:hAnsiTheme="majorEastAsia" w:eastAsiaTheme="majorEastAsia" w:cstheme="majorEastAsia"/>
          <w:color w:val="000000" w:themeColor="text1"/>
        </w:rPr>
        <w:sectPr>
          <w:pgSz w:w="11906" w:h="16838"/>
          <w:pgMar w:top="1440" w:right="1080" w:bottom="1118" w:left="1080" w:header="720" w:footer="720" w:gutter="0"/>
          <w:cols w:space="720" w:num="1"/>
          <w:docGrid w:type="lines" w:linePitch="331" w:charSpace="0"/>
        </w:sectPr>
      </w:pPr>
      <w:bookmarkStart w:id="46" w:name="_Toc213326416"/>
      <w:bookmarkStart w:id="47" w:name="_Toc460253703"/>
      <w:bookmarkStart w:id="48" w:name="_Toc485920213"/>
    </w:p>
    <w:p>
      <w:pPr>
        <w:pStyle w:val="16"/>
        <w:outlineLvl w:val="1"/>
        <w:rPr>
          <w:rFonts w:asciiTheme="majorEastAsia" w:hAnsiTheme="majorEastAsia" w:eastAsiaTheme="majorEastAsia" w:cstheme="majorEastAsia"/>
          <w:color w:val="000000" w:themeColor="text1"/>
        </w:rPr>
      </w:pPr>
      <w:bookmarkStart w:id="49" w:name="_Toc13597"/>
      <w:bookmarkStart w:id="50" w:name="_Toc985"/>
      <w:bookmarkStart w:id="51" w:name="_Toc24501"/>
      <w:r>
        <w:rPr>
          <w:rFonts w:hint="eastAsia" w:asciiTheme="majorEastAsia" w:hAnsiTheme="majorEastAsia" w:eastAsiaTheme="majorEastAsia" w:cstheme="majorEastAsia"/>
          <w:color w:val="000000" w:themeColor="text1"/>
        </w:rPr>
        <w:t>一   总则</w:t>
      </w:r>
      <w:bookmarkEnd w:id="46"/>
      <w:bookmarkEnd w:id="47"/>
      <w:bookmarkEnd w:id="48"/>
      <w:bookmarkEnd w:id="49"/>
      <w:bookmarkEnd w:id="50"/>
      <w:bookmarkEnd w:id="51"/>
    </w:p>
    <w:p>
      <w:pPr>
        <w:pStyle w:val="9"/>
        <w:spacing w:line="440" w:lineRule="exact"/>
        <w:ind w:left="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  项目概况</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采购人：见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采购代理机构：见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1.3  项目名称：</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1.4  项目编号：</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采购预算：见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1.6  资金来源：政府财政性资金。</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  </w:t>
      </w:r>
      <w:r>
        <w:rPr>
          <w:rFonts w:hint="eastAsia" w:asciiTheme="majorEastAsia" w:hAnsiTheme="majorEastAsia" w:eastAsiaTheme="majorEastAsia" w:cstheme="majorEastAsia"/>
          <w:color w:val="000000" w:themeColor="text1"/>
          <w:sz w:val="24"/>
          <w:szCs w:val="24"/>
        </w:rPr>
        <w:t>获取竞争性磋商文件的方式：</w:t>
      </w:r>
      <w:r>
        <w:rPr>
          <w:rFonts w:hint="eastAsia" w:asciiTheme="majorEastAsia" w:hAnsiTheme="majorEastAsia" w:eastAsiaTheme="majorEastAsia" w:cstheme="majorEastAsia"/>
          <w:bCs/>
          <w:color w:val="000000" w:themeColor="text1"/>
          <w:sz w:val="24"/>
          <w:szCs w:val="24"/>
        </w:rPr>
        <w:t>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left="2"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  预留采购份额：见磋商供应商须知前附表。</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p>
    <w:p>
      <w:pPr>
        <w:pStyle w:val="9"/>
        <w:spacing w:line="440" w:lineRule="exact"/>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  政府采购信息发布媒体：</w:t>
      </w:r>
    </w:p>
    <w:p>
      <w:pPr>
        <w:snapToGrid w:val="0"/>
        <w:spacing w:line="500" w:lineRule="exact"/>
        <w:ind w:firstLine="480" w:firstLineChars="200"/>
        <w:rPr>
          <w:rFonts w:asciiTheme="majorEastAsia" w:hAnsiTheme="majorEastAsia" w:eastAsiaTheme="majorEastAsia" w:cstheme="majorEastAsia"/>
          <w:bCs/>
          <w:color w:val="000000" w:themeColor="text1"/>
          <w:sz w:val="24"/>
        </w:rPr>
      </w:pPr>
      <w:r>
        <w:rPr>
          <w:rFonts w:hint="eastAsia" w:asciiTheme="majorEastAsia" w:hAnsiTheme="majorEastAsia" w:eastAsiaTheme="majorEastAsia" w:cstheme="majorEastAsia"/>
          <w:bCs/>
          <w:color w:val="000000" w:themeColor="text1"/>
          <w:sz w:val="24"/>
        </w:rPr>
        <w:t>2.1  与本项目相关的政府采购业务信息（包括竞争性磋商公告、成交公告及其更正事项等）将在以下媒体上发布：广西壮族自治区政府采购网、南宁公共资源交易中心网上发布。</w:t>
      </w:r>
    </w:p>
    <w:p>
      <w:pPr>
        <w:snapToGrid w:val="0"/>
        <w:spacing w:line="5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2.2  本项目竞争性磋商公告期限为公告发布之日起5个工作日。</w:t>
      </w:r>
    </w:p>
    <w:p>
      <w:pPr>
        <w:pStyle w:val="9"/>
        <w:spacing w:line="440" w:lineRule="exact"/>
        <w:ind w:left="242" w:hanging="242" w:hangingChars="101"/>
        <w:jc w:val="lef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 </w:t>
      </w:r>
      <w:r>
        <w:rPr>
          <w:rFonts w:hint="eastAsia" w:asciiTheme="majorEastAsia" w:hAnsiTheme="majorEastAsia" w:eastAsiaTheme="majorEastAsia" w:cstheme="majorEastAsia"/>
          <w:color w:val="000000" w:themeColor="text1"/>
          <w:sz w:val="24"/>
          <w:szCs w:val="24"/>
        </w:rPr>
        <w:t>磋商供应商的</w:t>
      </w:r>
      <w:r>
        <w:rPr>
          <w:rFonts w:hint="eastAsia" w:asciiTheme="majorEastAsia" w:hAnsiTheme="majorEastAsia" w:eastAsiaTheme="majorEastAsia" w:cstheme="majorEastAsia"/>
          <w:bCs/>
          <w:color w:val="000000" w:themeColor="text1"/>
          <w:sz w:val="24"/>
          <w:szCs w:val="24"/>
        </w:rPr>
        <w:t>资格要求：</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3.1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color w:val="000000" w:themeColor="text1"/>
          <w:sz w:val="24"/>
        </w:rPr>
        <w:t>供应商未被列入失信被执行人、重大税收违法案件当事人名单、政府采购严重违法失信行为记录名单，且应符合《中华人民共和国政府采购法》第二十二条规定的资格条件</w:t>
      </w:r>
      <w:r>
        <w:rPr>
          <w:rFonts w:hint="eastAsia" w:asciiTheme="majorEastAsia" w:hAnsiTheme="majorEastAsia" w:eastAsiaTheme="majorEastAsia" w:cstheme="majorEastAsia"/>
          <w:bCs/>
          <w:color w:val="000000" w:themeColor="text1"/>
          <w:sz w:val="24"/>
          <w:szCs w:val="24"/>
        </w:rPr>
        <w:t>。</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针对本项目，</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应具备的特定条件：见</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须知前附表规定接受联合体磋商的，两个以上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供应商可以组成一个</w:t>
      </w:r>
      <w:r>
        <w:rPr>
          <w:rFonts w:hint="eastAsia" w:asciiTheme="majorEastAsia" w:hAnsiTheme="majorEastAsia" w:eastAsiaTheme="majorEastAsia" w:cstheme="majorEastAsia"/>
          <w:color w:val="000000" w:themeColor="text1"/>
          <w:sz w:val="24"/>
          <w:szCs w:val="24"/>
        </w:rPr>
        <w:t>磋商供应商</w:t>
      </w:r>
      <w:r>
        <w:rPr>
          <w:rFonts w:hint="eastAsia" w:asciiTheme="majorEastAsia" w:hAnsiTheme="majorEastAsia" w:eastAsiaTheme="majorEastAsia" w:cstheme="majorEastAsia"/>
          <w:bCs/>
          <w:color w:val="000000" w:themeColor="text1"/>
          <w:sz w:val="24"/>
          <w:szCs w:val="24"/>
        </w:rPr>
        <w:t>联合体，</w:t>
      </w:r>
      <w:r>
        <w:rPr>
          <w:rFonts w:hint="eastAsia" w:asciiTheme="majorEastAsia" w:hAnsiTheme="majorEastAsia" w:eastAsiaTheme="majorEastAsia" w:cstheme="majorEastAsia"/>
          <w:color w:val="000000" w:themeColor="text1"/>
          <w:sz w:val="24"/>
          <w:szCs w:val="24"/>
        </w:rPr>
        <w:t>以一个磋商供应商的身份共同参加磋商</w:t>
      </w:r>
      <w:r>
        <w:rPr>
          <w:rFonts w:hint="eastAsia" w:asciiTheme="majorEastAsia" w:hAnsiTheme="majorEastAsia" w:eastAsiaTheme="majorEastAsia" w:cstheme="majorEastAsia"/>
          <w:bCs/>
          <w:color w:val="000000" w:themeColor="text1"/>
          <w:sz w:val="24"/>
          <w:szCs w:val="24"/>
        </w:rPr>
        <w:t>。以联合体形式参加磋商的，联合体各方均应当符合本章第3.1项的要求，联合体各方中至少应当有一方符合本章第3.2项的要求。由同一专业的组成的联合体，按照资质等级较低的确定资质等级。联合体各方不得再以自己名义单独或组成新的联合体参加同一项目同一分项磋商。</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3.4  </w:t>
      </w:r>
      <w:r>
        <w:rPr>
          <w:rFonts w:hint="eastAsia" w:asciiTheme="majorEastAsia" w:hAnsiTheme="majorEastAsia" w:eastAsiaTheme="majorEastAsia" w:cstheme="majorEastAsia"/>
          <w:color w:val="000000" w:themeColor="text1"/>
          <w:sz w:val="24"/>
          <w:szCs w:val="24"/>
        </w:rPr>
        <w:t xml:space="preserve">磋商供应商不得直接或间接地与为本次采购的项目内容进行设计、编制规范和其他文件的咨询公司、采购人、采购代理机构或其附属机构有任何关联。 </w:t>
      </w:r>
    </w:p>
    <w:p>
      <w:pPr>
        <w:pStyle w:val="9"/>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4.1  </w:t>
      </w:r>
      <w:r>
        <w:rPr>
          <w:rFonts w:hint="eastAsia" w:asciiTheme="majorEastAsia" w:hAnsiTheme="majorEastAsia" w:eastAsiaTheme="majorEastAsia"/>
          <w:sz w:val="24"/>
        </w:rPr>
        <w:t>磋商供应商</w:t>
      </w:r>
      <w:r>
        <w:rPr>
          <w:rFonts w:hint="eastAsia" w:asciiTheme="majorEastAsia" w:hAnsiTheme="majorEastAsia" w:eastAsiaTheme="majorEastAsia"/>
          <w:bCs/>
          <w:sz w:val="24"/>
        </w:rPr>
        <w:t>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4.2提出质疑</w:t>
      </w:r>
      <w:r>
        <w:rPr>
          <w:rFonts w:hint="eastAsia" w:ascii="宋体" w:hAnsi="宋体"/>
          <w:bCs/>
          <w:sz w:val="24"/>
        </w:rPr>
        <w:t>的</w:t>
      </w:r>
      <w:r>
        <w:rPr>
          <w:rFonts w:hint="eastAsia" w:asciiTheme="majorEastAsia" w:hAnsiTheme="majorEastAsia" w:eastAsiaTheme="majorEastAsia"/>
          <w:sz w:val="24"/>
        </w:rPr>
        <w:t>磋商供应商</w:t>
      </w:r>
      <w:r>
        <w:rPr>
          <w:rFonts w:hint="eastAsia" w:ascii="宋体" w:hAnsi="宋体"/>
          <w:bCs/>
          <w:sz w:val="24"/>
        </w:rPr>
        <w:t>应</w:t>
      </w:r>
      <w:r>
        <w:rPr>
          <w:rFonts w:hint="eastAsia" w:asciiTheme="majorEastAsia" w:hAnsiTheme="majorEastAsia" w:eastAsiaTheme="majorEastAsia"/>
          <w:bCs/>
          <w:sz w:val="24"/>
        </w:rPr>
        <w:t>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21"/>
          <w:rFonts w:hint="eastAsia" w:asciiTheme="majorEastAsia" w:hAnsiTheme="majorEastAsia" w:eastAsiaTheme="majorEastAsia"/>
          <w:bCs/>
          <w:color w:val="auto"/>
          <w:sz w:val="24"/>
        </w:rPr>
        <w:t>财政部发布《政府采购供应商质疑函范本》</w:t>
      </w:r>
      <w:r>
        <w:rPr>
          <w:rStyle w:val="21"/>
          <w:rFonts w:hint="eastAsia" w:asciiTheme="majorEastAsia" w:hAnsiTheme="majorEastAsia" w:eastAsiaTheme="majorEastAsia"/>
          <w:bCs/>
          <w:color w:val="auto"/>
          <w:sz w:val="24"/>
        </w:rPr>
        <w:fldChar w:fldCharType="end"/>
      </w:r>
      <w:r>
        <w:rPr>
          <w:rFonts w:hint="eastAsia" w:asciiTheme="majorEastAsia" w:hAnsiTheme="majorEastAsia" w:eastAsiaTheme="majorEastAsia"/>
          <w:bCs/>
          <w:sz w:val="24"/>
        </w:rPr>
        <w:t>编制，质疑函内容或格式不符合其规定的，磋商供应商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4.3供应商质疑实行实名制，其质疑应当有具体的质疑事项及事实根据，质疑应当坚持依法依规、诚实信用原则，不得进行虚假、恶意质疑。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4.4供应商提交质疑应当提交质疑函和必要的证明材料，质疑函应当包括下列内容：</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（1）供应商的姓名或者名称、地址、邮编、联系人及联系电话；</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（2）质疑项目的名称、编号；</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（3）具体、明确的质疑事项和质疑事项相关的请求；</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（4）事实依据；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（5）必要的法律依据；</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（6）提起质疑的日期；</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4.6  质疑供应商提起质疑应当符合下列条件：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（2）质疑函内容符合本章第4.4项的规定；</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（3）在质疑有效期限内提起质疑；</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（4）属于所质疑的采购人或采购人委托的采购代理机构组织的采购活动；</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 xml:space="preserve">（5）同一质疑事项未经采购人或采购人委托的采购代理机构质疑处理； </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（6）供应商对同一采购程序环节的质疑应当在质疑有效期内一次性提出；</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（7）供应商提交质疑应当提交必要的证明材料，证明材料应以合法手段取得；</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（8）财政部门规定的其他条件。</w:t>
      </w:r>
    </w:p>
    <w:p>
      <w:pPr>
        <w:spacing w:line="440" w:lineRule="exact"/>
        <w:ind w:firstLine="480" w:firstLineChars="200"/>
        <w:rPr>
          <w:rFonts w:asciiTheme="majorEastAsia" w:hAnsiTheme="majorEastAsia" w:eastAsiaTheme="majorEastAsia"/>
          <w:bCs/>
          <w:sz w:val="24"/>
        </w:rPr>
      </w:pPr>
      <w:r>
        <w:rPr>
          <w:rFonts w:hint="eastAsia" w:asciiTheme="majorEastAsia" w:hAnsiTheme="majorEastAsia" w:eastAsiaTheme="majorEastAsia"/>
          <w:bCs/>
          <w:sz w:val="24"/>
        </w:rPr>
        <w:t>4.7  采购人或采购人委托的采购代理机构自受理质疑之日起七个工作日内，对质疑事项作出答复，并以书面形式通知质疑供应商及其他有关供应商。</w:t>
      </w:r>
    </w:p>
    <w:p>
      <w:pPr>
        <w:pStyle w:val="9"/>
        <w:spacing w:line="440" w:lineRule="exact"/>
        <w:ind w:left="542" w:leftChars="201" w:hanging="120" w:hangingChars="5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  </w:t>
      </w:r>
      <w:r>
        <w:rPr>
          <w:rFonts w:hint="eastAsia" w:asciiTheme="majorEastAsia" w:hAnsiTheme="majorEastAsia" w:eastAsiaTheme="majorEastAsia" w:cstheme="majorEastAsia"/>
          <w:bCs/>
          <w:color w:val="000000" w:themeColor="text1"/>
          <w:sz w:val="24"/>
          <w:szCs w:val="24"/>
        </w:rPr>
        <w:t>投诉</w:t>
      </w:r>
    </w:p>
    <w:p>
      <w:pPr>
        <w:pStyle w:val="9"/>
        <w:spacing w:line="440" w:lineRule="exact"/>
        <w:ind w:firstLine="480" w:firstLineChars="200"/>
        <w:jc w:val="left"/>
        <w:rPr>
          <w:rFonts w:asciiTheme="majorEastAsia" w:hAnsiTheme="majorEastAsia" w:eastAsiaTheme="majorEastAsia" w:cstheme="majorEastAsia"/>
          <w:bCs/>
          <w:color w:val="000000" w:themeColor="text1"/>
          <w:sz w:val="24"/>
          <w:szCs w:val="24"/>
        </w:rPr>
      </w:pPr>
      <w:r>
        <w:rPr>
          <w:rFonts w:asciiTheme="majorEastAsia" w:hAnsiTheme="majorEastAsia" w:eastAsiaTheme="majorEastAsia" w:cstheme="majorEastAsia"/>
          <w:bCs/>
          <w:color w:val="000000" w:themeColor="text1"/>
          <w:sz w:val="24"/>
          <w:szCs w:val="24"/>
        </w:rPr>
        <w:t xml:space="preserve">5.1  </w:t>
      </w:r>
      <w:r>
        <w:rPr>
          <w:rFonts w:hint="eastAsia" w:asciiTheme="majorEastAsia" w:hAnsiTheme="majorEastAsia" w:eastAsiaTheme="majorEastAsia" w:cstheme="majorEastAsia"/>
          <w:bCs/>
          <w:color w:val="000000" w:themeColor="text1"/>
          <w:sz w:val="24"/>
          <w:szCs w:val="24"/>
        </w:rPr>
        <w:t>供应商认为采购文件、采购过程、成交结果使自己的合法权益受到损害的，应当首先依法向采购人或采购人委托的</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提出质疑。对采购人、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的答复不满意，或者采购人、</w:t>
      </w:r>
      <w:r>
        <w:rPr>
          <w:rFonts w:hint="eastAsia" w:asciiTheme="majorEastAsia" w:hAnsiTheme="majorEastAsia" w:eastAsiaTheme="majorEastAsia" w:cstheme="majorEastAsia"/>
          <w:color w:val="000000" w:themeColor="text1"/>
          <w:sz w:val="24"/>
          <w:szCs w:val="24"/>
        </w:rPr>
        <w:t>采购代理机构</w:t>
      </w:r>
      <w:r>
        <w:rPr>
          <w:rFonts w:hint="eastAsia" w:asciiTheme="majorEastAsia" w:hAnsiTheme="majorEastAsia" w:eastAsiaTheme="majorEastAsia" w:cstheme="majorEastAsia"/>
          <w:bCs/>
          <w:color w:val="000000" w:themeColor="text1"/>
          <w:sz w:val="24"/>
          <w:szCs w:val="24"/>
        </w:rPr>
        <w:t>未在规定期限内做出答复的，供应商可以在答复期满后十五个工作日内向</w:t>
      </w:r>
      <w:r>
        <w:rPr>
          <w:rFonts w:hint="eastAsia" w:asciiTheme="majorEastAsia" w:hAnsiTheme="majorEastAsia" w:eastAsiaTheme="majorEastAsia" w:cstheme="majorEastAsia"/>
          <w:color w:val="000000" w:themeColor="text1"/>
          <w:sz w:val="24"/>
          <w:szCs w:val="24"/>
        </w:rPr>
        <w:t>南宁市政府采购监督管理部门</w:t>
      </w:r>
      <w:r>
        <w:rPr>
          <w:rFonts w:hint="eastAsia" w:asciiTheme="majorEastAsia" w:hAnsiTheme="majorEastAsia" w:eastAsiaTheme="majorEastAsia" w:cstheme="majorEastAsia"/>
          <w:bCs/>
          <w:color w:val="000000" w:themeColor="text1"/>
          <w:sz w:val="24"/>
          <w:szCs w:val="24"/>
        </w:rPr>
        <w:t>提起投诉。</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5.2  </w:t>
      </w:r>
      <w:r>
        <w:rPr>
          <w:rFonts w:hint="eastAsia" w:asciiTheme="majorEastAsia" w:hAnsiTheme="majorEastAsia" w:eastAsiaTheme="majorEastAsia" w:cstheme="majorEastAsia"/>
          <w:color w:val="000000" w:themeColor="text1"/>
          <w:sz w:val="24"/>
          <w:szCs w:val="24"/>
        </w:rPr>
        <w:t>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1）投诉人和被投诉人的名称、地址、电话等； </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2）具体的投诉事项及事实依据；</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 xml:space="preserve">3）质疑和质疑答复情况及相关证明材料； </w:t>
      </w:r>
    </w:p>
    <w:p>
      <w:pPr>
        <w:pStyle w:val="9"/>
        <w:tabs>
          <w:tab w:val="right" w:pos="9638"/>
        </w:tabs>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4）提起投诉的日期。</w:t>
      </w:r>
    </w:p>
    <w:p>
      <w:pPr>
        <w:pStyle w:val="9"/>
        <w:tabs>
          <w:tab w:val="right" w:pos="9638"/>
        </w:tabs>
        <w:spacing w:line="440" w:lineRule="exact"/>
        <w:ind w:left="2" w:firstLine="477" w:firstLineChars="199"/>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w:t>
      </w:r>
      <w:r>
        <w:rPr>
          <w:rFonts w:asciiTheme="majorEastAsia" w:hAnsiTheme="majorEastAsia" w:eastAsiaTheme="majorEastAsia" w:cstheme="majorEastAsia"/>
          <w:color w:val="000000" w:themeColor="text1"/>
          <w:sz w:val="24"/>
          <w:szCs w:val="24"/>
        </w:rPr>
        <w:t>5）附件材料：营业执照副本内页复印件（要求证件有效清晰和企业年度报告公示材料；近期三个月依法缴纳税收和在职职工社会保障资金证明材料（复印件，原件备查）。</w:t>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ab/>
      </w:r>
      <w:r>
        <w:rPr>
          <w:rFonts w:asciiTheme="majorEastAsia" w:hAnsiTheme="majorEastAsia" w:eastAsiaTheme="majorEastAsia" w:cstheme="majorEastAsia"/>
          <w:color w:val="000000" w:themeColor="text1"/>
          <w:sz w:val="24"/>
          <w:szCs w:val="24"/>
        </w:rPr>
        <w:t xml:space="preserve">    投诉书应当署名。投诉人为法人或者其他组织的，应当由法定代表人或者主要负责人签字盖章并加盖公章。</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5.3  </w:t>
      </w:r>
      <w:r>
        <w:rPr>
          <w:rFonts w:hint="eastAsia" w:asciiTheme="majorEastAsia" w:hAnsiTheme="majorEastAsia" w:eastAsiaTheme="majorEastAsia" w:cstheme="majorEastAsia"/>
          <w:color w:val="000000" w:themeColor="text1"/>
          <w:sz w:val="24"/>
          <w:szCs w:val="24"/>
        </w:rPr>
        <w:t>投诉人可以委托代理人办理投诉事务。代理人办理投诉事务时，除提交投诉书外，还应当提交投诉人的授权委托书，授权委托书应当载明委托代理的具体权限和事项。</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asciiTheme="majorEastAsia" w:hAnsiTheme="majorEastAsia" w:eastAsiaTheme="majorEastAsia" w:cstheme="majorEastAsia"/>
          <w:color w:val="000000" w:themeColor="text1"/>
          <w:sz w:val="24"/>
          <w:szCs w:val="24"/>
        </w:rPr>
        <w:t xml:space="preserve">5.4  </w:t>
      </w:r>
      <w:r>
        <w:rPr>
          <w:rFonts w:hint="eastAsia" w:asciiTheme="majorEastAsia" w:hAnsiTheme="majorEastAsia" w:eastAsiaTheme="majorEastAsia" w:cstheme="majorEastAsia"/>
          <w:color w:val="000000" w:themeColor="text1"/>
          <w:sz w:val="24"/>
          <w:szCs w:val="24"/>
        </w:rPr>
        <w:t>投诉人提起投诉应当符合下列条件：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1）投诉人是参与所投诉政府采购活动的供应商；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2）提起投诉前已依法进行质疑；</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3）投诉书内容符合本章第5.2项的规定；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4）在投诉有效期限内提起投诉；</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5）属于南宁市政府采购监督管理部门管辖；</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6）同一投诉事项未经南宁市政府采购监督管理部门投诉处理；</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w:t>
      </w:r>
      <w:r>
        <w:rPr>
          <w:rFonts w:asciiTheme="majorEastAsia" w:hAnsiTheme="majorEastAsia" w:eastAsiaTheme="majorEastAsia" w:cstheme="majorEastAsia"/>
          <w:color w:val="000000" w:themeColor="text1"/>
          <w:sz w:val="24"/>
        </w:rPr>
        <w:t>7）国务院财政部门规定的其他条件。</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5.5  </w:t>
      </w:r>
      <w:r>
        <w:rPr>
          <w:rFonts w:hint="eastAsia" w:asciiTheme="majorEastAsia" w:hAnsiTheme="majorEastAsia" w:eastAsiaTheme="majorEastAsia" w:cstheme="majorEastAsia"/>
          <w:color w:val="000000" w:themeColor="text1"/>
          <w:sz w:val="24"/>
        </w:rPr>
        <w:t>南宁市政府采购监督管理部门自受理投诉之日起三十个工作日内，对投诉事项作出处理决定，并以书面形式通知投诉人、被投诉人及其他与投诉处理结果有利害关系的政府采购当事人。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480" w:firstLineChars="200"/>
        <w:rPr>
          <w:rFonts w:asciiTheme="majorEastAsia" w:hAnsiTheme="majorEastAsia" w:eastAsiaTheme="majorEastAsia" w:cstheme="majorEastAsia"/>
          <w:color w:val="000000" w:themeColor="text1"/>
          <w:sz w:val="24"/>
        </w:rPr>
      </w:pPr>
      <w:r>
        <w:rPr>
          <w:rFonts w:asciiTheme="majorEastAsia" w:hAnsiTheme="majorEastAsia" w:eastAsiaTheme="majorEastAsia" w:cstheme="majorEastAsia"/>
          <w:color w:val="000000" w:themeColor="text1"/>
          <w:sz w:val="24"/>
        </w:rPr>
        <w:t xml:space="preserve">5.6  </w:t>
      </w:r>
      <w:r>
        <w:rPr>
          <w:rFonts w:hint="eastAsia" w:asciiTheme="majorEastAsia" w:hAnsiTheme="majorEastAsia" w:eastAsiaTheme="majorEastAsia" w:cstheme="majorEastAsia"/>
          <w:color w:val="000000" w:themeColor="text1"/>
          <w:sz w:val="24"/>
        </w:rPr>
        <w:t>南宁市政府采购监督管理部门在处理投诉事项期间，可以视具体情况暂停采购活动。</w:t>
      </w:r>
    </w:p>
    <w:p>
      <w:pPr>
        <w:pStyle w:val="16"/>
        <w:outlineLvl w:val="1"/>
        <w:rPr>
          <w:rFonts w:asciiTheme="majorEastAsia" w:hAnsiTheme="majorEastAsia" w:eastAsiaTheme="majorEastAsia" w:cstheme="majorEastAsia"/>
          <w:color w:val="000000" w:themeColor="text1"/>
        </w:rPr>
      </w:pPr>
      <w:bookmarkStart w:id="52" w:name="_Toc28442"/>
      <w:bookmarkStart w:id="53" w:name="_Toc9777"/>
      <w:bookmarkStart w:id="54" w:name="_Toc485920214"/>
      <w:bookmarkStart w:id="55" w:name="_Toc32743"/>
      <w:bookmarkStart w:id="56" w:name="_Toc460253705"/>
      <w:bookmarkStart w:id="57" w:name="_Toc213326417"/>
      <w:r>
        <w:rPr>
          <w:rFonts w:hint="eastAsia" w:asciiTheme="majorEastAsia" w:hAnsiTheme="majorEastAsia" w:eastAsiaTheme="majorEastAsia" w:cstheme="majorEastAsia"/>
          <w:color w:val="000000" w:themeColor="text1"/>
        </w:rPr>
        <w:t>二   竞争性磋商采购文件</w:t>
      </w:r>
      <w:bookmarkEnd w:id="52"/>
      <w:bookmarkEnd w:id="53"/>
      <w:bookmarkEnd w:id="54"/>
      <w:bookmarkEnd w:id="55"/>
      <w:bookmarkEnd w:id="56"/>
      <w:bookmarkEnd w:id="57"/>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6.  竞争性磋商采购文件的组成</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本</w:t>
      </w:r>
      <w:r>
        <w:rPr>
          <w:rFonts w:hint="eastAsia" w:asciiTheme="majorEastAsia" w:hAnsiTheme="majorEastAsia" w:eastAsiaTheme="majorEastAsia" w:cstheme="majorEastAsia"/>
          <w:bCs/>
          <w:color w:val="000000" w:themeColor="text1"/>
          <w:sz w:val="24"/>
          <w:szCs w:val="24"/>
        </w:rPr>
        <w:t>竞争性磋商采购文件</w:t>
      </w:r>
      <w:r>
        <w:rPr>
          <w:rFonts w:hint="eastAsia" w:asciiTheme="majorEastAsia" w:hAnsiTheme="majorEastAsia" w:eastAsiaTheme="majorEastAsia" w:cstheme="majorEastAsia"/>
          <w:color w:val="000000" w:themeColor="text1"/>
          <w:sz w:val="24"/>
          <w:szCs w:val="24"/>
        </w:rPr>
        <w:t>包括六个章节，各章的内容如下：</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第一章  竞争性磋商公告</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第二章  服务需求一览表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第三章  评审方法</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第四章  磋商供应商须知</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第五章  响应文件格式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第六章  合同草案条款及格式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根据本章第7.1项的规定对竞争性磋商文件所做的澄清、修改，构成竞争性磋商文件的组成部分。当竞争性磋商文件与澄清和修改的同一内容的表述不一致时，以最后发出的书面文件为准。</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7.  竞争性</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采购文件的澄清和修改</w:t>
      </w:r>
    </w:p>
    <w:p>
      <w:pPr>
        <w:pStyle w:val="9"/>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7.1　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不足5日的，采购人、采购代理机构应当顺延提交首次响应文件截止时间。同时，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9"/>
        <w:spacing w:line="440" w:lineRule="exact"/>
        <w:ind w:left="2" w:leftChars="1"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7.2采购人和采购代理机构可以视采购具体情况，变更递交响应文件截止时间，但应当在递交响应文件截止之日前，采购代理机构在本章第2.1项规定的政府采购信息发布媒体上发布更正公告，</w:t>
      </w:r>
      <w:r>
        <w:rPr>
          <w:rFonts w:hint="eastAsia" w:asciiTheme="majorEastAsia" w:hAnsiTheme="majorEastAsia" w:eastAsiaTheme="majorEastAsia" w:cstheme="majorEastAsia"/>
          <w:b/>
          <w:color w:val="000000" w:themeColor="text1"/>
          <w:sz w:val="24"/>
          <w:szCs w:val="24"/>
        </w:rPr>
        <w:t>请磋商供应商随时关注网站动态，代理机构将不再另行电话通知。</w:t>
      </w:r>
    </w:p>
    <w:p>
      <w:pPr>
        <w:pStyle w:val="16"/>
        <w:outlineLvl w:val="1"/>
        <w:rPr>
          <w:rFonts w:asciiTheme="majorEastAsia" w:hAnsiTheme="majorEastAsia" w:eastAsiaTheme="majorEastAsia" w:cstheme="majorEastAsia"/>
          <w:color w:val="000000" w:themeColor="text1"/>
        </w:rPr>
      </w:pPr>
      <w:bookmarkStart w:id="58" w:name="_Toc4272"/>
      <w:bookmarkStart w:id="59" w:name="_Toc30256"/>
      <w:bookmarkStart w:id="60" w:name="_Toc21035"/>
      <w:bookmarkStart w:id="61" w:name="_Toc460253706"/>
      <w:bookmarkStart w:id="62" w:name="_Toc485920215"/>
      <w:bookmarkStart w:id="63" w:name="_Toc213326418"/>
      <w:r>
        <w:rPr>
          <w:rFonts w:hint="eastAsia" w:asciiTheme="majorEastAsia" w:hAnsiTheme="majorEastAsia" w:eastAsiaTheme="majorEastAsia" w:cstheme="majorEastAsia"/>
          <w:color w:val="000000" w:themeColor="text1"/>
        </w:rPr>
        <w:t>三   响应文件</w:t>
      </w:r>
      <w:bookmarkEnd w:id="58"/>
      <w:bookmarkEnd w:id="59"/>
      <w:bookmarkEnd w:id="60"/>
      <w:bookmarkEnd w:id="61"/>
      <w:bookmarkEnd w:id="62"/>
      <w:bookmarkEnd w:id="63"/>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8.  响应文件的编制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8.1 磋商供应商应仔细阅读竞争性磋商文件，在充分了解采购的内容、技术参数要求和商务条款以及实质性要求和条件后，编写响应文件。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8.2  对竞争性磋商文件的实质性要求和条件作出响应是指磋商供应商必须对竞争性磋商文件中标注为实质性要求和条件的技术参数要求、商务条款及其它内容</w:t>
      </w:r>
      <w:r>
        <w:rPr>
          <w:rFonts w:hint="eastAsia" w:asciiTheme="majorEastAsia" w:hAnsiTheme="majorEastAsia" w:eastAsiaTheme="majorEastAsia" w:cstheme="majorEastAsia"/>
          <w:b/>
          <w:color w:val="000000" w:themeColor="text1"/>
          <w:sz w:val="24"/>
          <w:szCs w:val="24"/>
        </w:rPr>
        <w:t>作出满足或者优于原要求和条件的承诺</w:t>
      </w:r>
      <w:r>
        <w:rPr>
          <w:rFonts w:hint="eastAsia" w:asciiTheme="majorEastAsia" w:hAnsiTheme="majorEastAsia" w:eastAsiaTheme="majorEastAsia" w:cstheme="majorEastAsia"/>
          <w:color w:val="000000" w:themeColor="text1"/>
          <w:sz w:val="24"/>
          <w:szCs w:val="24"/>
        </w:rPr>
        <w:t>。</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8.3  竞争性磋商文件中标注★号的内容为实质性要求和条件。</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8.4  响应文件应用不褪色的材料书写或打印，保证其清楚、工整，相关材料的复印件应清晰可辨认。响应文件字迹潦草、表达不清、模糊无法辨认而导致非唯一理解是磋商供应商的风险，很可能导致该响应无效。</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8.5  第五章“响应文件格式”中规定了响应文件格式的，应按相应格式要求编写。</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8.6  响应文件应由磋商供应商的法定代表人或其委托代理人在凡规定签章处逐一签字或盖章并加盖单位公章。响应文件应尽量避免涂改、行间插字或删除。如果出现上述情况，改动之处应加盖单位公章或由磋商供应商的法定代表人或其委托代理人签字或盖章确认。</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8.7  响应文件应编制目录，且页码清晰准确。</w:t>
      </w:r>
    </w:p>
    <w:p>
      <w:pPr>
        <w:pStyle w:val="9"/>
        <w:spacing w:line="440" w:lineRule="exact"/>
        <w:ind w:left="2" w:leftChars="1"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8.8  响应文件的正本和副本应分别装订成册，封面上应清楚地标记“正本”或“副本”字样，并标明项目名称、项目编号、磋商供应商名称等内容。副本可以采用正本的复印件，当副本和正本不一致时，以正本为准。磋商供应商应准备首次报价文件正本、技术文件正本、商务文件正本各一份，副本份数见磋商供应商须知前附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9.  响应文件语言文字及计量单位</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磋商供应商的响应文件以及磋商供应商与采购人、采购代理机构就有关磋商的所有往来函电统一使用中文（特别规定除外）。磋商供应商随响应文件或往来函电所提交的相关证明材料等可以使用其他语言，但必须同时提供由专业翻译机构出具的或经公证的中文译文，否则视同未提供该项证明材料。</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  对不同文字文本响应文件的解释发生异议的，以中文文本为准。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9.3  响应文件使用的计量单位除竞争性磋商文件中有特殊规定外，一律使用中华人民共和国法定计量单位。</w:t>
      </w:r>
    </w:p>
    <w:p>
      <w:pPr>
        <w:pStyle w:val="9"/>
        <w:spacing w:line="440" w:lineRule="exact"/>
        <w:rPr>
          <w:rFonts w:asciiTheme="majorEastAsia" w:hAnsiTheme="majorEastAsia" w:eastAsiaTheme="majorEastAsia" w:cstheme="majorEastAsia"/>
          <w:bCs/>
          <w:color w:val="000000" w:themeColor="text1"/>
          <w:sz w:val="24"/>
          <w:szCs w:val="24"/>
        </w:rPr>
      </w:pPr>
      <w:bookmarkStart w:id="64" w:name="_Toc485920221"/>
      <w:bookmarkStart w:id="65" w:name="_Toc460253715"/>
      <w:bookmarkStart w:id="66" w:name="_Toc213206176"/>
      <w:bookmarkStart w:id="67" w:name="_Toc213325925"/>
      <w:bookmarkStart w:id="68" w:name="_Toc213326424"/>
      <w:r>
        <w:rPr>
          <w:rFonts w:hint="eastAsia" w:asciiTheme="majorEastAsia" w:hAnsiTheme="majorEastAsia" w:eastAsiaTheme="majorEastAsia" w:cstheme="majorEastAsia"/>
          <w:bCs/>
          <w:color w:val="000000" w:themeColor="text1"/>
          <w:sz w:val="24"/>
          <w:szCs w:val="24"/>
        </w:rPr>
        <w:t>10.  响应文件的组成</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  磋商供应商需编制的响应文件包括首次报价文件、技术文件和商务文件三部分，磋商供应商应按下列说明编写和提交。应提交的有关文件如未特别注明为原件的，可提交复印件。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10.1.1  首次报价文件，包括：</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（1）响应函：按第五章“响应文件格式”提供的“响应函（格式）”的要求填写；</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（2）响应报价表：按第五章“响应文件格式”提供的“响应报价表（格式）”的要求填写。</w:t>
      </w:r>
    </w:p>
    <w:p>
      <w:pPr>
        <w:pStyle w:val="9"/>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（3）中小企业声明函：按第五章“响应文件格式”提供的“中小企业声明函（格式）”的要求填写。</w:t>
      </w:r>
    </w:p>
    <w:p>
      <w:pPr>
        <w:pStyle w:val="9"/>
        <w:spacing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（4）残疾人福利性单位声明函：按第五章“响应文件格式”提供的“残疾人福利性单位声明函（格式）”的要求填写；</w:t>
      </w:r>
    </w:p>
    <w:p>
      <w:pPr>
        <w:pStyle w:val="9"/>
        <w:spacing w:after="165" w:line="440" w:lineRule="exact"/>
        <w:ind w:firstLine="360" w:firstLineChars="15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（5）监狱企业证明：提供由省级以上监狱管理局、戒毒管理局（含新疆生产建设兵团）出具的属于监狱企业的证明文件。</w:t>
      </w:r>
    </w:p>
    <w:p>
      <w:pPr>
        <w:pStyle w:val="9"/>
        <w:spacing w:line="440" w:lineRule="exact"/>
        <w:ind w:firstLine="482" w:firstLineChars="20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其中，报价文件组成要求的第（1）～（2）项必须提交；第（3）～（5）项如有请提交。</w:t>
      </w:r>
      <w:r>
        <w:rPr>
          <w:rFonts w:hint="eastAsia" w:asciiTheme="majorEastAsia" w:hAnsiTheme="majorEastAsia" w:eastAsiaTheme="majorEastAsia" w:cstheme="majorEastAsia"/>
          <w:color w:val="000000" w:themeColor="text1"/>
          <w:sz w:val="24"/>
          <w:szCs w:val="24"/>
        </w:rPr>
        <w:t>10.1.2  技术文件，包括：</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（1）响应服务技术资料表：按第五章“响应文件格式”提供的“响应服务技术资料表（格式）”的要求填写；</w:t>
      </w:r>
    </w:p>
    <w:p>
      <w:pPr>
        <w:pStyle w:val="9"/>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color w:val="000000" w:themeColor="text1"/>
          <w:sz w:val="24"/>
          <w:szCs w:val="24"/>
        </w:rPr>
        <w:t>（2）其它：针对所提供服务的主要技术指标方案等的详细说明，等等。</w:t>
      </w:r>
    </w:p>
    <w:p>
      <w:pPr>
        <w:pStyle w:val="9"/>
        <w:spacing w:line="440" w:lineRule="exact"/>
        <w:ind w:firstLine="420"/>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color w:val="000000" w:themeColor="text1"/>
          <w:sz w:val="24"/>
          <w:szCs w:val="24"/>
        </w:rPr>
        <w:t>技术文件中的第（1）项必须提交；第（2）项如有请提交。</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10.1.3  商务文件，包括：</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1</w:t>
      </w:r>
      <w:r>
        <w:rPr>
          <w:rFonts w:hint="eastAsia" w:hAnsi="宋体"/>
          <w:color w:val="000000" w:themeColor="text1"/>
          <w:sz w:val="24"/>
          <w:szCs w:val="24"/>
        </w:rPr>
        <w:t>）供应商资格文件：</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①信用声明函。按第五章“响应文件格式”提供的“信用声明函（格式）”的要求填写。对列入失信被执行人、重大税收违法案件当事人名单、政府采购严重违法失信行为记录名单的供应商，将被拒绝参与本项目政府采购活动。</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②根据本章第</w:t>
      </w:r>
      <w:r>
        <w:rPr>
          <w:rFonts w:hAnsi="宋体"/>
          <w:color w:val="000000" w:themeColor="text1"/>
          <w:sz w:val="24"/>
          <w:szCs w:val="24"/>
        </w:rPr>
        <w:t>3.2</w:t>
      </w:r>
      <w:r>
        <w:rPr>
          <w:rFonts w:hint="eastAsia" w:hAnsi="宋体"/>
          <w:color w:val="000000" w:themeColor="text1"/>
          <w:sz w:val="24"/>
          <w:szCs w:val="24"/>
        </w:rPr>
        <w:t>项规定的磋商供应商应具备的特定条件提供，包括营业执照副本内页或事业单位法人证书复印件（磋商供应商如为企业的，要求证件有效并清晰反映企业法人经营范围）和磋商供应商资格的其他证明文件复印件；</w:t>
      </w:r>
    </w:p>
    <w:p>
      <w:pPr>
        <w:pStyle w:val="9"/>
        <w:spacing w:line="440" w:lineRule="exact"/>
        <w:ind w:firstLine="420"/>
        <w:rPr>
          <w:rFonts w:hAnsi="宋体"/>
          <w:color w:val="000000" w:themeColor="text1"/>
          <w:sz w:val="24"/>
          <w:szCs w:val="24"/>
        </w:rPr>
      </w:pPr>
      <w:r>
        <w:rPr>
          <w:rFonts w:hint="eastAsia" w:asciiTheme="minorEastAsia" w:hAnsiTheme="minorEastAsia" w:eastAsiaTheme="minorEastAsia"/>
          <w:color w:val="000000" w:themeColor="text1"/>
          <w:sz w:val="24"/>
          <w:szCs w:val="24"/>
        </w:rPr>
        <w:t>③磋商供应商直接控股、管理关系信息表，按第五章“响应文件格式”提供的“磋商供应商直接控股、管理关系信息表（格式）”的要求填写；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2</w:t>
      </w:r>
      <w:r>
        <w:rPr>
          <w:rFonts w:hint="eastAsia" w:hAnsi="宋体"/>
          <w:color w:val="000000" w:themeColor="text1"/>
          <w:sz w:val="24"/>
          <w:szCs w:val="24"/>
        </w:rPr>
        <w:t>）法定代表人身份证明复印件：如使用第二代身份证应提交正、反面复印件，如法定代表人非中国国籍应提交护照复印件，要求证件有效并与营业执照中的法定代表人相符；</w:t>
      </w:r>
      <w:r>
        <w:rPr>
          <w:rFonts w:hAnsi="宋体"/>
          <w:color w:val="000000" w:themeColor="text1"/>
          <w:sz w:val="24"/>
          <w:szCs w:val="24"/>
        </w:rPr>
        <w:t xml:space="preserve"> </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3</w:t>
      </w:r>
      <w:r>
        <w:rPr>
          <w:rFonts w:hint="eastAsia" w:hAnsi="宋体"/>
          <w:color w:val="000000" w:themeColor="text1"/>
          <w:sz w:val="24"/>
          <w:szCs w:val="24"/>
        </w:rPr>
        <w:t>）售后服务承诺书：按第五章“响应文件格式”提供的“售后服务承诺书（格式）”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w:t>
      </w:r>
      <w:r>
        <w:rPr>
          <w:rFonts w:hAnsi="宋体"/>
          <w:color w:val="000000" w:themeColor="text1"/>
          <w:sz w:val="24"/>
          <w:szCs w:val="24"/>
        </w:rPr>
        <w:t>4</w:t>
      </w:r>
      <w:r>
        <w:rPr>
          <w:rFonts w:hint="eastAsia" w:hAnsi="宋体"/>
          <w:color w:val="000000" w:themeColor="text1"/>
          <w:sz w:val="24"/>
          <w:szCs w:val="24"/>
        </w:rPr>
        <w:t>）商务条款偏离表：按第五章“响应文件格式”提供的“商务条款偏离表（格式）”</w:t>
      </w:r>
      <w:r>
        <w:rPr>
          <w:rFonts w:hAnsi="宋体"/>
          <w:color w:val="000000" w:themeColor="text1"/>
          <w:sz w:val="24"/>
          <w:szCs w:val="24"/>
        </w:rPr>
        <w:t xml:space="preserve"> </w:t>
      </w:r>
      <w:r>
        <w:rPr>
          <w:rFonts w:hint="eastAsia" w:hAnsi="宋体"/>
          <w:color w:val="000000" w:themeColor="text1"/>
          <w:sz w:val="24"/>
          <w:szCs w:val="24"/>
        </w:rPr>
        <w:t>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5）磋商供应商半年内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供应商所在地社保部门出具的《依法缴纳或依法免缴社保费证明》（复印件，格式自拟）；</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（6）法定代表人授权委托书：按第五章“响应文件格式”提供的“法定代表人授权委托书（格式）”的要求填写；</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（7）委托代理人身份证明复印件：如使用第二代身份证应提交正、反面复印件，如委托代理人非中国国籍应提交护照复印件，要求证件有效并与法定代表人授权委托书中的委托代理人相符；</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（8）财务会计报表复印件：磋商供应商近三年的经会计师事务所或审计机构审计的财务会计报表，包括资产负债表、现金流量表、利润表、财务情况说明书和审计报告；</w:t>
      </w:r>
    </w:p>
    <w:p>
      <w:pPr>
        <w:pStyle w:val="9"/>
        <w:spacing w:line="440" w:lineRule="exact"/>
        <w:ind w:firstLine="420"/>
        <w:rPr>
          <w:rFonts w:hAnsi="宋体"/>
          <w:color w:val="000000" w:themeColor="text1"/>
          <w:sz w:val="24"/>
          <w:szCs w:val="24"/>
        </w:rPr>
      </w:pPr>
      <w:r>
        <w:rPr>
          <w:rFonts w:hint="eastAsia" w:hAnsi="宋体"/>
          <w:color w:val="000000" w:themeColor="text1"/>
          <w:sz w:val="24"/>
          <w:szCs w:val="24"/>
        </w:rPr>
        <w:t>（9）其它：磋商供应商通过国家或国际认证资格证书复印件、银行出具的磋商供应商资信证明或信用等级证明复印件、磋商供应商近三年同类服务的实际业绩证明（附成交通知书复印件或合同复印件）、服务近三年的质量获奖荣誉证书复印件、环保体系认证证书复印件、磋商供应商近三年发生的诉讼及仲裁情况说明（附法院或仲裁机构作出的判决、裁决等有关法律文书复印件），等等。</w:t>
      </w:r>
    </w:p>
    <w:p>
      <w:pPr>
        <w:pStyle w:val="9"/>
        <w:spacing w:line="440" w:lineRule="exact"/>
        <w:ind w:firstLine="420"/>
        <w:rPr>
          <w:rFonts w:hAnsi="宋体"/>
          <w:color w:val="000000" w:themeColor="text1"/>
          <w:sz w:val="24"/>
          <w:szCs w:val="24"/>
        </w:rPr>
      </w:pPr>
      <w:r>
        <w:rPr>
          <w:rFonts w:hint="eastAsia" w:hAnsi="宋体"/>
          <w:b/>
          <w:color w:val="000000" w:themeColor="text1"/>
          <w:sz w:val="24"/>
          <w:szCs w:val="24"/>
        </w:rPr>
        <w:t>商务文件中的第（1）～（5）项必须提交；第（6）、（7）项在委托代理时必须提交；第（8）、（9）项如有请提交。</w:t>
      </w:r>
    </w:p>
    <w:p>
      <w:pPr>
        <w:pStyle w:val="9"/>
        <w:spacing w:line="440" w:lineRule="exact"/>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10.2  磋商供应商应按上述顺序将首次报价文件、技术文件和商务文件</w:t>
      </w:r>
      <w:r>
        <w:rPr>
          <w:rFonts w:hint="eastAsia" w:asciiTheme="majorEastAsia" w:hAnsiTheme="majorEastAsia" w:eastAsiaTheme="majorEastAsia" w:cstheme="majorEastAsia"/>
          <w:b/>
          <w:color w:val="000000" w:themeColor="text1"/>
          <w:sz w:val="24"/>
          <w:szCs w:val="24"/>
        </w:rPr>
        <w:t>分别装订成册</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b/>
          <w:color w:val="000000" w:themeColor="text1"/>
          <w:sz w:val="24"/>
          <w:szCs w:val="24"/>
        </w:rPr>
        <w:t>特别注意响应报价不得出现在技术文件和商务文件中。</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11.  响应文件报价</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磋商供应商应以人民币报价。</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磋商供应商可就第二章“服务需求一览表”中的</w:t>
      </w:r>
      <w:r>
        <w:rPr>
          <w:rFonts w:hint="eastAsia" w:asciiTheme="majorEastAsia" w:hAnsiTheme="majorEastAsia" w:eastAsiaTheme="majorEastAsia" w:cstheme="majorEastAsia"/>
          <w:b/>
          <w:color w:val="000000" w:themeColor="text1"/>
          <w:sz w:val="24"/>
          <w:szCs w:val="24"/>
        </w:rPr>
        <w:t>某一个分项内容报出完整且唯一报价，也可就某几个或所有分项内容分别报出完整且唯一报价。</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响应报价为在采购人指定地点提交服务成果所需的全部费用，其组成部分详见第二章“服务需求一览表”。采购人不再向成交供应商支付其响应报价之外的任何费用。</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11.4  本项目的采购代理服务费按物价部门核准的收费标准执行，见磋商供应商须知前附表。</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11.5  不论磋商结果如何，磋商供应商均应自行承担与编制和提交响应文件有关的全部费用。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12.  响应有效期</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12.1  在磋商供应商须知前附表规定的响应有效期内，磋商供应商不得要求撤销或修改其响应文件。</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12.2  在特殊情况下，采购人或采购代理机构可与磋商供应商协商延长响应有效期，这种要求与答复均应使用书面形式。磋商供应商同意延长的，应相应延长其磋商有效期，但不得要求或被允许修改或撤销其响应文件；磋商供应商拒绝延长的，其响应失效。</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13.  </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保证金</w:t>
      </w:r>
    </w:p>
    <w:p>
      <w:pPr>
        <w:pStyle w:val="9"/>
        <w:spacing w:line="500" w:lineRule="exact"/>
        <w:ind w:left="2" w:leftChars="1" w:firstLine="477" w:firstLineChars="199"/>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本项目不收取磋商保证金。</w:t>
      </w:r>
    </w:p>
    <w:p>
      <w:pPr>
        <w:pStyle w:val="16"/>
        <w:outlineLvl w:val="1"/>
        <w:rPr>
          <w:rFonts w:asciiTheme="majorEastAsia" w:hAnsiTheme="majorEastAsia" w:eastAsiaTheme="majorEastAsia" w:cstheme="majorEastAsia"/>
          <w:color w:val="000000" w:themeColor="text1"/>
        </w:rPr>
      </w:pPr>
      <w:bookmarkStart w:id="69" w:name="_Toc213326419"/>
      <w:bookmarkStart w:id="70" w:name="_Toc23921"/>
      <w:bookmarkStart w:id="71" w:name="_Toc25392"/>
      <w:bookmarkStart w:id="72" w:name="_Toc31394"/>
      <w:bookmarkStart w:id="73" w:name="_Toc495334413"/>
      <w:bookmarkStart w:id="74" w:name="_Toc213326420"/>
      <w:r>
        <w:rPr>
          <w:rFonts w:hint="eastAsia" w:asciiTheme="majorEastAsia" w:hAnsiTheme="majorEastAsia" w:eastAsiaTheme="majorEastAsia" w:cstheme="majorEastAsia"/>
          <w:color w:val="000000" w:themeColor="text1"/>
        </w:rPr>
        <w:t xml:space="preserve">四   </w:t>
      </w:r>
      <w:bookmarkEnd w:id="69"/>
      <w:r>
        <w:rPr>
          <w:rFonts w:hint="eastAsia" w:asciiTheme="majorEastAsia" w:hAnsiTheme="majorEastAsia" w:eastAsiaTheme="majorEastAsia" w:cstheme="majorEastAsia"/>
          <w:color w:val="000000" w:themeColor="text1"/>
        </w:rPr>
        <w:t>磋商响应</w:t>
      </w:r>
      <w:bookmarkEnd w:id="70"/>
      <w:bookmarkEnd w:id="71"/>
      <w:bookmarkEnd w:id="72"/>
      <w:bookmarkEnd w:id="73"/>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14.  </w:t>
      </w:r>
      <w:r>
        <w:rPr>
          <w:rFonts w:hint="eastAsia" w:asciiTheme="majorEastAsia" w:hAnsiTheme="majorEastAsia" w:eastAsiaTheme="majorEastAsia" w:cstheme="majorEastAsia"/>
          <w:color w:val="000000" w:themeColor="text1"/>
          <w:sz w:val="24"/>
          <w:szCs w:val="24"/>
        </w:rPr>
        <w:t>响应</w:t>
      </w:r>
      <w:r>
        <w:rPr>
          <w:rFonts w:hint="eastAsia" w:asciiTheme="majorEastAsia" w:hAnsiTheme="majorEastAsia" w:eastAsiaTheme="majorEastAsia" w:cstheme="majorEastAsia"/>
          <w:bCs/>
          <w:color w:val="000000" w:themeColor="text1"/>
          <w:sz w:val="24"/>
          <w:szCs w:val="24"/>
        </w:rPr>
        <w:t>文件的密封</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14.1  磋商供应商应将响应文件进行密封包装，并在包装面上加盖单位公章。</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15.  响应文件的提交</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15.1 磋商供应商提交响应文件截止时间：见磋商供应商须知前附表。</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15.2 磋商供应商提交响应文件地点：见磋商供应商须知前附表。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15.3 磋商供应商提交响应文件时，应自行检查其响应文件的密封性。</w:t>
      </w:r>
    </w:p>
    <w:p>
      <w:pPr>
        <w:pStyle w:val="9"/>
        <w:spacing w:line="440" w:lineRule="exact"/>
        <w:jc w:val="center"/>
        <w:rPr>
          <w:rFonts w:asciiTheme="majorEastAsia" w:hAnsiTheme="majorEastAsia" w:eastAsiaTheme="majorEastAsia" w:cstheme="majorEastAsia"/>
          <w:color w:val="000000" w:themeColor="text1"/>
        </w:rPr>
      </w:pPr>
    </w:p>
    <w:bookmarkEnd w:id="74"/>
    <w:p>
      <w:pPr>
        <w:pStyle w:val="16"/>
        <w:outlineLvl w:val="1"/>
        <w:rPr>
          <w:rFonts w:asciiTheme="majorEastAsia" w:hAnsiTheme="majorEastAsia" w:eastAsiaTheme="majorEastAsia" w:cstheme="majorEastAsia"/>
          <w:color w:val="000000" w:themeColor="text1"/>
        </w:rPr>
      </w:pPr>
      <w:bookmarkStart w:id="75" w:name="_Toc18279"/>
      <w:bookmarkStart w:id="76" w:name="_Toc22170"/>
      <w:bookmarkStart w:id="77" w:name="_Toc7972"/>
      <w:bookmarkStart w:id="78" w:name="_Toc495334414"/>
      <w:r>
        <w:rPr>
          <w:rFonts w:hint="eastAsia" w:asciiTheme="majorEastAsia" w:hAnsiTheme="majorEastAsia" w:eastAsiaTheme="majorEastAsia" w:cstheme="majorEastAsia"/>
          <w:color w:val="000000" w:themeColor="text1"/>
        </w:rPr>
        <w:t>五   评审与磋商</w:t>
      </w:r>
      <w:bookmarkEnd w:id="75"/>
      <w:bookmarkEnd w:id="76"/>
      <w:bookmarkEnd w:id="77"/>
      <w:bookmarkEnd w:id="78"/>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16.  </w:t>
      </w:r>
      <w:r>
        <w:rPr>
          <w:rFonts w:hint="eastAsia" w:asciiTheme="majorEastAsia" w:hAnsiTheme="majorEastAsia" w:eastAsiaTheme="majorEastAsia" w:cstheme="majorEastAsia"/>
          <w:color w:val="000000" w:themeColor="text1"/>
          <w:sz w:val="24"/>
          <w:szCs w:val="24"/>
        </w:rPr>
        <w:t>响应文件</w:t>
      </w:r>
      <w:r>
        <w:rPr>
          <w:rFonts w:hint="eastAsia" w:asciiTheme="majorEastAsia" w:hAnsiTheme="majorEastAsia" w:eastAsiaTheme="majorEastAsia" w:cstheme="majorEastAsia"/>
          <w:bCs/>
          <w:color w:val="000000" w:themeColor="text1"/>
          <w:sz w:val="24"/>
          <w:szCs w:val="24"/>
        </w:rPr>
        <w:t>截止</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  磋商供应商的法定代表人或其委托代理人应在提交响应文件截止时间前到达响应文件递交响应文件。如未按时递交，由此产生的后果由磋商供应商自行负责。</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16.1.1 截标后由采购人或采购代理机构对磋商供应商进行信用查询。</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查询渠道：“信用中国”网站（www.creditchina.gov.cn）、中国政府采购网（www.ccgp.gov.cn） </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查询截止时点：响应截止时间   </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查询记录和证据留存方式：在查询网站中直接打印查询记录，打印材料作为评审资料保存。</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17.  评审与磋商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17.1  成立磋商小组：评审与磋商活动由依法组建的磋商小组负责。磋商小组由采购人代表和有关技术、经济等方面的专家组成。采购人或采购代理机构根据本项目的特点，从同级或上一级财政部门设立的政府采购评审专家库中，通过随机方式抽取专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17.2  评审原则：评审活动遵循公平、公正、科学和择优的原则。</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17.3  评审方法：磋商小组按照磋商供应商须知前附表和第三章“评审方法”规定的方法、评审因素和标准对响应文件进行评审。在评审中，不得改变第三章“评审办法”规定的方法、评审因素和标准；第三章“评审办法”没有规定的方法、评审因素和标准，不作为评审依据。</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  </w:t>
      </w:r>
      <w:r>
        <w:rPr>
          <w:rFonts w:hint="eastAsia" w:asciiTheme="majorEastAsia" w:hAnsiTheme="majorEastAsia" w:eastAsiaTheme="majorEastAsia" w:cstheme="majorEastAsia"/>
          <w:bCs/>
          <w:color w:val="000000" w:themeColor="text1"/>
          <w:sz w:val="24"/>
          <w:szCs w:val="24"/>
        </w:rPr>
        <w:t>评审程序：</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17.4.1  </w:t>
      </w:r>
      <w:r>
        <w:rPr>
          <w:rFonts w:hint="eastAsia" w:asciiTheme="majorEastAsia" w:hAnsiTheme="majorEastAsia" w:eastAsiaTheme="majorEastAsia" w:cstheme="majorEastAsia"/>
          <w:bCs/>
          <w:color w:val="000000" w:themeColor="text1"/>
          <w:sz w:val="24"/>
          <w:szCs w:val="24"/>
        </w:rPr>
        <w:t>采购代理机构项目负责人宣读评审会场纪律要求，集中管理通讯工具，询问在场人员是否申请回避。</w:t>
      </w:r>
    </w:p>
    <w:p>
      <w:pPr>
        <w:pStyle w:val="9"/>
        <w:spacing w:line="440" w:lineRule="exact"/>
        <w:ind w:firstLine="480" w:firstLineChars="20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17.4.2  </w:t>
      </w:r>
      <w:r>
        <w:rPr>
          <w:rFonts w:hint="eastAsia" w:asciiTheme="majorEastAsia" w:hAnsiTheme="majorEastAsia" w:eastAsiaTheme="majorEastAsia" w:cstheme="majorEastAsia"/>
          <w:bCs/>
          <w:color w:val="000000" w:themeColor="text1"/>
          <w:sz w:val="24"/>
          <w:szCs w:val="24"/>
        </w:rPr>
        <w:t>采购代理机构项目负责人介绍项目概况及</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小组组成情况（但不得发表影响评审的倾向性、歧视性言论），推选</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小组组长（原则上采购人不得担任</w:t>
      </w:r>
      <w:r>
        <w:rPr>
          <w:rFonts w:hint="eastAsia" w:asciiTheme="majorEastAsia" w:hAnsiTheme="majorEastAsia" w:eastAsiaTheme="majorEastAsia" w:cstheme="majorEastAsia"/>
          <w:color w:val="000000" w:themeColor="text1"/>
          <w:sz w:val="24"/>
          <w:szCs w:val="24"/>
        </w:rPr>
        <w:t>磋商</w:t>
      </w:r>
      <w:r>
        <w:rPr>
          <w:rFonts w:hint="eastAsia" w:asciiTheme="majorEastAsia" w:hAnsiTheme="majorEastAsia" w:eastAsiaTheme="majorEastAsia" w:cstheme="majorEastAsia"/>
          <w:bCs/>
          <w:color w:val="000000" w:themeColor="text1"/>
          <w:sz w:val="24"/>
          <w:szCs w:val="24"/>
        </w:rPr>
        <w:t>小组组长）。</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17.4.3  </w:t>
      </w:r>
      <w:r>
        <w:rPr>
          <w:rFonts w:hint="eastAsia" w:asciiTheme="majorEastAsia" w:hAnsiTheme="majorEastAsia" w:eastAsiaTheme="majorEastAsia" w:cstheme="majorEastAsia"/>
          <w:color w:val="000000" w:themeColor="text1"/>
          <w:sz w:val="24"/>
          <w:szCs w:val="24"/>
        </w:rPr>
        <w:t>磋商小组在响应文件拆封前对响应文件做密封性检查，并签字确认。</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17.4.4  响应文件初审：初审分为资格性检查和符合性检查。</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（1）资格性检查：依据法律法规和采购文件的规定，对响应文件中的资格证明等进行审查，以确定磋商供应商是否具备响应的资格。</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（2）符合性检查：依据采购文件的规定，从响应文件的有效性、完整性和对响应文件的响应程度进行审查，以确定是否对响应文件的实质性要求和条件作出响应。</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(1)有下列情形之一的视为磋商供应商相互串通，响应文件将被视为无效。</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①不同磋商供应商的响应文件由同一单位或者个人编制；</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2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②</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不同磋商供应商委托同一单位或者个人办理磋商事宜；</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3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③</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不同的磋商供应商的响应文件载明的项目管理员为同一个人；</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4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④</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不同磋商供应商的响应文件异常一致或报价呈规律性差异；</w:t>
      </w:r>
    </w:p>
    <w:p>
      <w:pPr>
        <w:spacing w:line="40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fldChar w:fldCharType="begin"/>
      </w:r>
      <w:r>
        <w:rPr>
          <w:rFonts w:hint="eastAsia" w:asciiTheme="majorEastAsia" w:hAnsiTheme="majorEastAsia" w:eastAsiaTheme="majorEastAsia" w:cstheme="majorEastAsia"/>
          <w:color w:val="000000" w:themeColor="text1"/>
          <w:sz w:val="24"/>
        </w:rPr>
        <w:instrText xml:space="preserve"> = 5 \* GB3 </w:instrText>
      </w:r>
      <w:r>
        <w:rPr>
          <w:rFonts w:hint="eastAsia" w:asciiTheme="majorEastAsia" w:hAnsiTheme="majorEastAsia" w:eastAsiaTheme="majorEastAsia" w:cstheme="majorEastAsia"/>
          <w:color w:val="000000" w:themeColor="text1"/>
          <w:sz w:val="24"/>
        </w:rPr>
        <w:fldChar w:fldCharType="separate"/>
      </w:r>
      <w:r>
        <w:rPr>
          <w:rFonts w:hint="eastAsia" w:asciiTheme="majorEastAsia" w:hAnsiTheme="majorEastAsia" w:eastAsiaTheme="majorEastAsia" w:cstheme="majorEastAsia"/>
          <w:color w:val="000000" w:themeColor="text1"/>
          <w:sz w:val="24"/>
        </w:rPr>
        <w:t>⑤</w:t>
      </w:r>
      <w:r>
        <w:rPr>
          <w:rFonts w:hint="eastAsia" w:asciiTheme="majorEastAsia" w:hAnsiTheme="majorEastAsia" w:eastAsiaTheme="majorEastAsia" w:cstheme="majorEastAsia"/>
          <w:color w:val="000000" w:themeColor="text1"/>
          <w:sz w:val="24"/>
        </w:rPr>
        <w:fldChar w:fldCharType="end"/>
      </w:r>
      <w:r>
        <w:rPr>
          <w:rFonts w:hint="eastAsia" w:asciiTheme="majorEastAsia" w:hAnsiTheme="majorEastAsia" w:eastAsiaTheme="majorEastAsia" w:cstheme="majorEastAsia"/>
          <w:color w:val="000000" w:themeColor="text1"/>
          <w:sz w:val="24"/>
        </w:rPr>
        <w:t>不同磋商供应商的响应文件相互混装；</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（2）关联供应商不得参加同一合同项下政府采购活动，否则磋商文件将被视为无效</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①单位负责人为同一人或者存在直接控股、管理关系的不同的供应商，不得参加同一合同项下的政府采购活动;</w:t>
      </w:r>
    </w:p>
    <w:p>
      <w:pPr>
        <w:spacing w:line="400" w:lineRule="exact"/>
        <w:ind w:firstLine="306"/>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②生产厂商授权给供应商后自己不得参加同一合同项下的政府采购活动；生产厂商对同一品牌同一型号的货物，仅能委托一个代理商参加响应。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17.4.5  澄清有关问题。对响应文件中含义不明确、同类问题表述不一致或者有明显文字和计算错误的内容，磋商小组可以书面形式（应当由磋商小组专家签字）要求磋商供应商作出必要的澄清、说明或者纠正。磋商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17.4.6  制定磋商文件。磋商小组根据采购项目以及磋商供应商的实际情况制定磋商文件。磋商文件应当明确磋商程序、磋商内容、合同草案的条款以及评定成交的标准等事项。</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17.4.7  确定邀请参加磋商的供应商名单。磋商小组将所有通过资格性审查的供应商确定为邀请参加磋商的供应商，并向其提供磋商文件。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17.4.8  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（1）磋商小组将在磋商供应商须知前附表规定的地点与各磋商供应商进行每轮磋商。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（2）磋商内容包括：响应报价、技术参数要求和商务条款、合同草案条款，其中磋商供应商资格条件除外。</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磋商小组所有成员集中与单一供应商分别进行磋商。在磋商中，磋商的任何一方不得透露与磋商有关的其他供应商的技术资料、价格和其他信息。对磋商文件做出的实质性变动（采购需求中的技术、服务要求以及合同草案条款）是磋商文件的有效组成部分，磋商小组应当及时以书面形式通知所有参加磋商的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法定代表人或其委托代理人以及技术人员必须参加每轮磋商。磋商供应商的法定代表人凭法定代表人资格证明书和本人身份证原件参加磋商，其委托代理人凭授权委托书和本人身份证原件参加磋商。磋商供应商未按时到达评审会场参加磋商或未能出示上述证件的，视为放弃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磋商小组与磋商供应商进行磋商的内容，磋商供应商除当场答复外，还应作出书面应答。书面应答文件必须由磋商供应商的法定代表人或其委托代理人签字（签章）或盖公章，按要求进行封装并在磋商文件规定的时间前提交至磋商小组，否则视为放弃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（6）未实质性响应磋商文件的响应文件按无效响应处理，磋商小组应当告知提交响应文件的供应商。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磋商小组与磋商供应商可进行多轮磋商，磋商供应商的最后一次应答文件及最终报价应单独封装提交至磋商小组。在对商务、技术及其他内容的比较和评价结束前，磋商小组不能接触、比较和评价响应报价。最终报价在磋商小组完成商务、技术及其他内容的评审后才能拆封。</w:t>
      </w:r>
    </w:p>
    <w:p>
      <w:pPr>
        <w:pStyle w:val="9"/>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rPr>
        <w:t>（8）磋商供应商的应答文件经磋商小组代表确认后，变动竞争性磋商文件或响应文件中相应</w:t>
      </w:r>
      <w:r>
        <w:rPr>
          <w:rFonts w:hint="eastAsia" w:asciiTheme="majorEastAsia" w:hAnsiTheme="majorEastAsia" w:eastAsiaTheme="majorEastAsia" w:cstheme="majorEastAsia"/>
          <w:sz w:val="24"/>
          <w:szCs w:val="24"/>
        </w:rPr>
        <w:t>的内容，并构成响应文件的组成部分和评审的依据。如成交，则作为合同的组成部分。</w:t>
      </w:r>
    </w:p>
    <w:p>
      <w:pPr>
        <w:pStyle w:val="9"/>
        <w:spacing w:line="440" w:lineRule="exact"/>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17.4.9磋商小组认为，某磋商供应商的最低磋商报价明显不合理或者低于成本，有可能影响服务质量和不能诚信履约的，应当要求其在规定的期限内提供书面文件予以解释说明，并提交相关证明材料。磋商供应不能合理说明或者不能提供相关证明材料的，视作该磋商供供应商以低于成本报价响应，其响应无效。</w:t>
      </w:r>
    </w:p>
    <w:p>
      <w:pPr>
        <w:pStyle w:val="9"/>
        <w:spacing w:line="44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17.4.10  按顺序排列成交候选供应商，并编写评审报告。</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17.4.11  采购代理机构对评审过程和评分、评审结论进行核对和复核，如有错漏，请磋商小组进行校正，按校正后的结果确定成交供应商。</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18.  响应文件的修正</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18.1  如果出现计算或表达上的错误，修正的原则如下：</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（1）响应文件中响应函内容与响应报价表内容不一致的，以响应报价表为准；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（2）响应文件的大写金额和小写金额不一致的，以大写金额为准；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（3）总价金额与按单价汇总金额不一致的，以单价金额计算结果为准；</w:t>
      </w:r>
    </w:p>
    <w:p>
      <w:pPr>
        <w:pStyle w:val="9"/>
        <w:spacing w:line="440" w:lineRule="exact"/>
        <w:ind w:firstLine="42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color w:val="000000" w:themeColor="text1"/>
          <w:sz w:val="24"/>
          <w:szCs w:val="24"/>
        </w:rPr>
        <w:t>（4）单价金额小数点有明显错位的，应以总价为准，并修改单价。</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18.2  按上述修正原则修正后的响应报价经磋商供应商书面确认后对磋商供应商具有约束力。如果磋商供应商不接受修正后的响应报价，则其响应文件无效。</w:t>
      </w:r>
    </w:p>
    <w:p>
      <w:pPr>
        <w:pStyle w:val="9"/>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19.  拒绝接收</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19.1  磋商供应商未在本章第15.1项规定的时间之前将响应文件送达至本章第15.2项指定地点的，采购代理机构应当拒绝接收该磋商供应商的响应文件。</w:t>
      </w:r>
    </w:p>
    <w:p>
      <w:pPr>
        <w:pStyle w:val="9"/>
        <w:spacing w:line="440" w:lineRule="exact"/>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20. 无效响应</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★属下列情形之一的，供应商的响应无效：</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（1）供应商不具备本章第3项规定的供应商资格要求的；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（2）响应文件未按本章第8.8项的规定标识或未按规定的正、副本数量递交的； </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（3）响应文件未按本章第10.1项的规定编写和提交的（包括缺少应提交的文件或格式不符合第五章“响应文件格式”的要求）；</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（4）响应文件不符合本章第10.2项规定的；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（5）响应报价不符合本章第11项规定的或超过采购预算的</w:t>
      </w:r>
      <w:r>
        <w:rPr>
          <w:rFonts w:cs="宋体" w:asciiTheme="majorEastAsia" w:hAnsiTheme="majorEastAsia" w:eastAsiaTheme="majorEastAsia"/>
          <w:sz w:val="24"/>
          <w:szCs w:val="24"/>
        </w:rPr>
        <w:t>或超过最高限价的</w:t>
      </w:r>
      <w:r>
        <w:rPr>
          <w:rFonts w:hint="eastAsia" w:asciiTheme="majorEastAsia" w:hAnsiTheme="majorEastAsia" w:eastAsiaTheme="majorEastAsia" w:cstheme="majorEastAsia"/>
          <w:color w:val="000000" w:themeColor="text1"/>
          <w:sz w:val="24"/>
          <w:szCs w:val="24"/>
        </w:rPr>
        <w:t>或磋商小组认定低于成本报价的；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（6）响应文件不符合本章第14项规定的；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（7）供应商出现本章第17.4.4项所述的响应文件将被视为无效的情形的；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（8）供应商出现本章第18.2项所述情形的；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（9）响应文件未对竞争性磋商文件提出的要求和条件作出实质性响应的；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（10）磋商小组认为响应文件存在严重负偏离的；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（11）响应文件附有采购需求以外的条件使磋商小组认为不能接受的；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（12）供应商在响应过程中提供虚假材料的。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（13）响应文件含有违反国家法律、法规的内容。</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供应商响应无效的，磋商小组应当告知有关供应商。 </w:t>
      </w:r>
    </w:p>
    <w:p>
      <w:pPr>
        <w:pStyle w:val="9"/>
        <w:spacing w:line="440" w:lineRule="exact"/>
        <w:ind w:firstLine="420"/>
        <w:rPr>
          <w:rFonts w:asciiTheme="majorEastAsia" w:hAnsiTheme="majorEastAsia" w:eastAsiaTheme="majorEastAsia" w:cstheme="majorEastAsia"/>
          <w:color w:val="000000" w:themeColor="text1"/>
          <w:sz w:val="24"/>
          <w:szCs w:val="24"/>
        </w:rPr>
      </w:pPr>
    </w:p>
    <w:p>
      <w:pPr>
        <w:pStyle w:val="9"/>
        <w:spacing w:line="440" w:lineRule="exact"/>
        <w:rPr>
          <w:rFonts w:asciiTheme="majorEastAsia" w:hAnsiTheme="majorEastAsia" w:eastAsiaTheme="majorEastAsia" w:cstheme="majorEastAsia"/>
          <w:color w:val="000000" w:themeColor="text1"/>
          <w:sz w:val="24"/>
          <w:szCs w:val="24"/>
        </w:rPr>
      </w:pPr>
      <w:bookmarkStart w:id="79" w:name="_Toc213326421"/>
      <w:bookmarkStart w:id="80" w:name="_Toc495334415"/>
      <w:r>
        <w:rPr>
          <w:rFonts w:hint="eastAsia" w:asciiTheme="majorEastAsia" w:hAnsiTheme="majorEastAsia" w:eastAsiaTheme="majorEastAsia" w:cstheme="majorEastAsia"/>
          <w:color w:val="000000" w:themeColor="text1"/>
          <w:sz w:val="24"/>
          <w:szCs w:val="24"/>
        </w:rPr>
        <w:t>21. 废标</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21.1  在采购过程中，出现下列情形之一的，予以废标：</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（1）采用竞争性磋商采购方式的政府购买服务项目或政府和社会资本合作项目对竞争性磋商文件作实质响应的供应商不足2家的；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（2）采用竞争性磋商采购方式的市场竞争不充分的科研项目或需要扶持科技成果转化项目对竞争性磋商文件作实质响应的供应商不足3家的；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（3）出现影响采购公正的违法、违规行为的；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（4）磋商供应商的报价均超过了采购预算，采购人不能支付的；</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（5）因重大变故，采购任务取消的。</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21.2  废标后，采购代理机构将在本章第2项规定的政府采购信息发布媒体上公告废标理由，不再另行通知。</w:t>
      </w:r>
    </w:p>
    <w:p>
      <w:pPr>
        <w:pStyle w:val="16"/>
        <w:outlineLvl w:val="1"/>
        <w:rPr>
          <w:rFonts w:asciiTheme="majorEastAsia" w:hAnsiTheme="majorEastAsia" w:eastAsiaTheme="majorEastAsia" w:cstheme="majorEastAsia"/>
          <w:color w:val="000000" w:themeColor="text1"/>
          <w:sz w:val="30"/>
          <w:szCs w:val="30"/>
        </w:rPr>
      </w:pPr>
      <w:bookmarkStart w:id="81" w:name="_Toc17182"/>
      <w:bookmarkStart w:id="82" w:name="_Toc26939"/>
      <w:bookmarkStart w:id="83" w:name="_Toc15380"/>
      <w:r>
        <w:rPr>
          <w:rFonts w:hint="eastAsia" w:asciiTheme="majorEastAsia" w:hAnsiTheme="majorEastAsia" w:eastAsiaTheme="majorEastAsia" w:cstheme="majorEastAsia"/>
          <w:color w:val="000000" w:themeColor="text1"/>
        </w:rPr>
        <w:t>六   合同授予</w:t>
      </w:r>
      <w:bookmarkEnd w:id="79"/>
      <w:bookmarkEnd w:id="80"/>
      <w:bookmarkEnd w:id="81"/>
      <w:bookmarkEnd w:id="82"/>
      <w:bookmarkEnd w:id="83"/>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22.  成交供应商的确定</w:t>
      </w:r>
    </w:p>
    <w:p>
      <w:pPr>
        <w:spacing w:line="440" w:lineRule="exact"/>
        <w:ind w:firstLine="480" w:firstLineChars="20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磋商小组按第三章“评审方法”的规定排列成交候选供应商顺序，并依照次序确定成交方。</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23.  成交公告及成交通知书</w:t>
      </w:r>
    </w:p>
    <w:p>
      <w:pPr>
        <w:pStyle w:val="9"/>
        <w:spacing w:line="440" w:lineRule="exact"/>
        <w:ind w:firstLine="36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szCs w:val="24"/>
        </w:rPr>
        <w:t>23.1采购代理机构应当自成交人确认之日起2个工作日内，在</w:t>
      </w:r>
      <w:r>
        <w:rPr>
          <w:rFonts w:hint="eastAsia" w:asciiTheme="majorEastAsia" w:hAnsiTheme="majorEastAsia" w:eastAsiaTheme="majorEastAsia" w:cstheme="majorEastAsia"/>
          <w:color w:val="000000" w:themeColor="text1"/>
          <w:sz w:val="24"/>
        </w:rPr>
        <w:t>本章第2.1项规定的政府采购信息发布媒体上公示成交结果，成交公告期限为1个工作日，在公告成交结果的同时，采购代理机构应当向成交人发出成交通知书。</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23.2  成交通知书对采购人和成交供应商具有同等法律效力。成交通知书发出后，采购人改变成交结果，或者成交供应商放弃成交，应当承担相应的法律责任。</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24.  响应文件的退回</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24.1  采购人及采购代理机构无义务向未成交供应商退回响应文件。</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25.   签订合同</w:t>
      </w:r>
    </w:p>
    <w:p>
      <w:pPr>
        <w:pStyle w:val="9"/>
        <w:spacing w:line="440" w:lineRule="exact"/>
        <w:ind w:firstLine="42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25.1  采购人和成交供应商应当在第二章“服务需求一览表”中商务条款要求载明的合同签订期内，根据竞争性磋商文件、成交供应商的响应文件及有关澄清承诺书的要求按第六章“合同条款及格式”订立书面合同。</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25.2  发出成交通知书后，采购人无正当理由拒签合同的，给成交供应商造成损失的，应当赔偿损失。</w:t>
      </w:r>
    </w:p>
    <w:p>
      <w:pPr>
        <w:widowControl/>
        <w:spacing w:before="100" w:beforeAutospacing="1" w:after="100" w:afterAutospacing="1" w:line="450" w:lineRule="atLeast"/>
        <w:ind w:firstLine="480" w:firstLineChars="200"/>
        <w:jc w:val="left"/>
        <w:rPr>
          <w:rFonts w:asciiTheme="majorEastAsia" w:hAnsiTheme="majorEastAsia" w:eastAsiaTheme="majorEastAsia" w:cstheme="majorEastAsia"/>
          <w:color w:val="000000" w:themeColor="text1"/>
          <w:kern w:val="0"/>
          <w:sz w:val="24"/>
        </w:rPr>
      </w:pPr>
      <w:r>
        <w:rPr>
          <w:rFonts w:hint="eastAsia" w:asciiTheme="majorEastAsia" w:hAnsiTheme="majorEastAsia" w:eastAsiaTheme="majorEastAsia" w:cstheme="majorEastAsia"/>
          <w:color w:val="000000" w:themeColor="text1"/>
          <w:kern w:val="0"/>
          <w:sz w:val="24"/>
        </w:rPr>
        <w:t>25.3  成交供应商拒绝与采购人签订合同的，</w:t>
      </w:r>
      <w:r>
        <w:rPr>
          <w:rFonts w:hint="eastAsia" w:asciiTheme="majorEastAsia" w:hAnsiTheme="majorEastAsia" w:eastAsiaTheme="majorEastAsia" w:cstheme="majorEastAsia"/>
          <w:color w:val="000000" w:themeColor="text1"/>
          <w:sz w:val="24"/>
        </w:rPr>
        <w:t>经政府采购监督管理部门同意，</w:t>
      </w:r>
      <w:r>
        <w:rPr>
          <w:rFonts w:hint="eastAsia" w:asciiTheme="majorEastAsia" w:hAnsiTheme="majorEastAsia" w:eastAsiaTheme="majorEastAsia" w:cstheme="majorEastAsia"/>
          <w:color w:val="000000" w:themeColor="text1"/>
          <w:kern w:val="0"/>
          <w:sz w:val="24"/>
        </w:rPr>
        <w:t>采购人可以按照评审报告推荐的成交候选人名单排序，确定下一候选人为成交供应商，也可以重新开展政府采购活动。</w:t>
      </w:r>
    </w:p>
    <w:p>
      <w:pPr>
        <w:pStyle w:val="9"/>
        <w:spacing w:line="440" w:lineRule="exact"/>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25.4  成交供应商因不可抗力或者自身原因不能履行政府采购合同的，采购人可以与排位在成交供应商之后第一位的成交候选供应商签订政府采购合同，以此类推。</w:t>
      </w:r>
    </w:p>
    <w:p>
      <w:pPr>
        <w:pStyle w:val="9"/>
        <w:spacing w:line="440" w:lineRule="exact"/>
        <w:rPr>
          <w:rFonts w:asciiTheme="majorEastAsia" w:hAnsiTheme="majorEastAsia" w:eastAsiaTheme="majorEastAsia" w:cstheme="majorEastAsia"/>
          <w:bCs/>
          <w:color w:val="000000" w:themeColor="text1"/>
          <w:sz w:val="24"/>
          <w:szCs w:val="24"/>
        </w:rPr>
      </w:pPr>
      <w:bookmarkStart w:id="84" w:name="_Toc213325924"/>
      <w:bookmarkStart w:id="85" w:name="_Toc213206175"/>
      <w:bookmarkStart w:id="86" w:name="_Toc213326423"/>
      <w:r>
        <w:rPr>
          <w:rFonts w:hint="eastAsia" w:asciiTheme="majorEastAsia" w:hAnsiTheme="majorEastAsia" w:eastAsiaTheme="majorEastAsia" w:cstheme="majorEastAsia"/>
          <w:bCs/>
          <w:color w:val="000000" w:themeColor="text1"/>
          <w:sz w:val="24"/>
          <w:szCs w:val="24"/>
        </w:rPr>
        <w:t>26.  履约保证金及质量保证金</w:t>
      </w:r>
    </w:p>
    <w:p>
      <w:pPr>
        <w:pStyle w:val="9"/>
        <w:spacing w:line="440" w:lineRule="exact"/>
        <w:ind w:firstLine="360" w:firstLineChars="150"/>
        <w:jc w:val="left"/>
        <w:rPr>
          <w:rFonts w:asciiTheme="majorEastAsia" w:hAnsiTheme="majorEastAsia" w:eastAsiaTheme="majorEastAsia" w:cstheme="majorEastAsia"/>
          <w:color w:val="000000" w:themeColor="text1"/>
          <w:szCs w:val="28"/>
        </w:rPr>
      </w:pPr>
      <w:bookmarkStart w:id="87" w:name="_Toc495334416"/>
      <w:bookmarkStart w:id="88" w:name="_Toc213326422"/>
      <w:r>
        <w:rPr>
          <w:rFonts w:hint="eastAsia" w:asciiTheme="majorEastAsia" w:hAnsiTheme="majorEastAsia" w:eastAsiaTheme="majorEastAsia" w:cstheme="majorEastAsia"/>
          <w:color w:val="000000" w:themeColor="text1"/>
          <w:sz w:val="24"/>
          <w:szCs w:val="24"/>
        </w:rPr>
        <w:t>本项目不收取履约保证金及质量保证金</w:t>
      </w:r>
      <w:r>
        <w:rPr>
          <w:rFonts w:hint="eastAsia" w:asciiTheme="majorEastAsia" w:hAnsiTheme="majorEastAsia" w:eastAsiaTheme="majorEastAsia" w:cstheme="majorEastAsia"/>
          <w:color w:val="000000" w:themeColor="text1"/>
          <w:szCs w:val="28"/>
        </w:rPr>
        <w:t>。</w:t>
      </w:r>
    </w:p>
    <w:p>
      <w:pPr>
        <w:pStyle w:val="9"/>
        <w:spacing w:line="440" w:lineRule="exact"/>
        <w:jc w:val="center"/>
        <w:rPr>
          <w:rFonts w:asciiTheme="majorEastAsia" w:hAnsiTheme="majorEastAsia" w:eastAsiaTheme="majorEastAsia" w:cstheme="majorEastAsia"/>
          <w:color w:val="000000" w:themeColor="text1"/>
        </w:rPr>
      </w:pPr>
    </w:p>
    <w:p>
      <w:pPr>
        <w:pStyle w:val="16"/>
        <w:outlineLvl w:val="1"/>
        <w:rPr>
          <w:rFonts w:asciiTheme="majorEastAsia" w:hAnsiTheme="majorEastAsia" w:eastAsiaTheme="majorEastAsia" w:cstheme="majorEastAsia"/>
          <w:color w:val="000000" w:themeColor="text1"/>
        </w:rPr>
      </w:pPr>
      <w:bookmarkStart w:id="89" w:name="_Toc19534"/>
      <w:bookmarkStart w:id="90" w:name="_Toc8678"/>
      <w:bookmarkStart w:id="91" w:name="_Toc9686"/>
      <w:r>
        <w:rPr>
          <w:rFonts w:hint="eastAsia" w:asciiTheme="majorEastAsia" w:hAnsiTheme="majorEastAsia" w:eastAsiaTheme="majorEastAsia" w:cstheme="majorEastAsia"/>
          <w:color w:val="000000" w:themeColor="text1"/>
        </w:rPr>
        <w:t>七   其他事项</w:t>
      </w:r>
      <w:bookmarkEnd w:id="87"/>
      <w:bookmarkEnd w:id="88"/>
      <w:bookmarkEnd w:id="89"/>
      <w:bookmarkEnd w:id="90"/>
      <w:bookmarkEnd w:id="91"/>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27.  解释权</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27.1  本竞争性磋商采购文件根据《中华人民共和国政府采购法》、《中华人民共和国政府采购法实施条例》、《政府采购竞争性磋商采购方式管理暂行办法》（财库〔2014〕214号）及相关法律法规编制，解释权属采购代理机构。</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28.  其他</w:t>
      </w:r>
    </w:p>
    <w:p>
      <w:pPr>
        <w:pStyle w:val="9"/>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只要磋商供应商参与响应并递交响应文件即视为已经理解并毫无保留地同意了本竞争性磋商文件的所有条文。</w:t>
      </w:r>
    </w:p>
    <w:p>
      <w:pPr>
        <w:pStyle w:val="9"/>
        <w:spacing w:line="440" w:lineRule="exact"/>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29.   响应文件的退回</w:t>
      </w:r>
    </w:p>
    <w:p>
      <w:pPr>
        <w:pStyle w:val="9"/>
        <w:spacing w:line="440" w:lineRule="exact"/>
        <w:ind w:firstLine="480" w:firstLineChars="20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所有响应文件均不予退回。</w:t>
      </w:r>
    </w:p>
    <w:p>
      <w:pPr>
        <w:pStyle w:val="9"/>
        <w:spacing w:line="440" w:lineRule="exact"/>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30.  需要补充的其他内容</w:t>
      </w:r>
    </w:p>
    <w:p>
      <w:pPr>
        <w:pStyle w:val="9"/>
        <w:spacing w:line="440" w:lineRule="exact"/>
        <w:ind w:firstLine="600" w:firstLineChars="250"/>
        <w:jc w:val="left"/>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需要补充的其他内容：见磋商供应商须知前附表。</w:t>
      </w:r>
    </w:p>
    <w:p>
      <w:pPr>
        <w:pStyle w:val="16"/>
        <w:rPr>
          <w:rFonts w:ascii="宋体"/>
          <w:color w:val="000000" w:themeColor="text1"/>
        </w:rPr>
      </w:pPr>
      <w:r>
        <w:rPr>
          <w:rFonts w:hint="eastAsia" w:asciiTheme="majorEastAsia" w:hAnsiTheme="majorEastAsia" w:eastAsiaTheme="majorEastAsia" w:cstheme="majorEastAsia"/>
          <w:color w:val="000000" w:themeColor="text1"/>
        </w:rPr>
        <w:br w:type="page"/>
      </w:r>
      <w:bookmarkEnd w:id="84"/>
      <w:bookmarkEnd w:id="85"/>
      <w:bookmarkEnd w:id="86"/>
      <w:bookmarkStart w:id="92" w:name="_Toc14764"/>
      <w:bookmarkStart w:id="93" w:name="_Toc18164"/>
      <w:bookmarkStart w:id="94" w:name="_Toc7026"/>
      <w:bookmarkStart w:id="95" w:name="_Toc18802"/>
      <w:r>
        <w:rPr>
          <w:rFonts w:hint="eastAsia" w:ascii="宋体" w:hAnsi="宋体"/>
          <w:color w:val="000000" w:themeColor="text1"/>
        </w:rPr>
        <w:t>第五章</w:t>
      </w:r>
      <w:r>
        <w:rPr>
          <w:rFonts w:ascii="宋体" w:hAnsi="宋体"/>
          <w:color w:val="000000" w:themeColor="text1"/>
        </w:rPr>
        <w:t xml:space="preserve">  </w:t>
      </w:r>
      <w:r>
        <w:rPr>
          <w:rFonts w:hint="eastAsia" w:ascii="宋体" w:hAnsi="宋体"/>
          <w:color w:val="000000" w:themeColor="text1"/>
        </w:rPr>
        <w:t>响应文件格式</w:t>
      </w:r>
      <w:bookmarkEnd w:id="92"/>
      <w:bookmarkEnd w:id="93"/>
      <w:bookmarkEnd w:id="94"/>
    </w:p>
    <w:p>
      <w:pPr>
        <w:pStyle w:val="9"/>
        <w:spacing w:line="500" w:lineRule="exact"/>
        <w:outlineLvl w:val="1"/>
        <w:rPr>
          <w:rFonts w:hAnsi="宋体"/>
          <w:b/>
          <w:color w:val="000000" w:themeColor="text1"/>
        </w:rPr>
      </w:pPr>
      <w:bookmarkStart w:id="96" w:name="_Toc12985"/>
      <w:bookmarkStart w:id="97" w:name="_Toc3803"/>
      <w:bookmarkStart w:id="98" w:name="_Toc30378"/>
      <w:bookmarkStart w:id="99" w:name="_Toc30227"/>
      <w:r>
        <w:rPr>
          <w:rFonts w:hint="eastAsia" w:hAnsi="宋体"/>
          <w:b/>
          <w:color w:val="000000" w:themeColor="text1"/>
        </w:rPr>
        <w:t>格式</w:t>
      </w:r>
      <w:r>
        <w:rPr>
          <w:rFonts w:hAnsi="宋体"/>
          <w:b/>
          <w:color w:val="000000" w:themeColor="text1"/>
        </w:rPr>
        <w:t>1</w:t>
      </w:r>
      <w:r>
        <w:rPr>
          <w:rFonts w:hint="eastAsia" w:hAnsi="宋体"/>
          <w:b/>
          <w:color w:val="000000" w:themeColor="text1"/>
        </w:rPr>
        <w:t>：</w:t>
      </w:r>
      <w:bookmarkEnd w:id="96"/>
      <w:bookmarkEnd w:id="97"/>
      <w:bookmarkEnd w:id="98"/>
      <w:bookmarkEnd w:id="99"/>
    </w:p>
    <w:p>
      <w:pPr>
        <w:pStyle w:val="9"/>
        <w:spacing w:line="500" w:lineRule="exact"/>
        <w:jc w:val="center"/>
        <w:rPr>
          <w:rFonts w:hAnsi="宋体"/>
          <w:b/>
          <w:bCs/>
          <w:color w:val="000000" w:themeColor="text1"/>
          <w:sz w:val="30"/>
          <w:szCs w:val="30"/>
        </w:rPr>
      </w:pPr>
      <w:r>
        <w:rPr>
          <w:rFonts w:hint="eastAsia" w:hAnsi="宋体"/>
          <w:b/>
          <w:bCs/>
          <w:color w:val="000000" w:themeColor="text1"/>
          <w:sz w:val="30"/>
          <w:szCs w:val="30"/>
        </w:rPr>
        <w:t>响应函（格式）</w:t>
      </w:r>
    </w:p>
    <w:p>
      <w:pPr>
        <w:pStyle w:val="9"/>
        <w:spacing w:line="500" w:lineRule="exact"/>
        <w:rPr>
          <w:rFonts w:hAnsi="宋体"/>
          <w:color w:val="000000" w:themeColor="text1"/>
          <w:sz w:val="32"/>
        </w:rPr>
      </w:pPr>
    </w:p>
    <w:p>
      <w:pPr>
        <w:pStyle w:val="9"/>
        <w:spacing w:line="440" w:lineRule="exact"/>
        <w:rPr>
          <w:rFonts w:hAnsi="宋体"/>
          <w:color w:val="000000" w:themeColor="text1"/>
          <w:sz w:val="24"/>
          <w:szCs w:val="24"/>
        </w:rPr>
      </w:pPr>
      <w:r>
        <w:rPr>
          <w:rFonts w:hint="eastAsia" w:hAnsi="宋体"/>
          <w:color w:val="000000" w:themeColor="text1"/>
          <w:sz w:val="24"/>
          <w:szCs w:val="24"/>
        </w:rPr>
        <w:t>致：</w:t>
      </w:r>
      <w:r>
        <w:rPr>
          <w:rFonts w:hint="eastAsia"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9"/>
        <w:spacing w:line="440" w:lineRule="exact"/>
        <w:ind w:firstLine="480" w:firstLineChars="200"/>
        <w:rPr>
          <w:rFonts w:hAnsi="宋体"/>
          <w:color w:val="000000" w:themeColor="text1"/>
          <w:sz w:val="24"/>
          <w:szCs w:val="24"/>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我方已仔细阅读了贵方组织的</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int="eastAsia" w:hAnsi="宋体"/>
          <w:color w:val="000000" w:themeColor="text1"/>
          <w:sz w:val="24"/>
          <w:szCs w:val="24"/>
        </w:rPr>
        <w:t>项目（项目编号：</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int="eastAsia" w:hAnsi="宋体"/>
          <w:color w:val="000000" w:themeColor="text1"/>
          <w:sz w:val="24"/>
          <w:szCs w:val="24"/>
        </w:rPr>
        <w:t>）的竞争性磋商文件的全部内容，现正式提交下述响应文件参加贵方组织的本次政府采购活动：</w:t>
      </w:r>
      <w:r>
        <w:rPr>
          <w:rFonts w:hAnsi="宋体"/>
          <w:color w:val="000000" w:themeColor="text1"/>
          <w:sz w:val="24"/>
          <w:szCs w:val="24"/>
        </w:rPr>
        <w:t xml:space="preserve"> </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一、首次报价文件正本一份，副本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10.1.1</w:t>
      </w:r>
      <w:r>
        <w:rPr>
          <w:rFonts w:hint="eastAsia" w:hAnsi="宋体"/>
          <w:color w:val="000000" w:themeColor="text1"/>
          <w:sz w:val="24"/>
          <w:szCs w:val="24"/>
        </w:rPr>
        <w:t>项要求提交的全部文件）；</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二、技术文件正本一份，副本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10.1.2</w:t>
      </w:r>
      <w:r>
        <w:rPr>
          <w:rFonts w:hint="eastAsia" w:hAnsi="宋体"/>
          <w:color w:val="000000" w:themeColor="text1"/>
          <w:sz w:val="24"/>
          <w:szCs w:val="24"/>
        </w:rPr>
        <w:t>项要求提交的全部文件）；</w:t>
      </w: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三、商务文件正本一份，副本</w:t>
      </w:r>
      <w:r>
        <w:rPr>
          <w:rFonts w:hAnsi="宋体"/>
          <w:color w:val="000000" w:themeColor="text1"/>
          <w:sz w:val="24"/>
          <w:szCs w:val="24"/>
          <w:u w:val="single"/>
        </w:rPr>
        <w:t xml:space="preserve">   </w:t>
      </w:r>
      <w:r>
        <w:rPr>
          <w:rFonts w:hint="eastAsia" w:hAnsi="宋体"/>
          <w:color w:val="000000" w:themeColor="text1"/>
          <w:sz w:val="24"/>
          <w:szCs w:val="24"/>
        </w:rPr>
        <w:t>份（包含按磋商供应商须知第</w:t>
      </w:r>
      <w:r>
        <w:rPr>
          <w:rFonts w:hAnsi="宋体"/>
          <w:color w:val="000000" w:themeColor="text1"/>
          <w:sz w:val="24"/>
          <w:szCs w:val="24"/>
        </w:rPr>
        <w:t>10.1.3</w:t>
      </w:r>
      <w:r>
        <w:rPr>
          <w:rFonts w:hint="eastAsia" w:hAnsi="宋体"/>
          <w:color w:val="000000" w:themeColor="text1"/>
          <w:sz w:val="24"/>
          <w:szCs w:val="24"/>
        </w:rPr>
        <w:t>项要求提交的全部文件）。</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据此函，签字人兹宣布：</w:t>
      </w:r>
    </w:p>
    <w:p>
      <w:pPr>
        <w:pStyle w:val="9"/>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、我方愿意以（大写）人民币</w:t>
      </w:r>
      <w:r>
        <w:rPr>
          <w:rFonts w:hAnsi="宋体"/>
          <w:color w:val="000000" w:themeColor="text1"/>
          <w:sz w:val="24"/>
          <w:szCs w:val="24"/>
        </w:rPr>
        <w:t xml:space="preserve"> </w:t>
      </w:r>
      <w:r>
        <w:rPr>
          <w:rFonts w:hAnsi="宋体"/>
          <w:color w:val="000000" w:themeColor="text1"/>
          <w:sz w:val="24"/>
          <w:szCs w:val="24"/>
          <w:u w:val="single"/>
        </w:rPr>
        <w:t xml:space="preserve">       </w:t>
      </w:r>
      <w:r>
        <w:rPr>
          <w:rFonts w:hint="eastAsia" w:hAnsi="宋体"/>
          <w:color w:val="000000" w:themeColor="text1"/>
          <w:sz w:val="24"/>
          <w:szCs w:val="24"/>
        </w:rPr>
        <w:t>（￥</w:t>
      </w:r>
      <w:r>
        <w:rPr>
          <w:rFonts w:hAnsi="宋体"/>
          <w:color w:val="000000" w:themeColor="text1"/>
          <w:sz w:val="24"/>
          <w:szCs w:val="24"/>
          <w:u w:val="single"/>
        </w:rPr>
        <w:t xml:space="preserve">     </w:t>
      </w:r>
      <w:r>
        <w:rPr>
          <w:rFonts w:hint="eastAsia" w:hAnsi="宋体"/>
          <w:color w:val="000000" w:themeColor="text1"/>
          <w:sz w:val="24"/>
          <w:szCs w:val="24"/>
        </w:rPr>
        <w:t>元</w:t>
      </w:r>
      <w:r>
        <w:rPr>
          <w:rFonts w:hAnsi="宋体"/>
          <w:color w:val="000000" w:themeColor="text1"/>
          <w:sz w:val="24"/>
          <w:szCs w:val="24"/>
        </w:rPr>
        <w:t>)</w:t>
      </w:r>
      <w:r>
        <w:rPr>
          <w:rFonts w:hint="eastAsia" w:hAnsi="宋体"/>
          <w:color w:val="000000" w:themeColor="text1"/>
          <w:sz w:val="24"/>
          <w:szCs w:val="24"/>
        </w:rPr>
        <w:t>的响应总报价，</w:t>
      </w:r>
      <w:r>
        <w:rPr>
          <w:rFonts w:hint="eastAsia" w:cs="新宋体" w:asciiTheme="majorEastAsia" w:hAnsiTheme="majorEastAsia" w:eastAsiaTheme="majorEastAsia"/>
          <w:color w:val="000000" w:themeColor="text1"/>
          <w:sz w:val="24"/>
        </w:rPr>
        <w:t>提交服务成果时间：</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，提供本项目竞争性磋商文件第二章“服务需求一览表”中相应的采购内容。</w:t>
      </w:r>
    </w:p>
    <w:p>
      <w:pPr>
        <w:pStyle w:val="9"/>
        <w:spacing w:line="440" w:lineRule="exact"/>
        <w:ind w:firstLine="482"/>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、我方同意自本项目竞争性磋商文件“磋商供应商须知”第</w:t>
      </w:r>
      <w:r>
        <w:rPr>
          <w:rFonts w:hAnsi="宋体"/>
          <w:color w:val="000000" w:themeColor="text1"/>
          <w:sz w:val="24"/>
          <w:szCs w:val="24"/>
        </w:rPr>
        <w:t>15.1</w:t>
      </w:r>
      <w:r>
        <w:rPr>
          <w:rFonts w:hint="eastAsia" w:hAnsi="宋体"/>
          <w:color w:val="000000" w:themeColor="text1"/>
          <w:sz w:val="24"/>
          <w:szCs w:val="24"/>
        </w:rPr>
        <w:t>项规定的提交响应文件截止时间起遵循本响应函，并承诺在“磋商供应商须知”第</w:t>
      </w:r>
      <w:r>
        <w:rPr>
          <w:rFonts w:hAnsi="宋体"/>
          <w:color w:val="000000" w:themeColor="text1"/>
          <w:sz w:val="24"/>
          <w:szCs w:val="24"/>
        </w:rPr>
        <w:t>12.1</w:t>
      </w:r>
      <w:r>
        <w:rPr>
          <w:rFonts w:hint="eastAsia" w:hAnsi="宋体"/>
          <w:color w:val="000000" w:themeColor="text1"/>
          <w:sz w:val="24"/>
          <w:szCs w:val="24"/>
        </w:rPr>
        <w:t>项规定的响应有效期内不修改、撤销响应文件。</w:t>
      </w:r>
    </w:p>
    <w:p>
      <w:pPr>
        <w:pStyle w:val="9"/>
        <w:spacing w:line="440" w:lineRule="exact"/>
        <w:ind w:firstLine="482"/>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、我方在此声明，所提交的响应文件及有关资料内容完整、真实和准确。</w:t>
      </w:r>
    </w:p>
    <w:p>
      <w:pPr>
        <w:pStyle w:val="9"/>
        <w:spacing w:line="440" w:lineRule="exact"/>
        <w:ind w:firstLine="482"/>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、我方承诺未被列入失信被执行人、重大税收违法案件当事人名单、政府采购严重违法失信行为记录名单，并已已经具备《中华人民共和国政府采购法》中规定的参加政府采购活动的供应商应当具备的条件：</w:t>
      </w:r>
    </w:p>
    <w:p>
      <w:pPr>
        <w:pStyle w:val="9"/>
        <w:numPr>
          <w:ilvl w:val="0"/>
          <w:numId w:val="3"/>
        </w:numPr>
        <w:spacing w:line="440" w:lineRule="exact"/>
        <w:rPr>
          <w:rFonts w:hAnsi="宋体"/>
          <w:color w:val="000000" w:themeColor="text1"/>
          <w:sz w:val="24"/>
          <w:szCs w:val="24"/>
        </w:rPr>
      </w:pPr>
      <w:r>
        <w:rPr>
          <w:rFonts w:hint="eastAsia" w:hAnsi="宋体"/>
          <w:color w:val="000000" w:themeColor="text1"/>
          <w:sz w:val="24"/>
          <w:szCs w:val="24"/>
        </w:rPr>
        <w:t>具有独立承担民事责任的能力；</w:t>
      </w:r>
    </w:p>
    <w:p>
      <w:pPr>
        <w:pStyle w:val="9"/>
        <w:numPr>
          <w:ilvl w:val="0"/>
          <w:numId w:val="3"/>
        </w:numPr>
        <w:spacing w:line="440" w:lineRule="exact"/>
        <w:rPr>
          <w:rFonts w:hAnsi="宋体"/>
          <w:color w:val="000000" w:themeColor="text1"/>
          <w:sz w:val="24"/>
          <w:szCs w:val="24"/>
        </w:rPr>
      </w:pPr>
      <w:r>
        <w:rPr>
          <w:rFonts w:hint="eastAsia" w:hAnsi="宋体"/>
          <w:color w:val="000000" w:themeColor="text1"/>
          <w:sz w:val="24"/>
          <w:szCs w:val="24"/>
        </w:rPr>
        <w:t>具有良好的商业信誉和健全的财务会计制度；</w:t>
      </w:r>
    </w:p>
    <w:p>
      <w:pPr>
        <w:pStyle w:val="9"/>
        <w:numPr>
          <w:ilvl w:val="0"/>
          <w:numId w:val="3"/>
        </w:numPr>
        <w:spacing w:line="440" w:lineRule="exact"/>
        <w:rPr>
          <w:rFonts w:hAnsi="宋体"/>
          <w:color w:val="000000" w:themeColor="text1"/>
          <w:sz w:val="24"/>
          <w:szCs w:val="24"/>
        </w:rPr>
      </w:pPr>
      <w:r>
        <w:rPr>
          <w:rFonts w:hint="eastAsia" w:hAnsi="宋体"/>
          <w:color w:val="000000" w:themeColor="text1"/>
          <w:sz w:val="24"/>
          <w:szCs w:val="24"/>
        </w:rPr>
        <w:t>具有履行合同所必需的设备和专业技术能力；</w:t>
      </w:r>
    </w:p>
    <w:p>
      <w:pPr>
        <w:pStyle w:val="9"/>
        <w:numPr>
          <w:ilvl w:val="0"/>
          <w:numId w:val="3"/>
        </w:numPr>
        <w:spacing w:line="440" w:lineRule="exact"/>
        <w:rPr>
          <w:rFonts w:hAnsi="宋体"/>
          <w:color w:val="000000" w:themeColor="text1"/>
          <w:sz w:val="24"/>
          <w:szCs w:val="24"/>
        </w:rPr>
      </w:pPr>
      <w:r>
        <w:rPr>
          <w:rFonts w:hint="eastAsia" w:hAnsi="宋体"/>
          <w:color w:val="000000" w:themeColor="text1"/>
          <w:sz w:val="24"/>
          <w:szCs w:val="24"/>
        </w:rPr>
        <w:t>有依法缴纳税收和社会保障资金的良好记录；</w:t>
      </w:r>
    </w:p>
    <w:p>
      <w:pPr>
        <w:pStyle w:val="9"/>
        <w:numPr>
          <w:ilvl w:val="0"/>
          <w:numId w:val="3"/>
        </w:numPr>
        <w:spacing w:line="440" w:lineRule="exact"/>
        <w:rPr>
          <w:rFonts w:hAnsi="宋体"/>
          <w:color w:val="000000" w:themeColor="text1"/>
          <w:sz w:val="24"/>
          <w:szCs w:val="24"/>
        </w:rPr>
      </w:pPr>
      <w:r>
        <w:rPr>
          <w:rFonts w:hint="eastAsia" w:hAnsi="宋体"/>
          <w:color w:val="000000" w:themeColor="text1"/>
          <w:sz w:val="24"/>
          <w:szCs w:val="24"/>
        </w:rPr>
        <w:t>参加政府采购活动前三年内，在经营活动中没有重大违法记录；</w:t>
      </w:r>
    </w:p>
    <w:p>
      <w:pPr>
        <w:pStyle w:val="9"/>
        <w:numPr>
          <w:ilvl w:val="0"/>
          <w:numId w:val="3"/>
        </w:numPr>
        <w:spacing w:line="440" w:lineRule="exact"/>
        <w:rPr>
          <w:rFonts w:hAnsi="宋体"/>
          <w:color w:val="000000" w:themeColor="text1"/>
          <w:sz w:val="24"/>
          <w:szCs w:val="24"/>
        </w:rPr>
      </w:pPr>
      <w:r>
        <w:rPr>
          <w:rFonts w:hint="eastAsia" w:hAnsi="宋体"/>
          <w:color w:val="000000" w:themeColor="text1"/>
          <w:sz w:val="24"/>
          <w:szCs w:val="24"/>
        </w:rPr>
        <w:t>法律、行政法规规定的其他条件。</w:t>
      </w:r>
    </w:p>
    <w:p>
      <w:pPr>
        <w:pStyle w:val="9"/>
        <w:spacing w:line="440" w:lineRule="exact"/>
        <w:ind w:firstLine="482"/>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我方成交，我方承诺在收到成交通知书后，在成交通知书规定的期限内，根据竞争性磋商采购文件、我方的响应文件及有关澄清承诺书的要求按第六章“合同条款及格式”与采购人订立书面合同，并按照合同约定承担完成合同的责任和义务。</w:t>
      </w:r>
    </w:p>
    <w:p>
      <w:pPr>
        <w:pStyle w:val="9"/>
        <w:spacing w:line="440" w:lineRule="exact"/>
        <w:ind w:firstLine="482"/>
        <w:rPr>
          <w:rFonts w:hAnsi="宋体"/>
          <w:color w:val="000000" w:themeColor="text1"/>
          <w:sz w:val="24"/>
          <w:szCs w:val="24"/>
        </w:rPr>
      </w:pPr>
      <w:r>
        <w:rPr>
          <w:rFonts w:hAnsi="宋体"/>
          <w:color w:val="000000" w:themeColor="text1"/>
          <w:sz w:val="24"/>
          <w:szCs w:val="24"/>
        </w:rPr>
        <w:t>6</w:t>
      </w:r>
      <w:r>
        <w:rPr>
          <w:rFonts w:hint="eastAsia" w:hAnsi="宋体"/>
          <w:color w:val="000000" w:themeColor="text1"/>
          <w:sz w:val="24"/>
          <w:szCs w:val="24"/>
        </w:rPr>
        <w:t>、我方已详细审核竞争性磋商文件，我方知道必须放弃提出含糊不清或误解问题的权利。</w:t>
      </w:r>
    </w:p>
    <w:p>
      <w:pPr>
        <w:pStyle w:val="9"/>
        <w:spacing w:line="440" w:lineRule="exact"/>
        <w:ind w:firstLine="482"/>
        <w:rPr>
          <w:rFonts w:hAnsi="宋体"/>
          <w:color w:val="000000" w:themeColor="text1"/>
          <w:sz w:val="24"/>
          <w:szCs w:val="24"/>
        </w:rPr>
      </w:pPr>
      <w:r>
        <w:rPr>
          <w:rFonts w:hAnsi="宋体"/>
          <w:color w:val="000000" w:themeColor="text1"/>
          <w:sz w:val="24"/>
          <w:szCs w:val="24"/>
        </w:rPr>
        <w:t>7</w:t>
      </w:r>
      <w:r>
        <w:rPr>
          <w:rFonts w:hint="eastAsia" w:hAnsi="宋体"/>
          <w:color w:val="000000" w:themeColor="text1"/>
          <w:sz w:val="24"/>
          <w:szCs w:val="24"/>
        </w:rPr>
        <w:t>、我方承诺满足竞争性磋商文件第六章《南宁市青秀区政府采购合同》中的条款，承担完成合同的责任和义务。</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8、我方同意应贵方要求提供与本磋商有关的任何数据或资料。若贵方需要，我方愿意提供我方作出的一切承诺的证明材料。</w:t>
      </w:r>
    </w:p>
    <w:p>
      <w:pPr>
        <w:pStyle w:val="9"/>
        <w:spacing w:line="440" w:lineRule="exact"/>
        <w:ind w:firstLine="482"/>
        <w:rPr>
          <w:rFonts w:hAnsi="宋体"/>
          <w:color w:val="000000" w:themeColor="text1"/>
          <w:sz w:val="24"/>
          <w:szCs w:val="24"/>
        </w:rPr>
      </w:pPr>
      <w:r>
        <w:rPr>
          <w:rFonts w:hint="eastAsia" w:hAnsi="宋体"/>
          <w:color w:val="000000" w:themeColor="text1"/>
          <w:sz w:val="24"/>
          <w:szCs w:val="24"/>
        </w:rPr>
        <w:t>9、我方完全理解贵方不一定接受响应报价最低的磋商供应商为成交供应商的行为。</w:t>
      </w:r>
    </w:p>
    <w:p>
      <w:pPr>
        <w:pStyle w:val="9"/>
        <w:spacing w:line="440" w:lineRule="exact"/>
        <w:ind w:firstLine="482"/>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numPr>
          <w:ilvl w:val="0"/>
          <w:numId w:val="4"/>
        </w:numPr>
        <w:spacing w:line="440" w:lineRule="exact"/>
        <w:rPr>
          <w:rFonts w:hAnsi="宋体"/>
          <w:color w:val="000000" w:themeColor="text1"/>
          <w:sz w:val="24"/>
          <w:szCs w:val="24"/>
        </w:rPr>
      </w:pPr>
      <w:r>
        <w:rPr>
          <w:rFonts w:hint="eastAsia" w:hAnsi="宋体"/>
          <w:color w:val="000000" w:themeColor="text1"/>
          <w:sz w:val="24"/>
          <w:szCs w:val="24"/>
        </w:rPr>
        <w:t>提供虚假材料谋取中标、成交的；</w:t>
      </w:r>
    </w:p>
    <w:p>
      <w:pPr>
        <w:pStyle w:val="9"/>
        <w:numPr>
          <w:ilvl w:val="0"/>
          <w:numId w:val="4"/>
        </w:numPr>
        <w:spacing w:line="440" w:lineRule="exact"/>
        <w:rPr>
          <w:rFonts w:hAnsi="宋体"/>
          <w:color w:val="000000" w:themeColor="text1"/>
          <w:sz w:val="24"/>
          <w:szCs w:val="24"/>
        </w:rPr>
      </w:pPr>
      <w:r>
        <w:rPr>
          <w:rFonts w:hint="eastAsia" w:hAnsi="宋体"/>
          <w:color w:val="000000" w:themeColor="text1"/>
          <w:sz w:val="24"/>
          <w:szCs w:val="24"/>
        </w:rPr>
        <w:t>采取不正当手段诋毁、排挤其他供应商的；</w:t>
      </w:r>
    </w:p>
    <w:p>
      <w:pPr>
        <w:pStyle w:val="9"/>
        <w:numPr>
          <w:ilvl w:val="0"/>
          <w:numId w:val="4"/>
        </w:numPr>
        <w:spacing w:line="440" w:lineRule="exact"/>
        <w:rPr>
          <w:rFonts w:hAnsi="宋体"/>
          <w:color w:val="000000" w:themeColor="text1"/>
          <w:sz w:val="24"/>
          <w:szCs w:val="24"/>
        </w:rPr>
      </w:pPr>
      <w:r>
        <w:rPr>
          <w:rFonts w:hint="eastAsia" w:hAnsi="宋体"/>
          <w:color w:val="000000" w:themeColor="text1"/>
          <w:sz w:val="24"/>
          <w:szCs w:val="24"/>
        </w:rPr>
        <w:t>与采购人、其他供应商或者采购代理机构恶意串通的；</w:t>
      </w:r>
    </w:p>
    <w:p>
      <w:pPr>
        <w:pStyle w:val="9"/>
        <w:numPr>
          <w:ilvl w:val="0"/>
          <w:numId w:val="4"/>
        </w:numPr>
        <w:spacing w:line="440" w:lineRule="exact"/>
        <w:rPr>
          <w:rFonts w:hAnsi="宋体"/>
          <w:color w:val="000000" w:themeColor="text1"/>
          <w:sz w:val="24"/>
          <w:szCs w:val="24"/>
        </w:rPr>
      </w:pPr>
      <w:r>
        <w:rPr>
          <w:rFonts w:hint="eastAsia" w:hAnsi="宋体"/>
          <w:color w:val="000000" w:themeColor="text1"/>
          <w:sz w:val="24"/>
          <w:szCs w:val="24"/>
        </w:rPr>
        <w:t>向采购人、采购代理机构行贿或者提供其他不正当利益的；</w:t>
      </w:r>
    </w:p>
    <w:p>
      <w:pPr>
        <w:pStyle w:val="9"/>
        <w:numPr>
          <w:ilvl w:val="0"/>
          <w:numId w:val="4"/>
        </w:numPr>
        <w:spacing w:line="440" w:lineRule="exact"/>
        <w:rPr>
          <w:rFonts w:hAnsi="宋体"/>
          <w:color w:val="000000" w:themeColor="text1"/>
          <w:sz w:val="24"/>
          <w:szCs w:val="24"/>
        </w:rPr>
      </w:pPr>
      <w:r>
        <w:rPr>
          <w:rFonts w:hint="eastAsia" w:hAnsi="宋体"/>
          <w:color w:val="000000" w:themeColor="text1"/>
          <w:sz w:val="24"/>
          <w:szCs w:val="24"/>
        </w:rPr>
        <w:t>在采购过程中与采购人进行协商谈判的；</w:t>
      </w:r>
    </w:p>
    <w:p>
      <w:pPr>
        <w:pStyle w:val="9"/>
        <w:numPr>
          <w:ilvl w:val="0"/>
          <w:numId w:val="4"/>
        </w:numPr>
        <w:spacing w:line="440" w:lineRule="exact"/>
        <w:rPr>
          <w:rFonts w:hAnsi="宋体"/>
          <w:color w:val="000000" w:themeColor="text1"/>
          <w:sz w:val="24"/>
          <w:szCs w:val="24"/>
        </w:rPr>
      </w:pPr>
      <w:r>
        <w:rPr>
          <w:rFonts w:hint="eastAsia" w:hAnsi="宋体"/>
          <w:color w:val="000000" w:themeColor="text1"/>
          <w:sz w:val="24"/>
          <w:szCs w:val="24"/>
        </w:rPr>
        <w:t>拒绝有关部门监督检查或提供虚假情况的。</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地址：</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电话：</w:t>
      </w:r>
      <w:r>
        <w:rPr>
          <w:rFonts w:hAnsi="宋体"/>
          <w:color w:val="000000" w:themeColor="text1"/>
          <w:sz w:val="24"/>
          <w:szCs w:val="24"/>
          <w:u w:val="single"/>
        </w:rPr>
        <w:t xml:space="preserve">                                      </w:t>
      </w:r>
      <w:r>
        <w:rPr>
          <w:rFonts w:hint="eastAsia" w:hAnsi="宋体"/>
          <w:color w:val="000000" w:themeColor="text1"/>
          <w:sz w:val="24"/>
          <w:szCs w:val="24"/>
          <w:u w:val="single"/>
        </w:rPr>
        <w:t>　　　　　　　　　</w:t>
      </w:r>
    </w:p>
    <w:p>
      <w:pPr>
        <w:pStyle w:val="9"/>
        <w:spacing w:line="360" w:lineRule="auto"/>
        <w:ind w:firstLine="420"/>
        <w:rPr>
          <w:rFonts w:hAnsi="宋体"/>
          <w:color w:val="000000" w:themeColor="text1"/>
          <w:sz w:val="24"/>
          <w:szCs w:val="24"/>
        </w:rPr>
      </w:pPr>
      <w:r>
        <w:rPr>
          <w:rFonts w:hint="eastAsia" w:hAnsi="宋体"/>
          <w:color w:val="000000" w:themeColor="text1"/>
          <w:sz w:val="24"/>
          <w:szCs w:val="24"/>
        </w:rPr>
        <w:t>传真：</w:t>
      </w:r>
      <w:r>
        <w:rPr>
          <w:rFonts w:hint="eastAsia" w:hAnsi="宋体"/>
          <w:color w:val="000000" w:themeColor="text1"/>
          <w:sz w:val="24"/>
          <w:szCs w:val="24"/>
          <w:u w:val="single"/>
        </w:rPr>
        <w:t>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邮政编码：</w:t>
      </w:r>
      <w:r>
        <w:rPr>
          <w:rFonts w:hAnsi="宋体"/>
          <w:color w:val="000000" w:themeColor="text1"/>
          <w:sz w:val="24"/>
          <w:szCs w:val="24"/>
        </w:rPr>
        <w:t xml:space="preserve"> </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开户名称：</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开户银行：</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银行账号：</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p>
    <w:p>
      <w:pPr>
        <w:pStyle w:val="9"/>
        <w:spacing w:line="360" w:lineRule="auto"/>
        <w:ind w:firstLine="420"/>
        <w:jc w:val="center"/>
        <w:rPr>
          <w:rFonts w:hAnsi="宋体"/>
          <w:b/>
          <w:bCs/>
          <w:color w:val="000000" w:themeColor="text1"/>
        </w:rPr>
      </w:pPr>
      <w:r>
        <w:rPr>
          <w:rFonts w:hAnsi="宋体"/>
          <w:bCs/>
          <w:color w:val="000000" w:themeColor="text1"/>
          <w:sz w:val="24"/>
          <w:szCs w:val="24"/>
        </w:rPr>
        <w:t xml:space="preserve">                                                       </w:t>
      </w:r>
      <w:r>
        <w:rPr>
          <w:rFonts w:hint="eastAsia" w:hAnsi="宋体"/>
          <w:bCs/>
          <w:color w:val="000000" w:themeColor="text1"/>
          <w:sz w:val="24"/>
          <w:szCs w:val="24"/>
        </w:rPr>
        <w:t>年</w:t>
      </w:r>
      <w:r>
        <w:rPr>
          <w:rFonts w:hAnsi="宋体"/>
          <w:bCs/>
          <w:color w:val="000000" w:themeColor="text1"/>
          <w:sz w:val="24"/>
          <w:szCs w:val="24"/>
        </w:rPr>
        <w:t xml:space="preserve">  </w:t>
      </w:r>
      <w:r>
        <w:rPr>
          <w:rFonts w:hint="eastAsia" w:hAnsi="宋体"/>
          <w:bCs/>
          <w:color w:val="000000" w:themeColor="text1"/>
          <w:sz w:val="24"/>
          <w:szCs w:val="24"/>
        </w:rPr>
        <w:t>月</w:t>
      </w:r>
      <w:r>
        <w:rPr>
          <w:rFonts w:hAnsi="宋体"/>
          <w:bCs/>
          <w:color w:val="000000" w:themeColor="text1"/>
          <w:sz w:val="24"/>
          <w:szCs w:val="24"/>
        </w:rPr>
        <w:t xml:space="preserve">    </w:t>
      </w:r>
      <w:r>
        <w:rPr>
          <w:rFonts w:hint="eastAsia" w:hAnsi="宋体"/>
          <w:bCs/>
          <w:color w:val="000000" w:themeColor="text1"/>
          <w:sz w:val="24"/>
          <w:szCs w:val="24"/>
        </w:rPr>
        <w:t>日</w:t>
      </w:r>
    </w:p>
    <w:p>
      <w:pPr>
        <w:pStyle w:val="9"/>
        <w:outlineLvl w:val="1"/>
        <w:rPr>
          <w:rFonts w:hAnsi="宋体"/>
          <w:color w:val="000000" w:themeColor="text1"/>
          <w:u w:val="single"/>
        </w:rPr>
      </w:pPr>
      <w:r>
        <w:rPr>
          <w:rFonts w:hAnsi="宋体"/>
          <w:b/>
          <w:color w:val="000000" w:themeColor="text1"/>
        </w:rPr>
        <w:br w:type="page"/>
      </w:r>
      <w:bookmarkStart w:id="100" w:name="_Toc28496"/>
      <w:bookmarkStart w:id="101" w:name="_Toc13059"/>
      <w:bookmarkStart w:id="102" w:name="_Toc8385"/>
      <w:bookmarkStart w:id="103" w:name="_Toc13670"/>
      <w:r>
        <w:rPr>
          <w:rFonts w:hint="eastAsia" w:hAnsi="宋体"/>
          <w:b/>
          <w:color w:val="000000" w:themeColor="text1"/>
        </w:rPr>
        <w:t>格式</w:t>
      </w:r>
      <w:r>
        <w:rPr>
          <w:rFonts w:hAnsi="宋体"/>
          <w:b/>
          <w:color w:val="000000" w:themeColor="text1"/>
        </w:rPr>
        <w:t>2</w:t>
      </w:r>
      <w:r>
        <w:rPr>
          <w:rFonts w:hint="eastAsia" w:hAnsi="宋体"/>
          <w:b/>
          <w:color w:val="000000" w:themeColor="text1"/>
        </w:rPr>
        <w:t>：</w:t>
      </w:r>
      <w:bookmarkEnd w:id="100"/>
      <w:bookmarkEnd w:id="101"/>
      <w:bookmarkEnd w:id="102"/>
      <w:bookmarkEnd w:id="103"/>
    </w:p>
    <w:p>
      <w:pPr>
        <w:pStyle w:val="9"/>
        <w:jc w:val="center"/>
        <w:outlineLvl w:val="2"/>
        <w:rPr>
          <w:rFonts w:hAnsi="宋体"/>
          <w:b/>
          <w:color w:val="000000" w:themeColor="text1"/>
          <w:sz w:val="32"/>
        </w:rPr>
      </w:pPr>
      <w:r>
        <w:rPr>
          <w:rFonts w:hint="eastAsia" w:hAnsi="宋体"/>
          <w:b/>
          <w:color w:val="000000" w:themeColor="text1"/>
          <w:sz w:val="32"/>
        </w:rPr>
        <w:t>响应报价表（格式）</w:t>
      </w:r>
    </w:p>
    <w:p>
      <w:pPr>
        <w:pStyle w:val="9"/>
        <w:jc w:val="center"/>
        <w:rPr>
          <w:rFonts w:hAnsi="宋体"/>
          <w:b/>
          <w:color w:val="000000" w:themeColor="text1"/>
          <w:sz w:val="32"/>
        </w:rPr>
      </w:pPr>
    </w:p>
    <w:tbl>
      <w:tblPr>
        <w:tblStyle w:val="1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序</w:t>
            </w:r>
            <w:r>
              <w:rPr>
                <w:rFonts w:hint="eastAsia" w:hAnsi="宋体"/>
                <w:color w:val="000000" w:themeColor="text1"/>
                <w:spacing w:val="-20"/>
                <w:sz w:val="24"/>
                <w:szCs w:val="24"/>
              </w:rPr>
              <w:t>号</w:t>
            </w:r>
          </w:p>
        </w:tc>
        <w:tc>
          <w:tcPr>
            <w:tcW w:w="2100"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服务名称</w:t>
            </w:r>
          </w:p>
        </w:tc>
        <w:tc>
          <w:tcPr>
            <w:tcW w:w="2520"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服务内容</w:t>
            </w:r>
          </w:p>
        </w:tc>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数量</w:t>
            </w:r>
          </w:p>
          <w:p>
            <w:pPr>
              <w:pStyle w:val="9"/>
              <w:jc w:val="center"/>
              <w:rPr>
                <w:rFonts w:hAnsi="宋体"/>
                <w:color w:val="000000" w:themeColor="text1"/>
                <w:spacing w:val="-20"/>
                <w:sz w:val="24"/>
                <w:szCs w:val="24"/>
              </w:rPr>
            </w:pPr>
            <w:r>
              <w:rPr>
                <w:rFonts w:hint="eastAsia" w:hAnsi="宋体"/>
                <w:color w:val="000000" w:themeColor="text1"/>
                <w:spacing w:val="-20"/>
                <w:sz w:val="24"/>
                <w:szCs w:val="24"/>
              </w:rPr>
              <w:t>①</w:t>
            </w:r>
          </w:p>
        </w:tc>
        <w:tc>
          <w:tcPr>
            <w:tcW w:w="1155" w:type="dxa"/>
            <w:vAlign w:val="center"/>
          </w:tcPr>
          <w:p>
            <w:pPr>
              <w:pStyle w:val="9"/>
              <w:jc w:val="center"/>
              <w:rPr>
                <w:rFonts w:hAnsi="宋体"/>
                <w:color w:val="000000" w:themeColor="text1"/>
                <w:sz w:val="24"/>
                <w:szCs w:val="24"/>
              </w:rPr>
            </w:pPr>
            <w:r>
              <w:rPr>
                <w:rFonts w:hint="eastAsia" w:hAnsi="宋体"/>
                <w:color w:val="000000" w:themeColor="text1"/>
                <w:sz w:val="24"/>
                <w:szCs w:val="24"/>
              </w:rPr>
              <w:t>单价</w:t>
            </w:r>
            <w:r>
              <w:rPr>
                <w:rFonts w:hAnsi="宋体"/>
                <w:color w:val="000000" w:themeColor="text1"/>
                <w:sz w:val="24"/>
                <w:szCs w:val="24"/>
              </w:rPr>
              <w:t>(</w:t>
            </w:r>
            <w:r>
              <w:rPr>
                <w:rFonts w:hint="eastAsia" w:hAnsi="宋体"/>
                <w:color w:val="000000" w:themeColor="text1"/>
                <w:sz w:val="24"/>
                <w:szCs w:val="24"/>
              </w:rPr>
              <w:t>元</w:t>
            </w:r>
            <w:r>
              <w:rPr>
                <w:rFonts w:hAnsi="宋体"/>
                <w:color w:val="000000" w:themeColor="text1"/>
                <w:sz w:val="24"/>
                <w:szCs w:val="24"/>
              </w:rPr>
              <w:t>)</w:t>
            </w:r>
          </w:p>
          <w:p>
            <w:pPr>
              <w:pStyle w:val="9"/>
              <w:jc w:val="center"/>
              <w:rPr>
                <w:rFonts w:hAnsi="宋体"/>
                <w:color w:val="000000" w:themeColor="text1"/>
                <w:sz w:val="24"/>
                <w:szCs w:val="24"/>
              </w:rPr>
            </w:pPr>
            <w:r>
              <w:rPr>
                <w:rFonts w:hint="eastAsia" w:hAnsi="宋体"/>
                <w:color w:val="000000" w:themeColor="text1"/>
                <w:sz w:val="24"/>
                <w:szCs w:val="24"/>
              </w:rPr>
              <w:t>②</w:t>
            </w:r>
          </w:p>
        </w:tc>
        <w:tc>
          <w:tcPr>
            <w:tcW w:w="1575" w:type="dxa"/>
            <w:vAlign w:val="center"/>
          </w:tcPr>
          <w:p>
            <w:pPr>
              <w:pStyle w:val="9"/>
              <w:jc w:val="center"/>
              <w:rPr>
                <w:rFonts w:hAnsi="宋体"/>
                <w:color w:val="000000" w:themeColor="text1"/>
                <w:sz w:val="24"/>
                <w:szCs w:val="24"/>
              </w:rPr>
            </w:pPr>
            <w:r>
              <w:rPr>
                <w:rFonts w:hint="eastAsia" w:hAnsi="宋体"/>
                <w:color w:val="000000" w:themeColor="text1"/>
                <w:sz w:val="24"/>
                <w:szCs w:val="24"/>
              </w:rPr>
              <w:t>单项合价（元）</w:t>
            </w:r>
          </w:p>
          <w:p>
            <w:pPr>
              <w:pStyle w:val="9"/>
              <w:jc w:val="center"/>
              <w:rPr>
                <w:rFonts w:hAnsi="宋体"/>
                <w:color w:val="000000" w:themeColor="text1"/>
                <w:sz w:val="24"/>
                <w:szCs w:val="24"/>
              </w:rPr>
            </w:pPr>
            <w:r>
              <w:rPr>
                <w:rFonts w:hint="eastAsia" w:hAnsi="宋体"/>
                <w:color w:val="000000" w:themeColor="text1"/>
                <w:sz w:val="24"/>
                <w:szCs w:val="24"/>
              </w:rPr>
              <w:t>③＝①×②</w:t>
            </w:r>
          </w:p>
        </w:tc>
        <w:tc>
          <w:tcPr>
            <w:tcW w:w="1005" w:type="dxa"/>
            <w:vAlign w:val="center"/>
          </w:tcPr>
          <w:p>
            <w:pPr>
              <w:pStyle w:val="9"/>
              <w:jc w:val="center"/>
              <w:rPr>
                <w:rFonts w:hAnsi="宋体"/>
                <w:color w:val="000000" w:themeColor="text1"/>
                <w:sz w:val="24"/>
                <w:szCs w:val="24"/>
              </w:rPr>
            </w:pPr>
            <w:r>
              <w:rPr>
                <w:rFonts w:hint="eastAsia" w:hAnsi="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color w:val="000000" w:themeColor="text1"/>
                <w:sz w:val="24"/>
              </w:rPr>
            </w:pPr>
            <w:r>
              <w:rPr>
                <w:rFonts w:ascii="宋体" w:hAnsi="宋体"/>
                <w:color w:val="000000" w:themeColor="text1"/>
                <w:sz w:val="24"/>
              </w:rPr>
              <w:t>1</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color w:val="000000" w:themeColor="text1"/>
                <w:sz w:val="24"/>
              </w:rPr>
            </w:pPr>
            <w:r>
              <w:rPr>
                <w:rFonts w:ascii="宋体" w:hAnsi="宋体"/>
                <w:color w:val="000000" w:themeColor="text1"/>
                <w:sz w:val="24"/>
              </w:rPr>
              <w:t>2</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color w:val="000000" w:themeColor="text1"/>
                <w:sz w:val="24"/>
              </w:rPr>
            </w:pPr>
            <w:r>
              <w:rPr>
                <w:rFonts w:hint="eastAsia" w:ascii="宋体" w:hAnsi="宋体"/>
                <w:color w:val="000000" w:themeColor="text1"/>
                <w:sz w:val="24"/>
              </w:rPr>
              <w:t>…</w:t>
            </w:r>
          </w:p>
        </w:tc>
        <w:tc>
          <w:tcPr>
            <w:tcW w:w="2100" w:type="dxa"/>
            <w:vAlign w:val="center"/>
          </w:tcPr>
          <w:p>
            <w:pPr>
              <w:jc w:val="center"/>
              <w:rPr>
                <w:rFonts w:ascii="宋体"/>
                <w:color w:val="000000" w:themeColor="text1"/>
                <w:sz w:val="24"/>
              </w:rPr>
            </w:pPr>
          </w:p>
        </w:tc>
        <w:tc>
          <w:tcPr>
            <w:tcW w:w="2520" w:type="dxa"/>
            <w:vAlign w:val="center"/>
          </w:tcPr>
          <w:p>
            <w:pPr>
              <w:pStyle w:val="9"/>
              <w:rPr>
                <w:rFonts w:hAnsi="宋体"/>
                <w:color w:val="000000" w:themeColor="text1"/>
                <w:sz w:val="24"/>
                <w:szCs w:val="24"/>
              </w:rPr>
            </w:pPr>
          </w:p>
        </w:tc>
        <w:tc>
          <w:tcPr>
            <w:tcW w:w="735" w:type="dxa"/>
            <w:vAlign w:val="center"/>
          </w:tcPr>
          <w:p>
            <w:pPr>
              <w:pStyle w:val="9"/>
              <w:rPr>
                <w:rFonts w:hAnsi="宋体"/>
                <w:color w:val="000000" w:themeColor="text1"/>
                <w:sz w:val="24"/>
                <w:szCs w:val="24"/>
              </w:rPr>
            </w:pPr>
          </w:p>
        </w:tc>
        <w:tc>
          <w:tcPr>
            <w:tcW w:w="1155" w:type="dxa"/>
            <w:vAlign w:val="center"/>
          </w:tcPr>
          <w:p>
            <w:pPr>
              <w:pStyle w:val="9"/>
              <w:rPr>
                <w:rFonts w:hAnsi="宋体"/>
                <w:color w:val="000000" w:themeColor="text1"/>
                <w:sz w:val="24"/>
                <w:szCs w:val="24"/>
              </w:rPr>
            </w:pPr>
          </w:p>
        </w:tc>
        <w:tc>
          <w:tcPr>
            <w:tcW w:w="1575" w:type="dxa"/>
            <w:vAlign w:val="center"/>
          </w:tcPr>
          <w:p>
            <w:pPr>
              <w:pStyle w:val="9"/>
              <w:rPr>
                <w:rFonts w:hAnsi="宋体"/>
                <w:color w:val="000000" w:themeColor="text1"/>
                <w:sz w:val="24"/>
                <w:szCs w:val="24"/>
              </w:rPr>
            </w:pPr>
          </w:p>
        </w:tc>
        <w:tc>
          <w:tcPr>
            <w:tcW w:w="1005" w:type="dxa"/>
            <w:vAlign w:val="center"/>
          </w:tcPr>
          <w:p>
            <w:pPr>
              <w:pStyle w:val="9"/>
              <w:rPr>
                <w:rFonts w:hAnsi="宋体"/>
                <w:color w:val="000000" w:themeColor="text1"/>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rPr>
                <w:rFonts w:asciiTheme="minorEastAsia" w:hAnsiTheme="minorEastAsia"/>
                <w:color w:val="000000" w:themeColor="text1"/>
                <w:spacing w:val="-6"/>
                <w:sz w:val="24"/>
                <w:szCs w:val="24"/>
              </w:rPr>
            </w:pPr>
            <w:r>
              <w:rPr>
                <w:rFonts w:hAnsi="宋体"/>
                <w:color w:val="000000" w:themeColor="text1"/>
                <w:sz w:val="24"/>
              </w:rPr>
              <w:t>报价合计（包含税费等所有费用）：（大写）人民币</w:t>
            </w:r>
            <w:r>
              <w:rPr>
                <w:rFonts w:hAnsi="宋体"/>
                <w:color w:val="000000" w:themeColor="text1"/>
                <w:sz w:val="24"/>
                <w:u w:val="single"/>
              </w:rPr>
              <w:t xml:space="preserve">   </w:t>
            </w:r>
            <w:r>
              <w:rPr>
                <w:rFonts w:hint="eastAsia" w:hAnsi="宋体"/>
                <w:color w:val="000000" w:themeColor="text1"/>
                <w:sz w:val="24"/>
                <w:u w:val="single"/>
              </w:rPr>
              <w:t xml:space="preserve">   </w:t>
            </w:r>
            <w:r>
              <w:rPr>
                <w:rFonts w:hAnsi="宋体"/>
                <w:color w:val="000000" w:themeColor="text1"/>
                <w:sz w:val="24"/>
              </w:rPr>
              <w:t>（￥</w:t>
            </w:r>
            <w:r>
              <w:rPr>
                <w:rFonts w:hAnsi="宋体"/>
                <w:color w:val="000000" w:themeColor="text1"/>
                <w:sz w:val="24"/>
                <w:u w:val="single"/>
              </w:rPr>
              <w:t xml:space="preserve">      </w:t>
            </w:r>
            <w:r>
              <w:rPr>
                <w:rFonts w:hAnsi="宋体"/>
                <w:color w:val="000000" w:themeColor="text1"/>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spacing w:line="600" w:lineRule="exact"/>
              <w:rPr>
                <w:rFonts w:hAnsi="宋体"/>
                <w:color w:val="000000" w:themeColor="text1"/>
                <w:sz w:val="24"/>
              </w:rPr>
            </w:pPr>
            <w:r>
              <w:rPr>
                <w:rFonts w:hint="eastAsia" w:hAnsi="宋体"/>
                <w:color w:val="000000" w:themeColor="text1"/>
                <w:sz w:val="24"/>
                <w:szCs w:val="24"/>
              </w:rPr>
              <w:t>磋商供应商（盖单位公章）</w:t>
            </w:r>
            <w:r>
              <w:rPr>
                <w:rFonts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9"/>
              <w:rPr>
                <w:rFonts w:hAnsi="宋体"/>
                <w:color w:val="000000" w:themeColor="text1"/>
                <w:sz w:val="24"/>
              </w:rPr>
            </w:pPr>
            <w:r>
              <w:rPr>
                <w:rFonts w:hAnsi="宋体"/>
                <w:color w:val="000000" w:themeColor="text1"/>
                <w:sz w:val="24"/>
              </w:rPr>
              <w:t>法定代表人或其委托代理人（签字或盖章）：</w:t>
            </w:r>
          </w:p>
        </w:tc>
      </w:tr>
    </w:tbl>
    <w:p>
      <w:pPr>
        <w:pStyle w:val="9"/>
        <w:rPr>
          <w:rFonts w:hAnsi="宋体"/>
          <w:color w:val="000000" w:themeColor="text1"/>
          <w:sz w:val="24"/>
          <w:szCs w:val="24"/>
        </w:rPr>
      </w:pPr>
      <w:r>
        <w:rPr>
          <w:rFonts w:hAnsi="宋体"/>
          <w:color w:val="000000" w:themeColor="text1"/>
          <w:sz w:val="24"/>
          <w:szCs w:val="24"/>
        </w:rPr>
        <w:t>注：表格内容均需按要求填写并盖章，不得留空，否则按投标无效处理。</w:t>
      </w:r>
    </w:p>
    <w:p>
      <w:pPr>
        <w:pStyle w:val="9"/>
        <w:rPr>
          <w:rFonts w:hAnsi="宋体"/>
          <w:color w:val="000000" w:themeColor="text1"/>
          <w:sz w:val="24"/>
          <w:szCs w:val="24"/>
        </w:rPr>
      </w:pPr>
    </w:p>
    <w:p>
      <w:pPr>
        <w:pStyle w:val="9"/>
        <w:rPr>
          <w:rFonts w:hAnsi="宋体"/>
          <w:color w:val="000000" w:themeColor="text1"/>
          <w:sz w:val="24"/>
          <w:szCs w:val="24"/>
        </w:rPr>
      </w:pPr>
      <w:r>
        <w:rPr>
          <w:rFonts w:hAnsi="宋体"/>
          <w:color w:val="000000" w:themeColor="text1"/>
          <w:sz w:val="24"/>
          <w:szCs w:val="24"/>
        </w:rPr>
        <w:t>......</w:t>
      </w: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500" w:lineRule="exact"/>
        <w:outlineLvl w:val="1"/>
        <w:rPr>
          <w:rFonts w:hAnsi="宋体"/>
          <w:b/>
          <w:color w:val="000000" w:themeColor="text1"/>
        </w:rPr>
      </w:pPr>
      <w:r>
        <w:rPr>
          <w:rFonts w:hAnsi="宋体"/>
          <w:b/>
          <w:color w:val="000000" w:themeColor="text1"/>
          <w:sz w:val="24"/>
          <w:szCs w:val="24"/>
        </w:rPr>
        <w:br w:type="page"/>
      </w:r>
      <w:bookmarkStart w:id="104" w:name="_Toc20421"/>
      <w:bookmarkStart w:id="105" w:name="_Toc18003"/>
      <w:bookmarkStart w:id="106" w:name="_Toc5908"/>
      <w:bookmarkStart w:id="107" w:name="_Toc3180"/>
      <w:r>
        <w:rPr>
          <w:rFonts w:hint="eastAsia" w:hAnsi="宋体"/>
          <w:b/>
          <w:color w:val="000000" w:themeColor="text1"/>
        </w:rPr>
        <w:t>格式</w:t>
      </w:r>
      <w:r>
        <w:rPr>
          <w:rFonts w:hAnsi="宋体"/>
          <w:b/>
          <w:color w:val="000000" w:themeColor="text1"/>
        </w:rPr>
        <w:t>3</w:t>
      </w:r>
      <w:r>
        <w:rPr>
          <w:rFonts w:hint="eastAsia" w:hAnsi="宋体"/>
          <w:b/>
          <w:color w:val="000000" w:themeColor="text1"/>
        </w:rPr>
        <w:t>：</w:t>
      </w:r>
      <w:bookmarkEnd w:id="104"/>
      <w:bookmarkEnd w:id="105"/>
      <w:bookmarkEnd w:id="106"/>
      <w:bookmarkEnd w:id="107"/>
      <w:r>
        <w:rPr>
          <w:rFonts w:hAnsi="宋体"/>
          <w:b/>
          <w:color w:val="000000" w:themeColor="text1"/>
        </w:rPr>
        <w:t xml:space="preserve"> </w:t>
      </w:r>
    </w:p>
    <w:p>
      <w:pPr>
        <w:pStyle w:val="9"/>
        <w:jc w:val="center"/>
        <w:outlineLvl w:val="2"/>
        <w:rPr>
          <w:rFonts w:hAnsi="宋体"/>
          <w:b/>
          <w:color w:val="000000" w:themeColor="text1"/>
          <w:sz w:val="30"/>
          <w:szCs w:val="30"/>
        </w:rPr>
      </w:pPr>
      <w:r>
        <w:rPr>
          <w:rFonts w:hint="eastAsia" w:hAnsi="宋体"/>
          <w:b/>
          <w:color w:val="000000" w:themeColor="text1"/>
          <w:sz w:val="30"/>
          <w:szCs w:val="30"/>
        </w:rPr>
        <w:t>中小企业声明函（格式）</w:t>
      </w:r>
    </w:p>
    <w:p>
      <w:pPr>
        <w:pStyle w:val="8"/>
        <w:spacing w:line="240" w:lineRule="auto"/>
        <w:ind w:firstLine="0"/>
        <w:rPr>
          <w:rFonts w:hAnsi="宋体"/>
          <w:color w:val="000000" w:themeColor="text1"/>
          <w:sz w:val="24"/>
          <w:szCs w:val="24"/>
        </w:rPr>
      </w:pPr>
      <w:r>
        <w:rPr>
          <w:rFonts w:hint="eastAsia" w:hAnsi="宋体"/>
          <w:color w:val="000000" w:themeColor="text1"/>
          <w:sz w:val="24"/>
          <w:szCs w:val="24"/>
        </w:rPr>
        <w:t>说明：</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、本声明函主要供参加政府采购活动的中小企业填写，非中小企业无需填写。</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、小型、微型企业提供中型企业制造的货物的，视同为中型企业。</w:t>
      </w:r>
    </w:p>
    <w:p>
      <w:pPr>
        <w:pStyle w:val="8"/>
        <w:spacing w:line="240" w:lineRule="auto"/>
        <w:ind w:firstLine="464"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、磋商供应商按《财政部、司法部关于政府采购支持监狱企业发展有关问题的通知》（财库〔</w:t>
      </w:r>
      <w:r>
        <w:rPr>
          <w:rFonts w:hAnsi="宋体"/>
          <w:color w:val="000000" w:themeColor="text1"/>
          <w:sz w:val="24"/>
          <w:szCs w:val="24"/>
        </w:rPr>
        <w:t>2014</w:t>
      </w:r>
      <w:r>
        <w:rPr>
          <w:rFonts w:hint="eastAsia" w:hAnsi="宋体"/>
          <w:color w:val="000000" w:themeColor="text1"/>
          <w:sz w:val="24"/>
          <w:szCs w:val="24"/>
        </w:rPr>
        <w:t>〕</w:t>
      </w:r>
      <w:r>
        <w:rPr>
          <w:rFonts w:hAnsi="宋体"/>
          <w:color w:val="000000" w:themeColor="text1"/>
          <w:sz w:val="24"/>
          <w:szCs w:val="24"/>
        </w:rPr>
        <w:t>68</w:t>
      </w:r>
      <w:r>
        <w:rPr>
          <w:rFonts w:hint="eastAsia" w:hAnsi="宋体"/>
          <w:color w:val="000000" w:themeColor="text1"/>
          <w:sz w:val="24"/>
          <w:szCs w:val="24"/>
        </w:rPr>
        <w:t>号）认定为监狱企业，且提供由省级以上监狱管理局、戒毒管理局（含新疆生产建设兵团）出具的属于监狱企业的证明文件的，视同小型、微型企业。</w:t>
      </w:r>
    </w:p>
    <w:p>
      <w:pPr>
        <w:pStyle w:val="8"/>
        <w:spacing w:line="360" w:lineRule="auto"/>
        <w:ind w:firstLine="464"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本公司郑重声明，根据《政府采购促进中小企业发展暂行办法》（财库〔</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181</w:t>
      </w:r>
      <w:r>
        <w:rPr>
          <w:rFonts w:hint="eastAsia" w:hAnsi="宋体"/>
          <w:color w:val="000000" w:themeColor="text1"/>
          <w:sz w:val="24"/>
          <w:szCs w:val="24"/>
        </w:rPr>
        <w:t>号）的规定，本公司为</w:t>
      </w:r>
      <w:r>
        <w:rPr>
          <w:rFonts w:hAnsi="宋体"/>
          <w:color w:val="000000" w:themeColor="text1"/>
          <w:sz w:val="24"/>
          <w:szCs w:val="24"/>
        </w:rPr>
        <w:t>______</w:t>
      </w:r>
      <w:r>
        <w:rPr>
          <w:rFonts w:hint="eastAsia" w:hAnsi="宋体"/>
          <w:color w:val="000000" w:themeColor="text1"/>
          <w:sz w:val="24"/>
          <w:szCs w:val="24"/>
        </w:rPr>
        <w:t>（请填写：中型、小型、微型）企业。即，本公司同时满足以下条件：</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．根据《工业和信息化部、国家统计局、国家发展和改革委员会、财政部关于印发中小企业划型标准规定的通知》（工信部联企业〔</w:t>
      </w:r>
      <w:r>
        <w:rPr>
          <w:rFonts w:hAnsi="宋体"/>
          <w:color w:val="000000" w:themeColor="text1"/>
          <w:sz w:val="24"/>
          <w:szCs w:val="24"/>
        </w:rPr>
        <w:t>2011</w:t>
      </w:r>
      <w:r>
        <w:rPr>
          <w:rFonts w:hint="eastAsia" w:hAnsi="宋体"/>
          <w:color w:val="000000" w:themeColor="text1"/>
          <w:sz w:val="24"/>
          <w:szCs w:val="24"/>
        </w:rPr>
        <w:t>〕</w:t>
      </w:r>
      <w:r>
        <w:rPr>
          <w:rFonts w:hAnsi="宋体"/>
          <w:color w:val="000000" w:themeColor="text1"/>
          <w:sz w:val="24"/>
          <w:szCs w:val="24"/>
        </w:rPr>
        <w:t>300</w:t>
      </w:r>
      <w:r>
        <w:rPr>
          <w:rFonts w:hint="eastAsia" w:hAnsi="宋体"/>
          <w:color w:val="000000" w:themeColor="text1"/>
          <w:sz w:val="24"/>
          <w:szCs w:val="24"/>
        </w:rPr>
        <w:t>号）规定的划分标准，本公司为</w:t>
      </w:r>
      <w:r>
        <w:rPr>
          <w:rFonts w:hAnsi="宋体"/>
          <w:color w:val="000000" w:themeColor="text1"/>
          <w:sz w:val="24"/>
          <w:szCs w:val="24"/>
        </w:rPr>
        <w:t>______</w:t>
      </w:r>
      <w:r>
        <w:rPr>
          <w:rFonts w:hint="eastAsia" w:hAnsi="宋体"/>
          <w:color w:val="000000" w:themeColor="text1"/>
          <w:sz w:val="24"/>
          <w:szCs w:val="24"/>
        </w:rPr>
        <w:t>（请填写：中型、小型、微型）企业。</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．本公司参加</w:t>
      </w:r>
      <w:r>
        <w:rPr>
          <w:rFonts w:hAnsi="宋体"/>
          <w:color w:val="000000" w:themeColor="text1"/>
          <w:sz w:val="24"/>
          <w:szCs w:val="24"/>
        </w:rPr>
        <w:t>______</w:t>
      </w:r>
      <w:r>
        <w:rPr>
          <w:rFonts w:hint="eastAsia" w:hAnsi="宋体"/>
          <w:color w:val="000000" w:themeColor="text1"/>
          <w:sz w:val="24"/>
          <w:szCs w:val="24"/>
        </w:rPr>
        <w:t>单位的</w:t>
      </w:r>
      <w:r>
        <w:rPr>
          <w:rFonts w:hAnsi="宋体"/>
          <w:color w:val="000000" w:themeColor="text1"/>
          <w:sz w:val="24"/>
          <w:szCs w:val="24"/>
        </w:rPr>
        <w:t>______</w:t>
      </w:r>
      <w:r>
        <w:rPr>
          <w:rFonts w:hint="eastAsia" w:hAnsi="宋体"/>
          <w:color w:val="000000" w:themeColor="text1"/>
          <w:sz w:val="24"/>
          <w:szCs w:val="24"/>
        </w:rPr>
        <w:t>项目采购活动提供本企业制造的货物，由本企业承担工程、提供服务，或者提供其他</w:t>
      </w:r>
      <w:r>
        <w:rPr>
          <w:rFonts w:hAnsi="宋体"/>
          <w:color w:val="000000" w:themeColor="text1"/>
          <w:sz w:val="24"/>
          <w:szCs w:val="24"/>
        </w:rPr>
        <w:t>______</w:t>
      </w:r>
      <w:r>
        <w:rPr>
          <w:rFonts w:hint="eastAsia" w:hAnsi="宋体"/>
          <w:color w:val="000000" w:themeColor="text1"/>
          <w:sz w:val="24"/>
          <w:szCs w:val="24"/>
        </w:rPr>
        <w:t>（请填写：中型、小型、微型）企业制造的货物。本条所称货物不包括使用大型企业注册商标的货物。</w:t>
      </w: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本公司对上述声明的真实性负责。如有虚假，将依法承担相应责任。</w:t>
      </w:r>
    </w:p>
    <w:p>
      <w:pPr>
        <w:pStyle w:val="9"/>
        <w:spacing w:line="360" w:lineRule="auto"/>
        <w:ind w:firstLine="480"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p>
    <w:p>
      <w:pPr>
        <w:pStyle w:val="9"/>
        <w:spacing w:line="360" w:lineRule="auto"/>
        <w:ind w:firstLine="480" w:firstLineChars="200"/>
        <w:rPr>
          <w:rFonts w:hAnsi="宋体"/>
          <w:color w:val="000000" w:themeColor="text1"/>
          <w:sz w:val="24"/>
          <w:szCs w:val="24"/>
        </w:rPr>
      </w:pPr>
    </w:p>
    <w:p>
      <w:pPr>
        <w:pStyle w:val="9"/>
        <w:spacing w:line="600" w:lineRule="exact"/>
        <w:ind w:firstLine="120" w:firstLineChars="50"/>
        <w:rPr>
          <w:rFonts w:hAnsi="宋体"/>
          <w:color w:val="000000" w:themeColor="text1"/>
          <w:sz w:val="24"/>
          <w:szCs w:val="24"/>
          <w:u w:val="single"/>
        </w:rPr>
      </w:pPr>
      <w:r>
        <w:rPr>
          <w:rFonts w:hint="eastAsia" w:hAnsi="宋体"/>
          <w:color w:val="000000" w:themeColor="text1"/>
          <w:sz w:val="24"/>
          <w:szCs w:val="24"/>
        </w:rPr>
        <w:t>磋商供应商（盖单位公章）：</w:t>
      </w:r>
    </w:p>
    <w:p>
      <w:pPr>
        <w:pStyle w:val="9"/>
        <w:spacing w:line="500" w:lineRule="exact"/>
        <w:rPr>
          <w:rFonts w:hAnsi="宋体"/>
          <w:color w:val="000000" w:themeColor="text1"/>
          <w:sz w:val="24"/>
          <w:szCs w:val="24"/>
        </w:rPr>
      </w:pPr>
    </w:p>
    <w:p>
      <w:pPr>
        <w:pStyle w:val="9"/>
        <w:spacing w:line="500" w:lineRule="exact"/>
        <w:ind w:firstLine="120" w:firstLineChars="50"/>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9"/>
        <w:spacing w:line="500" w:lineRule="exact"/>
        <w:rPr>
          <w:rFonts w:hAnsi="宋体"/>
          <w:b/>
          <w:color w:val="000000" w:themeColor="text1"/>
          <w:sz w:val="24"/>
          <w:szCs w:val="24"/>
        </w:rPr>
      </w:pPr>
      <w:r>
        <w:rPr>
          <w:rFonts w:hAnsi="宋体"/>
          <w:b/>
          <w:color w:val="000000" w:themeColor="text1"/>
          <w:sz w:val="24"/>
          <w:szCs w:val="24"/>
        </w:rPr>
        <w:br w:type="page"/>
      </w:r>
    </w:p>
    <w:p>
      <w:pPr>
        <w:spacing w:line="588" w:lineRule="exact"/>
        <w:jc w:val="left"/>
        <w:outlineLvl w:val="1"/>
        <w:rPr>
          <w:rFonts w:hAnsi="宋体"/>
          <w:color w:val="000000" w:themeColor="text1"/>
          <w:sz w:val="24"/>
        </w:rPr>
      </w:pPr>
      <w:bookmarkStart w:id="108" w:name="_Toc23384"/>
      <w:bookmarkStart w:id="109" w:name="_Toc20803"/>
      <w:bookmarkStart w:id="110" w:name="_Toc28677"/>
      <w:bookmarkStart w:id="111" w:name="_Toc7892"/>
      <w:r>
        <w:rPr>
          <w:rFonts w:hint="eastAsia" w:ascii="宋体" w:hAnsi="宋体"/>
          <w:b/>
          <w:color w:val="000000" w:themeColor="text1"/>
          <w:szCs w:val="20"/>
        </w:rPr>
        <w:t>格式</w:t>
      </w:r>
      <w:r>
        <w:rPr>
          <w:rFonts w:ascii="宋体" w:hAnsi="宋体"/>
          <w:b/>
          <w:color w:val="000000" w:themeColor="text1"/>
          <w:szCs w:val="20"/>
        </w:rPr>
        <w:t>4</w:t>
      </w:r>
      <w:r>
        <w:rPr>
          <w:rFonts w:hint="eastAsia" w:ascii="宋体" w:hAnsi="宋体"/>
          <w:b/>
          <w:color w:val="000000" w:themeColor="text1"/>
          <w:szCs w:val="20"/>
        </w:rPr>
        <w:t>：</w:t>
      </w:r>
      <w:bookmarkEnd w:id="108"/>
      <w:bookmarkEnd w:id="109"/>
      <w:bookmarkEnd w:id="110"/>
      <w:bookmarkEnd w:id="111"/>
    </w:p>
    <w:p>
      <w:pPr>
        <w:spacing w:line="588" w:lineRule="exact"/>
        <w:jc w:val="center"/>
        <w:outlineLvl w:val="2"/>
        <w:rPr>
          <w:rFonts w:ascii="宋体"/>
          <w:b/>
          <w:color w:val="000000" w:themeColor="text1"/>
          <w:spacing w:val="6"/>
          <w:sz w:val="32"/>
          <w:szCs w:val="32"/>
        </w:rPr>
      </w:pPr>
      <w:r>
        <w:rPr>
          <w:rFonts w:hint="eastAsia" w:ascii="宋体" w:hAnsi="宋体"/>
          <w:b/>
          <w:color w:val="000000" w:themeColor="text1"/>
          <w:spacing w:val="6"/>
          <w:sz w:val="32"/>
          <w:szCs w:val="32"/>
        </w:rPr>
        <w:t>残疾人福利性单位声明函</w:t>
      </w:r>
    </w:p>
    <w:p>
      <w:pPr>
        <w:spacing w:line="588" w:lineRule="exact"/>
        <w:rPr>
          <w:rFonts w:ascii="宋体"/>
          <w:b/>
          <w:color w:val="000000" w:themeColor="text1"/>
          <w:spacing w:val="6"/>
          <w:sz w:val="30"/>
          <w:szCs w:val="30"/>
        </w:rPr>
      </w:pPr>
    </w:p>
    <w:p>
      <w:pPr>
        <w:pStyle w:val="9"/>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本单位郑重声明，根据《财政部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民政部</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中国残疾人联合会关于促进残疾人就业政府采购政策的通知》（财库〔</w:t>
      </w:r>
      <w:r>
        <w:rPr>
          <w:rFonts w:ascii="Times New Roman" w:hAnsi="Times New Roman"/>
          <w:color w:val="000000" w:themeColor="text1"/>
          <w:sz w:val="24"/>
          <w:szCs w:val="24"/>
        </w:rPr>
        <w:t>2017</w:t>
      </w:r>
      <w:r>
        <w:rPr>
          <w:rFonts w:hint="eastAsia" w:ascii="Times New Roman" w:hAnsi="Times New Roman"/>
          <w:color w:val="000000" w:themeColor="text1"/>
          <w:sz w:val="24"/>
          <w:szCs w:val="24"/>
        </w:rPr>
        <w:t>〕</w:t>
      </w:r>
      <w:r>
        <w:rPr>
          <w:rFonts w:ascii="Times New Roman" w:hAnsi="Times New Roman"/>
          <w:color w:val="000000" w:themeColor="text1"/>
          <w:sz w:val="24"/>
          <w:szCs w:val="24"/>
        </w:rPr>
        <w:t xml:space="preserve"> 141</w:t>
      </w:r>
      <w:r>
        <w:rPr>
          <w:rFonts w:hint="eastAsia" w:ascii="Times New Roman" w:hAnsi="Times New Roman"/>
          <w:color w:val="000000" w:themeColor="text1"/>
          <w:sz w:val="24"/>
          <w:szCs w:val="24"/>
        </w:rPr>
        <w:t>号）的规定，本单位为符合条件的残疾人福利性单位，且本单位参加</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单位的</w:t>
      </w:r>
      <w:r>
        <w:rPr>
          <w:rFonts w:ascii="Times New Roman" w:hAnsi="Times New Roman"/>
          <w:color w:val="000000" w:themeColor="text1"/>
          <w:sz w:val="24"/>
          <w:szCs w:val="24"/>
        </w:rPr>
        <w:t>______</w:t>
      </w:r>
      <w:r>
        <w:rPr>
          <w:rFonts w:hint="eastAsia" w:ascii="Times New Roman" w:hAnsi="Times New Roman"/>
          <w:color w:val="000000" w:themeColor="text1"/>
          <w:sz w:val="24"/>
          <w:szCs w:val="24"/>
        </w:rPr>
        <w:t>项目采购活动提供本单位制造的货物（由本单位承担工程</w:t>
      </w:r>
      <w:r>
        <w:rPr>
          <w:rFonts w:ascii="Times New Roman" w:hAnsi="Times New Roman"/>
          <w:color w:val="000000" w:themeColor="text1"/>
          <w:sz w:val="24"/>
          <w:szCs w:val="24"/>
        </w:rPr>
        <w:t>/</w:t>
      </w:r>
      <w:r>
        <w:rPr>
          <w:rFonts w:hint="eastAsia" w:ascii="Times New Roman" w:hAnsi="Times New Roman"/>
          <w:color w:val="000000" w:themeColor="text1"/>
          <w:sz w:val="24"/>
          <w:szCs w:val="24"/>
        </w:rPr>
        <w:t>提供服务），或者提供其他残疾人福利性单位制造的货物（不包括使用非残疾人福利性单位注册商标的货物）。</w:t>
      </w:r>
    </w:p>
    <w:p>
      <w:pPr>
        <w:pStyle w:val="9"/>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本单位对上述声明的真实性负责。如有虚假，将依法承担相应责任。</w:t>
      </w:r>
    </w:p>
    <w:p>
      <w:pPr>
        <w:pStyle w:val="9"/>
        <w:spacing w:line="360" w:lineRule="auto"/>
        <w:ind w:firstLine="480" w:firstLineChars="200"/>
        <w:rPr>
          <w:rFonts w:ascii="Times New Roman" w:hAnsi="Times New Roman"/>
          <w:color w:val="000000" w:themeColor="text1"/>
          <w:sz w:val="24"/>
          <w:szCs w:val="24"/>
        </w:rPr>
      </w:pPr>
    </w:p>
    <w:p>
      <w:pPr>
        <w:pStyle w:val="9"/>
        <w:spacing w:line="360" w:lineRule="auto"/>
        <w:ind w:firstLine="480" w:firstLineChars="200"/>
        <w:rPr>
          <w:rFonts w:ascii="Times New Roman" w:hAnsi="Times New Roman"/>
          <w:color w:val="000000" w:themeColor="text1"/>
          <w:sz w:val="24"/>
          <w:szCs w:val="24"/>
        </w:rPr>
      </w:pPr>
    </w:p>
    <w:p>
      <w:pPr>
        <w:pStyle w:val="9"/>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单位名称（盖章）：</w:t>
      </w:r>
    </w:p>
    <w:p>
      <w:pPr>
        <w:pStyle w:val="9"/>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日</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期：</w:t>
      </w:r>
    </w:p>
    <w:p>
      <w:pPr>
        <w:pStyle w:val="9"/>
        <w:spacing w:line="500" w:lineRule="exact"/>
        <w:outlineLvl w:val="1"/>
        <w:rPr>
          <w:rFonts w:hAnsi="宋体"/>
          <w:b/>
          <w:color w:val="000000" w:themeColor="text1"/>
        </w:rPr>
      </w:pPr>
      <w:r>
        <w:rPr>
          <w:rFonts w:hAnsi="宋体"/>
          <w:b/>
          <w:color w:val="000000" w:themeColor="text1"/>
          <w:sz w:val="24"/>
          <w:szCs w:val="24"/>
        </w:rPr>
        <w:br w:type="page"/>
      </w:r>
      <w:bookmarkStart w:id="112" w:name="_Toc23094"/>
      <w:bookmarkStart w:id="113" w:name="_Toc6160"/>
      <w:bookmarkStart w:id="114" w:name="_Toc26786"/>
      <w:bookmarkStart w:id="115" w:name="_Toc8025"/>
      <w:r>
        <w:rPr>
          <w:rFonts w:hint="eastAsia" w:hAnsi="宋体"/>
          <w:b/>
          <w:color w:val="000000" w:themeColor="text1"/>
        </w:rPr>
        <w:t>格式</w:t>
      </w:r>
      <w:r>
        <w:rPr>
          <w:rFonts w:hAnsi="宋体"/>
          <w:b/>
          <w:color w:val="000000" w:themeColor="text1"/>
        </w:rPr>
        <w:t>5</w:t>
      </w:r>
      <w:r>
        <w:rPr>
          <w:rFonts w:hint="eastAsia" w:hAnsi="宋体"/>
          <w:b/>
          <w:color w:val="000000" w:themeColor="text1"/>
        </w:rPr>
        <w:t>：</w:t>
      </w:r>
      <w:bookmarkEnd w:id="112"/>
      <w:bookmarkEnd w:id="113"/>
      <w:bookmarkEnd w:id="114"/>
      <w:bookmarkEnd w:id="115"/>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响应服务技术资料表（格式）</w:t>
      </w:r>
    </w:p>
    <w:p>
      <w:pPr>
        <w:pStyle w:val="9"/>
        <w:ind w:firstLine="210" w:firstLineChars="100"/>
        <w:rPr>
          <w:rFonts w:hAnsi="宋体"/>
          <w:color w:val="000000" w:themeColor="text1"/>
        </w:rPr>
      </w:pPr>
    </w:p>
    <w:p>
      <w:pPr>
        <w:pStyle w:val="9"/>
        <w:spacing w:line="400" w:lineRule="exact"/>
        <w:ind w:firstLine="480" w:firstLineChars="200"/>
        <w:rPr>
          <w:rFonts w:hAnsi="宋体"/>
          <w:color w:val="000000" w:themeColor="text1"/>
          <w:sz w:val="24"/>
          <w:szCs w:val="24"/>
        </w:rPr>
      </w:pPr>
      <w:r>
        <w:rPr>
          <w:rFonts w:hAnsi="宋体"/>
          <w:color w:val="000000" w:themeColor="text1"/>
          <w:sz w:val="24"/>
          <w:szCs w:val="24"/>
        </w:rPr>
        <w:t>请根据所投服务的实际技术参数，逐条对应本项目</w:t>
      </w:r>
      <w:r>
        <w:rPr>
          <w:rFonts w:hint="eastAsia" w:hAnsi="宋体"/>
          <w:color w:val="000000" w:themeColor="text1"/>
          <w:sz w:val="24"/>
          <w:szCs w:val="24"/>
        </w:rPr>
        <w:t>竞争性磋商</w:t>
      </w:r>
      <w:r>
        <w:rPr>
          <w:rFonts w:hAnsi="宋体"/>
          <w:color w:val="000000" w:themeColor="text1"/>
          <w:sz w:val="24"/>
          <w:szCs w:val="24"/>
        </w:rPr>
        <w:t>文件第二章“服务需求一览表”中的服务内容及要求详细填写相应的具体内容。“偏离说明”一栏应当选择“正偏离”、“负偏离”或“无偏离”进行填写</w:t>
      </w:r>
      <w:r>
        <w:rPr>
          <w:rFonts w:hint="eastAsia" w:hAnsi="宋体"/>
          <w:color w:val="000000" w:themeColor="text1"/>
          <w:sz w:val="24"/>
          <w:szCs w:val="24"/>
        </w:rPr>
        <w:t>。</w:t>
      </w:r>
    </w:p>
    <w:p>
      <w:pPr>
        <w:jc w:val="left"/>
        <w:rPr>
          <w:rFonts w:ascii="宋体" w:hAnsi="宋体"/>
          <w:color w:val="000000" w:themeColor="text1"/>
          <w:sz w:val="24"/>
        </w:rPr>
      </w:pPr>
    </w:p>
    <w:tbl>
      <w:tblPr>
        <w:tblStyle w:val="1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57"/>
        <w:gridCol w:w="2125"/>
        <w:gridCol w:w="1340"/>
        <w:gridCol w:w="276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vAlign w:val="center"/>
          </w:tcPr>
          <w:p>
            <w:pPr>
              <w:jc w:val="center"/>
              <w:rPr>
                <w:rFonts w:ascii="宋体" w:hAnsi="宋体"/>
                <w:color w:val="000000" w:themeColor="text1"/>
                <w:sz w:val="24"/>
              </w:rPr>
            </w:pPr>
            <w:r>
              <w:rPr>
                <w:rFonts w:ascii="宋体" w:hAnsi="宋体"/>
                <w:color w:val="000000" w:themeColor="text1"/>
                <w:sz w:val="24"/>
              </w:rPr>
              <w:t>项</w:t>
            </w:r>
            <w:r>
              <w:rPr>
                <w:rFonts w:hint="eastAsia" w:ascii="宋体" w:hAnsi="宋体"/>
                <w:color w:val="000000" w:themeColor="text1"/>
                <w:sz w:val="24"/>
              </w:rPr>
              <w:t>号</w:t>
            </w:r>
          </w:p>
        </w:tc>
        <w:tc>
          <w:tcPr>
            <w:tcW w:w="3382" w:type="dxa"/>
            <w:gridSpan w:val="2"/>
            <w:vAlign w:val="center"/>
          </w:tcPr>
          <w:p>
            <w:pPr>
              <w:jc w:val="center"/>
              <w:rPr>
                <w:rFonts w:ascii="宋体"/>
                <w:color w:val="000000" w:themeColor="text1"/>
                <w:sz w:val="24"/>
              </w:rPr>
            </w:pPr>
            <w:r>
              <w:rPr>
                <w:rFonts w:hint="eastAsia" w:ascii="宋体" w:hAnsi="宋体"/>
                <w:color w:val="000000" w:themeColor="text1"/>
                <w:sz w:val="24"/>
              </w:rPr>
              <w:t>竞争性磋商文件需求</w:t>
            </w:r>
          </w:p>
        </w:tc>
        <w:tc>
          <w:tcPr>
            <w:tcW w:w="4105" w:type="dxa"/>
            <w:gridSpan w:val="2"/>
            <w:vAlign w:val="center"/>
          </w:tcPr>
          <w:p>
            <w:pPr>
              <w:jc w:val="center"/>
              <w:rPr>
                <w:rFonts w:ascii="宋体"/>
                <w:color w:val="000000" w:themeColor="text1"/>
                <w:sz w:val="24"/>
              </w:rPr>
            </w:pPr>
            <w:r>
              <w:rPr>
                <w:rFonts w:hint="eastAsia" w:ascii="宋体" w:hAnsi="宋体"/>
                <w:color w:val="000000" w:themeColor="text1"/>
                <w:sz w:val="24"/>
              </w:rPr>
              <w:t>响应文件承诺</w:t>
            </w:r>
          </w:p>
        </w:tc>
        <w:tc>
          <w:tcPr>
            <w:tcW w:w="1417" w:type="dxa"/>
            <w:vMerge w:val="restart"/>
            <w:vAlign w:val="center"/>
          </w:tcPr>
          <w:p>
            <w:pPr>
              <w:jc w:val="center"/>
              <w:rPr>
                <w:rFonts w:ascii="宋体"/>
                <w:color w:val="000000" w:themeColor="text1"/>
                <w:sz w:val="24"/>
              </w:rPr>
            </w:pPr>
            <w:r>
              <w:rPr>
                <w:rFonts w:hint="eastAsia" w:ascii="宋体" w:hAnsi="宋体"/>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vAlign w:val="center"/>
          </w:tcPr>
          <w:p>
            <w:pPr>
              <w:pStyle w:val="9"/>
              <w:jc w:val="center"/>
              <w:rPr>
                <w:rFonts w:hAnsi="宋体"/>
                <w:color w:val="000000" w:themeColor="text1"/>
                <w:spacing w:val="-20"/>
                <w:sz w:val="24"/>
                <w:szCs w:val="24"/>
              </w:rPr>
            </w:pPr>
          </w:p>
        </w:tc>
        <w:tc>
          <w:tcPr>
            <w:tcW w:w="1257"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125" w:type="dxa"/>
            <w:vAlign w:val="center"/>
          </w:tcPr>
          <w:p>
            <w:pPr>
              <w:jc w:val="center"/>
              <w:rPr>
                <w:rFonts w:ascii="宋体"/>
                <w:color w:val="000000" w:themeColor="text1"/>
                <w:sz w:val="24"/>
              </w:rPr>
            </w:pPr>
            <w:r>
              <w:rPr>
                <w:rFonts w:hint="eastAsia" w:ascii="宋体" w:hAnsi="宋体"/>
                <w:color w:val="000000" w:themeColor="text1"/>
                <w:sz w:val="24"/>
              </w:rPr>
              <w:t>服务内容及要求</w:t>
            </w:r>
          </w:p>
        </w:tc>
        <w:tc>
          <w:tcPr>
            <w:tcW w:w="1340" w:type="dxa"/>
            <w:vAlign w:val="center"/>
          </w:tcPr>
          <w:p>
            <w:pPr>
              <w:jc w:val="center"/>
              <w:rPr>
                <w:rFonts w:ascii="宋体"/>
                <w:color w:val="000000" w:themeColor="text1"/>
                <w:sz w:val="24"/>
              </w:rPr>
            </w:pPr>
            <w:r>
              <w:rPr>
                <w:rFonts w:hint="eastAsia" w:ascii="宋体" w:hAnsi="宋体"/>
                <w:color w:val="000000" w:themeColor="text1"/>
                <w:sz w:val="24"/>
              </w:rPr>
              <w:t>服务名称</w:t>
            </w:r>
          </w:p>
        </w:tc>
        <w:tc>
          <w:tcPr>
            <w:tcW w:w="2765" w:type="dxa"/>
            <w:vAlign w:val="center"/>
          </w:tcPr>
          <w:p>
            <w:pPr>
              <w:jc w:val="center"/>
              <w:rPr>
                <w:rFonts w:ascii="宋体"/>
                <w:color w:val="000000" w:themeColor="text1"/>
                <w:sz w:val="24"/>
              </w:rPr>
            </w:pPr>
            <w:r>
              <w:rPr>
                <w:rFonts w:hint="eastAsia" w:ascii="宋体" w:hAnsi="宋体"/>
                <w:color w:val="000000" w:themeColor="text1"/>
                <w:sz w:val="24"/>
              </w:rPr>
              <w:t>所提供服务的内容</w:t>
            </w:r>
          </w:p>
        </w:tc>
        <w:tc>
          <w:tcPr>
            <w:tcW w:w="1417" w:type="dxa"/>
            <w:vMerge w:val="continue"/>
            <w:vAlign w:val="center"/>
          </w:tcPr>
          <w:p>
            <w:pPr>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1</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2</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w:t>
            </w:r>
          </w:p>
        </w:tc>
        <w:tc>
          <w:tcPr>
            <w:tcW w:w="1257" w:type="dxa"/>
            <w:vAlign w:val="center"/>
          </w:tcPr>
          <w:p>
            <w:pPr>
              <w:pStyle w:val="9"/>
              <w:spacing w:line="600" w:lineRule="exact"/>
              <w:jc w:val="center"/>
              <w:rPr>
                <w:rFonts w:hAnsi="宋体"/>
                <w:color w:val="000000" w:themeColor="text1"/>
                <w:sz w:val="24"/>
                <w:szCs w:val="24"/>
              </w:rPr>
            </w:pPr>
          </w:p>
        </w:tc>
        <w:tc>
          <w:tcPr>
            <w:tcW w:w="2125" w:type="dxa"/>
            <w:vAlign w:val="center"/>
          </w:tcPr>
          <w:p>
            <w:pPr>
              <w:pStyle w:val="9"/>
              <w:spacing w:line="600" w:lineRule="exact"/>
              <w:jc w:val="center"/>
              <w:rPr>
                <w:rFonts w:hAnsi="宋体"/>
                <w:color w:val="000000" w:themeColor="text1"/>
                <w:sz w:val="24"/>
                <w:szCs w:val="24"/>
              </w:rPr>
            </w:pPr>
          </w:p>
        </w:tc>
        <w:tc>
          <w:tcPr>
            <w:tcW w:w="1340" w:type="dxa"/>
            <w:vAlign w:val="center"/>
          </w:tcPr>
          <w:p>
            <w:pPr>
              <w:pStyle w:val="9"/>
              <w:spacing w:line="600" w:lineRule="exact"/>
              <w:jc w:val="center"/>
              <w:rPr>
                <w:rFonts w:hAnsi="宋体"/>
                <w:color w:val="000000" w:themeColor="text1"/>
                <w:sz w:val="24"/>
                <w:szCs w:val="24"/>
              </w:rPr>
            </w:pPr>
          </w:p>
        </w:tc>
        <w:tc>
          <w:tcPr>
            <w:tcW w:w="2765" w:type="dxa"/>
            <w:vAlign w:val="center"/>
          </w:tcPr>
          <w:p>
            <w:pPr>
              <w:pStyle w:val="9"/>
              <w:spacing w:line="600" w:lineRule="exact"/>
              <w:jc w:val="center"/>
              <w:rPr>
                <w:rFonts w:hAnsi="宋体"/>
                <w:color w:val="000000" w:themeColor="text1"/>
                <w:sz w:val="24"/>
                <w:szCs w:val="24"/>
              </w:rPr>
            </w:pPr>
          </w:p>
        </w:tc>
        <w:tc>
          <w:tcPr>
            <w:tcW w:w="1417" w:type="dxa"/>
            <w:vAlign w:val="center"/>
          </w:tcPr>
          <w:p>
            <w:pPr>
              <w:pStyle w:val="9"/>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39" w:type="dxa"/>
            <w:gridSpan w:val="6"/>
            <w:vAlign w:val="center"/>
          </w:tcPr>
          <w:p>
            <w:pPr>
              <w:pStyle w:val="9"/>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tc>
      </w:tr>
    </w:tbl>
    <w:p>
      <w:pPr>
        <w:pStyle w:val="9"/>
        <w:rPr>
          <w:rFonts w:hAnsi="宋体"/>
          <w:color w:val="000000" w:themeColor="text1"/>
          <w:sz w:val="24"/>
          <w:szCs w:val="24"/>
        </w:rPr>
      </w:pPr>
    </w:p>
    <w:p>
      <w:pPr>
        <w:pStyle w:val="9"/>
        <w:rPr>
          <w:rFonts w:hAnsi="宋体"/>
          <w:color w:val="000000" w:themeColor="text1"/>
          <w:sz w:val="24"/>
          <w:szCs w:val="24"/>
        </w:rPr>
      </w:pPr>
      <w:r>
        <w:rPr>
          <w:rFonts w:hAnsi="宋体"/>
          <w:color w:val="000000" w:themeColor="text1"/>
          <w:sz w:val="24"/>
          <w:szCs w:val="24"/>
        </w:rPr>
        <w:t>......</w:t>
      </w:r>
    </w:p>
    <w:p>
      <w:pPr>
        <w:pStyle w:val="9"/>
        <w:rPr>
          <w:rFonts w:hAnsi="宋体"/>
          <w:color w:val="000000" w:themeColor="text1"/>
          <w:sz w:val="24"/>
          <w:szCs w:val="24"/>
        </w:rPr>
      </w:pPr>
    </w:p>
    <w:p>
      <w:pPr>
        <w:pStyle w:val="9"/>
        <w:spacing w:line="360" w:lineRule="auto"/>
        <w:rPr>
          <w:rFonts w:hAnsi="宋体"/>
          <w:color w:val="000000" w:themeColor="text1"/>
          <w:sz w:val="24"/>
          <w:szCs w:val="24"/>
        </w:rPr>
      </w:pPr>
      <w:r>
        <w:rPr>
          <w:rFonts w:hAnsi="宋体"/>
          <w:color w:val="000000" w:themeColor="text1"/>
          <w:sz w:val="24"/>
          <w:szCs w:val="24"/>
        </w:rPr>
        <w:t>注：⑴表格内容均需按要求填写并盖章，不得留空，否则按投标无效处理。</w:t>
      </w:r>
    </w:p>
    <w:p>
      <w:pPr>
        <w:pStyle w:val="9"/>
        <w:spacing w:line="360" w:lineRule="auto"/>
        <w:ind w:firstLine="480" w:firstLineChars="200"/>
        <w:rPr>
          <w:rFonts w:hAnsi="宋体"/>
          <w:color w:val="000000" w:themeColor="text1"/>
          <w:sz w:val="24"/>
          <w:szCs w:val="24"/>
        </w:rPr>
      </w:pPr>
      <w:r>
        <w:rPr>
          <w:rFonts w:hAnsi="宋体"/>
          <w:color w:val="000000" w:themeColor="text1"/>
          <w:sz w:val="24"/>
          <w:szCs w:val="24"/>
        </w:rPr>
        <w:t>⑵当</w:t>
      </w:r>
      <w:r>
        <w:rPr>
          <w:rFonts w:hint="eastAsia" w:hAnsi="宋体"/>
          <w:color w:val="000000" w:themeColor="text1"/>
          <w:sz w:val="24"/>
          <w:szCs w:val="24"/>
        </w:rPr>
        <w:t>响应文件</w:t>
      </w:r>
      <w:r>
        <w:rPr>
          <w:rFonts w:hAnsi="宋体"/>
          <w:color w:val="000000" w:themeColor="text1"/>
          <w:sz w:val="24"/>
          <w:szCs w:val="24"/>
        </w:rPr>
        <w:t>的服务内容低于招标文件要求时，</w:t>
      </w:r>
      <w:r>
        <w:rPr>
          <w:rFonts w:hint="eastAsia" w:hAnsi="宋体"/>
          <w:color w:val="000000" w:themeColor="text1"/>
          <w:sz w:val="24"/>
          <w:szCs w:val="24"/>
        </w:rPr>
        <w:t>磋商供应商</w:t>
      </w:r>
      <w:r>
        <w:rPr>
          <w:rFonts w:hAnsi="宋体"/>
          <w:color w:val="000000" w:themeColor="text1"/>
          <w:sz w:val="24"/>
          <w:szCs w:val="24"/>
        </w:rPr>
        <w:t>应当如实写明“负偏离”，否则视为虚假应标。</w:t>
      </w: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600" w:lineRule="exact"/>
        <w:rPr>
          <w:rFonts w:hAnsi="宋体"/>
          <w:color w:val="000000" w:themeColor="text1"/>
          <w:sz w:val="24"/>
          <w:szCs w:val="24"/>
          <w:u w:val="single"/>
        </w:rPr>
      </w:pPr>
    </w:p>
    <w:p>
      <w:pPr>
        <w:pStyle w:val="9"/>
        <w:spacing w:line="600" w:lineRule="exact"/>
        <w:jc w:val="left"/>
        <w:outlineLvl w:val="1"/>
        <w:rPr>
          <w:rFonts w:hAnsi="宋体"/>
          <w:color w:val="000000" w:themeColor="text1"/>
          <w:u w:val="single"/>
        </w:rPr>
      </w:pPr>
      <w:r>
        <w:rPr>
          <w:rFonts w:hAnsi="宋体"/>
          <w:color w:val="000000" w:themeColor="text1"/>
          <w:sz w:val="24"/>
          <w:szCs w:val="24"/>
          <w:u w:val="single"/>
        </w:rPr>
        <w:br w:type="page"/>
      </w:r>
      <w:bookmarkStart w:id="116" w:name="_Toc3445"/>
      <w:bookmarkStart w:id="117" w:name="_Toc6374"/>
      <w:bookmarkStart w:id="118" w:name="_Toc31451"/>
      <w:r>
        <w:rPr>
          <w:rFonts w:hint="eastAsia" w:hAnsi="宋体"/>
          <w:b/>
          <w:color w:val="000000" w:themeColor="text1"/>
        </w:rPr>
        <w:t>格式</w:t>
      </w:r>
      <w:r>
        <w:rPr>
          <w:rFonts w:hAnsi="宋体"/>
          <w:b/>
          <w:color w:val="000000" w:themeColor="text1"/>
        </w:rPr>
        <w:t>6</w:t>
      </w:r>
      <w:r>
        <w:rPr>
          <w:rFonts w:hint="eastAsia" w:hAnsi="宋体"/>
          <w:b/>
          <w:color w:val="000000" w:themeColor="text1"/>
        </w:rPr>
        <w:t>：</w:t>
      </w:r>
      <w:bookmarkEnd w:id="116"/>
      <w:bookmarkEnd w:id="117"/>
      <w:bookmarkEnd w:id="118"/>
    </w:p>
    <w:p>
      <w:pPr>
        <w:pStyle w:val="9"/>
        <w:spacing w:line="500" w:lineRule="exact"/>
        <w:jc w:val="center"/>
        <w:outlineLvl w:val="2"/>
        <w:rPr>
          <w:rFonts w:hAnsi="宋体"/>
          <w:b/>
          <w:bCs/>
          <w:color w:val="000000" w:themeColor="text1"/>
          <w:sz w:val="32"/>
          <w:szCs w:val="32"/>
        </w:rPr>
      </w:pPr>
      <w:r>
        <w:rPr>
          <w:rFonts w:hint="eastAsia" w:hAnsi="宋体"/>
          <w:b/>
          <w:bCs/>
          <w:color w:val="000000" w:themeColor="text1"/>
          <w:sz w:val="32"/>
          <w:szCs w:val="32"/>
        </w:rPr>
        <w:t>售后服务承诺书（格式）</w:t>
      </w:r>
    </w:p>
    <w:p>
      <w:pPr>
        <w:pStyle w:val="9"/>
        <w:spacing w:line="440" w:lineRule="exact"/>
        <w:ind w:firstLine="475" w:firstLineChars="198"/>
        <w:rPr>
          <w:rFonts w:hAnsi="宋体"/>
          <w:color w:val="000000" w:themeColor="text1"/>
          <w:sz w:val="24"/>
          <w:szCs w:val="24"/>
        </w:rPr>
      </w:pPr>
    </w:p>
    <w:p>
      <w:pPr>
        <w:pStyle w:val="9"/>
        <w:spacing w:line="440" w:lineRule="exact"/>
        <w:ind w:firstLine="475" w:firstLineChars="198"/>
        <w:rPr>
          <w:rFonts w:hAnsi="宋体"/>
          <w:color w:val="000000" w:themeColor="text1"/>
          <w:sz w:val="24"/>
          <w:szCs w:val="24"/>
        </w:rPr>
      </w:pPr>
      <w:r>
        <w:rPr>
          <w:rFonts w:hint="eastAsia" w:hAnsi="宋体"/>
          <w:color w:val="000000" w:themeColor="text1"/>
          <w:sz w:val="24"/>
          <w:szCs w:val="24"/>
        </w:rPr>
        <w:t>由磋商供应商按本项目竞争性磋商文件第二章“服务需求一览表”中商务条款部分的售后服务要求自行填写。</w:t>
      </w:r>
    </w:p>
    <w:p>
      <w:pPr>
        <w:pStyle w:val="9"/>
        <w:spacing w:line="440" w:lineRule="exact"/>
        <w:ind w:firstLine="480" w:firstLineChars="200"/>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rPr>
          <w:rFonts w:hAnsi="宋体"/>
          <w:color w:val="000000" w:themeColor="text1"/>
          <w:sz w:val="24"/>
          <w:szCs w:val="24"/>
        </w:rPr>
      </w:pPr>
    </w:p>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p>
      <w:pPr>
        <w:pStyle w:val="9"/>
        <w:spacing w:line="600" w:lineRule="exact"/>
        <w:rPr>
          <w:rFonts w:hAnsi="宋体"/>
          <w:color w:val="000000" w:themeColor="text1"/>
          <w:sz w:val="24"/>
          <w:szCs w:val="24"/>
          <w:u w:val="single"/>
        </w:rPr>
      </w:pPr>
    </w:p>
    <w:p>
      <w:pPr>
        <w:pStyle w:val="9"/>
        <w:spacing w:line="600" w:lineRule="exact"/>
        <w:rPr>
          <w:rFonts w:hAnsi="宋体"/>
          <w:color w:val="000000" w:themeColor="text1"/>
          <w:sz w:val="24"/>
          <w:szCs w:val="24"/>
          <w:u w:val="single"/>
        </w:rPr>
      </w:pPr>
      <w:r>
        <w:rPr>
          <w:rFonts w:hint="eastAsia" w:hAnsi="宋体"/>
          <w:color w:val="000000" w:themeColor="text1"/>
          <w:sz w:val="24"/>
          <w:szCs w:val="24"/>
        </w:rPr>
        <w:t>法定代表人或其委托代理人（签字或盖章）：</w:t>
      </w:r>
    </w:p>
    <w:p>
      <w:pPr>
        <w:pStyle w:val="9"/>
        <w:spacing w:line="600" w:lineRule="exact"/>
        <w:outlineLvl w:val="1"/>
        <w:rPr>
          <w:rFonts w:hAnsi="宋体"/>
          <w:color w:val="000000" w:themeColor="text1"/>
          <w:u w:val="single"/>
        </w:rPr>
      </w:pPr>
      <w:r>
        <w:rPr>
          <w:rFonts w:hAnsi="宋体"/>
          <w:color w:val="000000" w:themeColor="text1"/>
          <w:sz w:val="24"/>
          <w:szCs w:val="24"/>
          <w:u w:val="single"/>
        </w:rPr>
        <w:br w:type="page"/>
      </w:r>
      <w:bookmarkStart w:id="119" w:name="_Toc23732"/>
      <w:bookmarkStart w:id="120" w:name="_Toc28775"/>
      <w:bookmarkStart w:id="121" w:name="_Toc25528"/>
      <w:bookmarkStart w:id="122" w:name="_Toc9202"/>
      <w:r>
        <w:rPr>
          <w:rFonts w:hint="eastAsia" w:hAnsi="宋体"/>
          <w:b/>
          <w:color w:val="000000" w:themeColor="text1"/>
        </w:rPr>
        <w:t>格式</w:t>
      </w:r>
      <w:r>
        <w:rPr>
          <w:rFonts w:hAnsi="宋体"/>
          <w:b/>
          <w:color w:val="000000" w:themeColor="text1"/>
        </w:rPr>
        <w:t>7</w:t>
      </w:r>
      <w:r>
        <w:rPr>
          <w:rFonts w:hint="eastAsia" w:hAnsi="宋体"/>
          <w:b/>
          <w:color w:val="000000" w:themeColor="text1"/>
        </w:rPr>
        <w:t>：</w:t>
      </w:r>
      <w:bookmarkEnd w:id="119"/>
      <w:bookmarkEnd w:id="120"/>
      <w:bookmarkEnd w:id="121"/>
      <w:bookmarkEnd w:id="122"/>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商务条款偏离表（格式）</w:t>
      </w:r>
    </w:p>
    <w:p>
      <w:pPr>
        <w:pStyle w:val="9"/>
        <w:spacing w:line="440" w:lineRule="exact"/>
        <w:ind w:firstLine="420" w:firstLineChars="200"/>
        <w:rPr>
          <w:rFonts w:hAnsi="宋体"/>
          <w:color w:val="000000" w:themeColor="text1"/>
        </w:rPr>
      </w:pPr>
    </w:p>
    <w:p>
      <w:pPr>
        <w:pStyle w:val="9"/>
        <w:spacing w:line="440" w:lineRule="exact"/>
        <w:ind w:firstLine="480" w:firstLineChars="200"/>
        <w:rPr>
          <w:rFonts w:hAnsi="宋体"/>
          <w:b/>
          <w:color w:val="000000" w:themeColor="text1"/>
          <w:sz w:val="24"/>
          <w:szCs w:val="24"/>
        </w:rPr>
      </w:pPr>
      <w:r>
        <w:rPr>
          <w:rFonts w:hint="eastAsia" w:hAnsi="宋体"/>
          <w:color w:val="000000" w:themeColor="text1"/>
          <w:sz w:val="24"/>
          <w:szCs w:val="24"/>
        </w:rPr>
        <w:t>请逐条对应本项目竞争性磋商文件第二章“服务需求一览表”中商务条款的要求，</w:t>
      </w:r>
      <w:r>
        <w:rPr>
          <w:rFonts w:hAnsi="宋体"/>
          <w:color w:val="000000" w:themeColor="text1"/>
          <w:sz w:val="24"/>
          <w:szCs w:val="24"/>
        </w:rPr>
        <w:t>详细填写相应的具体内容。</w:t>
      </w:r>
      <w:r>
        <w:rPr>
          <w:rFonts w:hint="eastAsia" w:hAnsi="宋体"/>
          <w:color w:val="000000" w:themeColor="text1"/>
          <w:sz w:val="24"/>
          <w:szCs w:val="24"/>
        </w:rPr>
        <w:t>“偏离说明”一栏应当选择“正偏离”、“负偏离”或“无偏离”进行填写</w:t>
      </w:r>
      <w:r>
        <w:rPr>
          <w:rFonts w:hint="eastAsia" w:hAnsi="宋体"/>
          <w:b/>
          <w:color w:val="000000" w:themeColor="text1"/>
          <w:sz w:val="24"/>
          <w:szCs w:val="24"/>
        </w:rPr>
        <w:t>。</w:t>
      </w:r>
    </w:p>
    <w:p>
      <w:pPr>
        <w:pStyle w:val="9"/>
        <w:rPr>
          <w:rFonts w:hAnsi="宋体"/>
          <w:color w:val="000000" w:themeColor="text1"/>
          <w:sz w:val="24"/>
          <w:szCs w:val="24"/>
          <w:u w:val="single"/>
        </w:rPr>
      </w:pPr>
    </w:p>
    <w:p>
      <w:pPr>
        <w:pStyle w:val="9"/>
        <w:jc w:val="left"/>
        <w:rPr>
          <w:rFonts w:hAnsi="宋体"/>
          <w:color w:val="000000" w:themeColor="text1"/>
          <w:sz w:val="24"/>
          <w:szCs w:val="24"/>
        </w:rPr>
      </w:pPr>
      <w:r>
        <w:rPr>
          <w:rFonts w:hAnsi="宋体"/>
          <w:color w:val="000000" w:themeColor="text1"/>
          <w:sz w:val="24"/>
          <w:szCs w:val="24"/>
        </w:rPr>
        <w:t xml:space="preserve"> </w:t>
      </w:r>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45"/>
        <w:gridCol w:w="32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5" w:type="dxa"/>
            <w:vAlign w:val="center"/>
          </w:tcPr>
          <w:p>
            <w:pPr>
              <w:pStyle w:val="9"/>
              <w:jc w:val="center"/>
              <w:rPr>
                <w:rFonts w:hAnsi="宋体"/>
                <w:color w:val="000000" w:themeColor="text1"/>
                <w:sz w:val="24"/>
                <w:szCs w:val="24"/>
              </w:rPr>
            </w:pPr>
            <w:r>
              <w:rPr>
                <w:rFonts w:hint="eastAsia" w:hAnsi="宋体"/>
                <w:color w:val="000000" w:themeColor="text1"/>
                <w:sz w:val="24"/>
                <w:szCs w:val="24"/>
              </w:rPr>
              <w:t>项号</w:t>
            </w:r>
          </w:p>
        </w:tc>
        <w:tc>
          <w:tcPr>
            <w:tcW w:w="3945" w:type="dxa"/>
            <w:vAlign w:val="center"/>
          </w:tcPr>
          <w:p>
            <w:pPr>
              <w:pStyle w:val="9"/>
              <w:jc w:val="center"/>
              <w:rPr>
                <w:rFonts w:hAnsi="宋体"/>
                <w:color w:val="000000" w:themeColor="text1"/>
                <w:sz w:val="24"/>
                <w:szCs w:val="24"/>
              </w:rPr>
            </w:pPr>
            <w:r>
              <w:rPr>
                <w:rFonts w:hint="eastAsia" w:hAnsi="宋体"/>
                <w:color w:val="000000" w:themeColor="text1"/>
                <w:sz w:val="24"/>
                <w:szCs w:val="24"/>
              </w:rPr>
              <w:t>竞争性磋商文件的商务需求</w:t>
            </w:r>
          </w:p>
        </w:tc>
        <w:tc>
          <w:tcPr>
            <w:tcW w:w="3258" w:type="dxa"/>
            <w:vAlign w:val="center"/>
          </w:tcPr>
          <w:p>
            <w:pPr>
              <w:pStyle w:val="9"/>
              <w:jc w:val="center"/>
              <w:rPr>
                <w:rFonts w:hAnsi="宋体"/>
                <w:color w:val="000000" w:themeColor="text1"/>
                <w:sz w:val="24"/>
                <w:szCs w:val="24"/>
              </w:rPr>
            </w:pPr>
            <w:r>
              <w:rPr>
                <w:rFonts w:hint="eastAsia" w:hAnsi="宋体"/>
                <w:color w:val="000000" w:themeColor="text1"/>
                <w:sz w:val="24"/>
                <w:szCs w:val="24"/>
              </w:rPr>
              <w:t>响应文件承诺的商务条款</w:t>
            </w:r>
          </w:p>
        </w:tc>
        <w:tc>
          <w:tcPr>
            <w:tcW w:w="1560" w:type="dxa"/>
            <w:vAlign w:val="center"/>
          </w:tcPr>
          <w:p>
            <w:pPr>
              <w:pStyle w:val="9"/>
              <w:jc w:val="center"/>
              <w:rPr>
                <w:rFonts w:hAnsi="宋体"/>
                <w:color w:val="000000" w:themeColor="text1"/>
                <w:sz w:val="24"/>
                <w:szCs w:val="24"/>
              </w:rPr>
            </w:pPr>
            <w:r>
              <w:rPr>
                <w:rFonts w:hint="eastAsia" w:hAnsi="宋体"/>
                <w:color w:val="000000" w:themeColor="text1"/>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一</w:t>
            </w:r>
          </w:p>
        </w:tc>
        <w:tc>
          <w:tcPr>
            <w:tcW w:w="3945"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3258" w:type="dxa"/>
            <w:vAlign w:val="center"/>
          </w:tcPr>
          <w:p>
            <w:pPr>
              <w:spacing w:line="340" w:lineRule="exact"/>
              <w:rPr>
                <w:rFonts w:eastAsia="FangSong_GB2312"/>
                <w:color w:val="000000" w:themeColor="text1"/>
                <w:szCs w:val="21"/>
              </w:rPr>
            </w:pPr>
            <w:r>
              <w:rPr>
                <w:rFonts w:eastAsia="FangSong_GB2312"/>
                <w:color w:val="000000" w:themeColor="text1"/>
                <w:szCs w:val="21"/>
              </w:rPr>
              <w:t>1  ……</w:t>
            </w:r>
          </w:p>
          <w:p>
            <w:pPr>
              <w:spacing w:line="340" w:lineRule="exact"/>
              <w:rPr>
                <w:rFonts w:eastAsia="FangSong_GB2312"/>
                <w:color w:val="000000" w:themeColor="text1"/>
                <w:szCs w:val="21"/>
              </w:rPr>
            </w:pPr>
            <w:r>
              <w:rPr>
                <w:rFonts w:eastAsia="FangSong_GB2312"/>
                <w:color w:val="000000" w:themeColor="text1"/>
                <w:szCs w:val="21"/>
              </w:rPr>
              <w:t>2  ……</w:t>
            </w:r>
          </w:p>
          <w:p>
            <w:pPr>
              <w:spacing w:line="340" w:lineRule="exact"/>
              <w:rPr>
                <w:rFonts w:eastAsia="FangSong_GB2312"/>
                <w:color w:val="000000" w:themeColor="text1"/>
                <w:szCs w:val="21"/>
              </w:rPr>
            </w:pPr>
            <w:r>
              <w:rPr>
                <w:rFonts w:eastAsia="FangSong_GB2312"/>
                <w:color w:val="000000" w:themeColor="text1"/>
                <w:szCs w:val="21"/>
              </w:rPr>
              <w:t>3  ……</w:t>
            </w: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int="eastAsia" w:hAnsi="宋体"/>
                <w:color w:val="000000" w:themeColor="text1"/>
                <w:spacing w:val="-20"/>
                <w:sz w:val="24"/>
                <w:szCs w:val="24"/>
              </w:rPr>
              <w:t>二</w:t>
            </w:r>
          </w:p>
        </w:tc>
        <w:tc>
          <w:tcPr>
            <w:tcW w:w="3945" w:type="dxa"/>
            <w:vAlign w:val="center"/>
          </w:tcPr>
          <w:p>
            <w:pPr>
              <w:pStyle w:val="9"/>
              <w:spacing w:line="600" w:lineRule="exact"/>
              <w:jc w:val="center"/>
              <w:rPr>
                <w:rFonts w:hAnsi="宋体"/>
                <w:color w:val="000000" w:themeColor="text1"/>
                <w:sz w:val="24"/>
                <w:szCs w:val="24"/>
              </w:rPr>
            </w:pPr>
          </w:p>
        </w:tc>
        <w:tc>
          <w:tcPr>
            <w:tcW w:w="3258" w:type="dxa"/>
            <w:vAlign w:val="center"/>
          </w:tcPr>
          <w:p>
            <w:pPr>
              <w:pStyle w:val="9"/>
              <w:spacing w:line="600" w:lineRule="exact"/>
              <w:jc w:val="center"/>
              <w:rPr>
                <w:rFonts w:hAnsi="宋体"/>
                <w:color w:val="000000" w:themeColor="text1"/>
                <w:sz w:val="24"/>
                <w:szCs w:val="24"/>
              </w:rPr>
            </w:pPr>
          </w:p>
        </w:tc>
        <w:tc>
          <w:tcPr>
            <w:tcW w:w="1560" w:type="dxa"/>
            <w:vAlign w:val="center"/>
          </w:tcPr>
          <w:p>
            <w:pPr>
              <w:rPr>
                <w:rFonts w:ascii="宋体" w:hAnsi="宋体"/>
                <w:color w:val="000000" w:themeColor="text1"/>
                <w:sz w:val="24"/>
              </w:rPr>
            </w:pPr>
            <w:r>
              <w:rPr>
                <w:rFonts w:ascii="宋体" w:hAnsi="宋体"/>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9"/>
              <w:jc w:val="center"/>
              <w:rPr>
                <w:rFonts w:hAnsi="宋体"/>
                <w:color w:val="000000" w:themeColor="text1"/>
                <w:spacing w:val="-20"/>
                <w:sz w:val="24"/>
                <w:szCs w:val="24"/>
              </w:rPr>
            </w:pPr>
            <w:r>
              <w:rPr>
                <w:rFonts w:hAnsi="宋体"/>
                <w:color w:val="000000" w:themeColor="text1"/>
                <w:spacing w:val="-20"/>
                <w:sz w:val="24"/>
                <w:szCs w:val="24"/>
              </w:rPr>
              <w:t>...</w:t>
            </w:r>
          </w:p>
        </w:tc>
        <w:tc>
          <w:tcPr>
            <w:tcW w:w="3945" w:type="dxa"/>
            <w:vAlign w:val="center"/>
          </w:tcPr>
          <w:p>
            <w:pPr>
              <w:pStyle w:val="9"/>
              <w:spacing w:line="600" w:lineRule="exact"/>
              <w:jc w:val="center"/>
              <w:rPr>
                <w:rFonts w:hAnsi="宋体"/>
                <w:color w:val="000000" w:themeColor="text1"/>
                <w:sz w:val="24"/>
                <w:szCs w:val="24"/>
              </w:rPr>
            </w:pPr>
          </w:p>
        </w:tc>
        <w:tc>
          <w:tcPr>
            <w:tcW w:w="3258" w:type="dxa"/>
            <w:vAlign w:val="center"/>
          </w:tcPr>
          <w:p>
            <w:pPr>
              <w:pStyle w:val="9"/>
              <w:spacing w:line="600" w:lineRule="exact"/>
              <w:jc w:val="center"/>
              <w:rPr>
                <w:rFonts w:hAnsi="宋体"/>
                <w:color w:val="000000" w:themeColor="text1"/>
                <w:sz w:val="24"/>
                <w:szCs w:val="24"/>
              </w:rPr>
            </w:pPr>
          </w:p>
        </w:tc>
        <w:tc>
          <w:tcPr>
            <w:tcW w:w="1560" w:type="dxa"/>
            <w:vAlign w:val="center"/>
          </w:tcPr>
          <w:p>
            <w:pPr>
              <w:pStyle w:val="9"/>
              <w:spacing w:line="600" w:lineRule="exact"/>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9"/>
              <w:spacing w:line="600" w:lineRule="exact"/>
              <w:rPr>
                <w:rFonts w:hAnsi="宋体"/>
                <w:color w:val="000000" w:themeColor="text1"/>
                <w:sz w:val="24"/>
                <w:szCs w:val="24"/>
                <w:u w:val="single"/>
              </w:rPr>
            </w:pPr>
            <w:r>
              <w:rPr>
                <w:rFonts w:hint="eastAsia" w:hAnsi="宋体"/>
                <w:color w:val="000000" w:themeColor="text1"/>
                <w:sz w:val="24"/>
                <w:szCs w:val="24"/>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4"/>
            <w:vAlign w:val="center"/>
          </w:tcPr>
          <w:p>
            <w:pPr>
              <w:pStyle w:val="9"/>
              <w:spacing w:line="600" w:lineRule="exact"/>
              <w:jc w:val="left"/>
              <w:rPr>
                <w:rFonts w:hAnsi="宋体"/>
                <w:color w:val="000000" w:themeColor="text1"/>
                <w:sz w:val="24"/>
                <w:szCs w:val="24"/>
                <w:u w:val="single"/>
              </w:rPr>
            </w:pPr>
            <w:r>
              <w:rPr>
                <w:rFonts w:hint="eastAsia" w:hAnsi="宋体"/>
                <w:color w:val="000000" w:themeColor="text1"/>
                <w:sz w:val="24"/>
                <w:szCs w:val="24"/>
              </w:rPr>
              <w:t>法定代表人或其委托代理人（签字或盖章）：</w:t>
            </w:r>
            <w:r>
              <w:rPr>
                <w:rFonts w:hAnsi="宋体"/>
                <w:b/>
                <w:color w:val="000000" w:themeColor="text1"/>
                <w:sz w:val="32"/>
              </w:rPr>
              <w:br w:type="page"/>
            </w:r>
          </w:p>
        </w:tc>
      </w:tr>
    </w:tbl>
    <w:p>
      <w:pPr>
        <w:pStyle w:val="9"/>
        <w:rPr>
          <w:rFonts w:hAnsi="宋体"/>
          <w:color w:val="000000" w:themeColor="text1"/>
          <w:sz w:val="24"/>
          <w:szCs w:val="24"/>
        </w:rPr>
      </w:pPr>
      <w:r>
        <w:rPr>
          <w:rFonts w:hAnsi="宋体"/>
          <w:color w:val="000000" w:themeColor="text1"/>
          <w:sz w:val="24"/>
          <w:szCs w:val="24"/>
        </w:rPr>
        <w:t>......</w:t>
      </w:r>
    </w:p>
    <w:p>
      <w:pPr>
        <w:pStyle w:val="9"/>
        <w:spacing w:line="600" w:lineRule="exact"/>
        <w:rPr>
          <w:rFonts w:hAnsi="宋体"/>
          <w:color w:val="000000" w:themeColor="text1"/>
          <w:sz w:val="24"/>
          <w:szCs w:val="24"/>
        </w:rPr>
      </w:pPr>
    </w:p>
    <w:p>
      <w:pPr>
        <w:pStyle w:val="9"/>
        <w:spacing w:line="600" w:lineRule="exact"/>
        <w:rPr>
          <w:rFonts w:hAnsi="宋体"/>
          <w:color w:val="000000" w:themeColor="text1"/>
          <w:sz w:val="24"/>
          <w:szCs w:val="24"/>
        </w:rPr>
      </w:pPr>
      <w:r>
        <w:rPr>
          <w:rFonts w:hint="eastAsia" w:hAnsi="宋体"/>
          <w:color w:val="000000" w:themeColor="text1"/>
          <w:sz w:val="24"/>
          <w:szCs w:val="24"/>
        </w:rPr>
        <w:t>注：⑴表格内容均需按要求填写并盖章，不得留空，否则按投标无效处理。</w:t>
      </w:r>
    </w:p>
    <w:p>
      <w:pPr>
        <w:pStyle w:val="9"/>
        <w:spacing w:line="600" w:lineRule="exact"/>
        <w:ind w:firstLine="480" w:firstLineChars="200"/>
        <w:rPr>
          <w:rFonts w:hAnsi="宋体"/>
          <w:color w:val="000000" w:themeColor="text1"/>
          <w:sz w:val="24"/>
          <w:szCs w:val="24"/>
        </w:rPr>
      </w:pPr>
      <w:r>
        <w:rPr>
          <w:rFonts w:hint="eastAsia" w:hAnsi="宋体"/>
          <w:color w:val="000000" w:themeColor="text1"/>
          <w:sz w:val="24"/>
          <w:szCs w:val="24"/>
        </w:rPr>
        <w:t>⑵响应文件承诺不得直接复制招标文件需求，如果招标文件需求为小于或大于某个数值标准时，招标文件承诺内容应当写明投标货物具体参数或商务响应承诺的具体数值，否则按投标无效处理。</w:t>
      </w:r>
    </w:p>
    <w:p>
      <w:pPr>
        <w:pStyle w:val="9"/>
        <w:spacing w:line="600" w:lineRule="exact"/>
        <w:ind w:firstLine="480" w:firstLineChars="200"/>
        <w:rPr>
          <w:rFonts w:hAnsi="宋体"/>
          <w:color w:val="000000" w:themeColor="text1"/>
          <w:sz w:val="24"/>
          <w:szCs w:val="24"/>
        </w:rPr>
      </w:pPr>
      <w:r>
        <w:rPr>
          <w:rFonts w:hint="eastAsia" w:hAnsi="宋体"/>
          <w:color w:val="000000" w:themeColor="text1"/>
          <w:sz w:val="24"/>
          <w:szCs w:val="24"/>
        </w:rPr>
        <w:t>⑶当响应文件的技术参数或商务内容低于招标文件要求时，应当如实写明“负偏离”，否则视为虚假应标。</w:t>
      </w:r>
    </w:p>
    <w:p>
      <w:pPr>
        <w:pStyle w:val="9"/>
        <w:spacing w:line="600" w:lineRule="exact"/>
        <w:rPr>
          <w:rFonts w:hAnsi="宋体"/>
          <w:color w:val="000000" w:themeColor="text1"/>
          <w:sz w:val="24"/>
          <w:szCs w:val="24"/>
          <w:u w:val="single"/>
        </w:rPr>
      </w:pPr>
    </w:p>
    <w:p>
      <w:pPr>
        <w:pStyle w:val="9"/>
        <w:spacing w:line="600" w:lineRule="exact"/>
        <w:rPr>
          <w:rFonts w:hAnsi="宋体"/>
          <w:b/>
          <w:color w:val="000000" w:themeColor="text1"/>
        </w:rPr>
        <w:sectPr>
          <w:pgSz w:w="11906" w:h="16838"/>
          <w:pgMar w:top="1440" w:right="1080" w:bottom="1118" w:left="1080" w:header="720" w:footer="720" w:gutter="0"/>
          <w:cols w:space="720" w:num="1"/>
          <w:docGrid w:type="lines" w:linePitch="331" w:charSpace="0"/>
        </w:sectPr>
      </w:pPr>
    </w:p>
    <w:p>
      <w:pPr>
        <w:pStyle w:val="9"/>
        <w:spacing w:line="600" w:lineRule="exact"/>
        <w:rPr>
          <w:rFonts w:hAnsi="宋体"/>
          <w:color w:val="000000" w:themeColor="text1"/>
          <w:u w:val="single"/>
        </w:rPr>
      </w:pPr>
      <w:r>
        <w:rPr>
          <w:rFonts w:hint="eastAsia" w:hAnsi="宋体"/>
          <w:b/>
          <w:color w:val="000000" w:themeColor="text1"/>
        </w:rPr>
        <w:t>格式</w:t>
      </w:r>
      <w:r>
        <w:rPr>
          <w:rFonts w:hAnsi="宋体"/>
          <w:b/>
          <w:color w:val="000000" w:themeColor="text1"/>
        </w:rPr>
        <w:t>8</w:t>
      </w:r>
      <w:r>
        <w:rPr>
          <w:rFonts w:hint="eastAsia" w:hAnsi="宋体"/>
          <w:b/>
          <w:color w:val="000000" w:themeColor="text1"/>
        </w:rPr>
        <w:t>：</w:t>
      </w:r>
    </w:p>
    <w:p>
      <w:pPr>
        <w:pStyle w:val="9"/>
        <w:spacing w:line="500" w:lineRule="exact"/>
        <w:jc w:val="center"/>
        <w:outlineLvl w:val="2"/>
        <w:rPr>
          <w:rFonts w:hAnsi="宋体"/>
          <w:b/>
          <w:bCs/>
          <w:color w:val="000000" w:themeColor="text1"/>
          <w:sz w:val="30"/>
          <w:szCs w:val="30"/>
        </w:rPr>
      </w:pPr>
      <w:r>
        <w:rPr>
          <w:rFonts w:hint="eastAsia" w:hAnsi="宋体"/>
          <w:b/>
          <w:bCs/>
          <w:color w:val="000000" w:themeColor="text1"/>
          <w:sz w:val="30"/>
          <w:szCs w:val="30"/>
        </w:rPr>
        <w:t>法定代表人授权委托书（格式）</w:t>
      </w:r>
    </w:p>
    <w:p>
      <w:pPr>
        <w:pStyle w:val="9"/>
        <w:spacing w:line="500" w:lineRule="exact"/>
        <w:ind w:firstLine="420" w:firstLineChars="200"/>
        <w:rPr>
          <w:rFonts w:hAnsi="宋体"/>
          <w:color w:val="000000" w:themeColor="text1"/>
          <w:u w:val="single"/>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致：</w:t>
      </w:r>
      <w:r>
        <w:rPr>
          <w:rFonts w:hAnsi="宋体"/>
          <w:color w:val="000000" w:themeColor="text1"/>
          <w:sz w:val="24"/>
          <w:szCs w:val="24"/>
          <w:u w:val="single"/>
        </w:rPr>
        <w:t xml:space="preserve">               </w:t>
      </w:r>
      <w:r>
        <w:rPr>
          <w:rFonts w:hint="eastAsia" w:hAnsi="宋体"/>
          <w:color w:val="000000" w:themeColor="text1"/>
          <w:sz w:val="24"/>
          <w:szCs w:val="24"/>
        </w:rPr>
        <w:t>（采购代理机构名称）</w:t>
      </w:r>
    </w:p>
    <w:p>
      <w:pPr>
        <w:pStyle w:val="9"/>
        <w:spacing w:line="440" w:lineRule="exact"/>
        <w:ind w:firstLine="480" w:firstLineChars="200"/>
        <w:rPr>
          <w:rFonts w:hAnsi="宋体"/>
          <w:color w:val="000000" w:themeColor="text1"/>
          <w:sz w:val="24"/>
          <w:szCs w:val="24"/>
        </w:rPr>
      </w:pPr>
    </w:p>
    <w:p>
      <w:pPr>
        <w:pStyle w:val="9"/>
        <w:spacing w:line="440" w:lineRule="exact"/>
        <w:ind w:firstLine="480" w:firstLineChars="200"/>
        <w:rPr>
          <w:rFonts w:hAnsi="宋体"/>
          <w:color w:val="000000" w:themeColor="text1"/>
          <w:sz w:val="24"/>
          <w:szCs w:val="24"/>
        </w:rPr>
      </w:pPr>
      <w:r>
        <w:rPr>
          <w:rFonts w:hint="eastAsia" w:hAnsi="宋体"/>
          <w:color w:val="000000" w:themeColor="text1"/>
          <w:sz w:val="24"/>
          <w:szCs w:val="24"/>
        </w:rPr>
        <w:t>本人</w:t>
      </w:r>
      <w:r>
        <w:rPr>
          <w:rFonts w:hAnsi="宋体"/>
          <w:color w:val="000000" w:themeColor="text1"/>
          <w:sz w:val="24"/>
          <w:szCs w:val="24"/>
          <w:u w:val="single"/>
        </w:rPr>
        <w:t xml:space="preserve">      </w:t>
      </w:r>
      <w:r>
        <w:rPr>
          <w:rFonts w:hAnsi="宋体"/>
          <w:color w:val="000000" w:themeColor="text1"/>
          <w:sz w:val="24"/>
          <w:szCs w:val="24"/>
        </w:rPr>
        <w:t xml:space="preserve"> </w:t>
      </w:r>
      <w:r>
        <w:rPr>
          <w:rFonts w:hint="eastAsia" w:hAnsi="宋体"/>
          <w:color w:val="000000" w:themeColor="text1"/>
          <w:sz w:val="24"/>
          <w:szCs w:val="24"/>
        </w:rPr>
        <w:t>（姓名）系</w:t>
      </w:r>
      <w:r>
        <w:rPr>
          <w:rFonts w:hAnsi="宋体"/>
          <w:color w:val="000000" w:themeColor="text1"/>
          <w:sz w:val="24"/>
          <w:szCs w:val="24"/>
          <w:u w:val="single"/>
        </w:rPr>
        <w:t xml:space="preserve">            </w:t>
      </w:r>
      <w:r>
        <w:rPr>
          <w:rFonts w:hint="eastAsia" w:hAnsi="宋体"/>
          <w:color w:val="000000" w:themeColor="text1"/>
          <w:sz w:val="24"/>
          <w:szCs w:val="24"/>
        </w:rPr>
        <w:t>（磋商供应商名称）的法定代表人，现授权</w:t>
      </w:r>
      <w:r>
        <w:rPr>
          <w:rFonts w:hAnsi="宋体"/>
          <w:color w:val="000000" w:themeColor="text1"/>
          <w:sz w:val="24"/>
          <w:szCs w:val="24"/>
          <w:u w:val="single"/>
        </w:rPr>
        <w:t xml:space="preserve">     </w:t>
      </w:r>
      <w:r>
        <w:rPr>
          <w:rFonts w:hint="eastAsia" w:hAnsi="宋体"/>
          <w:color w:val="000000" w:themeColor="text1"/>
          <w:sz w:val="24"/>
          <w:szCs w:val="24"/>
        </w:rPr>
        <w:t>（姓名和职务）为我方代理人。代理人根据授权，以我方名义签署、澄清、说明、补正、提交、撤回、修改贵方组织的项目</w:t>
      </w:r>
      <w:r>
        <w:rPr>
          <w:rFonts w:hAnsi="宋体"/>
          <w:color w:val="000000" w:themeColor="text1"/>
          <w:sz w:val="24"/>
          <w:szCs w:val="24"/>
          <w:u w:val="single"/>
        </w:rPr>
        <w:t xml:space="preserve">          </w:t>
      </w:r>
      <w:r>
        <w:rPr>
          <w:rFonts w:hint="eastAsia" w:hAnsi="宋体"/>
          <w:color w:val="000000" w:themeColor="text1"/>
          <w:sz w:val="24"/>
          <w:szCs w:val="24"/>
        </w:rPr>
        <w:t>（项目编号：</w:t>
      </w:r>
      <w:r>
        <w:rPr>
          <w:rFonts w:hAnsi="宋体"/>
          <w:color w:val="000000" w:themeColor="text1"/>
          <w:sz w:val="24"/>
          <w:szCs w:val="24"/>
          <w:u w:val="single"/>
        </w:rPr>
        <w:t xml:space="preserve">          </w:t>
      </w:r>
      <w:r>
        <w:rPr>
          <w:rFonts w:hint="eastAsia" w:hAnsi="宋体"/>
          <w:color w:val="000000" w:themeColor="text1"/>
          <w:sz w:val="24"/>
          <w:szCs w:val="24"/>
        </w:rPr>
        <w:t>）的响应文件、签订合同和处理一切有关事宜，其法律后果由我方承担。</w:t>
      </w:r>
    </w:p>
    <w:p>
      <w:pPr>
        <w:pStyle w:val="9"/>
        <w:spacing w:line="360" w:lineRule="auto"/>
        <w:ind w:firstLine="435"/>
        <w:rPr>
          <w:rFonts w:hAnsi="宋体"/>
          <w:color w:val="000000" w:themeColor="text1"/>
          <w:sz w:val="24"/>
          <w:szCs w:val="24"/>
        </w:rPr>
      </w:pPr>
      <w:r>
        <w:rPr>
          <w:rFonts w:hint="eastAsia" w:hAnsi="宋体"/>
          <w:color w:val="000000" w:themeColor="text1"/>
          <w:sz w:val="24"/>
          <w:szCs w:val="24"/>
        </w:rPr>
        <w:t>本授权书于</w:t>
      </w:r>
      <w:r>
        <w:rPr>
          <w:rFonts w:hAnsi="宋体"/>
          <w:color w:val="000000" w:themeColor="text1"/>
          <w:sz w:val="24"/>
          <w:szCs w:val="24"/>
          <w:u w:val="single"/>
        </w:rPr>
        <w:t xml:space="preserve">     </w:t>
      </w:r>
      <w:r>
        <w:rPr>
          <w:rFonts w:hint="eastAsia" w:hAnsi="宋体"/>
          <w:color w:val="000000" w:themeColor="text1"/>
          <w:sz w:val="24"/>
          <w:szCs w:val="24"/>
        </w:rPr>
        <w:t>年</w:t>
      </w:r>
      <w:r>
        <w:rPr>
          <w:rFonts w:hAnsi="宋体"/>
          <w:color w:val="000000" w:themeColor="text1"/>
          <w:sz w:val="24"/>
          <w:szCs w:val="24"/>
          <w:u w:val="single"/>
        </w:rPr>
        <w:t xml:space="preserve">     </w:t>
      </w:r>
      <w:r>
        <w:rPr>
          <w:rFonts w:hint="eastAsia" w:hAnsi="宋体"/>
          <w:color w:val="000000" w:themeColor="text1"/>
          <w:sz w:val="24"/>
          <w:szCs w:val="24"/>
        </w:rPr>
        <w:t>月</w:t>
      </w:r>
      <w:r>
        <w:rPr>
          <w:rFonts w:hAnsi="宋体"/>
          <w:color w:val="000000" w:themeColor="text1"/>
          <w:sz w:val="24"/>
          <w:szCs w:val="24"/>
          <w:u w:val="single"/>
        </w:rPr>
        <w:t xml:space="preserve">     </w:t>
      </w:r>
      <w:r>
        <w:rPr>
          <w:rFonts w:hint="eastAsia" w:hAnsi="宋体"/>
          <w:color w:val="000000" w:themeColor="text1"/>
          <w:sz w:val="24"/>
          <w:szCs w:val="24"/>
        </w:rPr>
        <w:t>日签字生效，委托期限：</w:t>
      </w:r>
      <w:r>
        <w:rPr>
          <w:rFonts w:hAnsi="宋体"/>
          <w:color w:val="000000" w:themeColor="text1"/>
          <w:sz w:val="24"/>
          <w:szCs w:val="24"/>
          <w:u w:val="single"/>
        </w:rPr>
        <w:t xml:space="preserve">     </w:t>
      </w:r>
      <w:r>
        <w:rPr>
          <w:rFonts w:hint="eastAsia" w:hAnsi="宋体"/>
          <w:color w:val="000000" w:themeColor="text1"/>
          <w:sz w:val="24"/>
          <w:szCs w:val="24"/>
        </w:rPr>
        <w:t>。</w:t>
      </w:r>
    </w:p>
    <w:p>
      <w:pPr>
        <w:pStyle w:val="9"/>
        <w:spacing w:line="360" w:lineRule="auto"/>
        <w:ind w:firstLine="420"/>
        <w:rPr>
          <w:rFonts w:hAnsi="宋体"/>
          <w:color w:val="000000" w:themeColor="text1"/>
          <w:sz w:val="24"/>
          <w:szCs w:val="24"/>
        </w:rPr>
      </w:pPr>
      <w:r>
        <w:rPr>
          <w:rFonts w:hint="eastAsia" w:hAnsi="宋体"/>
          <w:color w:val="000000" w:themeColor="text1"/>
          <w:sz w:val="24"/>
          <w:szCs w:val="24"/>
        </w:rPr>
        <w:t>代理人无转委托权。</w:t>
      </w:r>
    </w:p>
    <w:p>
      <w:pPr>
        <w:pStyle w:val="9"/>
        <w:spacing w:line="360" w:lineRule="auto"/>
        <w:ind w:firstLine="420"/>
        <w:rPr>
          <w:rFonts w:hAnsi="宋体"/>
          <w:color w:val="000000" w:themeColor="text1"/>
          <w:sz w:val="24"/>
          <w:szCs w:val="24"/>
        </w:rPr>
      </w:pP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磋商供应商（盖单位公章）：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Ansi="宋体"/>
          <w:color w:val="000000" w:themeColor="text1"/>
          <w:sz w:val="24"/>
          <w:szCs w:val="24"/>
        </w:rPr>
        <w:t>社会统一信用代码: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法定代表人（签字或盖章）：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法定代表人身份证号码：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r>
        <w:rPr>
          <w:rFonts w:hAnsi="宋体"/>
          <w:color w:val="000000" w:themeColor="text1"/>
          <w:sz w:val="24"/>
          <w:szCs w:val="24"/>
          <w:u w:val="single"/>
        </w:rPr>
        <w:t xml:space="preserve"> </w:t>
      </w:r>
    </w:p>
    <w:p>
      <w:pPr>
        <w:pStyle w:val="9"/>
        <w:spacing w:line="360" w:lineRule="auto"/>
        <w:ind w:firstLine="480" w:firstLineChars="200"/>
        <w:rPr>
          <w:rFonts w:hAnsi="宋体"/>
          <w:color w:val="000000" w:themeColor="text1"/>
          <w:sz w:val="24"/>
          <w:szCs w:val="24"/>
        </w:rPr>
      </w:pPr>
      <w:r>
        <w:rPr>
          <w:rFonts w:hint="eastAsia" w:hAnsi="宋体"/>
          <w:color w:val="000000" w:themeColor="text1"/>
          <w:sz w:val="24"/>
          <w:szCs w:val="24"/>
        </w:rPr>
        <w:t>委托代理人（签字或盖章）：</w:t>
      </w:r>
      <w:r>
        <w:rPr>
          <w:rFonts w:hAnsi="宋体"/>
          <w:color w:val="000000" w:themeColor="text1"/>
          <w:sz w:val="24"/>
          <w:szCs w:val="24"/>
          <w:u w:val="single"/>
        </w:rPr>
        <w:t xml:space="preserve">                                   </w:t>
      </w:r>
    </w:p>
    <w:p>
      <w:pPr>
        <w:pStyle w:val="9"/>
        <w:spacing w:line="360" w:lineRule="auto"/>
        <w:ind w:firstLine="420"/>
        <w:rPr>
          <w:rFonts w:hAnsi="宋体"/>
          <w:color w:val="000000" w:themeColor="text1"/>
          <w:sz w:val="24"/>
          <w:szCs w:val="24"/>
          <w:u w:val="single"/>
        </w:rPr>
      </w:pPr>
      <w:r>
        <w:rPr>
          <w:rFonts w:hint="eastAsia" w:hAnsi="宋体"/>
          <w:color w:val="000000" w:themeColor="text1"/>
          <w:sz w:val="24"/>
          <w:szCs w:val="24"/>
        </w:rPr>
        <w:t>委托代理人身份证号码：</w:t>
      </w:r>
      <w:r>
        <w:rPr>
          <w:rFonts w:hAnsi="宋体"/>
          <w:color w:val="000000" w:themeColor="text1"/>
          <w:sz w:val="24"/>
          <w:szCs w:val="24"/>
          <w:u w:val="single"/>
        </w:rPr>
        <w:t xml:space="preserve">                                   </w:t>
      </w:r>
      <w:r>
        <w:rPr>
          <w:rFonts w:hint="eastAsia" w:hAnsi="宋体"/>
          <w:color w:val="000000" w:themeColor="text1"/>
          <w:sz w:val="24"/>
          <w:szCs w:val="24"/>
          <w:u w:val="single"/>
        </w:rPr>
        <w:t xml:space="preserve">    </w:t>
      </w:r>
    </w:p>
    <w:p>
      <w:pPr>
        <w:pStyle w:val="9"/>
        <w:spacing w:line="360" w:lineRule="auto"/>
        <w:ind w:firstLine="420"/>
        <w:jc w:val="right"/>
        <w:rPr>
          <w:rFonts w:hAnsi="宋体"/>
          <w:color w:val="000000" w:themeColor="text1"/>
          <w:sz w:val="24"/>
          <w:szCs w:val="24"/>
          <w:u w:val="single"/>
        </w:rPr>
      </w:pPr>
    </w:p>
    <w:p>
      <w:pPr>
        <w:pStyle w:val="16"/>
        <w:outlineLvl w:val="9"/>
        <w:rPr>
          <w:rFonts w:ascii="宋体"/>
          <w:color w:val="000000" w:themeColor="text1"/>
        </w:rPr>
        <w:sectPr>
          <w:pgSz w:w="11906" w:h="16838"/>
          <w:pgMar w:top="1440" w:right="1080" w:bottom="1118" w:left="1080" w:header="720" w:footer="720" w:gutter="0"/>
          <w:cols w:space="720" w:num="1"/>
          <w:docGrid w:type="lines" w:linePitch="331" w:charSpace="0"/>
        </w:sectPr>
      </w:pPr>
    </w:p>
    <w:p>
      <w:pPr>
        <w:pStyle w:val="9"/>
        <w:spacing w:line="360" w:lineRule="auto"/>
        <w:outlineLvl w:val="1"/>
        <w:rPr>
          <w:rFonts w:hAnsi="宋体"/>
          <w:b/>
          <w:color w:val="000000" w:themeColor="text1"/>
        </w:rPr>
      </w:pPr>
      <w:bookmarkStart w:id="123" w:name="_Toc3746"/>
      <w:bookmarkStart w:id="124" w:name="_Toc19457"/>
      <w:bookmarkStart w:id="125" w:name="_Toc8010"/>
      <w:bookmarkStart w:id="126" w:name="_Toc28779"/>
      <w:r>
        <w:rPr>
          <w:rFonts w:hint="eastAsia" w:hAnsi="宋体"/>
          <w:b/>
          <w:color w:val="000000" w:themeColor="text1"/>
        </w:rPr>
        <w:t>格式</w:t>
      </w:r>
      <w:r>
        <w:rPr>
          <w:rFonts w:hAnsi="宋体"/>
          <w:b/>
          <w:color w:val="000000" w:themeColor="text1"/>
        </w:rPr>
        <w:t>9</w:t>
      </w:r>
      <w:r>
        <w:rPr>
          <w:rFonts w:hint="eastAsia" w:hAnsi="宋体"/>
          <w:b/>
          <w:color w:val="000000" w:themeColor="text1"/>
        </w:rPr>
        <w:t>：</w:t>
      </w:r>
      <w:bookmarkEnd w:id="123"/>
      <w:bookmarkEnd w:id="124"/>
      <w:bookmarkEnd w:id="125"/>
      <w:bookmarkEnd w:id="126"/>
    </w:p>
    <w:p>
      <w:pPr>
        <w:pStyle w:val="9"/>
        <w:jc w:val="center"/>
        <w:outlineLvl w:val="2"/>
        <w:rPr>
          <w:rFonts w:hAnsi="宋体"/>
          <w:b/>
          <w:color w:val="000000" w:themeColor="text1"/>
          <w:sz w:val="30"/>
          <w:szCs w:val="30"/>
        </w:rPr>
      </w:pPr>
      <w:r>
        <w:rPr>
          <w:rFonts w:hint="eastAsia" w:hAnsi="宋体"/>
          <w:b/>
          <w:color w:val="000000" w:themeColor="text1"/>
          <w:sz w:val="30"/>
          <w:szCs w:val="30"/>
        </w:rPr>
        <w:t>信用声明函（格式）</w:t>
      </w:r>
    </w:p>
    <w:p>
      <w:pPr>
        <w:pStyle w:val="9"/>
        <w:jc w:val="center"/>
        <w:rPr>
          <w:rFonts w:hAnsi="宋体" w:cs="宋体"/>
          <w:b/>
          <w:color w:val="000000" w:themeColor="text1"/>
          <w:sz w:val="24"/>
          <w:szCs w:val="24"/>
        </w:rPr>
      </w:pPr>
    </w:p>
    <w:p>
      <w:pPr>
        <w:tabs>
          <w:tab w:val="left" w:pos="7200"/>
        </w:tabs>
        <w:spacing w:line="360" w:lineRule="auto"/>
        <w:rPr>
          <w:rFonts w:ascii="宋体" w:cs="宋体"/>
          <w:color w:val="000000" w:themeColor="text1"/>
          <w:sz w:val="24"/>
        </w:rPr>
      </w:pPr>
      <w:r>
        <w:rPr>
          <w:rFonts w:hint="eastAsia" w:ascii="宋体" w:hAnsi="宋体" w:cs="宋体"/>
          <w:color w:val="000000" w:themeColor="text1"/>
          <w:sz w:val="24"/>
        </w:rPr>
        <w:t>致：</w:t>
      </w:r>
      <w:r>
        <w:rPr>
          <w:rFonts w:ascii="宋体" w:hAnsi="宋体" w:cs="宋体"/>
          <w:color w:val="000000" w:themeColor="text1"/>
          <w:sz w:val="24"/>
          <w:u w:val="single"/>
        </w:rPr>
        <w:t xml:space="preserve">                     </w:t>
      </w:r>
      <w:r>
        <w:rPr>
          <w:rFonts w:hint="eastAsia" w:ascii="宋体" w:hAnsi="宋体" w:cs="宋体"/>
          <w:color w:val="000000" w:themeColor="text1"/>
          <w:sz w:val="24"/>
        </w:rPr>
        <w:t>（采购代理机构名称）</w:t>
      </w:r>
    </w:p>
    <w:p>
      <w:pPr>
        <w:tabs>
          <w:tab w:val="left" w:pos="7200"/>
        </w:tabs>
        <w:spacing w:line="360" w:lineRule="auto"/>
        <w:ind w:firstLine="600" w:firstLineChars="250"/>
        <w:rPr>
          <w:rFonts w:ascii="宋体" w:cs="宋体"/>
          <w:color w:val="000000" w:themeColor="text1"/>
          <w:sz w:val="24"/>
        </w:rPr>
      </w:pP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（供应商名称）系中华人民共和国合法企业,经营地址</w:t>
      </w:r>
      <w:r>
        <w:rPr>
          <w:rFonts w:ascii="宋体" w:hAnsi="宋体" w:cs="宋体"/>
          <w:color w:val="000000" w:themeColor="text1"/>
          <w:sz w:val="24"/>
          <w:u w:val="single"/>
        </w:rPr>
        <w:t xml:space="preserve">                   </w:t>
      </w:r>
      <w:r>
        <w:rPr>
          <w:rFonts w:hint="eastAsia" w:ascii="宋体" w:hAnsi="宋体" w:cs="宋体"/>
          <w:color w:val="000000" w:themeColor="text1"/>
          <w:sz w:val="24"/>
        </w:rPr>
        <w:t>。</w:t>
      </w:r>
    </w:p>
    <w:p>
      <w:pPr>
        <w:tabs>
          <w:tab w:val="left" w:pos="7200"/>
        </w:tabs>
        <w:spacing w:line="360" w:lineRule="auto"/>
        <w:ind w:left="420" w:leftChars="200" w:firstLine="600" w:firstLineChars="250"/>
        <w:rPr>
          <w:rFonts w:ascii="宋体" w:cs="宋体"/>
          <w:color w:val="000000" w:themeColor="text1"/>
          <w:sz w:val="24"/>
        </w:rPr>
      </w:pPr>
      <w:r>
        <w:rPr>
          <w:rFonts w:hint="eastAsia" w:ascii="宋体" w:hAnsi="宋体" w:cs="宋体"/>
          <w:color w:val="000000" w:themeColor="text1"/>
          <w:sz w:val="24"/>
        </w:rPr>
        <w:t>我</w:t>
      </w:r>
      <w:r>
        <w:rPr>
          <w:rFonts w:ascii="宋体" w:hAnsi="宋体" w:cs="宋体"/>
          <w:color w:val="000000" w:themeColor="text1"/>
          <w:sz w:val="24"/>
        </w:rPr>
        <w:t xml:space="preserve"> </w:t>
      </w:r>
      <w:r>
        <w:rPr>
          <w:rFonts w:ascii="宋体" w:hAnsi="宋体" w:cs="宋体"/>
          <w:color w:val="000000" w:themeColor="text1"/>
          <w:sz w:val="24"/>
          <w:u w:val="single"/>
        </w:rPr>
        <w:t xml:space="preserve">       </w:t>
      </w:r>
      <w:r>
        <w:rPr>
          <w:rFonts w:hint="eastAsia" w:ascii="宋体" w:hAnsi="宋体" w:cs="宋体"/>
          <w:color w:val="000000" w:themeColor="text1"/>
          <w:sz w:val="24"/>
        </w:rPr>
        <w:t>（姓名）系</w:t>
      </w:r>
      <w:r>
        <w:rPr>
          <w:rFonts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（供应商名称）的法定代表人，我方愿意参加贵方组织的</w:t>
      </w:r>
      <w:r>
        <w:rPr>
          <w:rFonts w:ascii="宋体" w:hAnsi="宋体" w:cs="宋体"/>
          <w:color w:val="000000" w:themeColor="text1"/>
          <w:sz w:val="24"/>
          <w:u w:val="single"/>
        </w:rPr>
        <w:t xml:space="preserve">         </w:t>
      </w:r>
      <w:r>
        <w:rPr>
          <w:rFonts w:hint="eastAsia" w:ascii="宋体" w:hAnsi="宋体" w:cs="宋体"/>
          <w:color w:val="000000" w:themeColor="text1"/>
          <w:sz w:val="24"/>
        </w:rPr>
        <w:t>项目的本次政府采购活动，为便于贵方公正、择优地确定成交人及采购服务成果和服务，我方就本次政府采购活动有关事项郑重声明如下：</w:t>
      </w:r>
    </w:p>
    <w:p>
      <w:pPr>
        <w:tabs>
          <w:tab w:val="left" w:pos="7200"/>
        </w:tabs>
        <w:spacing w:line="360" w:lineRule="auto"/>
        <w:ind w:firstLine="480" w:firstLineChars="200"/>
        <w:rPr>
          <w:rFonts w:ascii="宋体" w:cs="宋体"/>
          <w:color w:val="000000" w:themeColor="text1"/>
          <w:sz w:val="24"/>
          <w:u w:val="single"/>
        </w:rPr>
      </w:pPr>
      <w:r>
        <w:rPr>
          <w:rFonts w:ascii="宋体" w:hAnsi="宋体" w:cs="宋体"/>
          <w:color w:val="000000" w:themeColor="text1"/>
          <w:sz w:val="24"/>
        </w:rPr>
        <w:t xml:space="preserve">1. </w:t>
      </w:r>
      <w:r>
        <w:rPr>
          <w:rFonts w:hint="eastAsia" w:ascii="宋体" w:hAnsi="宋体" w:cs="宋体"/>
          <w:color w:val="000000" w:themeColor="text1"/>
          <w:sz w:val="24"/>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cs="宋体"/>
          <w:color w:val="000000" w:themeColor="text1"/>
          <w:sz w:val="24"/>
        </w:rPr>
      </w:pPr>
      <w:r>
        <w:rPr>
          <w:rFonts w:ascii="宋体" w:hAnsi="宋体" w:cs="宋体"/>
          <w:color w:val="000000" w:themeColor="text1"/>
          <w:sz w:val="24"/>
        </w:rPr>
        <w:t xml:space="preserve">2. </w:t>
      </w:r>
      <w:r>
        <w:rPr>
          <w:rFonts w:hint="eastAsia" w:ascii="宋体" w:hAnsi="宋体" w:cs="宋体"/>
          <w:color w:val="000000" w:themeColor="text1"/>
          <w:sz w:val="24"/>
        </w:rPr>
        <w:t>以上事项如有虚假或隐瞒，我方愿意承担一切后果，并不再寻求任何旨在减轻或免除法律责任的辩解。</w:t>
      </w:r>
    </w:p>
    <w:p>
      <w:pPr>
        <w:tabs>
          <w:tab w:val="left" w:pos="7200"/>
        </w:tabs>
        <w:spacing w:line="360" w:lineRule="auto"/>
        <w:ind w:firstLine="480" w:firstLineChars="200"/>
        <w:rPr>
          <w:rFonts w:ascii="宋体" w:cs="宋体"/>
          <w:color w:val="000000" w:themeColor="text1"/>
          <w:sz w:val="24"/>
        </w:rPr>
      </w:pPr>
    </w:p>
    <w:p>
      <w:pPr>
        <w:tabs>
          <w:tab w:val="left" w:pos="7200"/>
        </w:tabs>
        <w:spacing w:line="360" w:lineRule="auto"/>
        <w:ind w:firstLine="5040" w:firstLineChars="2100"/>
        <w:rPr>
          <w:rFonts w:ascii="宋体" w:cs="宋体"/>
          <w:color w:val="000000" w:themeColor="text1"/>
          <w:sz w:val="24"/>
          <w:u w:val="single"/>
        </w:rPr>
      </w:pPr>
      <w:r>
        <w:rPr>
          <w:rFonts w:hint="eastAsia" w:ascii="宋体" w:hAnsi="宋体" w:cs="宋体"/>
          <w:color w:val="000000" w:themeColor="text1"/>
          <w:sz w:val="24"/>
        </w:rPr>
        <w:t>法定代表人或委托代理人（签字或盖章）：</w:t>
      </w:r>
      <w:r>
        <w:rPr>
          <w:rFonts w:ascii="宋体" w:hAnsi="宋体" w:cs="宋体"/>
          <w:color w:val="000000" w:themeColor="text1"/>
          <w:sz w:val="24"/>
          <w:u w:val="single"/>
        </w:rPr>
        <w:t xml:space="preserve">        </w:t>
      </w:r>
    </w:p>
    <w:p>
      <w:pPr>
        <w:tabs>
          <w:tab w:val="left" w:pos="7200"/>
        </w:tabs>
        <w:spacing w:line="360" w:lineRule="auto"/>
        <w:ind w:firstLine="4668" w:firstLineChars="1945"/>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供应商（盖章）：</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pPr>
        <w:tabs>
          <w:tab w:val="left" w:pos="7200"/>
        </w:tabs>
        <w:spacing w:line="360" w:lineRule="auto"/>
        <w:ind w:firstLine="955" w:firstLineChars="398"/>
        <w:rPr>
          <w:rFonts w:ascii="宋体" w:cs="宋体"/>
          <w:color w:val="000000" w:themeColor="text1"/>
          <w:sz w:val="24"/>
        </w:rPr>
      </w:pPr>
      <w:r>
        <w:rPr>
          <w:rFonts w:ascii="宋体" w:hAnsi="宋体" w:cs="宋体"/>
          <w:color w:val="000000" w:themeColor="text1"/>
          <w:sz w:val="24"/>
        </w:rPr>
        <w:t xml:space="preserve">                                  </w:t>
      </w:r>
      <w:r>
        <w:rPr>
          <w:rFonts w:hint="eastAsia" w:ascii="宋体" w:hAnsi="宋体" w:cs="宋体"/>
          <w:color w:val="000000" w:themeColor="text1"/>
          <w:sz w:val="24"/>
        </w:rPr>
        <w:t>年</w:t>
      </w:r>
      <w:r>
        <w:rPr>
          <w:rFonts w:ascii="宋体" w:hAnsi="宋体" w:cs="宋体"/>
          <w:color w:val="000000" w:themeColor="text1"/>
          <w:sz w:val="24"/>
        </w:rPr>
        <w:t xml:space="preserve">    </w:t>
      </w:r>
      <w:r>
        <w:rPr>
          <w:rFonts w:hint="eastAsia" w:ascii="宋体" w:hAnsi="宋体" w:cs="宋体"/>
          <w:color w:val="000000" w:themeColor="text1"/>
          <w:sz w:val="24"/>
        </w:rPr>
        <w:t>月</w:t>
      </w:r>
      <w:r>
        <w:rPr>
          <w:rFonts w:ascii="宋体" w:hAnsi="宋体" w:cs="宋体"/>
          <w:color w:val="000000" w:themeColor="text1"/>
          <w:sz w:val="24"/>
        </w:rPr>
        <w:t xml:space="preserve">    </w:t>
      </w:r>
      <w:r>
        <w:rPr>
          <w:rFonts w:hint="eastAsia" w:ascii="宋体" w:hAnsi="宋体" w:cs="宋体"/>
          <w:color w:val="000000" w:themeColor="text1"/>
          <w:sz w:val="24"/>
        </w:rPr>
        <w:t>日</w:t>
      </w:r>
    </w:p>
    <w:p>
      <w:pPr>
        <w:pStyle w:val="16"/>
        <w:outlineLvl w:val="9"/>
        <w:rPr>
          <w:color w:val="000000" w:themeColor="text1"/>
        </w:rPr>
        <w:sectPr>
          <w:pgSz w:w="11906" w:h="16838"/>
          <w:pgMar w:top="1440" w:right="1080" w:bottom="1440" w:left="1080" w:header="720" w:footer="720" w:gutter="0"/>
          <w:cols w:space="720" w:num="1"/>
          <w:docGrid w:type="lines" w:linePitch="331" w:charSpace="0"/>
        </w:sectPr>
      </w:pPr>
    </w:p>
    <w:p>
      <w:pPr>
        <w:pStyle w:val="9"/>
        <w:spacing w:line="360" w:lineRule="auto"/>
        <w:ind w:firstLine="420"/>
        <w:rPr>
          <w:rFonts w:hAnsi="宋体" w:cs="宋体"/>
          <w:color w:val="000000" w:themeColor="text1"/>
          <w:sz w:val="24"/>
          <w:szCs w:val="24"/>
        </w:rPr>
      </w:pPr>
      <w:r>
        <w:rPr>
          <w:rFonts w:hint="eastAsia" w:hAnsi="宋体" w:cs="宋体"/>
          <w:b/>
          <w:bCs/>
          <w:color w:val="000000" w:themeColor="text1"/>
        </w:rPr>
        <w:t>格式</w:t>
      </w:r>
      <w:r>
        <w:rPr>
          <w:rFonts w:hAnsi="宋体" w:cs="宋体"/>
          <w:b/>
          <w:bCs/>
          <w:color w:val="000000" w:themeColor="text1"/>
        </w:rPr>
        <w:t>1</w:t>
      </w:r>
      <w:r>
        <w:rPr>
          <w:rFonts w:hint="eastAsia" w:hAnsi="宋体" w:cs="宋体"/>
          <w:b/>
          <w:bCs/>
          <w:color w:val="000000" w:themeColor="text1"/>
        </w:rPr>
        <w:t>0：</w:t>
      </w:r>
      <w:r>
        <w:rPr>
          <w:rFonts w:hAnsi="宋体" w:cs="宋体"/>
          <w:color w:val="000000" w:themeColor="text1"/>
          <w:sz w:val="24"/>
          <w:szCs w:val="24"/>
        </w:rPr>
        <w:t xml:space="preserve">                                </w:t>
      </w:r>
    </w:p>
    <w:p>
      <w:pPr>
        <w:pStyle w:val="9"/>
        <w:spacing w:line="500" w:lineRule="exact"/>
        <w:jc w:val="center"/>
        <w:rPr>
          <w:rFonts w:hAnsi="宋体" w:cs="宋体"/>
          <w:b/>
          <w:bCs/>
          <w:color w:val="000000" w:themeColor="text1"/>
          <w:sz w:val="30"/>
          <w:szCs w:val="30"/>
        </w:rPr>
      </w:pPr>
      <w:r>
        <w:rPr>
          <w:rFonts w:hint="eastAsia" w:hAnsi="宋体" w:cs="宋体"/>
          <w:b/>
          <w:bCs/>
          <w:color w:val="000000" w:themeColor="text1"/>
          <w:sz w:val="30"/>
          <w:szCs w:val="30"/>
        </w:rPr>
        <w:t>磋商供应商直接控股、管理关系信息表（格式）</w:t>
      </w:r>
    </w:p>
    <w:p>
      <w:pPr>
        <w:snapToGrid w:val="0"/>
        <w:spacing w:before="50" w:afterLines="50"/>
        <w:jc w:val="center"/>
        <w:rPr>
          <w:rFonts w:ascii="宋体" w:hAnsi="宋体"/>
          <w:b/>
          <w:color w:val="000000" w:themeColor="text1"/>
          <w:sz w:val="28"/>
          <w:szCs w:val="28"/>
        </w:rPr>
      </w:pPr>
    </w:p>
    <w:p>
      <w:pPr>
        <w:snapToGrid w:val="0"/>
        <w:spacing w:before="50" w:afterLines="50"/>
        <w:jc w:val="center"/>
        <w:rPr>
          <w:rFonts w:ascii="宋体" w:hAnsi="宋体"/>
          <w:b/>
          <w:color w:val="000000" w:themeColor="text1"/>
          <w:sz w:val="28"/>
          <w:szCs w:val="28"/>
        </w:rPr>
      </w:pPr>
      <w:r>
        <w:rPr>
          <w:rFonts w:hint="eastAsia" w:ascii="宋体" w:hAnsi="宋体"/>
          <w:b/>
          <w:color w:val="000000" w:themeColor="text1"/>
          <w:sz w:val="28"/>
          <w:szCs w:val="28"/>
        </w:rPr>
        <w:t>磋商供应商直接控股股东信息表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000000" w:themeColor="text1"/>
          <w:sz w:val="24"/>
        </w:rPr>
      </w:pPr>
      <w:r>
        <w:rPr>
          <w:rFonts w:hint="eastAsia" w:ascii="宋体" w:hAnsi="宋体"/>
          <w:color w:val="000000" w:themeColor="text1"/>
          <w:sz w:val="24"/>
        </w:rPr>
        <w:t>2.本表所指的控股关系仅限于直接控股关系，不包括间接的控股关系。公司实际控制人与公司之间的关系不属于本表所指的直接控股关系。</w:t>
      </w: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snapToGrid w:val="0"/>
        <w:jc w:val="left"/>
        <w:rPr>
          <w:rFonts w:ascii="宋体" w:hAnsi="宋体"/>
          <w:color w:val="000000" w:themeColor="text1"/>
          <w:sz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9"/>
        <w:spacing w:line="600" w:lineRule="exact"/>
        <w:rPr>
          <w:rFonts w:hAnsi="宋体" w:cs="宋体"/>
          <w:color w:val="000000" w:themeColor="text1"/>
          <w:sz w:val="24"/>
          <w:szCs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napToGrid w:val="0"/>
        <w:jc w:val="center"/>
        <w:rPr>
          <w:rFonts w:ascii="宋体" w:hAnsi="宋体"/>
          <w:color w:val="000000" w:themeColor="text1"/>
        </w:rPr>
      </w:pPr>
      <w:r>
        <w:rPr>
          <w:rFonts w:ascii="宋体" w:hAnsi="宋体"/>
          <w:b/>
          <w:color w:val="000000" w:themeColor="text1"/>
          <w:sz w:val="28"/>
          <w:szCs w:val="28"/>
        </w:rPr>
        <w:br w:type="page"/>
      </w:r>
      <w:r>
        <w:rPr>
          <w:rFonts w:hint="eastAsia" w:ascii="宋体" w:hAnsi="宋体"/>
          <w:b/>
          <w:color w:val="000000" w:themeColor="text1"/>
          <w:sz w:val="28"/>
          <w:szCs w:val="28"/>
        </w:rPr>
        <w:t>磋商供应商直接管理关系信息表</w:t>
      </w:r>
    </w:p>
    <w:tbl>
      <w:tblPr>
        <w:tblStyle w:val="18"/>
        <w:tblW w:w="0" w:type="auto"/>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4"/>
              </w:rPr>
            </w:pPr>
          </w:p>
        </w:tc>
      </w:tr>
    </w:tbl>
    <w:p>
      <w:pPr>
        <w:snapToGrid w:val="0"/>
        <w:jc w:val="left"/>
        <w:rPr>
          <w:rFonts w:ascii="宋体" w:hAnsi="宋体"/>
          <w:color w:val="000000" w:themeColor="text1"/>
          <w:sz w:val="24"/>
        </w:rPr>
      </w:pPr>
      <w:r>
        <w:rPr>
          <w:rFonts w:hint="eastAsia" w:ascii="宋体" w:hAnsi="宋体"/>
          <w:color w:val="000000" w:themeColor="text1"/>
          <w:sz w:val="24"/>
        </w:rPr>
        <w:t>注：</w:t>
      </w:r>
    </w:p>
    <w:p>
      <w:pPr>
        <w:snapToGrid w:val="0"/>
        <w:jc w:val="left"/>
        <w:rPr>
          <w:rFonts w:ascii="宋体" w:hAnsi="宋体"/>
          <w:color w:val="000000" w:themeColor="text1"/>
          <w:sz w:val="24"/>
        </w:rPr>
      </w:pPr>
      <w:r>
        <w:rPr>
          <w:rFonts w:hint="eastAsia" w:ascii="宋体" w:hAnsi="宋体"/>
          <w:color w:val="000000" w:themeColor="text1"/>
          <w:sz w:val="24"/>
        </w:rPr>
        <w:t>1.管理关系：是指不具有出资持股关系的其他单位之间存在的管理与被管理关系，如一些上下级关系的事业单位和团体组织。</w:t>
      </w:r>
    </w:p>
    <w:p>
      <w:pPr>
        <w:snapToGrid w:val="0"/>
        <w:jc w:val="left"/>
        <w:rPr>
          <w:rFonts w:ascii="宋体" w:hAnsi="宋体"/>
          <w:color w:val="000000" w:themeColor="text1"/>
        </w:rPr>
      </w:pPr>
      <w:r>
        <w:rPr>
          <w:rFonts w:hint="eastAsia" w:ascii="宋体" w:hAnsi="宋体"/>
          <w:color w:val="000000" w:themeColor="text1"/>
          <w:sz w:val="24"/>
        </w:rPr>
        <w:t>2.本表所指的管理关系仅限于直接管理关系，不包括间接的管理关系。</w:t>
      </w: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rFonts w:ascii="宋体" w:hAnsi="宋体"/>
          <w:color w:val="000000" w:themeColor="text1"/>
        </w:rPr>
      </w:pPr>
    </w:p>
    <w:p>
      <w:pPr>
        <w:snapToGrid w:val="0"/>
        <w:jc w:val="left"/>
        <w:rPr>
          <w:color w:val="000000" w:themeColor="text1"/>
        </w:rPr>
      </w:pPr>
    </w:p>
    <w:p>
      <w:pPr>
        <w:snapToGrid w:val="0"/>
        <w:jc w:val="left"/>
        <w:rPr>
          <w:color w:val="000000" w:themeColor="text1"/>
        </w:rPr>
      </w:pPr>
    </w:p>
    <w:p>
      <w:pPr>
        <w:snapToGrid w:val="0"/>
        <w:jc w:val="left"/>
        <w:rPr>
          <w:color w:val="000000" w:themeColor="text1"/>
        </w:rPr>
      </w:pPr>
    </w:p>
    <w:p>
      <w:pPr>
        <w:snapToGrid w:val="0"/>
        <w:jc w:val="left"/>
        <w:rPr>
          <w:rFonts w:ascii="宋体" w:hAnsi="宋体"/>
          <w:color w:val="000000" w:themeColor="text1"/>
          <w:szCs w:val="21"/>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磋商供应商（盖单位公章）：</w:t>
      </w:r>
      <w:r>
        <w:rPr>
          <w:rFonts w:hAnsi="宋体" w:cs="宋体"/>
          <w:color w:val="000000" w:themeColor="text1"/>
          <w:sz w:val="24"/>
          <w:szCs w:val="24"/>
          <w:u w:val="single"/>
        </w:rPr>
        <w:t xml:space="preserve">                                </w:t>
      </w:r>
    </w:p>
    <w:p>
      <w:pPr>
        <w:pStyle w:val="9"/>
        <w:spacing w:line="600" w:lineRule="exact"/>
        <w:rPr>
          <w:rFonts w:hAnsi="宋体" w:cs="宋体"/>
          <w:color w:val="000000" w:themeColor="text1"/>
          <w:sz w:val="24"/>
          <w:szCs w:val="24"/>
        </w:rPr>
      </w:pPr>
    </w:p>
    <w:p>
      <w:pPr>
        <w:pStyle w:val="9"/>
        <w:spacing w:line="600" w:lineRule="exact"/>
        <w:rPr>
          <w:rFonts w:hAnsi="宋体" w:cs="宋体"/>
          <w:color w:val="000000" w:themeColor="text1"/>
          <w:sz w:val="24"/>
          <w:szCs w:val="24"/>
          <w:u w:val="single"/>
        </w:rPr>
      </w:pPr>
      <w:r>
        <w:rPr>
          <w:rFonts w:hint="eastAsia" w:hAnsi="宋体" w:cs="宋体"/>
          <w:color w:val="000000" w:themeColor="text1"/>
          <w:sz w:val="24"/>
          <w:szCs w:val="24"/>
        </w:rPr>
        <w:t>法定代表人或其委托代理人（签字或盖章）：</w:t>
      </w:r>
      <w:r>
        <w:rPr>
          <w:rFonts w:hAnsi="宋体" w:cs="宋体"/>
          <w:color w:val="000000" w:themeColor="text1"/>
          <w:sz w:val="24"/>
          <w:szCs w:val="24"/>
          <w:u w:val="single"/>
        </w:rPr>
        <w:t xml:space="preserve">                  </w:t>
      </w:r>
    </w:p>
    <w:p>
      <w:pPr>
        <w:snapToGrid w:val="0"/>
        <w:spacing w:beforeLines="50" w:after="50"/>
        <w:ind w:right="480" w:firstLine="5520" w:firstLineChars="2300"/>
        <w:rPr>
          <w:rFonts w:ascii="宋体" w:hAnsi="宋体"/>
          <w:color w:val="000000" w:themeColor="text1"/>
          <w:sz w:val="24"/>
        </w:rPr>
      </w:pPr>
    </w:p>
    <w:p>
      <w:pPr>
        <w:snapToGrid w:val="0"/>
        <w:spacing w:beforeLines="50" w:after="50"/>
        <w:ind w:right="480" w:firstLine="240" w:firstLineChars="100"/>
        <w:jc w:val="left"/>
        <w:rPr>
          <w:rFonts w:ascii="宋体" w:hAnsi="宋体"/>
          <w:color w:val="000000" w:themeColor="text1"/>
          <w:szCs w:val="21"/>
        </w:rPr>
      </w:pPr>
      <w:r>
        <w:rPr>
          <w:rFonts w:hint="eastAsia" w:ascii="宋体" w:hAnsi="宋体"/>
          <w:color w:val="000000" w:themeColor="text1"/>
          <w:sz w:val="24"/>
        </w:rPr>
        <w:t>年    月    日</w:t>
      </w:r>
    </w:p>
    <w:p>
      <w:pPr>
        <w:spacing w:line="600" w:lineRule="exact"/>
        <w:outlineLvl w:val="0"/>
        <w:rPr>
          <w:color w:val="000000" w:themeColor="text1"/>
        </w:rPr>
      </w:pPr>
    </w:p>
    <w:p>
      <w:pPr>
        <w:pStyle w:val="16"/>
        <w:rPr>
          <w:rFonts w:asciiTheme="majorEastAsia" w:hAnsiTheme="majorEastAsia" w:eastAsiaTheme="majorEastAsia" w:cstheme="majorEastAsia"/>
          <w:color w:val="000000" w:themeColor="text1"/>
        </w:rPr>
        <w:sectPr>
          <w:footerReference r:id="rId11" w:type="default"/>
          <w:pgSz w:w="11906" w:h="16838"/>
          <w:pgMar w:top="1440" w:right="1080" w:bottom="1440" w:left="880" w:header="720" w:footer="720" w:gutter="0"/>
          <w:cols w:space="720" w:num="1"/>
          <w:docGrid w:type="lines" w:linePitch="331" w:charSpace="0"/>
        </w:sectPr>
      </w:pPr>
    </w:p>
    <w:p>
      <w:pPr>
        <w:pStyle w:val="16"/>
        <w:rPr>
          <w:rFonts w:asciiTheme="majorEastAsia" w:hAnsiTheme="majorEastAsia" w:eastAsiaTheme="majorEastAsia" w:cstheme="majorEastAsia"/>
          <w:color w:val="000000" w:themeColor="text1"/>
          <w:u w:val="single"/>
        </w:rPr>
      </w:pPr>
      <w:bookmarkStart w:id="127" w:name="_Toc3353"/>
      <w:bookmarkStart w:id="128" w:name="_Toc17100"/>
      <w:r>
        <w:rPr>
          <w:rFonts w:hint="eastAsia" w:asciiTheme="majorEastAsia" w:hAnsiTheme="majorEastAsia" w:eastAsiaTheme="majorEastAsia" w:cstheme="majorEastAsia"/>
          <w:color w:val="000000" w:themeColor="text1"/>
        </w:rPr>
        <w:t>第六章  合同条款及格式</w:t>
      </w:r>
      <w:bookmarkEnd w:id="64"/>
      <w:bookmarkEnd w:id="95"/>
      <w:bookmarkEnd w:id="127"/>
      <w:bookmarkEnd w:id="128"/>
    </w:p>
    <w:p>
      <w:pPr>
        <w:spacing w:line="360" w:lineRule="auto"/>
        <w:ind w:firstLine="880" w:firstLineChars="200"/>
        <w:rPr>
          <w:rFonts w:asciiTheme="majorEastAsia" w:hAnsiTheme="majorEastAsia" w:eastAsiaTheme="majorEastAsia" w:cstheme="majorEastAsia"/>
          <w:color w:val="000000" w:themeColor="text1"/>
          <w:sz w:val="44"/>
        </w:rPr>
      </w:pPr>
    </w:p>
    <w:p>
      <w:pPr>
        <w:spacing w:line="360" w:lineRule="auto"/>
        <w:jc w:val="center"/>
        <w:rPr>
          <w:rFonts w:asciiTheme="majorEastAsia" w:hAnsiTheme="majorEastAsia" w:eastAsiaTheme="majorEastAsia" w:cstheme="majorEastAsia"/>
          <w:b/>
          <w:bCs/>
          <w:color w:val="000000" w:themeColor="text1"/>
          <w:sz w:val="52"/>
        </w:rPr>
      </w:pPr>
      <w:bookmarkStart w:id="129" w:name="_Toc9791"/>
      <w:r>
        <w:rPr>
          <w:rFonts w:hint="eastAsia" w:asciiTheme="majorEastAsia" w:hAnsiTheme="majorEastAsia" w:eastAsiaTheme="majorEastAsia" w:cstheme="majorEastAsia"/>
          <w:b/>
          <w:bCs/>
          <w:color w:val="000000" w:themeColor="text1"/>
          <w:sz w:val="52"/>
        </w:rPr>
        <w:t>南 宁 市 政 府 采 购</w:t>
      </w:r>
      <w:bookmarkEnd w:id="129"/>
    </w:p>
    <w:p>
      <w:pPr>
        <w:spacing w:line="360" w:lineRule="auto"/>
        <w:ind w:firstLine="420" w:firstLineChars="200"/>
        <w:rPr>
          <w:rFonts w:asciiTheme="majorEastAsia" w:hAnsiTheme="majorEastAsia" w:eastAsiaTheme="majorEastAsia" w:cstheme="majorEastAsia"/>
          <w:color w:val="000000" w:themeColor="text1"/>
        </w:rPr>
      </w:pPr>
    </w:p>
    <w:p>
      <w:pPr>
        <w:spacing w:line="360" w:lineRule="auto"/>
        <w:ind w:firstLine="440" w:firstLineChars="200"/>
        <w:rPr>
          <w:rFonts w:asciiTheme="majorEastAsia" w:hAnsiTheme="majorEastAsia" w:eastAsiaTheme="majorEastAsia" w:cstheme="majorEastAsia"/>
          <w:color w:val="000000" w:themeColor="text1"/>
          <w:sz w:val="22"/>
          <w:szCs w:val="28"/>
        </w:rPr>
      </w:pPr>
    </w:p>
    <w:p>
      <w:pPr>
        <w:jc w:val="center"/>
        <w:rPr>
          <w:rFonts w:asciiTheme="majorEastAsia" w:hAnsiTheme="majorEastAsia" w:eastAsiaTheme="majorEastAsia" w:cstheme="majorEastAsia"/>
          <w:b/>
          <w:color w:val="000000" w:themeColor="text1"/>
          <w:sz w:val="36"/>
          <w:szCs w:val="36"/>
        </w:rPr>
      </w:pPr>
      <w:bookmarkStart w:id="130" w:name="_Toc8939"/>
      <w:r>
        <w:rPr>
          <w:rFonts w:hint="eastAsia" w:asciiTheme="majorEastAsia" w:hAnsiTheme="majorEastAsia" w:eastAsiaTheme="majorEastAsia" w:cstheme="majorEastAsia"/>
          <w:b/>
          <w:bCs/>
          <w:color w:val="000000" w:themeColor="text1"/>
          <w:sz w:val="36"/>
          <w:szCs w:val="36"/>
          <w:u w:val="single"/>
        </w:rPr>
        <w:t>OA内部协同办公系统</w:t>
      </w:r>
      <w:r>
        <w:rPr>
          <w:rFonts w:hint="eastAsia" w:asciiTheme="majorEastAsia" w:hAnsiTheme="majorEastAsia" w:eastAsiaTheme="majorEastAsia" w:cstheme="majorEastAsia"/>
          <w:b/>
          <w:bCs/>
          <w:color w:val="000000" w:themeColor="text1"/>
          <w:sz w:val="36"/>
          <w:szCs w:val="36"/>
        </w:rPr>
        <w:t>合同</w:t>
      </w:r>
      <w:bookmarkEnd w:id="130"/>
    </w:p>
    <w:p>
      <w:pPr>
        <w:spacing w:line="360" w:lineRule="auto"/>
        <w:ind w:firstLine="2570" w:firstLineChars="800"/>
        <w:rPr>
          <w:rFonts w:asciiTheme="majorEastAsia" w:hAnsiTheme="majorEastAsia" w:eastAsiaTheme="majorEastAsia" w:cstheme="majorEastAsia"/>
          <w:b/>
          <w:color w:val="000000" w:themeColor="text1"/>
          <w:sz w:val="32"/>
          <w:szCs w:val="32"/>
        </w:rPr>
      </w:pP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1" w:name="_Toc1355"/>
      <w:r>
        <w:rPr>
          <w:rFonts w:hint="eastAsia" w:asciiTheme="majorEastAsia" w:hAnsiTheme="majorEastAsia" w:eastAsiaTheme="majorEastAsia" w:cstheme="majorEastAsia"/>
          <w:b/>
          <w:color w:val="000000" w:themeColor="text1"/>
          <w:sz w:val="32"/>
          <w:szCs w:val="32"/>
        </w:rPr>
        <w:t>合同类别：</w:t>
      </w:r>
      <w:r>
        <w:rPr>
          <w:rFonts w:hint="eastAsia" w:asciiTheme="majorEastAsia" w:hAnsiTheme="majorEastAsia" w:eastAsiaTheme="majorEastAsia" w:cstheme="majorEastAsia"/>
          <w:b/>
          <w:color w:val="000000" w:themeColor="text1"/>
          <w:sz w:val="32"/>
          <w:szCs w:val="32"/>
          <w:u w:val="single"/>
        </w:rPr>
        <w:t>服务竞争性磋商</w:t>
      </w:r>
      <w:bookmarkEnd w:id="131"/>
      <w:r>
        <w:rPr>
          <w:rFonts w:hint="eastAsia" w:asciiTheme="majorEastAsia" w:hAnsiTheme="majorEastAsia" w:eastAsiaTheme="majorEastAsia" w:cstheme="majorEastAsia"/>
          <w:b/>
          <w:color w:val="000000" w:themeColor="text1"/>
          <w:sz w:val="32"/>
          <w:szCs w:val="32"/>
          <w:u w:val="single"/>
        </w:rPr>
        <w:t xml:space="preserve">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2" w:name="_Toc32558"/>
      <w:r>
        <w:rPr>
          <w:rFonts w:hint="eastAsia" w:asciiTheme="majorEastAsia" w:hAnsiTheme="majorEastAsia" w:eastAsiaTheme="majorEastAsia" w:cstheme="majorEastAsia"/>
          <w:b/>
          <w:color w:val="000000" w:themeColor="text1"/>
          <w:sz w:val="32"/>
          <w:szCs w:val="32"/>
        </w:rPr>
        <w:t>合同编号：</w:t>
      </w:r>
      <w:bookmarkEnd w:id="132"/>
      <w:r>
        <w:rPr>
          <w:rFonts w:hint="eastAsia" w:asciiTheme="majorEastAsia" w:hAnsiTheme="majorEastAsia" w:eastAsiaTheme="majorEastAsia" w:cstheme="majorEastAsia"/>
          <w:b/>
          <w:color w:val="000000" w:themeColor="text1"/>
          <w:sz w:val="32"/>
          <w:szCs w:val="32"/>
          <w:u w:val="single"/>
        </w:rPr>
        <w:t xml:space="preserve">NNZC2020-C3-990366-GXYZ  </w:t>
      </w:r>
    </w:p>
    <w:p>
      <w:pPr>
        <w:spacing w:line="360" w:lineRule="auto"/>
        <w:ind w:firstLine="2570" w:firstLineChars="800"/>
        <w:rPr>
          <w:rFonts w:asciiTheme="majorEastAsia" w:hAnsiTheme="majorEastAsia" w:eastAsiaTheme="majorEastAsia" w:cstheme="majorEastAsia"/>
          <w:b/>
          <w:color w:val="000000" w:themeColor="text1"/>
          <w:sz w:val="32"/>
          <w:szCs w:val="32"/>
          <w:u w:val="single"/>
        </w:rPr>
      </w:pPr>
      <w:r>
        <w:rPr>
          <w:rFonts w:hint="eastAsia" w:asciiTheme="majorEastAsia" w:hAnsiTheme="majorEastAsia" w:eastAsiaTheme="majorEastAsia" w:cstheme="majorEastAsia"/>
          <w:b/>
          <w:color w:val="000000" w:themeColor="text1"/>
          <w:sz w:val="32"/>
          <w:szCs w:val="32"/>
        </w:rPr>
        <w:t>采购计划文号：[2020]NCCJB518001/2157-001</w:t>
      </w:r>
    </w:p>
    <w:p>
      <w:pPr>
        <w:ind w:left="2520" w:leftChars="1200"/>
        <w:rPr>
          <w:rFonts w:asciiTheme="majorEastAsia" w:hAnsiTheme="majorEastAsia" w:eastAsiaTheme="majorEastAsia" w:cstheme="majorEastAsia"/>
          <w:b/>
          <w:color w:val="000000" w:themeColor="text1"/>
          <w:sz w:val="32"/>
          <w:szCs w:val="32"/>
          <w:u w:val="single"/>
        </w:rPr>
      </w:pPr>
    </w:p>
    <w:p>
      <w:pPr>
        <w:ind w:firstLine="2605" w:firstLineChars="811"/>
        <w:rPr>
          <w:rFonts w:asciiTheme="majorEastAsia" w:hAnsiTheme="majorEastAsia" w:eastAsiaTheme="majorEastAsia" w:cstheme="majorEastAsia"/>
          <w:b/>
          <w:color w:val="000000" w:themeColor="text1"/>
          <w:sz w:val="32"/>
          <w:szCs w:val="32"/>
          <w:u w:val="single"/>
        </w:rPr>
      </w:pPr>
    </w:p>
    <w:p>
      <w:pPr>
        <w:spacing w:line="360" w:lineRule="auto"/>
        <w:rPr>
          <w:rFonts w:asciiTheme="majorEastAsia" w:hAnsiTheme="majorEastAsia" w:eastAsiaTheme="majorEastAsia" w:cstheme="majorEastAsia"/>
          <w:b/>
          <w:color w:val="000000" w:themeColor="text1"/>
          <w:sz w:val="32"/>
          <w:szCs w:val="32"/>
        </w:rPr>
      </w:pPr>
    </w:p>
    <w:p>
      <w:pPr>
        <w:spacing w:line="360" w:lineRule="auto"/>
        <w:rPr>
          <w:rFonts w:asciiTheme="majorEastAsia" w:hAnsiTheme="majorEastAsia" w:eastAsiaTheme="majorEastAsia" w:cstheme="majorEastAsia"/>
          <w:b/>
          <w:bCs/>
          <w:color w:val="000000" w:themeColor="text1"/>
          <w:sz w:val="36"/>
          <w:szCs w:val="36"/>
        </w:rPr>
      </w:pPr>
    </w:p>
    <w:p>
      <w:pPr>
        <w:pStyle w:val="2"/>
        <w:rPr>
          <w:rFonts w:asciiTheme="majorEastAsia" w:hAnsiTheme="majorEastAsia" w:eastAsiaTheme="majorEastAsia" w:cstheme="majorEastAsia"/>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1552" w:firstLineChars="552"/>
        <w:rPr>
          <w:rFonts w:asciiTheme="majorEastAsia" w:hAnsiTheme="majorEastAsia" w:eastAsiaTheme="majorEastAsia" w:cstheme="majorEastAsia"/>
          <w:b/>
          <w:color w:val="000000" w:themeColor="text1"/>
          <w:sz w:val="28"/>
          <w:szCs w:val="28"/>
        </w:rPr>
      </w:pPr>
    </w:p>
    <w:p>
      <w:pPr>
        <w:tabs>
          <w:tab w:val="left" w:pos="7200"/>
        </w:tabs>
        <w:spacing w:line="360" w:lineRule="auto"/>
        <w:ind w:firstLine="2570" w:firstLineChars="800"/>
        <w:rPr>
          <w:rFonts w:asciiTheme="majorEastAsia" w:hAnsiTheme="majorEastAsia" w:eastAsiaTheme="majorEastAsia" w:cstheme="majorEastAsia"/>
          <w:b/>
          <w:color w:val="000000" w:themeColor="text1"/>
          <w:sz w:val="32"/>
          <w:szCs w:val="32"/>
          <w:u w:val="single"/>
        </w:rPr>
      </w:pPr>
      <w:bookmarkStart w:id="133" w:name="_Toc32276"/>
      <w:r>
        <w:rPr>
          <w:rFonts w:hint="eastAsia" w:asciiTheme="majorEastAsia" w:hAnsiTheme="majorEastAsia" w:eastAsiaTheme="majorEastAsia" w:cstheme="majorEastAsia"/>
          <w:b/>
          <w:color w:val="000000" w:themeColor="text1"/>
          <w:sz w:val="32"/>
          <w:szCs w:val="32"/>
        </w:rPr>
        <w:t>采购人：</w:t>
      </w:r>
      <w:bookmarkEnd w:id="133"/>
      <w:r>
        <w:rPr>
          <w:rFonts w:hint="eastAsia" w:asciiTheme="majorEastAsia" w:hAnsiTheme="majorEastAsia" w:eastAsiaTheme="majorEastAsia" w:cstheme="majorEastAsia"/>
          <w:b/>
          <w:color w:val="000000" w:themeColor="text1"/>
          <w:sz w:val="32"/>
          <w:szCs w:val="32"/>
          <w:u w:val="single"/>
        </w:rPr>
        <w:t xml:space="preserve">南宁市住房和城乡建设局        </w:t>
      </w:r>
    </w:p>
    <w:p>
      <w:pPr>
        <w:widowControl/>
        <w:tabs>
          <w:tab w:val="left" w:pos="7380"/>
        </w:tabs>
        <w:spacing w:line="360" w:lineRule="auto"/>
        <w:ind w:firstLine="2570" w:firstLineChars="800"/>
        <w:jc w:val="left"/>
        <w:rPr>
          <w:rFonts w:asciiTheme="majorEastAsia" w:hAnsiTheme="majorEastAsia" w:eastAsiaTheme="majorEastAsia" w:cstheme="majorEastAsia"/>
          <w:b/>
          <w:color w:val="000000" w:themeColor="text1"/>
          <w:sz w:val="36"/>
          <w:szCs w:val="36"/>
        </w:rPr>
        <w:sectPr>
          <w:pgSz w:w="11906" w:h="16838"/>
          <w:pgMar w:top="1440" w:right="1080" w:bottom="1440" w:left="880" w:header="720" w:footer="720" w:gutter="0"/>
          <w:cols w:space="720" w:num="1"/>
          <w:docGrid w:type="lines" w:linePitch="331" w:charSpace="0"/>
        </w:sectPr>
      </w:pPr>
      <w:bookmarkStart w:id="134" w:name="_Toc32593"/>
      <w:r>
        <w:rPr>
          <w:rFonts w:hint="eastAsia" w:asciiTheme="majorEastAsia" w:hAnsiTheme="majorEastAsia" w:eastAsiaTheme="majorEastAsia" w:cstheme="majorEastAsia"/>
          <w:b/>
          <w:color w:val="000000" w:themeColor="text1"/>
          <w:sz w:val="32"/>
          <w:szCs w:val="32"/>
        </w:rPr>
        <w:t>成交供应商：</w:t>
      </w:r>
      <w:r>
        <w:rPr>
          <w:rFonts w:hint="eastAsia" w:asciiTheme="majorEastAsia" w:hAnsiTheme="majorEastAsia" w:eastAsiaTheme="majorEastAsia" w:cstheme="majorEastAsia"/>
          <w:b/>
          <w:color w:val="000000" w:themeColor="text1"/>
          <w:sz w:val="32"/>
          <w:szCs w:val="32"/>
          <w:u w:val="single"/>
        </w:rPr>
        <w:t xml:space="preserve">                    </w:t>
      </w:r>
      <w:bookmarkEnd w:id="134"/>
    </w:p>
    <w:p>
      <w:pPr>
        <w:widowControl/>
        <w:jc w:val="center"/>
        <w:rPr>
          <w:rFonts w:asciiTheme="majorEastAsia" w:hAnsiTheme="majorEastAsia" w:eastAsiaTheme="majorEastAsia" w:cstheme="majorEastAsia"/>
          <w:b/>
          <w:color w:val="000000" w:themeColor="text1"/>
          <w:sz w:val="36"/>
          <w:szCs w:val="36"/>
        </w:rPr>
      </w:pPr>
      <w:bookmarkStart w:id="135" w:name="_Toc20957"/>
      <w:r>
        <w:rPr>
          <w:rFonts w:hint="eastAsia" w:asciiTheme="majorEastAsia" w:hAnsiTheme="majorEastAsia" w:eastAsiaTheme="majorEastAsia" w:cstheme="majorEastAsia"/>
          <w:b/>
          <w:color w:val="000000" w:themeColor="text1"/>
          <w:sz w:val="36"/>
          <w:szCs w:val="36"/>
        </w:rPr>
        <w:t>目  录</w:t>
      </w:r>
      <w:bookmarkEnd w:id="135"/>
    </w:p>
    <w:p>
      <w:pPr>
        <w:tabs>
          <w:tab w:val="left" w:pos="1170"/>
        </w:tabs>
        <w:spacing w:line="360" w:lineRule="auto"/>
        <w:ind w:left="359" w:leftChars="171" w:firstLine="198" w:firstLineChars="71"/>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ab/>
      </w:r>
    </w:p>
    <w:p>
      <w:pPr>
        <w:rPr>
          <w:rFonts w:asciiTheme="majorEastAsia" w:hAnsiTheme="majorEastAsia" w:eastAsiaTheme="majorEastAsia" w:cstheme="majorEastAsia"/>
          <w:b/>
          <w:color w:val="000000" w:themeColor="text1"/>
          <w:sz w:val="30"/>
          <w:szCs w:val="30"/>
        </w:rPr>
      </w:pPr>
      <w:bookmarkStart w:id="136" w:name="_Toc3040"/>
      <w:r>
        <w:rPr>
          <w:rFonts w:hint="eastAsia" w:asciiTheme="majorEastAsia" w:hAnsiTheme="majorEastAsia" w:eastAsiaTheme="majorEastAsia" w:cstheme="majorEastAsia"/>
          <w:b/>
          <w:color w:val="000000" w:themeColor="text1"/>
          <w:sz w:val="30"/>
          <w:szCs w:val="30"/>
        </w:rPr>
        <w:t>一、南宁市政府采购合同书</w:t>
      </w:r>
      <w:bookmarkEnd w:id="136"/>
    </w:p>
    <w:p>
      <w:pPr>
        <w:rPr>
          <w:rFonts w:asciiTheme="majorEastAsia" w:hAnsiTheme="majorEastAsia" w:eastAsiaTheme="majorEastAsia" w:cstheme="majorEastAsia"/>
          <w:b/>
          <w:color w:val="000000" w:themeColor="text1"/>
          <w:sz w:val="30"/>
          <w:szCs w:val="30"/>
        </w:rPr>
      </w:pPr>
      <w:bookmarkStart w:id="137" w:name="_Toc27532"/>
      <w:r>
        <w:rPr>
          <w:rFonts w:hint="eastAsia" w:asciiTheme="majorEastAsia" w:hAnsiTheme="majorEastAsia" w:eastAsiaTheme="majorEastAsia" w:cstheme="majorEastAsia"/>
          <w:b/>
          <w:color w:val="000000" w:themeColor="text1"/>
          <w:sz w:val="30"/>
          <w:szCs w:val="30"/>
        </w:rPr>
        <w:t>二、合同附件</w:t>
      </w:r>
      <w:bookmarkEnd w:id="137"/>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成交通知书</w:t>
      </w:r>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竞争性磋商文件服务需求一览表（见竞争性磋商文件）</w:t>
      </w:r>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竞争性磋商文件的澄清和修改（如有请提供）</w:t>
      </w:r>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响应文件报价表（见响应文件）、响应文件最终报价表</w:t>
      </w:r>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响应文件中的服务技术资料表、商务条款偏离表（见响应文件）</w:t>
      </w:r>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成交供应商澄清函</w:t>
      </w:r>
      <w:r>
        <w:rPr>
          <w:rFonts w:hint="eastAsia" w:asciiTheme="majorEastAsia" w:hAnsiTheme="majorEastAsia" w:eastAsiaTheme="majorEastAsia" w:cstheme="majorEastAsia"/>
          <w:color w:val="000000" w:themeColor="text1"/>
          <w:sz w:val="28"/>
          <w:szCs w:val="28"/>
        </w:rPr>
        <w:t>（如有请提</w:t>
      </w:r>
      <w:r>
        <w:rPr>
          <w:rFonts w:hint="eastAsia" w:asciiTheme="majorEastAsia" w:hAnsiTheme="majorEastAsia" w:eastAsiaTheme="majorEastAsia" w:cstheme="majorEastAsia"/>
          <w:color w:val="000000" w:themeColor="text1"/>
          <w:sz w:val="30"/>
          <w:szCs w:val="30"/>
        </w:rPr>
        <w:t>供</w:t>
      </w:r>
      <w:r>
        <w:rPr>
          <w:rFonts w:hint="eastAsia" w:asciiTheme="majorEastAsia" w:hAnsiTheme="majorEastAsia" w:eastAsiaTheme="majorEastAsia" w:cstheme="majorEastAsia"/>
          <w:color w:val="000000" w:themeColor="text1"/>
          <w:sz w:val="28"/>
          <w:szCs w:val="28"/>
        </w:rPr>
        <w:t>）</w:t>
      </w:r>
    </w:p>
    <w:p>
      <w:pPr>
        <w:numPr>
          <w:ilvl w:val="0"/>
          <w:numId w:val="5"/>
        </w:numPr>
        <w:spacing w:line="360" w:lineRule="auto"/>
        <w:ind w:left="357" w:firstLine="543"/>
        <w:rPr>
          <w:rFonts w:asciiTheme="majorEastAsia" w:hAnsiTheme="majorEastAsia" w:eastAsiaTheme="majorEastAsia" w:cstheme="majorEastAsia"/>
          <w:color w:val="000000" w:themeColor="text1"/>
          <w:sz w:val="28"/>
        </w:rPr>
      </w:pPr>
      <w:r>
        <w:rPr>
          <w:rFonts w:hint="eastAsia" w:asciiTheme="majorEastAsia" w:hAnsiTheme="majorEastAsia" w:eastAsiaTheme="majorEastAsia" w:cstheme="majorEastAsia"/>
          <w:color w:val="000000" w:themeColor="text1"/>
          <w:sz w:val="28"/>
        </w:rPr>
        <w:t>其他与本合同相关的资料（如有请提供）</w:t>
      </w:r>
    </w:p>
    <w:p>
      <w:pPr>
        <w:spacing w:line="360" w:lineRule="auto"/>
        <w:jc w:val="center"/>
        <w:rPr>
          <w:rFonts w:asciiTheme="majorEastAsia" w:hAnsiTheme="majorEastAsia" w:eastAsiaTheme="majorEastAsia" w:cstheme="majorEastAsia"/>
          <w:b/>
          <w:bCs/>
          <w:color w:val="000000" w:themeColor="text1"/>
          <w:sz w:val="28"/>
        </w:rPr>
      </w:pPr>
    </w:p>
    <w:p>
      <w:pPr>
        <w:spacing w:line="360" w:lineRule="auto"/>
        <w:jc w:val="center"/>
        <w:rPr>
          <w:rFonts w:asciiTheme="majorEastAsia" w:hAnsiTheme="majorEastAsia" w:eastAsiaTheme="majorEastAsia" w:cstheme="majorEastAsia"/>
          <w:b/>
          <w:bCs/>
          <w:color w:val="000000" w:themeColor="text1"/>
          <w:sz w:val="30"/>
          <w:szCs w:val="30"/>
        </w:rPr>
      </w:pPr>
      <w:r>
        <w:rPr>
          <w:rFonts w:hint="eastAsia" w:asciiTheme="majorEastAsia" w:hAnsiTheme="majorEastAsia" w:eastAsiaTheme="majorEastAsia" w:cstheme="majorEastAsia"/>
          <w:bCs/>
          <w:color w:val="000000" w:themeColor="text1"/>
          <w:sz w:val="28"/>
        </w:rPr>
        <w:br w:type="page"/>
      </w:r>
      <w:r>
        <w:rPr>
          <w:rFonts w:hint="eastAsia" w:asciiTheme="majorEastAsia" w:hAnsiTheme="majorEastAsia" w:eastAsiaTheme="majorEastAsia" w:cstheme="majorEastAsia"/>
          <w:b/>
          <w:color w:val="000000" w:themeColor="text1"/>
          <w:sz w:val="30"/>
          <w:szCs w:val="30"/>
        </w:rPr>
        <w:t>南宁市政府采购合同书</w:t>
      </w:r>
    </w:p>
    <w:p>
      <w:pPr>
        <w:pStyle w:val="9"/>
        <w:spacing w:line="360" w:lineRule="auto"/>
        <w:rPr>
          <w:rFonts w:asciiTheme="majorEastAsia" w:hAnsiTheme="majorEastAsia" w:eastAsiaTheme="majorEastAsia" w:cstheme="majorEastAsia"/>
          <w:color w:val="000000" w:themeColor="text1"/>
        </w:rPr>
      </w:pPr>
    </w:p>
    <w:p>
      <w:pPr>
        <w:pStyle w:val="9"/>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项目名称：</w:t>
      </w:r>
      <w:r>
        <w:rPr>
          <w:rFonts w:hint="eastAsia" w:asciiTheme="majorEastAsia" w:hAnsiTheme="majorEastAsia" w:eastAsiaTheme="majorEastAsia" w:cstheme="majorEastAsia"/>
          <w:color w:val="000000" w:themeColor="text1"/>
          <w:sz w:val="24"/>
          <w:szCs w:val="24"/>
          <w:u w:val="single"/>
        </w:rPr>
        <w:t>OA内部协同办公系统</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项目编号：</w:t>
      </w:r>
      <w:r>
        <w:rPr>
          <w:rFonts w:hint="eastAsia" w:asciiTheme="majorEastAsia" w:hAnsiTheme="majorEastAsia" w:eastAsiaTheme="majorEastAsia" w:cstheme="majorEastAsia"/>
          <w:color w:val="000000" w:themeColor="text1"/>
          <w:sz w:val="24"/>
          <w:szCs w:val="24"/>
          <w:u w:val="single"/>
        </w:rPr>
        <w:t>NNZC2020-C3-990366-GXYZ</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分标号（有分标时填写）：</w:t>
      </w:r>
      <w:r>
        <w:rPr>
          <w:rFonts w:hint="eastAsia" w:asciiTheme="majorEastAsia" w:hAnsiTheme="majorEastAsia" w:eastAsiaTheme="majorEastAsia" w:cstheme="majorEastAsia"/>
          <w:color w:val="000000" w:themeColor="text1"/>
          <w:sz w:val="24"/>
          <w:szCs w:val="24"/>
          <w:u w:val="single"/>
        </w:rPr>
        <w:t xml:space="preserve"> / </w:t>
      </w:r>
    </w:p>
    <w:p>
      <w:pPr>
        <w:pStyle w:val="9"/>
        <w:spacing w:line="360" w:lineRule="auto"/>
        <w:rPr>
          <w:rFonts w:asciiTheme="majorEastAsia" w:hAnsiTheme="majorEastAsia" w:eastAsiaTheme="majorEastAsia" w:cstheme="majorEastAsia"/>
          <w:color w:val="000000" w:themeColor="text1"/>
          <w:sz w:val="24"/>
          <w:szCs w:val="24"/>
        </w:rPr>
      </w:pPr>
    </w:p>
    <w:p>
      <w:pPr>
        <w:pStyle w:val="9"/>
        <w:tabs>
          <w:tab w:val="left" w:pos="5250"/>
        </w:tabs>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采购人（甲方）：</w:t>
      </w:r>
      <w:r>
        <w:rPr>
          <w:rFonts w:hint="eastAsia" w:asciiTheme="majorEastAsia" w:hAnsiTheme="majorEastAsia" w:eastAsiaTheme="majorEastAsia" w:cstheme="majorEastAsia"/>
          <w:color w:val="000000" w:themeColor="text1"/>
          <w:sz w:val="24"/>
          <w:szCs w:val="24"/>
          <w:u w:val="single"/>
        </w:rPr>
        <w:t xml:space="preserve">南宁市住房和城乡建设局   </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成交供应商（乙方）：</w:t>
      </w:r>
      <w:r>
        <w:rPr>
          <w:rFonts w:hint="eastAsia" w:asciiTheme="majorEastAsia" w:hAnsiTheme="majorEastAsia" w:eastAsiaTheme="majorEastAsia" w:cstheme="majorEastAsia"/>
          <w:color w:val="000000" w:themeColor="text1"/>
          <w:sz w:val="24"/>
          <w:szCs w:val="24"/>
          <w:u w:val="single"/>
        </w:rPr>
        <w:t xml:space="preserve">               </w:t>
      </w:r>
    </w:p>
    <w:bookmarkEnd w:id="65"/>
    <w:bookmarkEnd w:id="66"/>
    <w:bookmarkEnd w:id="67"/>
    <w:bookmarkEnd w:id="68"/>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根据   年  月  日南宁市政府采购项目的采购结果，甲方接受乙方对本项目的响应，甲、乙双方同意签署本合同（以下简称合同）。</w:t>
      </w:r>
    </w:p>
    <w:p>
      <w:pPr>
        <w:pStyle w:val="9"/>
        <w:spacing w:line="360" w:lineRule="auto"/>
        <w:rPr>
          <w:rFonts w:asciiTheme="majorEastAsia" w:hAnsiTheme="majorEastAsia" w:eastAsiaTheme="majorEastAsia" w:cstheme="majorEastAsia"/>
          <w:b/>
          <w:color w:val="000000" w:themeColor="text1"/>
          <w:sz w:val="24"/>
          <w:szCs w:val="24"/>
        </w:rPr>
      </w:pP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  采购内容</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1.1 服务名称：</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 数量：</w:t>
      </w:r>
      <w:r>
        <w:rPr>
          <w:rFonts w:hint="eastAsia" w:asciiTheme="majorEastAsia" w:hAnsiTheme="majorEastAsia" w:eastAsiaTheme="majorEastAsia" w:cstheme="majorEastAsia"/>
          <w:color w:val="000000" w:themeColor="text1"/>
          <w:sz w:val="24"/>
          <w:szCs w:val="24"/>
          <w:u w:val="single"/>
        </w:rPr>
        <w:t xml:space="preserve">详见合同附件中响应报价表           </w:t>
      </w:r>
    </w:p>
    <w:p>
      <w:pPr>
        <w:pStyle w:val="9"/>
        <w:tabs>
          <w:tab w:val="left" w:pos="522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1.2服务内容：</w:t>
      </w:r>
      <w:r>
        <w:rPr>
          <w:rFonts w:hint="eastAsia" w:asciiTheme="majorEastAsia" w:hAnsiTheme="majorEastAsia" w:eastAsiaTheme="majorEastAsia" w:cstheme="majorEastAsia"/>
          <w:color w:val="000000" w:themeColor="text1"/>
          <w:sz w:val="24"/>
          <w:szCs w:val="24"/>
          <w:u w:val="single"/>
        </w:rPr>
        <w:t xml:space="preserve">详见合同附件中响应服务技术资料表及澄清函（响应服务技术资料表与澄清函不一致的以澄清函为准） </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2.  合同金额</w:t>
      </w:r>
    </w:p>
    <w:p>
      <w:pPr>
        <w:pStyle w:val="9"/>
        <w:spacing w:line="360" w:lineRule="auto"/>
        <w:ind w:left="2"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2.1 本合同金额为（大写）人民币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w:t>
      </w:r>
      <w:r>
        <w:rPr>
          <w:rFonts w:hint="eastAsia" w:asciiTheme="majorEastAsia" w:hAnsiTheme="majorEastAsia" w:eastAsiaTheme="majorEastAsia" w:cstheme="majorEastAsia"/>
          <w:color w:val="000000" w:themeColor="text1"/>
          <w:sz w:val="24"/>
          <w:szCs w:val="24"/>
        </w:rPr>
        <w:t>元）。（详见响应文件最终报价表）</w:t>
      </w:r>
    </w:p>
    <w:p>
      <w:pPr>
        <w:pStyle w:val="9"/>
        <w:tabs>
          <w:tab w:val="left" w:pos="5940"/>
        </w:tabs>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3.  提交服务成果要求</w:t>
      </w:r>
    </w:p>
    <w:p>
      <w:pPr>
        <w:pStyle w:val="9"/>
        <w:tabs>
          <w:tab w:val="left" w:pos="5220"/>
        </w:tabs>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3.1 提交服务成果时间：</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360"/>
        <w:rPr>
          <w:rFonts w:asciiTheme="majorEastAsia" w:hAnsiTheme="majorEastAsia" w:eastAsiaTheme="majorEastAsia" w:cstheme="majorEastAsia"/>
          <w:bCs/>
          <w:color w:val="000000" w:themeColor="text1"/>
          <w:sz w:val="24"/>
          <w:szCs w:val="24"/>
        </w:rPr>
      </w:pPr>
      <w:r>
        <w:rPr>
          <w:rFonts w:hint="eastAsia" w:asciiTheme="majorEastAsia" w:hAnsiTheme="majorEastAsia" w:eastAsiaTheme="majorEastAsia" w:cstheme="majorEastAsia"/>
          <w:bCs/>
          <w:color w:val="000000" w:themeColor="text1"/>
          <w:sz w:val="24"/>
          <w:szCs w:val="24"/>
        </w:rPr>
        <w:t>3.2 提交服务成果</w:t>
      </w:r>
      <w:r>
        <w:rPr>
          <w:rFonts w:hint="eastAsia" w:cs="宋体" w:asciiTheme="majorEastAsia" w:hAnsiTheme="majorEastAsia" w:eastAsiaTheme="majorEastAsia"/>
          <w:color w:val="000000" w:themeColor="text1"/>
          <w:sz w:val="24"/>
        </w:rPr>
        <w:t>地点</w:t>
      </w:r>
      <w:r>
        <w:rPr>
          <w:rFonts w:hint="eastAsia" w:asciiTheme="majorEastAsia" w:hAnsiTheme="majorEastAsia" w:eastAsiaTheme="majorEastAsia" w:cstheme="majorEastAsia"/>
          <w:bCs/>
          <w:color w:val="000000" w:themeColor="text1"/>
          <w:sz w:val="24"/>
          <w:szCs w:val="24"/>
        </w:rPr>
        <w:t>：</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36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Cs/>
          <w:color w:val="000000" w:themeColor="text1"/>
          <w:sz w:val="24"/>
          <w:szCs w:val="24"/>
        </w:rPr>
        <w:t xml:space="preserve">3.3 </w:t>
      </w:r>
      <w:r>
        <w:rPr>
          <w:rFonts w:hint="eastAsia" w:asciiTheme="majorEastAsia" w:hAnsiTheme="majorEastAsia" w:eastAsiaTheme="majorEastAsia" w:cstheme="majorEastAsia"/>
          <w:color w:val="000000" w:themeColor="text1"/>
          <w:sz w:val="24"/>
          <w:szCs w:val="24"/>
        </w:rPr>
        <w:t>乙方必须按响应文件承诺的服务响应条款向甲方提供服务。</w:t>
      </w:r>
    </w:p>
    <w:p>
      <w:pPr>
        <w:pStyle w:val="9"/>
        <w:spacing w:line="360" w:lineRule="auto"/>
        <w:ind w:left="410" w:hanging="410" w:hangingChars="17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4.  履约保证金</w:t>
      </w:r>
    </w:p>
    <w:p>
      <w:pPr>
        <w:pStyle w:val="9"/>
        <w:spacing w:line="440" w:lineRule="exact"/>
        <w:ind w:firstLine="360" w:firstLineChars="150"/>
        <w:jc w:val="left"/>
        <w:rPr>
          <w:rFonts w:asciiTheme="majorEastAsia" w:hAnsiTheme="majorEastAsia" w:eastAsiaTheme="majorEastAsia" w:cstheme="majorEastAsia"/>
          <w:color w:val="000000" w:themeColor="text1"/>
          <w:szCs w:val="28"/>
        </w:rPr>
      </w:pPr>
      <w:r>
        <w:rPr>
          <w:rFonts w:hint="eastAsia" w:asciiTheme="majorEastAsia" w:hAnsiTheme="majorEastAsia" w:eastAsiaTheme="majorEastAsia" w:cstheme="majorEastAsia"/>
          <w:color w:val="000000" w:themeColor="text1"/>
          <w:sz w:val="24"/>
          <w:szCs w:val="24"/>
        </w:rPr>
        <w:t>本项目不收取履约保证金</w:t>
      </w:r>
      <w:r>
        <w:rPr>
          <w:rFonts w:hint="eastAsia" w:asciiTheme="majorEastAsia" w:hAnsiTheme="majorEastAsia" w:eastAsiaTheme="majorEastAsia" w:cstheme="majorEastAsia"/>
          <w:color w:val="000000" w:themeColor="text1"/>
          <w:szCs w:val="28"/>
        </w:rPr>
        <w:t>。</w:t>
      </w:r>
    </w:p>
    <w:p>
      <w:pPr>
        <w:pStyle w:val="9"/>
        <w:spacing w:line="360" w:lineRule="auto"/>
        <w:ind w:left="412" w:hanging="412" w:hangingChars="171"/>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5.  产权</w:t>
      </w:r>
    </w:p>
    <w:p>
      <w:pPr>
        <w:pStyle w:val="9"/>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5.1 乙方应保证所提供的服务或其任何一部分均不会侵犯任何第三方的专利权、商标权或著作权</w:t>
      </w:r>
      <w:r>
        <w:rPr>
          <w:rFonts w:hint="eastAsia" w:asciiTheme="majorEastAsia" w:hAnsiTheme="majorEastAsia" w:eastAsiaTheme="majorEastAsia" w:cstheme="majorEastAsia"/>
          <w:bCs/>
          <w:color w:val="000000" w:themeColor="text1"/>
          <w:sz w:val="24"/>
          <w:szCs w:val="24"/>
        </w:rPr>
        <w:t>。</w:t>
      </w:r>
    </w:p>
    <w:p>
      <w:pPr>
        <w:pStyle w:val="9"/>
        <w:spacing w:line="360" w:lineRule="auto"/>
        <w:ind w:firstLine="480" w:firstLineChars="200"/>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color w:val="000000" w:themeColor="text1"/>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9"/>
        <w:spacing w:line="360" w:lineRule="auto"/>
        <w:rPr>
          <w:rFonts w:asciiTheme="majorEastAsia" w:hAnsiTheme="majorEastAsia" w:eastAsiaTheme="majorEastAsia" w:cstheme="majorEastAsia"/>
          <w:b/>
          <w:color w:val="000000" w:themeColor="text1"/>
          <w:sz w:val="24"/>
          <w:szCs w:val="24"/>
        </w:rPr>
      </w:pPr>
      <w:r>
        <w:rPr>
          <w:rFonts w:hint="eastAsia" w:asciiTheme="majorEastAsia" w:hAnsiTheme="majorEastAsia" w:eastAsiaTheme="majorEastAsia" w:cstheme="majorEastAsia"/>
          <w:b/>
          <w:bCs/>
          <w:color w:val="000000" w:themeColor="text1"/>
          <w:sz w:val="24"/>
          <w:szCs w:val="24"/>
        </w:rPr>
        <w:t>6.  技术资料</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6.1 甲方应向乙方提供提交服务成果所必需的有关数据、资料等。</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7.  验收</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7.1 乙方应对提交的服务成果作出全面检查和整理，并列出清单，作为甲方验收和使用的技术条件依据，清单应随提交的服务成果交给甲方。</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7.2 乙方在指定地点提交服务成果后，甲方应在五个工作日内依据竞争性磋商采购文件、乙方的响应文件等组织验收，验收完毕后作出书面验收报告。验收时乙方必须在现场。</w:t>
      </w:r>
    </w:p>
    <w:p>
      <w:pPr>
        <w:pStyle w:val="9"/>
        <w:tabs>
          <w:tab w:val="left" w:pos="0"/>
        </w:tabs>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7.3 对复杂的服务，甲方可请国家认可的专业机构参与验收，并由其出具验收报告，相关费用由甲方承担。</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8.  合同款支付</w:t>
      </w:r>
    </w:p>
    <w:p>
      <w:pPr>
        <w:tabs>
          <w:tab w:val="left" w:pos="2101"/>
        </w:tabs>
        <w:spacing w:line="360" w:lineRule="auto"/>
        <w:ind w:firstLine="480" w:firstLineChars="200"/>
        <w:rPr>
          <w:rFonts w:asciiTheme="majorEastAsia" w:hAnsiTheme="majorEastAsia" w:eastAsiaTheme="majorEastAsia" w:cstheme="majorEastAsia"/>
          <w:color w:val="000000" w:themeColor="text1"/>
          <w:sz w:val="24"/>
          <w:u w:val="single"/>
        </w:rPr>
      </w:pPr>
      <w:r>
        <w:rPr>
          <w:rFonts w:hint="eastAsia" w:asciiTheme="majorEastAsia" w:hAnsiTheme="majorEastAsia" w:eastAsiaTheme="majorEastAsia" w:cstheme="majorEastAsia"/>
          <w:bCs/>
          <w:color w:val="000000" w:themeColor="text1"/>
          <w:sz w:val="24"/>
        </w:rPr>
        <w:t>8.1 付款方式：</w:t>
      </w:r>
      <w:r>
        <w:rPr>
          <w:rFonts w:hint="eastAsia" w:asciiTheme="majorEastAsia" w:hAnsiTheme="majorEastAsia" w:eastAsiaTheme="majorEastAsia" w:cstheme="majorEastAsia"/>
          <w:bCs/>
          <w:color w:val="000000" w:themeColor="text1"/>
          <w:sz w:val="24"/>
          <w:u w:val="single"/>
        </w:rPr>
        <w:t xml:space="preserve"> 本项目无预付款，成交供应商完成开发，提交验收材料并通过采购人确认合格后，采购人向成交供应商一次性支付合同全款。</w:t>
      </w:r>
    </w:p>
    <w:p>
      <w:pPr>
        <w:pStyle w:val="9"/>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9"/>
        <w:tabs>
          <w:tab w:val="left" w:pos="5145"/>
          <w:tab w:val="left" w:pos="5355"/>
          <w:tab w:val="left" w:pos="6195"/>
        </w:tabs>
        <w:spacing w:line="360" w:lineRule="auto"/>
        <w:ind w:firstLine="480" w:firstLineChars="200"/>
        <w:rPr>
          <w:rFonts w:asciiTheme="majorEastAsia" w:hAnsiTheme="majorEastAsia" w:eastAsiaTheme="majorEastAsia" w:cstheme="majorEastAsia"/>
          <w:bCs/>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8.3 政府采购监督管理部门在处理投诉事项期间，可以视具体情况书面通知采购人暂停采购活动</w:t>
      </w:r>
      <w:r>
        <w:rPr>
          <w:rFonts w:hint="eastAsia" w:asciiTheme="majorEastAsia" w:hAnsiTheme="majorEastAsia" w:eastAsiaTheme="majorEastAsia" w:cstheme="majorEastAsia"/>
          <w:bCs/>
          <w:color w:val="000000" w:themeColor="text1"/>
          <w:sz w:val="24"/>
          <w:szCs w:val="24"/>
        </w:rPr>
        <w:t>，并延期支付合同款。</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9.  售后服务要求</w:t>
      </w:r>
    </w:p>
    <w:p>
      <w:pPr>
        <w:pStyle w:val="9"/>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9.1 乙方提供服务的质量保证期为：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（自提交服务验收合格之日起计）</w:t>
      </w:r>
    </w:p>
    <w:p>
      <w:pPr>
        <w:pStyle w:val="9"/>
        <w:spacing w:line="360" w:lineRule="auto"/>
        <w:ind w:firstLine="480" w:firstLineChars="20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9.2在本合同第9.1项约定的质量保证期内，乙方应对服务出现的问题负责处理解决并承担一切费用。</w:t>
      </w:r>
    </w:p>
    <w:p>
      <w:pPr>
        <w:pStyle w:val="9"/>
        <w:tabs>
          <w:tab w:val="left" w:pos="5250"/>
        </w:tabs>
        <w:spacing w:line="360" w:lineRule="auto"/>
        <w:ind w:firstLine="480" w:firstLineChars="2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9.5 其他售后服务要求：</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10.  违约责任</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10.1甲方无正当理由拒收服务的，甲方向乙方偿付拒收服务费总值的百分之五违约金。</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10.2 甲方无故逾期接收和办理服务费支付手续的,甲方应按逾期付款总额每日万分之五向乙方支付违约金。</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11.  不可抗力事件处理</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11.1 在合同有效期内，任何一方因不可抗力事件导致不能履行合同，则合同履行期可延长，其延长期与不可抗力影响期相同。</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11.2 不可抗力事件发生后，应立即通知对方，并寄送有关权威机构出具的证明。</w:t>
      </w:r>
    </w:p>
    <w:p>
      <w:pPr>
        <w:pStyle w:val="9"/>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11.3 不可抗力事件延续120天以上，双方应通过友好协商，确定是否继续履行合同。</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12.  诉讼</w:t>
      </w:r>
    </w:p>
    <w:p>
      <w:pPr>
        <w:pStyle w:val="9"/>
        <w:tabs>
          <w:tab w:val="left" w:pos="0"/>
        </w:tabs>
        <w:spacing w:line="360" w:lineRule="auto"/>
        <w:ind w:firstLine="410" w:firstLineChars="171"/>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12.1 双方在执行合同中所发生的一切争议，应通过协商解决。如协商不成，可向合同签订地法院起诉，合同签订地在此约定为广西南宁市。</w:t>
      </w:r>
    </w:p>
    <w:p>
      <w:pPr>
        <w:pStyle w:val="9"/>
        <w:spacing w:line="360" w:lineRule="auto"/>
        <w:rPr>
          <w:rFonts w:asciiTheme="majorEastAsia" w:hAnsiTheme="majorEastAsia" w:eastAsiaTheme="majorEastAsia" w:cstheme="majorEastAsia"/>
          <w:b/>
          <w:bCs/>
          <w:color w:val="000000" w:themeColor="text1"/>
          <w:sz w:val="24"/>
          <w:szCs w:val="24"/>
        </w:rPr>
      </w:pPr>
      <w:r>
        <w:rPr>
          <w:rFonts w:hint="eastAsia" w:asciiTheme="majorEastAsia" w:hAnsiTheme="majorEastAsia" w:eastAsiaTheme="majorEastAsia" w:cstheme="majorEastAsia"/>
          <w:b/>
          <w:bCs/>
          <w:color w:val="000000" w:themeColor="text1"/>
          <w:sz w:val="24"/>
          <w:szCs w:val="24"/>
        </w:rPr>
        <w:t>13.  合同生效及其它</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13.1 合同经双方法定代表人或授权委托代理人签字并加盖单位公章后生效。</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13.2 合同执行中涉及采购资金和采购内容修改或补充的，须经市财政部门审批，并签书面补充协议报南宁市政府采购监督管理部门备案，方可作为主合同不可分割的一部分。</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13.3 下述合同附件为本合同不可分割的部分并与本合同具有同等效力：</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（1）成交通知书；</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（2）竞争性磋商采购文件服务需求一览表；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（3）竞争性磋商采购文件的澄清和修改；</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（4）响应文件报价表、响应文件最后报价表；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（5）响应文件中的服务技术资料表、商务条款偏离表；</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（6）成交供应商澄清函；</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（7）其他与本合同相关的资料。</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13.4 本合同未尽事宜，遵照《中华人民共和国合同法》有关条文执行。</w:t>
      </w:r>
    </w:p>
    <w:p>
      <w:pPr>
        <w:pStyle w:val="9"/>
        <w:spacing w:line="360" w:lineRule="auto"/>
        <w:ind w:firstLine="360"/>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rPr>
        <w:t>13.5本合同正本一式</w:t>
      </w:r>
      <w:r>
        <w:rPr>
          <w:rFonts w:hint="eastAsia" w:asciiTheme="majorEastAsia" w:hAnsiTheme="majorEastAsia" w:eastAsiaTheme="majorEastAsia" w:cstheme="majorEastAsia"/>
          <w:b/>
          <w:color w:val="000000" w:themeColor="text1"/>
          <w:sz w:val="24"/>
        </w:rPr>
        <w:t>陆份</w:t>
      </w:r>
      <w:r>
        <w:rPr>
          <w:rFonts w:hint="eastAsia" w:asciiTheme="majorEastAsia" w:hAnsiTheme="majorEastAsia" w:eastAsiaTheme="majorEastAsia" w:cstheme="majorEastAsia"/>
          <w:color w:val="000000" w:themeColor="text1"/>
          <w:sz w:val="24"/>
        </w:rPr>
        <w:t>，具有同等法律效力，甲乙双方各执</w:t>
      </w:r>
      <w:r>
        <w:rPr>
          <w:rFonts w:hint="eastAsia" w:asciiTheme="majorEastAsia" w:hAnsiTheme="majorEastAsia" w:eastAsiaTheme="majorEastAsia" w:cstheme="majorEastAsia"/>
          <w:b/>
          <w:color w:val="000000" w:themeColor="text1"/>
          <w:sz w:val="24"/>
        </w:rPr>
        <w:t>叁份</w:t>
      </w:r>
      <w:r>
        <w:rPr>
          <w:rFonts w:hint="eastAsia" w:asciiTheme="majorEastAsia" w:hAnsiTheme="majorEastAsia" w:eastAsiaTheme="majorEastAsia" w:cstheme="majorEastAsia"/>
          <w:color w:val="000000" w:themeColor="text1"/>
          <w:sz w:val="24"/>
        </w:rPr>
        <w:t>；副本</w:t>
      </w:r>
      <w:r>
        <w:rPr>
          <w:rFonts w:hint="eastAsia" w:asciiTheme="majorEastAsia" w:hAnsiTheme="majorEastAsia" w:eastAsiaTheme="majorEastAsia" w:cstheme="majorEastAsia"/>
          <w:b/>
          <w:color w:val="000000" w:themeColor="text1"/>
          <w:sz w:val="24"/>
        </w:rPr>
        <w:t>肆份</w:t>
      </w:r>
      <w:r>
        <w:rPr>
          <w:rFonts w:hint="eastAsia" w:asciiTheme="majorEastAsia" w:hAnsiTheme="majorEastAsia" w:eastAsiaTheme="majorEastAsia" w:cstheme="majorEastAsia"/>
          <w:color w:val="000000" w:themeColor="text1"/>
          <w:sz w:val="24"/>
        </w:rPr>
        <w:t>，甲乙双方各执</w:t>
      </w:r>
      <w:r>
        <w:rPr>
          <w:rFonts w:hint="eastAsia" w:asciiTheme="majorEastAsia" w:hAnsiTheme="majorEastAsia" w:eastAsiaTheme="majorEastAsia" w:cstheme="majorEastAsia"/>
          <w:b/>
          <w:color w:val="000000" w:themeColor="text1"/>
          <w:sz w:val="24"/>
        </w:rPr>
        <w:t>壹份</w:t>
      </w:r>
      <w:r>
        <w:rPr>
          <w:rFonts w:hint="eastAsia" w:asciiTheme="majorEastAsia" w:hAnsiTheme="majorEastAsia" w:eastAsiaTheme="majorEastAsia" w:cstheme="majorEastAsia"/>
          <w:color w:val="000000" w:themeColor="text1"/>
          <w:sz w:val="24"/>
        </w:rPr>
        <w:t>，采购代理</w:t>
      </w:r>
      <w:r>
        <w:rPr>
          <w:rFonts w:hint="eastAsia" w:asciiTheme="majorEastAsia" w:hAnsiTheme="majorEastAsia" w:eastAsiaTheme="majorEastAsia" w:cstheme="majorEastAsia"/>
          <w:b/>
          <w:color w:val="000000" w:themeColor="text1"/>
          <w:sz w:val="24"/>
        </w:rPr>
        <w:t>贰份</w:t>
      </w:r>
      <w:r>
        <w:rPr>
          <w:rFonts w:hint="eastAsia" w:asciiTheme="majorEastAsia" w:hAnsiTheme="majorEastAsia" w:eastAsiaTheme="majorEastAsia" w:cstheme="majorEastAsia"/>
          <w:color w:val="000000" w:themeColor="text1"/>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spacing w:line="360" w:lineRule="auto"/>
        <w:rPr>
          <w:rFonts w:asciiTheme="majorEastAsia" w:hAnsiTheme="majorEastAsia" w:eastAsiaTheme="majorEastAsia" w:cstheme="majorEastAsia"/>
          <w:color w:val="000000" w:themeColor="text1"/>
          <w:sz w:val="24"/>
        </w:rPr>
      </w:pPr>
    </w:p>
    <w:p>
      <w:pPr>
        <w:pStyle w:val="9"/>
        <w:spacing w:line="360" w:lineRule="auto"/>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甲方：</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乙方：</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地址：</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法定代表人：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法定代表人：</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委托代理人：</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委托代理人：</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电话：</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传真：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邮政编码：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 xml:space="preserve">    邮政编码：</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u w:val="single"/>
        </w:rPr>
      </w:pPr>
      <w:r>
        <w:rPr>
          <w:rFonts w:hint="eastAsia" w:asciiTheme="majorEastAsia" w:hAnsiTheme="majorEastAsia" w:eastAsiaTheme="majorEastAsia" w:cstheme="majorEastAsia"/>
          <w:color w:val="000000" w:themeColor="text1"/>
          <w:sz w:val="24"/>
          <w:szCs w:val="24"/>
        </w:rPr>
        <w:t>统一社会代码：</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开户银行：</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开户名称：</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ind w:firstLine="5520" w:firstLineChars="2300"/>
        <w:rPr>
          <w:rFonts w:asciiTheme="majorEastAsia" w:hAnsiTheme="majorEastAsia" w:eastAsiaTheme="majorEastAsia" w:cstheme="majorEastAsia"/>
          <w:color w:val="000000" w:themeColor="text1"/>
          <w:sz w:val="24"/>
          <w:szCs w:val="24"/>
          <w:u w:val="single"/>
        </w:rPr>
      </w:pPr>
      <w:r>
        <w:rPr>
          <w:rFonts w:hint="eastAsia" w:asciiTheme="majorEastAsia" w:hAnsiTheme="majorEastAsia" w:eastAsiaTheme="majorEastAsia" w:cstheme="majorEastAsia"/>
          <w:color w:val="000000" w:themeColor="text1"/>
          <w:sz w:val="24"/>
          <w:szCs w:val="24"/>
        </w:rPr>
        <w:t>银行账号：</w:t>
      </w:r>
      <w:r>
        <w:rPr>
          <w:rFonts w:hint="eastAsia" w:asciiTheme="majorEastAsia" w:hAnsiTheme="majorEastAsia" w:eastAsiaTheme="majorEastAsia" w:cstheme="majorEastAsia"/>
          <w:color w:val="000000" w:themeColor="text1"/>
          <w:sz w:val="24"/>
          <w:szCs w:val="24"/>
          <w:u w:val="single"/>
        </w:rPr>
        <w:t xml:space="preserve">                                </w:t>
      </w:r>
    </w:p>
    <w:p>
      <w:pPr>
        <w:pStyle w:val="9"/>
        <w:spacing w:line="360" w:lineRule="auto"/>
        <w:rPr>
          <w:rFonts w:asciiTheme="majorEastAsia" w:hAnsiTheme="majorEastAsia" w:eastAsiaTheme="majorEastAsia" w:cstheme="majorEastAsia"/>
          <w:color w:val="000000" w:themeColor="text1"/>
          <w:sz w:val="24"/>
          <w:szCs w:val="24"/>
        </w:rPr>
      </w:pP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 xml:space="preserve">合同签订地点：广西南宁市 </w:t>
      </w:r>
    </w:p>
    <w:p>
      <w:pPr>
        <w:pStyle w:val="9"/>
        <w:spacing w:line="360" w:lineRule="auto"/>
        <w:rPr>
          <w:rFonts w:asciiTheme="majorEastAsia" w:hAnsiTheme="majorEastAsia" w:eastAsiaTheme="majorEastAsia" w:cstheme="majorEastAsia"/>
          <w:color w:val="000000" w:themeColor="text1"/>
          <w:sz w:val="24"/>
          <w:szCs w:val="24"/>
        </w:rPr>
      </w:pPr>
      <w:r>
        <w:rPr>
          <w:rFonts w:hint="eastAsia" w:asciiTheme="majorEastAsia" w:hAnsiTheme="majorEastAsia" w:eastAsiaTheme="majorEastAsia" w:cstheme="majorEastAsia"/>
          <w:color w:val="000000" w:themeColor="text1"/>
          <w:sz w:val="24"/>
          <w:szCs w:val="24"/>
        </w:rPr>
        <w:t>合同签订日期：</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年</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月</w:t>
      </w:r>
      <w:r>
        <w:rPr>
          <w:rFonts w:hint="eastAsia" w:asciiTheme="majorEastAsia" w:hAnsiTheme="majorEastAsia" w:eastAsiaTheme="majorEastAsia" w:cstheme="majorEastAsia"/>
          <w:color w:val="000000" w:themeColor="text1"/>
          <w:sz w:val="24"/>
          <w:szCs w:val="24"/>
          <w:u w:val="single"/>
        </w:rPr>
        <w:t xml:space="preserve">    </w:t>
      </w:r>
      <w:r>
        <w:rPr>
          <w:rFonts w:hint="eastAsia" w:asciiTheme="majorEastAsia" w:hAnsiTheme="majorEastAsia" w:eastAsiaTheme="majorEastAsia" w:cstheme="majorEastAsia"/>
          <w:color w:val="000000" w:themeColor="text1"/>
          <w:sz w:val="24"/>
          <w:szCs w:val="24"/>
        </w:rPr>
        <w:t>日</w:t>
      </w:r>
    </w:p>
    <w:p>
      <w:pPr>
        <w:pStyle w:val="9"/>
        <w:spacing w:line="360" w:lineRule="auto"/>
        <w:rPr>
          <w:rFonts w:asciiTheme="majorEastAsia" w:hAnsiTheme="majorEastAsia" w:eastAsiaTheme="majorEastAsia" w:cstheme="majorEastAsia"/>
          <w:color w:val="000000" w:themeColor="text1"/>
          <w:sz w:val="24"/>
          <w:szCs w:val="24"/>
        </w:rPr>
      </w:pPr>
    </w:p>
    <w:p>
      <w:pPr>
        <w:rPr>
          <w:rFonts w:asciiTheme="majorEastAsia" w:hAnsiTheme="majorEastAsia" w:eastAsiaTheme="majorEastAsia"/>
        </w:rPr>
      </w:pPr>
    </w:p>
    <w:sectPr>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w:t>
    </w:r>
    <w:r>
      <w:rPr>
        <w:lang w:val="zh-CN"/>
      </w:rPr>
      <w:fldChar w:fldCharType="end"/>
    </w:r>
  </w:p>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6954"/>
    </w:sdtPr>
    <w:sdtContent>
      <w:p>
        <w:pPr>
          <w:pStyle w:val="11"/>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11"/>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J1bjUAQAApQ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rCdW41AEAAKUDAAAOAAAAAAAAAAEAIAAAAB8B&#10;AABkcnMvZTJvRG9jLnhtbFBLBQYAAAAABgAGAFkBAABl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 xml:space="preserve">项目名称：OA内部协同办公系统                                                    项目编号：NNZC2020-C3-990366-GXYZ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right"/>
      <w:rPr>
        <w:rFonts w:ascii="宋体" w:hAnsi="宋体"/>
        <w:color w:val="0D0D0D"/>
        <w:szCs w:val="21"/>
      </w:rPr>
    </w:pPr>
    <w:r>
      <w:rPr>
        <w:rFonts w:ascii="宋体" w:cs="宋体"/>
        <w:b/>
        <w:szCs w:val="21"/>
      </w:rPr>
      <w:drawing>
        <wp:inline distT="0" distB="0" distL="114300" distR="114300">
          <wp:extent cx="332740" cy="332740"/>
          <wp:effectExtent l="0" t="0" r="10160" b="10160"/>
          <wp:docPr id="1"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szCs w:val="21"/>
      </w:rPr>
      <w:t>广西邕政采购代理有限公司</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outlineLvl w:val="0"/>
      <w:rPr>
        <w:rFonts w:asciiTheme="minorEastAsia" w:hAnsiTheme="minorEastAsia" w:eastAsiaTheme="minorEastAsia"/>
        <w:b/>
        <w:color w:val="000000" w:themeColor="text1"/>
        <w:sz w:val="16"/>
        <w:szCs w:val="16"/>
        <w:u w:val="single"/>
      </w:rPr>
    </w:pPr>
    <w:r>
      <w:rPr>
        <w:rFonts w:hint="eastAsia" w:asciiTheme="minorEastAsia" w:hAnsiTheme="minorEastAsia" w:eastAsiaTheme="minorEastAsia"/>
        <w:b/>
        <w:color w:val="000000" w:themeColor="text1"/>
        <w:sz w:val="16"/>
        <w:szCs w:val="16"/>
        <w:u w:val="single"/>
      </w:rPr>
      <w:t>项目名称：OA内部协同办公系统                                                      项目编号：NNZC2020-C3-990366-GXYZ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0F8CC"/>
    <w:multiLevelType w:val="singleLevel"/>
    <w:tmpl w:val="9A10F8CC"/>
    <w:lvl w:ilvl="0" w:tentative="0">
      <w:start w:val="2"/>
      <w:numFmt w:val="decimal"/>
      <w:suff w:val="nothing"/>
      <w:lvlText w:val="%1、"/>
      <w:lvlJc w:val="left"/>
    </w:lvl>
  </w:abstractNum>
  <w:abstractNum w:abstractNumId="1">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4"/>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20B6157B"/>
    <w:multiLevelType w:val="multilevel"/>
    <w:tmpl w:val="20B6157B"/>
    <w:lvl w:ilvl="0" w:tentative="0">
      <w:start w:val="1"/>
      <w:numFmt w:val="decimal"/>
      <w:lvlText w:val="%1、"/>
      <w:lvlJc w:val="left"/>
      <w:pPr>
        <w:tabs>
          <w:tab w:val="left" w:pos="1778"/>
        </w:tabs>
        <w:ind w:left="1778"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U1E8IV5BjwblxNcJzejmq/qshbs=" w:salt="dU9NCKyGut8b5PkG/jUG2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6F739B"/>
    <w:rsid w:val="00020B06"/>
    <w:rsid w:val="00024D9F"/>
    <w:rsid w:val="000432F7"/>
    <w:rsid w:val="000505EE"/>
    <w:rsid w:val="00053129"/>
    <w:rsid w:val="00085A7C"/>
    <w:rsid w:val="000B32BA"/>
    <w:rsid w:val="00134C43"/>
    <w:rsid w:val="0013611B"/>
    <w:rsid w:val="001A6919"/>
    <w:rsid w:val="001B40F2"/>
    <w:rsid w:val="001B47BB"/>
    <w:rsid w:val="001C01C1"/>
    <w:rsid w:val="0023052C"/>
    <w:rsid w:val="0024665E"/>
    <w:rsid w:val="002F4C09"/>
    <w:rsid w:val="003266DA"/>
    <w:rsid w:val="0034558D"/>
    <w:rsid w:val="003558B9"/>
    <w:rsid w:val="00377C36"/>
    <w:rsid w:val="003948B2"/>
    <w:rsid w:val="003A4EF0"/>
    <w:rsid w:val="00435D49"/>
    <w:rsid w:val="004C7E68"/>
    <w:rsid w:val="005026EC"/>
    <w:rsid w:val="005051E3"/>
    <w:rsid w:val="00527CBC"/>
    <w:rsid w:val="006154C5"/>
    <w:rsid w:val="0061637A"/>
    <w:rsid w:val="00680DBA"/>
    <w:rsid w:val="00683547"/>
    <w:rsid w:val="00695049"/>
    <w:rsid w:val="00697F93"/>
    <w:rsid w:val="006C5B8C"/>
    <w:rsid w:val="00705517"/>
    <w:rsid w:val="0072386A"/>
    <w:rsid w:val="0077180D"/>
    <w:rsid w:val="00852A0F"/>
    <w:rsid w:val="0086190F"/>
    <w:rsid w:val="008920DA"/>
    <w:rsid w:val="008E3C20"/>
    <w:rsid w:val="00943EF0"/>
    <w:rsid w:val="009C0A12"/>
    <w:rsid w:val="009D2F88"/>
    <w:rsid w:val="009F0BD5"/>
    <w:rsid w:val="00A07B9C"/>
    <w:rsid w:val="00A210FC"/>
    <w:rsid w:val="00AA4F4E"/>
    <w:rsid w:val="00AE33B5"/>
    <w:rsid w:val="00B56C0D"/>
    <w:rsid w:val="00B705B4"/>
    <w:rsid w:val="00B94FD4"/>
    <w:rsid w:val="00BB78BE"/>
    <w:rsid w:val="00C608C8"/>
    <w:rsid w:val="00C60A4A"/>
    <w:rsid w:val="00C933DC"/>
    <w:rsid w:val="00CA138B"/>
    <w:rsid w:val="00CC3E7E"/>
    <w:rsid w:val="00CF33EA"/>
    <w:rsid w:val="00D04D12"/>
    <w:rsid w:val="00D201DB"/>
    <w:rsid w:val="00D21A9C"/>
    <w:rsid w:val="00D30457"/>
    <w:rsid w:val="00D51A39"/>
    <w:rsid w:val="00D90530"/>
    <w:rsid w:val="00D90B82"/>
    <w:rsid w:val="00DA7796"/>
    <w:rsid w:val="00DC16E1"/>
    <w:rsid w:val="00DF0693"/>
    <w:rsid w:val="00DF6F2F"/>
    <w:rsid w:val="00E1262B"/>
    <w:rsid w:val="00E561D8"/>
    <w:rsid w:val="00E778B3"/>
    <w:rsid w:val="00E84001"/>
    <w:rsid w:val="00F94EE1"/>
    <w:rsid w:val="025D606C"/>
    <w:rsid w:val="0311203F"/>
    <w:rsid w:val="033013AC"/>
    <w:rsid w:val="04EE591F"/>
    <w:rsid w:val="058D0A4C"/>
    <w:rsid w:val="05B31345"/>
    <w:rsid w:val="05DF76BE"/>
    <w:rsid w:val="06483BC3"/>
    <w:rsid w:val="078A0600"/>
    <w:rsid w:val="083400AC"/>
    <w:rsid w:val="087905C7"/>
    <w:rsid w:val="0A49209C"/>
    <w:rsid w:val="0B79019E"/>
    <w:rsid w:val="0E35212B"/>
    <w:rsid w:val="0E4A5BFC"/>
    <w:rsid w:val="0EB914D4"/>
    <w:rsid w:val="0F4B7D2A"/>
    <w:rsid w:val="0F552FFC"/>
    <w:rsid w:val="10BC42B6"/>
    <w:rsid w:val="1182700E"/>
    <w:rsid w:val="119B152C"/>
    <w:rsid w:val="11D84B27"/>
    <w:rsid w:val="13AA14DB"/>
    <w:rsid w:val="13C10907"/>
    <w:rsid w:val="14A94DBC"/>
    <w:rsid w:val="152C74D3"/>
    <w:rsid w:val="15327DB4"/>
    <w:rsid w:val="167C1841"/>
    <w:rsid w:val="16AC3696"/>
    <w:rsid w:val="17621EE1"/>
    <w:rsid w:val="184B73AC"/>
    <w:rsid w:val="192705CF"/>
    <w:rsid w:val="19502EC6"/>
    <w:rsid w:val="1A0D3202"/>
    <w:rsid w:val="1A193D20"/>
    <w:rsid w:val="1A50195F"/>
    <w:rsid w:val="1AA0222D"/>
    <w:rsid w:val="1AFE1BF1"/>
    <w:rsid w:val="1C23702D"/>
    <w:rsid w:val="1D425AA9"/>
    <w:rsid w:val="1E075742"/>
    <w:rsid w:val="1E542989"/>
    <w:rsid w:val="1F593428"/>
    <w:rsid w:val="1F7908B4"/>
    <w:rsid w:val="20DC241B"/>
    <w:rsid w:val="221D6206"/>
    <w:rsid w:val="226E4327"/>
    <w:rsid w:val="244933C0"/>
    <w:rsid w:val="24C03F0A"/>
    <w:rsid w:val="24EC692B"/>
    <w:rsid w:val="25D05A00"/>
    <w:rsid w:val="26A77876"/>
    <w:rsid w:val="27A84E16"/>
    <w:rsid w:val="27C124AD"/>
    <w:rsid w:val="294D5202"/>
    <w:rsid w:val="2A3A7028"/>
    <w:rsid w:val="2AF42F05"/>
    <w:rsid w:val="2C71603E"/>
    <w:rsid w:val="2D4F4033"/>
    <w:rsid w:val="2D922F1F"/>
    <w:rsid w:val="2E8C02E1"/>
    <w:rsid w:val="30423579"/>
    <w:rsid w:val="31375325"/>
    <w:rsid w:val="318E11FE"/>
    <w:rsid w:val="31B7446D"/>
    <w:rsid w:val="3200053D"/>
    <w:rsid w:val="32554FAD"/>
    <w:rsid w:val="32D058DD"/>
    <w:rsid w:val="32D83F95"/>
    <w:rsid w:val="333E4947"/>
    <w:rsid w:val="33A042A3"/>
    <w:rsid w:val="33A27A9E"/>
    <w:rsid w:val="344A1F6B"/>
    <w:rsid w:val="3509018A"/>
    <w:rsid w:val="35241260"/>
    <w:rsid w:val="359308A7"/>
    <w:rsid w:val="35B956BD"/>
    <w:rsid w:val="36323856"/>
    <w:rsid w:val="366F739B"/>
    <w:rsid w:val="369F3368"/>
    <w:rsid w:val="36BB5952"/>
    <w:rsid w:val="38BB46C5"/>
    <w:rsid w:val="3A27786D"/>
    <w:rsid w:val="3B3218AD"/>
    <w:rsid w:val="3C0C5142"/>
    <w:rsid w:val="3CCB74BB"/>
    <w:rsid w:val="3EE44E28"/>
    <w:rsid w:val="40476D59"/>
    <w:rsid w:val="410E37D9"/>
    <w:rsid w:val="42BD67C5"/>
    <w:rsid w:val="43D16E06"/>
    <w:rsid w:val="44503016"/>
    <w:rsid w:val="44E767D7"/>
    <w:rsid w:val="462A1A45"/>
    <w:rsid w:val="4853667C"/>
    <w:rsid w:val="48976E40"/>
    <w:rsid w:val="48F40B44"/>
    <w:rsid w:val="49BD214C"/>
    <w:rsid w:val="4A5B4721"/>
    <w:rsid w:val="4B1056C5"/>
    <w:rsid w:val="4D0577C0"/>
    <w:rsid w:val="500975D8"/>
    <w:rsid w:val="51313C94"/>
    <w:rsid w:val="527346A4"/>
    <w:rsid w:val="52CF34D3"/>
    <w:rsid w:val="52CF55BD"/>
    <w:rsid w:val="52D6360C"/>
    <w:rsid w:val="535167B0"/>
    <w:rsid w:val="556E23E4"/>
    <w:rsid w:val="568A57DA"/>
    <w:rsid w:val="56A777E0"/>
    <w:rsid w:val="56DD5E95"/>
    <w:rsid w:val="57D50164"/>
    <w:rsid w:val="596C6F4A"/>
    <w:rsid w:val="59EB2798"/>
    <w:rsid w:val="5A2C352B"/>
    <w:rsid w:val="5AA14481"/>
    <w:rsid w:val="5D0B0FC3"/>
    <w:rsid w:val="5D0C3903"/>
    <w:rsid w:val="5D4E044B"/>
    <w:rsid w:val="5EBD36FB"/>
    <w:rsid w:val="5F670F26"/>
    <w:rsid w:val="5F704A31"/>
    <w:rsid w:val="60E06998"/>
    <w:rsid w:val="60E92C84"/>
    <w:rsid w:val="62360514"/>
    <w:rsid w:val="632A3D26"/>
    <w:rsid w:val="646B69A7"/>
    <w:rsid w:val="64C04A10"/>
    <w:rsid w:val="65165347"/>
    <w:rsid w:val="65410B09"/>
    <w:rsid w:val="676C32FB"/>
    <w:rsid w:val="67BD03CC"/>
    <w:rsid w:val="682334EA"/>
    <w:rsid w:val="68706A52"/>
    <w:rsid w:val="68FD661D"/>
    <w:rsid w:val="690E229C"/>
    <w:rsid w:val="69B67C51"/>
    <w:rsid w:val="6A346E25"/>
    <w:rsid w:val="6BE236CD"/>
    <w:rsid w:val="6D2A5503"/>
    <w:rsid w:val="6D3A06B4"/>
    <w:rsid w:val="6DF42EB8"/>
    <w:rsid w:val="6F6B1E53"/>
    <w:rsid w:val="6F883D93"/>
    <w:rsid w:val="6FDA342A"/>
    <w:rsid w:val="70003322"/>
    <w:rsid w:val="70EE4854"/>
    <w:rsid w:val="7112379E"/>
    <w:rsid w:val="713A3D57"/>
    <w:rsid w:val="719A34EA"/>
    <w:rsid w:val="72A97EA5"/>
    <w:rsid w:val="72BE2DDE"/>
    <w:rsid w:val="74502C29"/>
    <w:rsid w:val="74F11803"/>
    <w:rsid w:val="76502084"/>
    <w:rsid w:val="76931D5E"/>
    <w:rsid w:val="76B631E8"/>
    <w:rsid w:val="778340A1"/>
    <w:rsid w:val="77D958CB"/>
    <w:rsid w:val="77DA4C1D"/>
    <w:rsid w:val="78951C87"/>
    <w:rsid w:val="78D0745D"/>
    <w:rsid w:val="78EB44E6"/>
    <w:rsid w:val="79EA0736"/>
    <w:rsid w:val="7A51613A"/>
    <w:rsid w:val="7A656099"/>
    <w:rsid w:val="7AA45E39"/>
    <w:rsid w:val="7AB00988"/>
    <w:rsid w:val="7AC35EB0"/>
    <w:rsid w:val="7C7C1D0F"/>
    <w:rsid w:val="7ECB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adjustRightInd w:val="0"/>
      <w:spacing w:before="120" w:line="360" w:lineRule="auto"/>
      <w:ind w:left="284"/>
      <w:textAlignment w:val="baseline"/>
      <w:outlineLvl w:val="0"/>
    </w:pPr>
    <w:rPr>
      <w:rFonts w:eastAsia="黑体"/>
      <w:color w:val="000000"/>
      <w:kern w:val="44"/>
      <w:sz w:val="36"/>
      <w:szCs w:val="20"/>
    </w:rPr>
  </w:style>
  <w:style w:type="paragraph" w:styleId="4">
    <w:name w:val="heading 4"/>
    <w:basedOn w:val="1"/>
    <w:next w:val="1"/>
    <w:qFormat/>
    <w:uiPriority w:val="99"/>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index 8"/>
    <w:basedOn w:val="1"/>
    <w:next w:val="1"/>
    <w:qFormat/>
    <w:uiPriority w:val="0"/>
    <w:pPr>
      <w:ind w:left="2940"/>
    </w:pPr>
  </w:style>
  <w:style w:type="paragraph" w:styleId="6">
    <w:name w:val="Document Map"/>
    <w:basedOn w:val="1"/>
    <w:link w:val="30"/>
    <w:qFormat/>
    <w:uiPriority w:val="0"/>
    <w:rPr>
      <w:rFonts w:ascii="宋体"/>
      <w:sz w:val="18"/>
      <w:szCs w:val="18"/>
    </w:rPr>
  </w:style>
  <w:style w:type="paragraph" w:styleId="7">
    <w:name w:val="annotation text"/>
    <w:basedOn w:val="1"/>
    <w:link w:val="27"/>
    <w:unhideWhenUsed/>
    <w:qFormat/>
    <w:uiPriority w:val="99"/>
    <w:pPr>
      <w:jc w:val="left"/>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4"/>
    <w:qFormat/>
    <w:uiPriority w:val="0"/>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jc w:val="left"/>
      <w:outlineLvl w:val="0"/>
    </w:pPr>
    <w:rPr>
      <w:b/>
      <w:color w:val="000000"/>
      <w:sz w:val="48"/>
      <w:szCs w:val="48"/>
    </w:rPr>
  </w:style>
  <w:style w:type="paragraph" w:styleId="14">
    <w:name w:val="toc 2"/>
    <w:basedOn w:val="1"/>
    <w:next w:val="1"/>
    <w:qFormat/>
    <w:uiPriority w:val="0"/>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99"/>
    <w:pPr>
      <w:spacing w:before="240" w:after="60"/>
      <w:jc w:val="center"/>
      <w:outlineLvl w:val="0"/>
    </w:pPr>
    <w:rPr>
      <w:rFonts w:ascii="Cambria" w:hAnsi="Cambria"/>
      <w:b/>
      <w:bCs/>
      <w:sz w:val="32"/>
      <w:szCs w:val="32"/>
    </w:rPr>
  </w:style>
  <w:style w:type="paragraph" w:styleId="17">
    <w:name w:val="annotation subject"/>
    <w:basedOn w:val="7"/>
    <w:next w:val="7"/>
    <w:link w:val="28"/>
    <w:qFormat/>
    <w:uiPriority w:val="0"/>
    <w:rPr>
      <w:b/>
      <w:bCs/>
    </w:rPr>
  </w:style>
  <w:style w:type="character" w:styleId="20">
    <w:name w:val="Emphasis"/>
    <w:qFormat/>
    <w:uiPriority w:val="99"/>
    <w:rPr>
      <w:rFonts w:cs="Times New Roman"/>
    </w:rPr>
  </w:style>
  <w:style w:type="character" w:styleId="21">
    <w:name w:val="Hyperlink"/>
    <w:basedOn w:val="19"/>
    <w:qFormat/>
    <w:uiPriority w:val="99"/>
    <w:rPr>
      <w:color w:val="0000FF"/>
      <w:u w:val="none"/>
    </w:rPr>
  </w:style>
  <w:style w:type="character" w:styleId="22">
    <w:name w:val="annotation reference"/>
    <w:semiHidden/>
    <w:qFormat/>
    <w:uiPriority w:val="99"/>
    <w:rPr>
      <w:sz w:val="21"/>
      <w:szCs w:val="21"/>
    </w:rPr>
  </w:style>
  <w:style w:type="paragraph" w:customStyle="1" w:styleId="23">
    <w:name w:val="正文段"/>
    <w:basedOn w:val="1"/>
    <w:qFormat/>
    <w:uiPriority w:val="99"/>
    <w:pPr>
      <w:widowControl/>
      <w:snapToGrid w:val="0"/>
      <w:spacing w:afterLines="50"/>
      <w:ind w:firstLine="200" w:firstLineChars="200"/>
    </w:pPr>
    <w:rPr>
      <w:kern w:val="0"/>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9"/>
    <w:link w:val="10"/>
    <w:qFormat/>
    <w:uiPriority w:val="0"/>
    <w:rPr>
      <w:kern w:val="2"/>
      <w:sz w:val="18"/>
      <w:szCs w:val="18"/>
    </w:rPr>
  </w:style>
  <w:style w:type="character" w:customStyle="1" w:styleId="27">
    <w:name w:val="批注文字 Char"/>
    <w:basedOn w:val="19"/>
    <w:link w:val="7"/>
    <w:qFormat/>
    <w:uiPriority w:val="99"/>
    <w:rPr>
      <w:kern w:val="2"/>
      <w:sz w:val="21"/>
      <w:szCs w:val="24"/>
    </w:rPr>
  </w:style>
  <w:style w:type="character" w:customStyle="1" w:styleId="28">
    <w:name w:val="批注主题 Char"/>
    <w:basedOn w:val="27"/>
    <w:link w:val="17"/>
    <w:qFormat/>
    <w:uiPriority w:val="0"/>
  </w:style>
  <w:style w:type="paragraph" w:customStyle="1" w:styleId="29">
    <w:name w:val="文档正文"/>
    <w:basedOn w:val="1"/>
    <w:qFormat/>
    <w:uiPriority w:val="0"/>
    <w:pPr>
      <w:adjustRightInd w:val="0"/>
      <w:spacing w:after="120" w:line="360" w:lineRule="auto"/>
      <w:ind w:firstLine="480" w:firstLineChars="200"/>
    </w:pPr>
    <w:rPr>
      <w:rFonts w:ascii="华文细黑" w:hAnsi="华文细黑" w:eastAsia="华文细黑"/>
      <w:color w:val="000000"/>
      <w:sz w:val="24"/>
    </w:rPr>
  </w:style>
  <w:style w:type="character" w:customStyle="1" w:styleId="30">
    <w:name w:val="文档结构图 Char"/>
    <w:basedOn w:val="19"/>
    <w:link w:val="6"/>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5875</Words>
  <Characters>33493</Characters>
  <Lines>279</Lines>
  <Paragraphs>78</Paragraphs>
  <TotalTime>1</TotalTime>
  <ScaleCrop>false</ScaleCrop>
  <LinksUpToDate>false</LinksUpToDate>
  <CharactersWithSpaces>39290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2020-09-03T09:02:00Z</dcterms:created>
  <dc:creator>Administrator</dc:creator>
  <cp:lastModifiedBy>Administrator</cp:lastModifiedBy>
  <cp:lastPrinted>2020-09-13T08:46:00Z</cp:lastPrinted>
  <dcterms:modified xsi:type="dcterms:W3CDTF">2020-11-04T09:16:42Z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