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950"/>
          <w:tab w:val="right" w:pos="9781"/>
        </w:tabs>
        <w:rPr>
          <w:rFonts w:asciiTheme="majorEastAsia" w:hAnsiTheme="majorEastAsia" w:eastAsiaTheme="majorEastAsia"/>
          <w:color w:val="000000" w:themeColor="text1"/>
          <w:sz w:val="96"/>
          <w:szCs w:val="96"/>
        </w:rPr>
      </w:pPr>
      <w:bookmarkStart w:id="0" w:name="_Toc139966426"/>
      <w:bookmarkStart w:id="1" w:name="_Toc139967210"/>
    </w:p>
    <w:p>
      <w:pPr>
        <w:pStyle w:val="9"/>
        <w:tabs>
          <w:tab w:val="center" w:pos="4950"/>
          <w:tab w:val="right" w:pos="9781"/>
        </w:tabs>
        <w:jc w:val="center"/>
        <w:rPr>
          <w:rFonts w:asciiTheme="majorEastAsia" w:hAnsiTheme="majorEastAsia" w:eastAsiaTheme="majorEastAsia"/>
          <w:b/>
          <w:bCs/>
          <w:color w:val="000000" w:themeColor="text1"/>
          <w:sz w:val="72"/>
          <w:szCs w:val="72"/>
        </w:rPr>
      </w:pPr>
      <w:r>
        <w:rPr>
          <w:rFonts w:hint="eastAsia" w:asciiTheme="majorEastAsia" w:hAnsiTheme="majorEastAsia" w:eastAsiaTheme="majorEastAsia"/>
          <w:color w:val="000000" w:themeColor="text1"/>
          <w:sz w:val="96"/>
          <w:szCs w:val="96"/>
        </w:rPr>
        <w:t>竞争性磋商</w:t>
      </w:r>
      <w:r>
        <w:rPr>
          <w:rFonts w:asciiTheme="majorEastAsia" w:hAnsiTheme="majorEastAsia" w:eastAsiaTheme="majorEastAsia"/>
          <w:color w:val="000000" w:themeColor="text1"/>
          <w:sz w:val="96"/>
          <w:szCs w:val="96"/>
        </w:rPr>
        <w:t>文件</w:t>
      </w:r>
    </w:p>
    <w:p>
      <w:pPr>
        <w:ind w:left="2962" w:leftChars="550" w:hanging="1807" w:hangingChars="500"/>
        <w:rPr>
          <w:rFonts w:cs="宋体" w:asciiTheme="majorEastAsia" w:hAnsiTheme="majorEastAsia" w:eastAsiaTheme="majorEastAsia"/>
          <w:b/>
          <w:bCs/>
          <w:color w:val="000000" w:themeColor="text1"/>
          <w:sz w:val="36"/>
          <w:szCs w:val="36"/>
        </w:rPr>
      </w:pPr>
    </w:p>
    <w:p>
      <w:pPr>
        <w:ind w:left="2962" w:leftChars="550" w:hanging="1807" w:hangingChars="500"/>
        <w:rPr>
          <w:rFonts w:cs="宋体" w:asciiTheme="majorEastAsia" w:hAnsiTheme="majorEastAsia" w:eastAsiaTheme="majorEastAsia"/>
          <w:b/>
          <w:bCs/>
          <w:color w:val="000000" w:themeColor="text1"/>
          <w:sz w:val="36"/>
          <w:szCs w:val="36"/>
        </w:rPr>
      </w:pP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项目名称：南宁市住房信息系统发布平台升级</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项目编号：NNZC2020-C3-990367-GXYZ</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采购计划文号：[2020]NCCJB518001/1777-001</w:t>
      </w:r>
    </w:p>
    <w:p>
      <w:pPr>
        <w:rPr>
          <w:rFonts w:cs="宋体" w:asciiTheme="majorEastAsia" w:hAnsiTheme="majorEastAsia" w:eastAsiaTheme="majorEastAsia"/>
          <w:b/>
          <w:bCs/>
          <w:color w:val="000000" w:themeColor="text1"/>
          <w:sz w:val="32"/>
          <w:szCs w:val="32"/>
        </w:rPr>
      </w:pPr>
    </w:p>
    <w:p>
      <w:pPr>
        <w:rPr>
          <w:rFonts w:cs="宋体" w:asciiTheme="majorEastAsia" w:hAnsiTheme="majorEastAsia" w:eastAsiaTheme="majorEastAsia"/>
          <w:b/>
          <w:bCs/>
          <w:color w:val="000000" w:themeColor="text1"/>
          <w:sz w:val="32"/>
          <w:szCs w:val="32"/>
        </w:rPr>
      </w:pPr>
    </w:p>
    <w:p>
      <w:pPr>
        <w:ind w:firstLine="840" w:firstLineChars="400"/>
        <w:rPr>
          <w:rFonts w:cs="宋体" w:asciiTheme="majorEastAsia" w:hAnsiTheme="majorEastAsia" w:eastAsiaTheme="majorEastAsia"/>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118" w:left="1080" w:header="720" w:footer="720" w:gutter="0"/>
          <w:cols w:space="720" w:num="1"/>
          <w:titlePg/>
          <w:docGrid w:type="lines" w:linePitch="331" w:charSpace="0"/>
        </w:sectPr>
      </w:pPr>
      <w:r>
        <w:drawing>
          <wp:anchor distT="0" distB="0" distL="114300" distR="114300" simplePos="0" relativeHeight="251664384" behindDoc="1" locked="0" layoutInCell="1" allowOverlap="1">
            <wp:simplePos x="0" y="0"/>
            <wp:positionH relativeFrom="column">
              <wp:posOffset>104775</wp:posOffset>
            </wp:positionH>
            <wp:positionV relativeFrom="paragraph">
              <wp:posOffset>-105410</wp:posOffset>
            </wp:positionV>
            <wp:extent cx="5857875" cy="2905125"/>
            <wp:effectExtent l="0" t="0" r="9525" b="9525"/>
            <wp:wrapTight wrapText="bothSides">
              <wp:wrapPolygon>
                <wp:start x="0" y="0"/>
                <wp:lineTo x="0" y="21529"/>
                <wp:lineTo x="21565" y="21529"/>
                <wp:lineTo x="2156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857875" cy="2905125"/>
                    </a:xfrm>
                    <a:prstGeom prst="rect">
                      <a:avLst/>
                    </a:prstGeom>
                    <a:noFill/>
                    <a:ln>
                      <a:noFill/>
                    </a:ln>
                  </pic:spPr>
                </pic:pic>
              </a:graphicData>
            </a:graphic>
          </wp:anchor>
        </w:drawing>
      </w:r>
    </w:p>
    <w:p>
      <w:pPr>
        <w:tabs>
          <w:tab w:val="left" w:pos="2092"/>
          <w:tab w:val="center" w:pos="5174"/>
        </w:tabs>
        <w:spacing w:before="100" w:beforeAutospacing="1" w:after="100" w:afterAutospacing="1" w:line="380" w:lineRule="atLeast"/>
        <w:ind w:firstLine="482"/>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t>通知</w:t>
      </w:r>
    </w:p>
    <w:p>
      <w:pPr>
        <w:spacing w:before="100" w:beforeAutospacing="1" w:after="100" w:afterAutospacing="1" w:line="380" w:lineRule="atLeast"/>
        <w:ind w:firstLine="482"/>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cs="宋体" w:asciiTheme="majorEastAsia" w:hAnsiTheme="majorEastAsia" w:eastAsiaTheme="majorEastAsia"/>
          <w:b/>
          <w:bCs/>
          <w:color w:val="000000" w:themeColor="text1"/>
          <w:kern w:val="0"/>
          <w:sz w:val="24"/>
          <w:u w:val="single"/>
        </w:rPr>
      </w:pPr>
      <w:r>
        <w:rPr>
          <w:rFonts w:hint="eastAsia" w:cs="宋体" w:asciiTheme="majorEastAsia" w:hAnsiTheme="majorEastAsia" w:eastAsiaTheme="majorEastAsia"/>
          <w:color w:val="000000" w:themeColor="text1"/>
          <w:kern w:val="0"/>
          <w:sz w:val="24"/>
        </w:rPr>
        <w:t>一、本项目的响应文件通过</w:t>
      </w:r>
      <w:r>
        <w:rPr>
          <w:rFonts w:hint="eastAsia" w:cs="宋体" w:asciiTheme="majorEastAsia" w:hAnsiTheme="majorEastAsia" w:eastAsiaTheme="majorEastAsia"/>
          <w:b/>
          <w:bCs/>
          <w:color w:val="000000" w:themeColor="text1"/>
          <w:kern w:val="0"/>
          <w:sz w:val="24"/>
          <w:u w:val="single"/>
        </w:rPr>
        <w:t>邮寄快递方式送达。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接收邮寄快递包裹的时间为工作日9：00～17：00。响应文件必须在响应截止时间前送达，且须交由采购代理机构当面签收。采购代理机构签收邮寄包裹的时间即为磋商供货商响应文件的送达时间，逾期送达的响应文件无效，后果由磋商供应商自行承担。</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（二）采购代理机构将在响应截止时间前一个小时（即</w:t>
      </w:r>
      <w:r>
        <w:rPr>
          <w:rFonts w:hint="eastAsia" w:cs="宋体" w:asciiTheme="majorEastAsia" w:hAnsiTheme="majorEastAsia" w:eastAsiaTheme="majorEastAsia"/>
          <w:color w:val="000000" w:themeColor="text1"/>
          <w:kern w:val="0"/>
          <w:sz w:val="24"/>
          <w:lang w:val="en-US" w:eastAsia="zh-CN"/>
        </w:rPr>
        <w:t>08</w:t>
      </w:r>
      <w:r>
        <w:rPr>
          <w:rFonts w:hint="eastAsia" w:cs="宋体" w:asciiTheme="majorEastAsia" w:hAnsiTheme="majorEastAsia" w:eastAsiaTheme="majorEastAsia"/>
          <w:color w:val="000000" w:themeColor="text1"/>
          <w:kern w:val="0"/>
          <w:sz w:val="24"/>
        </w:rPr>
        <w:t>时</w:t>
      </w:r>
      <w:r>
        <w:rPr>
          <w:rFonts w:hint="eastAsia" w:cs="宋体" w:asciiTheme="majorEastAsia" w:hAnsiTheme="majorEastAsia" w:eastAsiaTheme="majorEastAsia"/>
          <w:color w:val="000000" w:themeColor="text1"/>
          <w:kern w:val="0"/>
          <w:sz w:val="24"/>
          <w:lang w:val="en-US" w:eastAsia="zh-CN"/>
        </w:rPr>
        <w:t>30</w:t>
      </w:r>
      <w:r>
        <w:rPr>
          <w:rFonts w:hint="eastAsia" w:cs="宋体" w:asciiTheme="majorEastAsia" w:hAnsiTheme="majorEastAsia" w:eastAsiaTheme="majorEastAsia"/>
          <w:color w:val="000000" w:themeColor="text1"/>
          <w:kern w:val="0"/>
          <w:sz w:val="24"/>
        </w:rPr>
        <w:t>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投标截止日期</w:t>
      </w:r>
      <w:r>
        <w:rPr>
          <w:rFonts w:cs="宋体" w:asciiTheme="majorEastAsia" w:hAnsiTheme="majorEastAsia" w:eastAsiaTheme="majorEastAsia"/>
          <w:color w:val="000000" w:themeColor="text1"/>
          <w:kern w:val="0"/>
          <w:sz w:val="24"/>
        </w:rPr>
        <w:t>1</w:t>
      </w:r>
      <w:r>
        <w:rPr>
          <w:rFonts w:hint="eastAsia" w:cs="宋体" w:asciiTheme="majorEastAsia" w:hAnsiTheme="majorEastAsia" w:eastAsiaTheme="majorEastAsia"/>
          <w:color w:val="000000" w:themeColor="text1"/>
          <w:kern w:val="0"/>
          <w:sz w:val="24"/>
        </w:rPr>
        <w:t>日前送达。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（三）供应商按照采购文件要求装订密封好响应文件后，应使用不透明、防水的邮寄袋或箱子再次包裹已密封的响应文件，</w:t>
      </w:r>
      <w:r>
        <w:rPr>
          <w:rFonts w:hint="eastAsia" w:cs="宋体" w:asciiTheme="majorEastAsia" w:hAnsiTheme="majorEastAsia" w:eastAsiaTheme="majorEastAsia"/>
          <w:b/>
          <w:bCs/>
          <w:color w:val="000000" w:themeColor="text1"/>
          <w:kern w:val="0"/>
          <w:sz w:val="24"/>
          <w:u w:val="single"/>
        </w:rPr>
        <w:t>并在邮寄袋或箱子上粘牢注明项目名称、项目编号、有效的电子邮箱、联系人及联系方式的纸质表格</w:t>
      </w:r>
      <w:r>
        <w:rPr>
          <w:rFonts w:hint="eastAsia" w:cs="宋体" w:asciiTheme="majorEastAsia" w:hAnsiTheme="majorEastAsia" w:eastAsiaTheme="majorEastAsia"/>
          <w:color w:val="000000" w:themeColor="text1"/>
          <w:kern w:val="0"/>
          <w:sz w:val="24"/>
        </w:rPr>
        <w:t>。如因响应文件包裹信息注明不完整或缺失造成响应文件无法辨认属于哪一个项目造成的后果供应商自负。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（四）响应文件邮寄地址：南宁市青秀区思贤路45号创投中心16A层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收件人：罗工  联系电话：0771-2442850</w:t>
      </w:r>
    </w:p>
    <w:p>
      <w:pPr>
        <w:widowControl/>
        <w:spacing w:before="100" w:beforeAutospacing="1" w:after="100" w:afterAutospacing="1" w:line="380" w:lineRule="atLeast"/>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（五）磋商供应商不参加现场开标活动。</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响应文件拆封及密封性检查：</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截标后，采购代理机构工作人员在南宁市公共资源交易中心工作人员和采购人的见证下拆开响应文件包封，采购人对响应文件密封性进行签字确认。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二、关于澄清、谈判的有关要求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（一）为便于采购代理机构或谈判小组在项目评审期间与供应商取得联系，做好评审过程中供应商对响应文件的澄清、说明或者补正，以及谈判等工作，供应商务必做到：</w:t>
      </w:r>
      <w:r>
        <w:rPr>
          <w:rFonts w:hint="eastAsia" w:cs="宋体" w:asciiTheme="majorEastAsia" w:hAnsiTheme="majorEastAsia" w:eastAsiaTheme="majorEastAsia"/>
          <w:b/>
          <w:bCs/>
          <w:color w:val="000000" w:themeColor="text1"/>
          <w:kern w:val="0"/>
          <w:sz w:val="24"/>
          <w:u w:val="single"/>
        </w:rPr>
        <w:t>“第五章响应文件格式”中“响应函（格式）”落款处的“电话”务必填写法定代表人或委托代理人的电话联系方式</w:t>
      </w:r>
      <w:r>
        <w:rPr>
          <w:rFonts w:hint="eastAsia" w:cs="宋体" w:asciiTheme="majorEastAsia" w:hAnsiTheme="majorEastAsia" w:eastAsiaTheme="majorEastAsia"/>
          <w:color w:val="000000" w:themeColor="text1"/>
          <w:kern w:val="0"/>
          <w:sz w:val="24"/>
        </w:rPr>
        <w:t>。</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Theme="majorEastAsia" w:hAnsiTheme="majorEastAsia" w:eastAsiaTheme="majorEastAsia"/>
          <w:b/>
          <w:color w:val="000000" w:themeColor="text1"/>
          <w:sz w:val="48"/>
          <w:szCs w:val="48"/>
        </w:rPr>
      </w:pPr>
      <w:r>
        <w:rPr>
          <w:rFonts w:hint="eastAsia" w:cs="宋体" w:asciiTheme="majorEastAsia" w:hAnsiTheme="majorEastAsia" w:eastAsiaTheme="majorEastAsia"/>
          <w:color w:val="000000" w:themeColor="text1"/>
          <w:kern w:val="0"/>
          <w:sz w:val="24"/>
        </w:rPr>
        <w:t>四、请按通知内容执行，采购文件其余内容不变。</w:t>
      </w: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采购代理机构：广西邕政采购代理有限公司                                  </w:t>
      </w:r>
    </w:p>
    <w:p>
      <w:pPr>
        <w:widowControl/>
        <w:jc w:val="center"/>
        <w:rPr>
          <w:rFonts w:asciiTheme="majorEastAsia" w:hAnsiTheme="majorEastAsia" w:eastAsiaTheme="majorEastAsia" w:cstheme="majorEastAsia"/>
          <w:b/>
          <w:color w:val="000000" w:themeColor="text1"/>
          <w:sz w:val="48"/>
          <w:szCs w:val="48"/>
        </w:rPr>
        <w:sectPr>
          <w:pgSz w:w="11906" w:h="16838"/>
          <w:pgMar w:top="1440" w:right="1080" w:bottom="1118" w:left="1080" w:header="720" w:footer="720" w:gutter="0"/>
          <w:cols w:space="720" w:num="1"/>
          <w:docGrid w:type="lines" w:linePitch="331" w:charSpace="0"/>
        </w:sectPr>
      </w:pPr>
      <w:r>
        <w:rPr>
          <w:rFonts w:hint="eastAsia" w:asciiTheme="majorEastAsia" w:hAnsiTheme="majorEastAsia" w:eastAsiaTheme="majorEastAsia"/>
          <w:color w:val="000000" w:themeColor="text1"/>
          <w:sz w:val="24"/>
        </w:rPr>
        <w:t xml:space="preserve">          日期：2020年</w:t>
      </w:r>
      <w:r>
        <w:rPr>
          <w:rFonts w:hint="eastAsia" w:asciiTheme="majorEastAsia" w:hAnsiTheme="majorEastAsia" w:eastAsiaTheme="majorEastAsia"/>
          <w:color w:val="000000" w:themeColor="text1"/>
          <w:sz w:val="24"/>
          <w:lang w:val="en-US" w:eastAsia="zh-CN"/>
        </w:rPr>
        <w:t>11</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04</w:t>
      </w:r>
      <w:r>
        <w:rPr>
          <w:rFonts w:hint="eastAsia" w:asciiTheme="majorEastAsia" w:hAnsiTheme="majorEastAsia" w:eastAsiaTheme="majorEastAsia"/>
          <w:color w:val="000000" w:themeColor="text1"/>
          <w:sz w:val="24"/>
        </w:rPr>
        <w:t>日</w:t>
      </w:r>
    </w:p>
    <w:sdt>
      <w:sdtPr>
        <w:rPr>
          <w:rFonts w:asciiTheme="majorEastAsia" w:hAnsiTheme="majorEastAsia" w:eastAsiaTheme="majorEastAsia"/>
        </w:rPr>
        <w:id w:val="147457188"/>
        <w:docPartObj>
          <w:docPartGallery w:val="Table of Contents"/>
          <w:docPartUnique/>
        </w:docPartObj>
      </w:sdtPr>
      <w:sdtEndPr>
        <w:rPr>
          <w:rFonts w:asciiTheme="majorEastAsia" w:hAnsiTheme="majorEastAsia" w:eastAsiaTheme="majorEastAsia" w:cstheme="majorEastAsia"/>
          <w:b/>
          <w:color w:val="000000" w:themeColor="text1"/>
          <w:sz w:val="18"/>
          <w:szCs w:val="21"/>
        </w:rPr>
      </w:sdtEndPr>
      <w:sdtContent>
        <w:p>
          <w:pPr>
            <w:jc w:val="center"/>
            <w:rPr>
              <w:rFonts w:asciiTheme="majorEastAsia" w:hAnsiTheme="majorEastAsia" w:eastAsiaTheme="majorEastAsia"/>
              <w:sz w:val="28"/>
              <w:szCs w:val="28"/>
            </w:rPr>
          </w:pPr>
          <w:bookmarkStart w:id="2" w:name="_Toc460253689"/>
          <w:bookmarkStart w:id="3" w:name="_Toc485920200"/>
          <w:r>
            <w:rPr>
              <w:rFonts w:asciiTheme="majorEastAsia" w:hAnsiTheme="majorEastAsia" w:eastAsiaTheme="majorEastAsia"/>
              <w:b/>
              <w:sz w:val="28"/>
              <w:szCs w:val="28"/>
            </w:rPr>
            <w:t>目录</w:t>
          </w:r>
        </w:p>
        <w:p>
          <w:pPr>
            <w:pStyle w:val="13"/>
            <w:tabs>
              <w:tab w:val="right" w:leader="dot" w:pos="9746"/>
            </w:tabs>
            <w:rPr>
              <w:sz w:val="28"/>
              <w:szCs w:val="28"/>
            </w:rPr>
          </w:pPr>
          <w:r>
            <w:rPr>
              <w:rFonts w:asciiTheme="majorEastAsia" w:hAnsiTheme="majorEastAsia" w:eastAsiaTheme="majorEastAsia" w:cstheme="majorEastAsia"/>
              <w:color w:val="000000" w:themeColor="text1"/>
              <w:sz w:val="28"/>
              <w:szCs w:val="28"/>
              <w:highlight w:val="yellow"/>
            </w:rPr>
            <w:fldChar w:fldCharType="begin"/>
          </w:r>
          <w:r>
            <w:rPr>
              <w:rFonts w:asciiTheme="majorEastAsia" w:hAnsiTheme="majorEastAsia" w:eastAsiaTheme="majorEastAsia" w:cstheme="majorEastAsia"/>
              <w:color w:val="000000" w:themeColor="text1"/>
              <w:sz w:val="28"/>
              <w:szCs w:val="28"/>
              <w:highlight w:val="yellow"/>
            </w:rPr>
            <w:instrText xml:space="preserve">TOC \o "1-2" \h \u </w:instrText>
          </w:r>
          <w:r>
            <w:rPr>
              <w:rFonts w:asciiTheme="majorEastAsia" w:hAnsiTheme="majorEastAsia" w:eastAsiaTheme="majorEastAsia" w:cstheme="majorEastAsia"/>
              <w:color w:val="000000" w:themeColor="text1"/>
              <w:sz w:val="28"/>
              <w:szCs w:val="28"/>
              <w:highlight w:val="yellow"/>
            </w:rPr>
            <w:fldChar w:fldCharType="separate"/>
          </w:r>
          <w:r>
            <w:fldChar w:fldCharType="begin"/>
          </w:r>
          <w:r>
            <w:instrText xml:space="preserve"> HYPERLINK \l "_Toc18040" </w:instrText>
          </w:r>
          <w:r>
            <w:fldChar w:fldCharType="separate"/>
          </w:r>
          <w:r>
            <w:rPr>
              <w:rFonts w:hint="eastAsia" w:cs="宋体" w:asciiTheme="majorEastAsia" w:hAnsiTheme="majorEastAsia" w:eastAsiaTheme="majorEastAsia"/>
              <w:sz w:val="28"/>
              <w:szCs w:val="28"/>
            </w:rPr>
            <w:t>第一章 竞争性磋商公告</w:t>
          </w:r>
          <w:r>
            <w:rPr>
              <w:sz w:val="28"/>
              <w:szCs w:val="28"/>
            </w:rPr>
            <w:tab/>
          </w:r>
          <w:r>
            <w:rPr>
              <w:sz w:val="28"/>
              <w:szCs w:val="28"/>
            </w:rPr>
            <w:fldChar w:fldCharType="begin"/>
          </w:r>
          <w:r>
            <w:rPr>
              <w:sz w:val="28"/>
              <w:szCs w:val="28"/>
            </w:rPr>
            <w:instrText xml:space="preserve"> PAGEREF _Toc18040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"_Toc21122" </w:instrText>
          </w:r>
          <w:r>
            <w:fldChar w:fldCharType="separate"/>
          </w:r>
          <w:r>
            <w:rPr>
              <w:rFonts w:hint="eastAsia" w:asciiTheme="majorEastAsia" w:hAnsiTheme="majorEastAsia" w:eastAsiaTheme="majorEastAsia" w:cstheme="majorEastAsia"/>
              <w:bCs/>
              <w:sz w:val="28"/>
              <w:szCs w:val="28"/>
            </w:rPr>
            <w:t>第二章  服务需求一览表</w:t>
          </w:r>
          <w:r>
            <w:rPr>
              <w:sz w:val="28"/>
              <w:szCs w:val="28"/>
            </w:rPr>
            <w:tab/>
          </w:r>
          <w:r>
            <w:rPr>
              <w:sz w:val="28"/>
              <w:szCs w:val="28"/>
            </w:rPr>
            <w:fldChar w:fldCharType="begin"/>
          </w:r>
          <w:r>
            <w:rPr>
              <w:sz w:val="28"/>
              <w:szCs w:val="28"/>
            </w:rPr>
            <w:instrText xml:space="preserve"> PAGEREF _Toc21122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"_Toc18848" </w:instrText>
          </w:r>
          <w:r>
            <w:fldChar w:fldCharType="separate"/>
          </w:r>
          <w:r>
            <w:rPr>
              <w:rFonts w:hint="eastAsia" w:asciiTheme="majorEastAsia" w:hAnsiTheme="majorEastAsia" w:eastAsiaTheme="majorEastAsia" w:cstheme="majorEastAsia"/>
              <w:sz w:val="28"/>
              <w:szCs w:val="28"/>
            </w:rPr>
            <w:t>第三章  评审方法</w:t>
          </w:r>
          <w:r>
            <w:rPr>
              <w:sz w:val="28"/>
              <w:szCs w:val="28"/>
            </w:rPr>
            <w:tab/>
          </w:r>
          <w:r>
            <w:rPr>
              <w:sz w:val="28"/>
              <w:szCs w:val="28"/>
            </w:rPr>
            <w:fldChar w:fldCharType="begin"/>
          </w:r>
          <w:r>
            <w:rPr>
              <w:sz w:val="28"/>
              <w:szCs w:val="28"/>
            </w:rPr>
            <w:instrText xml:space="preserve"> PAGEREF _Toc18848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"_Toc27859" </w:instrText>
          </w:r>
          <w:r>
            <w:fldChar w:fldCharType="separate"/>
          </w:r>
          <w:r>
            <w:rPr>
              <w:rFonts w:hint="eastAsia" w:asciiTheme="majorEastAsia" w:hAnsiTheme="majorEastAsia" w:eastAsiaTheme="majorEastAsia" w:cstheme="majorEastAsia"/>
              <w:sz w:val="28"/>
              <w:szCs w:val="28"/>
            </w:rPr>
            <w:t>第四章   磋商供应商须知</w:t>
          </w:r>
          <w:r>
            <w:rPr>
              <w:sz w:val="28"/>
              <w:szCs w:val="28"/>
            </w:rPr>
            <w:tab/>
          </w:r>
          <w:r>
            <w:rPr>
              <w:sz w:val="28"/>
              <w:szCs w:val="28"/>
            </w:rPr>
            <w:fldChar w:fldCharType="begin"/>
          </w:r>
          <w:r>
            <w:rPr>
              <w:sz w:val="28"/>
              <w:szCs w:val="28"/>
            </w:rPr>
            <w:instrText xml:space="preserve"> PAGEREF _Toc27859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"_Toc24534" </w:instrText>
          </w:r>
          <w:r>
            <w:fldChar w:fldCharType="separate"/>
          </w:r>
          <w:r>
            <w:rPr>
              <w:rFonts w:hint="eastAsia" w:asciiTheme="majorEastAsia" w:hAnsiTheme="majorEastAsia" w:eastAsiaTheme="majorEastAsia" w:cstheme="majorEastAsia"/>
              <w:sz w:val="28"/>
              <w:szCs w:val="28"/>
            </w:rPr>
            <w:t>一   总则</w:t>
          </w:r>
          <w:r>
            <w:rPr>
              <w:sz w:val="28"/>
              <w:szCs w:val="28"/>
            </w:rPr>
            <w:tab/>
          </w:r>
          <w:r>
            <w:rPr>
              <w:sz w:val="28"/>
              <w:szCs w:val="28"/>
            </w:rPr>
            <w:fldChar w:fldCharType="begin"/>
          </w:r>
          <w:r>
            <w:rPr>
              <w:sz w:val="28"/>
              <w:szCs w:val="28"/>
            </w:rPr>
            <w:instrText xml:space="preserve"> PAGEREF _Toc24534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"_Toc18851" </w:instrText>
          </w:r>
          <w:r>
            <w:fldChar w:fldCharType="separate"/>
          </w:r>
          <w:r>
            <w:rPr>
              <w:rFonts w:hint="eastAsia" w:asciiTheme="majorEastAsia" w:hAnsiTheme="majorEastAsia" w:eastAsiaTheme="majorEastAsia" w:cstheme="majorEastAsia"/>
              <w:sz w:val="28"/>
              <w:szCs w:val="28"/>
            </w:rPr>
            <w:t>二   竞争性磋商采购文件</w:t>
          </w:r>
          <w:r>
            <w:rPr>
              <w:sz w:val="28"/>
              <w:szCs w:val="28"/>
            </w:rPr>
            <w:tab/>
          </w:r>
          <w:r>
            <w:rPr>
              <w:sz w:val="28"/>
              <w:szCs w:val="28"/>
            </w:rPr>
            <w:fldChar w:fldCharType="begin"/>
          </w:r>
          <w:r>
            <w:rPr>
              <w:sz w:val="28"/>
              <w:szCs w:val="28"/>
            </w:rPr>
            <w:instrText xml:space="preserve"> PAGEREF _Toc18851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"_Toc31152" </w:instrText>
          </w:r>
          <w:r>
            <w:fldChar w:fldCharType="separate"/>
          </w:r>
          <w:r>
            <w:rPr>
              <w:rFonts w:hint="eastAsia" w:asciiTheme="majorEastAsia" w:hAnsiTheme="majorEastAsia" w:eastAsiaTheme="majorEastAsia" w:cstheme="majorEastAsia"/>
              <w:sz w:val="28"/>
              <w:szCs w:val="28"/>
            </w:rPr>
            <w:t>三   响应文件</w:t>
          </w:r>
          <w:r>
            <w:rPr>
              <w:sz w:val="28"/>
              <w:szCs w:val="28"/>
            </w:rPr>
            <w:tab/>
          </w:r>
          <w:r>
            <w:rPr>
              <w:sz w:val="28"/>
              <w:szCs w:val="28"/>
            </w:rPr>
            <w:fldChar w:fldCharType="begin"/>
          </w:r>
          <w:r>
            <w:rPr>
              <w:sz w:val="28"/>
              <w:szCs w:val="28"/>
            </w:rPr>
            <w:instrText xml:space="preserve"> PAGEREF _Toc31152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"_Toc16227" </w:instrText>
          </w:r>
          <w:r>
            <w:fldChar w:fldCharType="separate"/>
          </w:r>
          <w:r>
            <w:rPr>
              <w:rFonts w:hint="eastAsia" w:asciiTheme="majorEastAsia" w:hAnsiTheme="majorEastAsia" w:eastAsiaTheme="majorEastAsia" w:cstheme="majorEastAsia"/>
              <w:sz w:val="28"/>
              <w:szCs w:val="28"/>
            </w:rPr>
            <w:t>四   磋商响应</w:t>
          </w:r>
          <w:r>
            <w:rPr>
              <w:sz w:val="28"/>
              <w:szCs w:val="28"/>
            </w:rPr>
            <w:tab/>
          </w:r>
          <w:r>
            <w:rPr>
              <w:sz w:val="28"/>
              <w:szCs w:val="28"/>
            </w:rPr>
            <w:fldChar w:fldCharType="begin"/>
          </w:r>
          <w:r>
            <w:rPr>
              <w:sz w:val="28"/>
              <w:szCs w:val="28"/>
            </w:rPr>
            <w:instrText xml:space="preserve"> PAGEREF _Toc16227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"_Toc21033" </w:instrText>
          </w:r>
          <w:r>
            <w:fldChar w:fldCharType="separate"/>
          </w:r>
          <w:r>
            <w:rPr>
              <w:rFonts w:hint="eastAsia" w:asciiTheme="majorEastAsia" w:hAnsiTheme="majorEastAsia" w:eastAsiaTheme="majorEastAsia" w:cstheme="majorEastAsia"/>
              <w:sz w:val="28"/>
              <w:szCs w:val="28"/>
            </w:rPr>
            <w:t>五   评审与磋商</w:t>
          </w:r>
          <w:r>
            <w:rPr>
              <w:sz w:val="28"/>
              <w:szCs w:val="28"/>
            </w:rPr>
            <w:tab/>
          </w:r>
          <w:r>
            <w:rPr>
              <w:sz w:val="28"/>
              <w:szCs w:val="28"/>
            </w:rPr>
            <w:fldChar w:fldCharType="begin"/>
          </w:r>
          <w:r>
            <w:rPr>
              <w:sz w:val="28"/>
              <w:szCs w:val="28"/>
            </w:rPr>
            <w:instrText xml:space="preserve"> PAGEREF _Toc21033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"_Toc32230" </w:instrText>
          </w:r>
          <w:r>
            <w:fldChar w:fldCharType="separate"/>
          </w:r>
          <w:r>
            <w:rPr>
              <w:rFonts w:hint="eastAsia" w:asciiTheme="majorEastAsia" w:hAnsiTheme="majorEastAsia" w:eastAsiaTheme="majorEastAsia" w:cstheme="majorEastAsia"/>
              <w:sz w:val="28"/>
              <w:szCs w:val="28"/>
            </w:rPr>
            <w:t>六   合同授予</w:t>
          </w:r>
          <w:r>
            <w:rPr>
              <w:sz w:val="28"/>
              <w:szCs w:val="28"/>
            </w:rPr>
            <w:tab/>
          </w:r>
          <w:r>
            <w:rPr>
              <w:sz w:val="28"/>
              <w:szCs w:val="28"/>
            </w:rPr>
            <w:fldChar w:fldCharType="begin"/>
          </w:r>
          <w:r>
            <w:rPr>
              <w:sz w:val="28"/>
              <w:szCs w:val="28"/>
            </w:rPr>
            <w:instrText xml:space="preserve"> PAGEREF _Toc32230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"_Toc24434" </w:instrText>
          </w:r>
          <w:r>
            <w:fldChar w:fldCharType="separate"/>
          </w:r>
          <w:r>
            <w:rPr>
              <w:rFonts w:hint="eastAsia" w:asciiTheme="majorEastAsia" w:hAnsiTheme="majorEastAsia" w:eastAsiaTheme="majorEastAsia" w:cstheme="majorEastAsia"/>
              <w:sz w:val="28"/>
              <w:szCs w:val="28"/>
            </w:rPr>
            <w:t>七   其他事项</w:t>
          </w:r>
          <w:r>
            <w:rPr>
              <w:sz w:val="28"/>
              <w:szCs w:val="28"/>
            </w:rPr>
            <w:tab/>
          </w:r>
          <w:r>
            <w:rPr>
              <w:sz w:val="28"/>
              <w:szCs w:val="28"/>
            </w:rPr>
            <w:fldChar w:fldCharType="begin"/>
          </w:r>
          <w:r>
            <w:rPr>
              <w:sz w:val="28"/>
              <w:szCs w:val="28"/>
            </w:rPr>
            <w:instrText xml:space="preserve"> PAGEREF _Toc24434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"_Toc6584" </w:instrText>
          </w:r>
          <w:r>
            <w:fldChar w:fldCharType="separate"/>
          </w: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响应文件格式</w:t>
          </w:r>
          <w:r>
            <w:rPr>
              <w:sz w:val="28"/>
              <w:szCs w:val="28"/>
            </w:rPr>
            <w:tab/>
          </w:r>
          <w:r>
            <w:rPr>
              <w:sz w:val="28"/>
              <w:szCs w:val="28"/>
            </w:rPr>
            <w:fldChar w:fldCharType="begin"/>
          </w:r>
          <w:r>
            <w:rPr>
              <w:sz w:val="28"/>
              <w:szCs w:val="28"/>
            </w:rPr>
            <w:instrText xml:space="preserve"> PAGEREF _Toc6584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"_Toc7341" </w:instrText>
          </w:r>
          <w:r>
            <w:fldChar w:fldCharType="separate"/>
          </w:r>
          <w:r>
            <w:rPr>
              <w:rFonts w:hint="eastAsia" w:asciiTheme="majorEastAsia" w:hAnsiTheme="majorEastAsia" w:eastAsiaTheme="majorEastAsia" w:cstheme="majorEastAsia"/>
              <w:sz w:val="28"/>
              <w:szCs w:val="28"/>
            </w:rPr>
            <w:t>第六章  合同条款及格式</w:t>
          </w:r>
          <w:r>
            <w:rPr>
              <w:sz w:val="28"/>
              <w:szCs w:val="28"/>
            </w:rPr>
            <w:tab/>
          </w:r>
          <w:r>
            <w:rPr>
              <w:sz w:val="28"/>
              <w:szCs w:val="28"/>
            </w:rPr>
            <w:fldChar w:fldCharType="begin"/>
          </w:r>
          <w:r>
            <w:rPr>
              <w:sz w:val="28"/>
              <w:szCs w:val="28"/>
            </w:rPr>
            <w:instrText xml:space="preserve"> PAGEREF _Toc7341 </w:instrText>
          </w:r>
          <w:r>
            <w:rPr>
              <w:sz w:val="28"/>
              <w:szCs w:val="28"/>
            </w:rPr>
            <w:fldChar w:fldCharType="separate"/>
          </w:r>
          <w:r>
            <w:rPr>
              <w:sz w:val="28"/>
              <w:szCs w:val="28"/>
            </w:rPr>
            <w:t>65</w:t>
          </w:r>
          <w:r>
            <w:rPr>
              <w:sz w:val="28"/>
              <w:szCs w:val="28"/>
            </w:rPr>
            <w:fldChar w:fldCharType="end"/>
          </w:r>
          <w:r>
            <w:rPr>
              <w:sz w:val="28"/>
              <w:szCs w:val="28"/>
            </w:rPr>
            <w:fldChar w:fldCharType="end"/>
          </w:r>
        </w:p>
        <w:p>
          <w:pPr>
            <w:widowControl/>
            <w:jc w:val="left"/>
            <w:rPr>
              <w:rFonts w:asciiTheme="majorEastAsia" w:hAnsiTheme="majorEastAsia" w:eastAsiaTheme="majorEastAsia" w:cstheme="majorEastAsia"/>
              <w:color w:val="000000" w:themeColor="text1"/>
              <w:sz w:val="18"/>
              <w:szCs w:val="21"/>
            </w:rPr>
          </w:pPr>
          <w:r>
            <w:rPr>
              <w:rFonts w:asciiTheme="majorEastAsia" w:hAnsiTheme="majorEastAsia" w:eastAsiaTheme="majorEastAsia" w:cstheme="majorEastAsia"/>
              <w:color w:val="000000" w:themeColor="text1"/>
              <w:sz w:val="28"/>
              <w:szCs w:val="28"/>
              <w:highlight w:val="yellow"/>
            </w:rPr>
            <w:fldChar w:fldCharType="end"/>
          </w:r>
        </w:p>
      </w:sdtContent>
    </w:sdt>
    <w:bookmarkEnd w:id="2"/>
    <w:bookmarkEnd w:id="3"/>
    <w:p>
      <w:pPr>
        <w:rPr>
          <w:rFonts w:cs="宋体" w:asciiTheme="majorEastAsia" w:hAnsiTheme="majorEastAsia" w:eastAsiaTheme="majorEastAsia"/>
          <w:b/>
          <w:color w:val="000000" w:themeColor="text1"/>
          <w:sz w:val="24"/>
        </w:rPr>
      </w:pPr>
      <w:bookmarkStart w:id="4" w:name="_Toc12030"/>
      <w:r>
        <w:rPr>
          <w:rFonts w:hint="eastAsia" w:cs="宋体" w:asciiTheme="majorEastAsia" w:hAnsiTheme="majorEastAsia" w:eastAsiaTheme="majorEastAsia"/>
          <w:b/>
          <w:color w:val="000000" w:themeColor="text1"/>
          <w:sz w:val="24"/>
        </w:rPr>
        <w:br w:type="page"/>
      </w:r>
    </w:p>
    <w:p>
      <w:pPr>
        <w:pStyle w:val="3"/>
        <w:wordWrap w:val="0"/>
        <w:ind w:left="283" w:leftChars="135" w:firstLine="3534" w:firstLineChars="1100"/>
        <w:rPr>
          <w:rFonts w:cs="宋体" w:asciiTheme="majorEastAsia" w:hAnsiTheme="majorEastAsia" w:eastAsiaTheme="majorEastAsia"/>
          <w:b/>
          <w:color w:val="000000" w:themeColor="text1"/>
          <w:sz w:val="32"/>
          <w:szCs w:val="32"/>
        </w:rPr>
      </w:pPr>
      <w:bookmarkStart w:id="5" w:name="_Toc18040"/>
      <w:bookmarkStart w:id="6" w:name="_Toc32412"/>
      <w:r>
        <w:rPr>
          <w:rFonts w:hint="eastAsia" w:cs="宋体" w:asciiTheme="majorEastAsia" w:hAnsiTheme="majorEastAsia" w:eastAsiaTheme="majorEastAsia"/>
          <w:b/>
          <w:color w:val="000000" w:themeColor="text1"/>
          <w:sz w:val="32"/>
          <w:szCs w:val="32"/>
        </w:rPr>
        <w:t>第一章 竞争性磋商公告</w:t>
      </w:r>
      <w:bookmarkEnd w:id="4"/>
      <w:bookmarkEnd w:id="5"/>
      <w:bookmarkEnd w:id="6"/>
    </w:p>
    <w:p>
      <w:pPr>
        <w:pBdr>
          <w:top w:val="single" w:color="auto" w:sz="4" w:space="1"/>
          <w:left w:val="single" w:color="auto" w:sz="4" w:space="4"/>
          <w:bottom w:val="single" w:color="auto" w:sz="4" w:space="1"/>
          <w:right w:val="single" w:color="auto" w:sz="4" w:space="4"/>
        </w:pBdr>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项目概况：</w:t>
      </w:r>
    </w:p>
    <w:p>
      <w:pPr>
        <w:pBdr>
          <w:top w:val="single" w:color="auto" w:sz="4" w:space="1"/>
          <w:left w:val="single" w:color="auto" w:sz="4" w:space="4"/>
          <w:bottom w:val="single" w:color="auto" w:sz="4" w:space="1"/>
          <w:right w:val="single" w:color="auto" w:sz="4" w:space="4"/>
        </w:pBd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u w:val="single"/>
        </w:rPr>
        <w:t>南宁市住房信息系统发布平台升级（项目编号：NNZC2020-C3-990367-GXYZ）</w:t>
      </w:r>
      <w:r>
        <w:rPr>
          <w:rFonts w:hint="eastAsia" w:cs="宋体" w:asciiTheme="majorEastAsia" w:hAnsiTheme="majorEastAsia" w:eastAsiaTheme="majorEastAsia"/>
          <w:color w:val="000000" w:themeColor="text1"/>
          <w:sz w:val="24"/>
        </w:rPr>
        <w:t>采购项目的潜在供应商应在</w:t>
      </w:r>
      <w:r>
        <w:rPr>
          <w:rFonts w:hint="eastAsia" w:cs="宋体" w:asciiTheme="majorEastAsia" w:hAnsiTheme="majorEastAsia" w:eastAsiaTheme="majorEastAsia"/>
          <w:color w:val="000000" w:themeColor="text1"/>
          <w:sz w:val="24"/>
          <w:u w:val="single"/>
        </w:rPr>
        <w:t>南宁市公共资源交易平台(https://www.nnggzy.org.cn/gxnnzbw/)</w:t>
      </w:r>
      <w:r>
        <w:rPr>
          <w:rFonts w:hint="eastAsia" w:cs="宋体" w:asciiTheme="majorEastAsia" w:hAnsiTheme="majorEastAsia" w:eastAsiaTheme="majorEastAsia"/>
          <w:color w:val="000000" w:themeColor="text1"/>
          <w:sz w:val="24"/>
        </w:rPr>
        <w:t>的信息公告处自行下载获取本项目采购文件，并于</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（北京时间）前提交响应文件。</w:t>
      </w:r>
    </w:p>
    <w:p>
      <w:pPr>
        <w:widowControl/>
        <w:numPr>
          <w:ilvl w:val="255"/>
          <w:numId w:val="0"/>
        </w:numPr>
        <w:tabs>
          <w:tab w:val="left" w:pos="1021"/>
        </w:tabs>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一、项目基本情况</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项目编号：NNZC2020-C3-990367-GXYZ</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项目名称：南宁市住房信息系统发布平台升级</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采购计划文号：[2020]NCCJB518001/1777-001</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采购方式：竞争性磋商</w:t>
      </w:r>
    </w:p>
    <w:p>
      <w:pPr>
        <w:spacing w:line="460" w:lineRule="exact"/>
        <w:ind w:firstLine="480" w:firstLineChars="200"/>
        <w:rPr>
          <w:rFonts w:asciiTheme="majorEastAsia" w:hAnsiTheme="majorEastAsia" w:eastAsiaTheme="majorEastAsia" w:cstheme="majorEastAsia"/>
          <w:color w:val="000000" w:themeColor="text1"/>
          <w:sz w:val="24"/>
        </w:rPr>
      </w:pPr>
      <w:r>
        <w:rPr>
          <w:rFonts w:hint="eastAsia" w:cs="宋体" w:asciiTheme="majorEastAsia" w:hAnsiTheme="majorEastAsia" w:eastAsiaTheme="majorEastAsia"/>
          <w:color w:val="000000" w:themeColor="text1"/>
          <w:sz w:val="24"/>
        </w:rPr>
        <w:t>预算金额：</w:t>
      </w:r>
      <w:r>
        <w:rPr>
          <w:rFonts w:hint="eastAsia" w:asciiTheme="majorEastAsia" w:hAnsiTheme="majorEastAsia" w:eastAsiaTheme="majorEastAsia" w:cstheme="majorEastAsia"/>
          <w:color w:val="000000" w:themeColor="text1"/>
          <w:sz w:val="24"/>
        </w:rPr>
        <w:t>人民币柒拾伍万元整(￥750000.00元)</w:t>
      </w:r>
    </w:p>
    <w:p>
      <w:pPr>
        <w:spacing w:line="46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最高限价：人民币柒拾伍万元整（¥750000.00元）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采购需求：</w:t>
      </w:r>
    </w:p>
    <w:tbl>
      <w:tblPr>
        <w:tblStyle w:val="18"/>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Mar>
              <w:left w:w="0" w:type="dxa"/>
              <w:bottom w:w="0" w:type="dxa"/>
              <w:right w:w="0" w:type="dxa"/>
            </w:tcMar>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项号</w:t>
            </w:r>
          </w:p>
        </w:tc>
        <w:tc>
          <w:tcPr>
            <w:tcW w:w="2169"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服务名称</w:t>
            </w:r>
          </w:p>
        </w:tc>
        <w:tc>
          <w:tcPr>
            <w:tcW w:w="1120"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kern w:val="0"/>
                <w:sz w:val="24"/>
              </w:rPr>
              <w:t>数量</w:t>
            </w:r>
          </w:p>
        </w:tc>
        <w:tc>
          <w:tcPr>
            <w:tcW w:w="5506" w:type="dxa"/>
            <w:tcBorders>
              <w:right w:val="single" w:color="auto" w:sz="4" w:space="0"/>
            </w:tcBorders>
            <w:vAlign w:val="center"/>
          </w:tcPr>
          <w:p>
            <w:pPr>
              <w:spacing w:line="360" w:lineRule="auto"/>
              <w:jc w:val="center"/>
              <w:rPr>
                <w:rFonts w:cs="新宋体" w:asciiTheme="majorEastAsia" w:hAnsiTheme="majorEastAsia" w:eastAsiaTheme="majorEastAsia"/>
                <w:bCs/>
                <w:sz w:val="24"/>
              </w:rPr>
            </w:pPr>
            <w:r>
              <w:rPr>
                <w:rFonts w:hint="eastAsia" w:cs="新宋体" w:asciiTheme="majorEastAsia" w:hAnsiTheme="majorEastAsia" w:eastAsiaTheme="majorEastAsia"/>
                <w:bCs/>
                <w:sz w:val="24"/>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82"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w:t>
            </w:r>
          </w:p>
        </w:tc>
        <w:tc>
          <w:tcPr>
            <w:tcW w:w="2169" w:type="dxa"/>
            <w:vAlign w:val="center"/>
          </w:tcPr>
          <w:p>
            <w:pPr>
              <w:spacing w:line="360" w:lineRule="auto"/>
              <w:rPr>
                <w:rFonts w:cs="新宋体" w:asciiTheme="majorEastAsia" w:hAnsiTheme="majorEastAsia" w:eastAsiaTheme="majorEastAsia"/>
                <w:bCs/>
                <w:color w:val="000000" w:themeColor="text1"/>
                <w:sz w:val="24"/>
              </w:rPr>
            </w:pPr>
            <w:r>
              <w:rPr>
                <w:rFonts w:hint="eastAsia" w:cs="宋体" w:asciiTheme="majorEastAsia" w:hAnsiTheme="majorEastAsia" w:eastAsiaTheme="majorEastAsia"/>
                <w:color w:val="000000" w:themeColor="text1"/>
                <w:sz w:val="24"/>
              </w:rPr>
              <w:t>南宁市住房信息系统发布平台升级</w:t>
            </w:r>
          </w:p>
        </w:tc>
        <w:tc>
          <w:tcPr>
            <w:tcW w:w="1120" w:type="dxa"/>
            <w:vAlign w:val="center"/>
          </w:tcPr>
          <w:p>
            <w:pPr>
              <w:spacing w:line="360" w:lineRule="auto"/>
              <w:ind w:firstLine="240" w:firstLineChars="100"/>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1项</w:t>
            </w:r>
          </w:p>
        </w:tc>
        <w:tc>
          <w:tcPr>
            <w:tcW w:w="5506" w:type="dxa"/>
            <w:tcBorders>
              <w:right w:val="single" w:color="auto" w:sz="4" w:space="0"/>
            </w:tcBorders>
            <w:vAlign w:val="center"/>
          </w:tcPr>
          <w:p>
            <w:pPr>
              <w:spacing w:line="360" w:lineRule="auto"/>
              <w:rPr>
                <w:rFonts w:cs="新宋体" w:asciiTheme="majorEastAsia" w:hAnsiTheme="majorEastAsia" w:eastAsiaTheme="majorEastAsia"/>
                <w:sz w:val="24"/>
              </w:rPr>
            </w:pPr>
            <w:r>
              <w:rPr>
                <w:rFonts w:cs="新宋体" w:asciiTheme="majorEastAsia" w:hAnsiTheme="majorEastAsia" w:eastAsiaTheme="majorEastAsia"/>
                <w:sz w:val="24"/>
              </w:rPr>
              <w:t>一、项目概况</w:t>
            </w:r>
          </w:p>
          <w:p>
            <w:pPr>
              <w:spacing w:line="360" w:lineRule="auto"/>
              <w:rPr>
                <w:rFonts w:cs="新宋体" w:asciiTheme="majorEastAsia" w:hAnsiTheme="majorEastAsia" w:eastAsiaTheme="majorEastAsia"/>
                <w:sz w:val="24"/>
              </w:rPr>
            </w:pPr>
            <w:r>
              <w:rPr>
                <w:rFonts w:cs="新宋体" w:asciiTheme="majorEastAsia" w:hAnsiTheme="majorEastAsia" w:eastAsiaTheme="majorEastAsia"/>
                <w:sz w:val="24"/>
              </w:rPr>
              <w:t>为贯彻落实《国务院关于加快推进“互联网+政务服务”工作的指导意见》（国发[2016]55号），规范网上政务服务平台建设、推进实体政务大厅与网上服务平台融合发展，适应“互联网+政务服务”发展需要，进一步提升实体政务大厅的服务能力，加快南宁市住房和城乡建设行业相关的建筑市场、建设工人数据采集、市政工程基础设施、公用事业、固定资产管理、卫生健康、疫情防控等网上服务平台融合</w:t>
            </w:r>
            <w:r>
              <w:rPr>
                <w:rFonts w:hint="eastAsia" w:cs="新宋体" w:asciiTheme="majorEastAsia" w:hAnsiTheme="majorEastAsia" w:eastAsiaTheme="majorEastAsia"/>
                <w:sz w:val="24"/>
              </w:rPr>
              <w:t>......</w:t>
            </w:r>
          </w:p>
        </w:tc>
      </w:tr>
    </w:tbl>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合同履行期限：详见竞争性磋商文件。</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二、申请人的资格要求：</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1、满足《中华人民共和国政府采购法》第二十二条规定；</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2、落实政府采购政策需满足的资格要求：本项目适用政府采购促进中小企业、监狱企业发展、促进残疾人就业等有关政策，具体详见竞争性磋商文件；</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3、本项目的特定资格要求：无</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4、具有国内法人资格，注册经营范围满足所采购内容的供应商。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7、不接受联合体响应。</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三、获取采购文件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05</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至</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，（北京时间，法定节假日除外 ）。</w:t>
      </w:r>
    </w:p>
    <w:p>
      <w:pPr>
        <w:spacing w:line="460" w:lineRule="exact"/>
        <w:ind w:firstLine="54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地点：南宁市公共资源交易平台(https://www.nnggzy.org.cn/gxnnhy)的信息公告处。</w:t>
      </w:r>
    </w:p>
    <w:p>
      <w:pPr>
        <w:pStyle w:val="15"/>
        <w:spacing w:before="75" w:beforeAutospacing="0" w:after="75" w:afterAutospacing="0" w:line="460" w:lineRule="exact"/>
        <w:ind w:firstLine="42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方式：</w:t>
      </w:r>
      <w:r>
        <w:rPr>
          <w:rFonts w:hint="eastAsia" w:asciiTheme="majorEastAsia" w:hAnsiTheme="majorEastAsia" w:eastAsiaTheme="majorEastAsia"/>
          <w:color w:val="000000" w:themeColor="text1"/>
        </w:rPr>
        <w:t>本项目不发放纸质文件，供应商自行在南宁市公共资源交易平台(https://www.nnggzy.org.cn/gxnnhy)的信息公告处下载采购文件。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售价：0元</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四、响应文件提交</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截止时间：</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pStyle w:val="15"/>
        <w:spacing w:before="75" w:beforeAutospacing="0" w:after="75" w:afterAutospacing="0" w:line="460" w:lineRule="exact"/>
        <w:ind w:firstLine="480" w:firstLineChars="20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地点：</w:t>
      </w:r>
      <w:r>
        <w:rPr>
          <w:rFonts w:hint="eastAsia" w:asciiTheme="majorEastAsia" w:hAnsiTheme="majorEastAsia" w:eastAsiaTheme="majorEastAsia"/>
          <w:color w:val="000000" w:themeColor="text1"/>
        </w:rPr>
        <w:t>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为做好疫情防控工作，本项目的响应文件通过邮寄快递的方式送达，具体要求详见关于响应文件邮寄形式的通知。</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五、开启</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地点：南宁市良庆区玉洞大道33号（青少年活动中心旁）市民中心9楼南宁市公共资源交易中心（具体详见9楼电子显示屏场地安排）。</w:t>
      </w:r>
    </w:p>
    <w:p>
      <w:pPr>
        <w:widowControl/>
        <w:numPr>
          <w:ilvl w:val="1"/>
          <w:numId w:val="0"/>
        </w:numPr>
        <w:tabs>
          <w:tab w:val="left" w:pos="1021"/>
        </w:tabs>
        <w:spacing w:line="460" w:lineRule="exact"/>
        <w:ind w:firstLine="480" w:firstLineChars="200"/>
        <w:rPr>
          <w:rFonts w:cs="宋体" w:asciiTheme="majorEastAsia" w:hAnsiTheme="majorEastAsia" w:eastAsiaTheme="majorEastAsia"/>
          <w:bCs/>
          <w:color w:val="000000" w:themeColor="text1"/>
          <w:kern w:val="0"/>
          <w:sz w:val="24"/>
        </w:rPr>
      </w:pPr>
      <w:r>
        <w:rPr>
          <w:rFonts w:hint="eastAsia" w:cs="宋体" w:asciiTheme="majorEastAsia" w:hAnsiTheme="majorEastAsia" w:eastAsiaTheme="majorEastAsia"/>
          <w:color w:val="000000" w:themeColor="text1"/>
          <w:sz w:val="24"/>
        </w:rPr>
        <w:t>六、公告期限：</w:t>
      </w:r>
      <w:r>
        <w:rPr>
          <w:rFonts w:hint="eastAsia" w:cs="宋体" w:asciiTheme="majorEastAsia" w:hAnsiTheme="majorEastAsia" w:eastAsiaTheme="majorEastAsia"/>
          <w:bCs/>
          <w:color w:val="000000" w:themeColor="text1"/>
          <w:kern w:val="0"/>
          <w:sz w:val="24"/>
        </w:rPr>
        <w:t>自本公告发布之日起5个工作日</w:t>
      </w:r>
      <w:r>
        <w:rPr>
          <w:rFonts w:hint="eastAsia" w:cs="宋体" w:asciiTheme="majorEastAsia" w:hAnsiTheme="majorEastAsia" w:eastAsiaTheme="majorEastAsia"/>
          <w:bCs/>
          <w:color w:val="000000" w:themeColor="text1"/>
          <w:sz w:val="24"/>
        </w:rPr>
        <w:t>（2020年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05</w:t>
      </w:r>
      <w:r>
        <w:rPr>
          <w:rFonts w:hint="eastAsia" w:cs="宋体" w:asciiTheme="majorEastAsia" w:hAnsiTheme="majorEastAsia" w:eastAsiaTheme="majorEastAsia"/>
          <w:bCs/>
          <w:color w:val="000000" w:themeColor="text1"/>
          <w:sz w:val="24"/>
        </w:rPr>
        <w:t>日至2020年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日结束）</w:t>
      </w:r>
      <w:r>
        <w:rPr>
          <w:rFonts w:hint="eastAsia" w:cs="宋体" w:asciiTheme="majorEastAsia" w:hAnsiTheme="majorEastAsia" w:eastAsiaTheme="majorEastAsia"/>
          <w:bCs/>
          <w:color w:val="000000" w:themeColor="text1"/>
          <w:kern w:val="0"/>
          <w:sz w:val="24"/>
        </w:rPr>
        <w:t>。</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七、其他补充事宜：</w:t>
      </w:r>
    </w:p>
    <w:p>
      <w:pPr>
        <w:widowControl/>
        <w:numPr>
          <w:ilvl w:val="1"/>
          <w:numId w:val="0"/>
        </w:numPr>
        <w:tabs>
          <w:tab w:val="left" w:pos="1021"/>
        </w:tabs>
        <w:adjustRightInd w:val="0"/>
        <w:spacing w:line="460" w:lineRule="exact"/>
        <w:ind w:left="425"/>
        <w:textAlignment w:val="baseline"/>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网上查询地址：</w:t>
      </w:r>
      <w:r>
        <w:fldChar w:fldCharType="begin"/>
      </w:r>
      <w:r>
        <w:instrText xml:space="preserve"> HYPERLINK </w:instrText>
      </w:r>
      <w:r>
        <w:fldChar w:fldCharType="separate"/>
      </w:r>
      <w:r>
        <w:rPr>
          <w:rFonts w:hint="eastAsia" w:cs="宋体" w:asciiTheme="majorEastAsia" w:hAnsiTheme="majorEastAsia" w:eastAsiaTheme="majorEastAsia"/>
          <w:color w:val="000000" w:themeColor="text1"/>
          <w:sz w:val="24"/>
        </w:rPr>
        <w:t>http://zfcg.gxzf.gov.cn/（广西壮族自治区政府采购网），https://www.nnggzy.org.cn/gxnnzbw/（南宁市公共资源交易中心网）</w:t>
      </w:r>
      <w:r>
        <w:rPr>
          <w:rFonts w:hint="eastAsia" w:cs="宋体" w:asciiTheme="majorEastAsia" w:hAnsiTheme="majorEastAsia" w:eastAsiaTheme="majorEastAsia"/>
          <w:color w:val="000000" w:themeColor="text1"/>
          <w:sz w:val="24"/>
        </w:rPr>
        <w:fldChar w:fldCharType="end"/>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八、凡对本次采购提出询问，请按以下方式联系。</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7" w:name="_Toc1019"/>
      <w:bookmarkStart w:id="8" w:name="_Toc23955"/>
      <w:r>
        <w:rPr>
          <w:rFonts w:hint="eastAsia" w:cs="宋体" w:asciiTheme="majorEastAsia" w:hAnsiTheme="majorEastAsia" w:eastAsiaTheme="majorEastAsia"/>
          <w:color w:val="000000" w:themeColor="text1"/>
          <w:sz w:val="24"/>
        </w:rPr>
        <w:t>1.采购人信息</w:t>
      </w:r>
      <w:bookmarkEnd w:id="7"/>
      <w:bookmarkEnd w:id="8"/>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南宁市住房和城乡建设局  </w:t>
      </w:r>
    </w:p>
    <w:p>
      <w:pPr>
        <w:spacing w:line="460" w:lineRule="exact"/>
        <w:ind w:left="1079" w:leftChars="371" w:hanging="300" w:hangingChars="125"/>
        <w:jc w:val="left"/>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南宁市青秀区金湖路59-1号</w:t>
      </w:r>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联系方式：</w:t>
      </w:r>
      <w:r>
        <w:rPr>
          <w:rFonts w:hint="eastAsia" w:cs="宋体" w:asciiTheme="majorEastAsia" w:hAnsiTheme="majorEastAsia" w:eastAsiaTheme="majorEastAsia"/>
          <w:color w:val="000000" w:themeColor="text1"/>
          <w:sz w:val="24"/>
          <w:u w:val="single"/>
        </w:rPr>
        <w:t xml:space="preserve"> 农云浩   0771-5527061 </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9" w:name="_Toc8684"/>
      <w:bookmarkStart w:id="10" w:name="_Toc31103"/>
      <w:r>
        <w:rPr>
          <w:rFonts w:hint="eastAsia" w:cs="宋体" w:asciiTheme="majorEastAsia" w:hAnsiTheme="majorEastAsia" w:eastAsiaTheme="majorEastAsia"/>
          <w:color w:val="000000" w:themeColor="text1"/>
          <w:sz w:val="24"/>
        </w:rPr>
        <w:t>2.采购代理机构信息</w:t>
      </w:r>
      <w:bookmarkEnd w:id="9"/>
      <w:bookmarkEnd w:id="10"/>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广西邕政采购代理有限公司     </w:t>
      </w:r>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南宁市思贤路45号创投中心16A层</w:t>
      </w:r>
    </w:p>
    <w:p>
      <w:pPr>
        <w:pStyle w:val="23"/>
        <w:spacing w:afterLines="0" w:line="460" w:lineRule="exact"/>
        <w:ind w:firstLine="720" w:firstLineChars="300"/>
        <w:jc w:val="left"/>
        <w:rPr>
          <w:rFonts w:asciiTheme="majorEastAsia" w:hAnsiTheme="majorEastAsia" w:eastAsiaTheme="majorEastAsia" w:cstheme="majorEastAsia"/>
          <w:color w:val="000000" w:themeColor="text1"/>
          <w:szCs w:val="24"/>
        </w:rPr>
      </w:pPr>
      <w:r>
        <w:rPr>
          <w:rFonts w:hint="eastAsia" w:cs="宋体" w:asciiTheme="majorEastAsia" w:hAnsiTheme="majorEastAsia" w:eastAsiaTheme="majorEastAsia"/>
          <w:color w:val="000000" w:themeColor="text1"/>
          <w:kern w:val="2"/>
          <w:szCs w:val="24"/>
        </w:rPr>
        <w:t>联系方式：</w:t>
      </w:r>
      <w:r>
        <w:rPr>
          <w:rFonts w:hint="eastAsia" w:cs="宋体" w:asciiTheme="majorEastAsia" w:hAnsiTheme="majorEastAsia" w:eastAsiaTheme="majorEastAsia"/>
          <w:color w:val="000000" w:themeColor="text1"/>
          <w:kern w:val="2"/>
          <w:szCs w:val="24"/>
          <w:u w:val="single"/>
        </w:rPr>
        <w:t xml:space="preserve"> 蔺工、罗工  0771-2442850     </w:t>
      </w:r>
    </w:p>
    <w:p>
      <w:pPr>
        <w:widowControl/>
        <w:numPr>
          <w:ilvl w:val="255"/>
          <w:numId w:val="0"/>
        </w:numPr>
        <w:tabs>
          <w:tab w:val="left" w:pos="1021"/>
        </w:tabs>
        <w:spacing w:line="460" w:lineRule="exact"/>
        <w:ind w:firstLine="480" w:firstLineChars="200"/>
        <w:rPr>
          <w:rFonts w:cs="宋体" w:asciiTheme="majorEastAsia" w:hAnsiTheme="majorEastAsia" w:eastAsiaTheme="majorEastAsia"/>
          <w:color w:val="000000" w:themeColor="text1"/>
          <w:sz w:val="24"/>
        </w:rPr>
      </w:pPr>
      <w:bookmarkStart w:id="11" w:name="_Toc11360"/>
      <w:bookmarkStart w:id="12" w:name="_Toc20753"/>
      <w:r>
        <w:rPr>
          <w:rFonts w:hint="eastAsia" w:cs="宋体" w:asciiTheme="majorEastAsia" w:hAnsiTheme="majorEastAsia" w:eastAsiaTheme="majorEastAsia"/>
          <w:color w:val="000000" w:themeColor="text1"/>
          <w:sz w:val="24"/>
        </w:rPr>
        <w:t>3.项目联系方式</w:t>
      </w:r>
      <w:bookmarkEnd w:id="11"/>
      <w:bookmarkEnd w:id="12"/>
    </w:p>
    <w:p>
      <w:pPr>
        <w:pStyle w:val="9"/>
        <w:widowControl/>
        <w:spacing w:line="460" w:lineRule="exact"/>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蔺工、罗工</w:t>
      </w:r>
      <w:r>
        <w:rPr>
          <w:rFonts w:cs="宋体" w:asciiTheme="majorEastAsia" w:hAnsiTheme="majorEastAsia" w:eastAsiaTheme="majorEastAsia"/>
          <w:color w:val="000000" w:themeColor="text1"/>
          <w:sz w:val="24"/>
          <w:szCs w:val="24"/>
          <w:u w:val="single"/>
        </w:rPr>
        <w:t xml:space="preserve">  0771-2442850  </w:t>
      </w:r>
    </w:p>
    <w:p>
      <w:pPr>
        <w:spacing w:line="460" w:lineRule="exact"/>
        <w:ind w:firstLine="720" w:firstLineChars="3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电   话：</w:t>
      </w:r>
      <w:r>
        <w:rPr>
          <w:rFonts w:hint="eastAsia" w:cs="宋体" w:asciiTheme="majorEastAsia" w:hAnsiTheme="majorEastAsia" w:eastAsiaTheme="majorEastAsia"/>
          <w:color w:val="000000" w:themeColor="text1"/>
          <w:sz w:val="24"/>
          <w:u w:val="single"/>
        </w:rPr>
        <w:t xml:space="preserve"> 0771-2442850  </w:t>
      </w:r>
    </w:p>
    <w:p>
      <w:pPr>
        <w:spacing w:line="460" w:lineRule="exact"/>
        <w:ind w:firstLine="480" w:firstLineChars="200"/>
        <w:jc w:val="lef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                                                 </w:t>
      </w: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发布日期：2020年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04</w:t>
      </w:r>
      <w:r>
        <w:rPr>
          <w:rFonts w:hint="eastAsia" w:asciiTheme="majorEastAsia" w:hAnsiTheme="majorEastAsia" w:eastAsiaTheme="majorEastAsia" w:cstheme="majorEastAsia"/>
          <w:color w:val="000000" w:themeColor="text1"/>
          <w:kern w:val="0"/>
          <w:sz w:val="24"/>
        </w:rPr>
        <w:t>日</w:t>
      </w:r>
    </w:p>
    <w:p>
      <w:pPr>
        <w:widowControl/>
        <w:jc w:val="center"/>
        <w:rPr>
          <w:rFonts w:asciiTheme="majorEastAsia" w:hAnsiTheme="majorEastAsia" w:eastAsiaTheme="majorEastAsia" w:cstheme="majorEastAsia"/>
          <w:b/>
          <w:bCs/>
          <w:color w:val="000000" w:themeColor="text1"/>
          <w:sz w:val="32"/>
          <w:szCs w:val="40"/>
        </w:rPr>
        <w:sectPr>
          <w:headerReference r:id="rId9" w:type="default"/>
          <w:footerReference r:id="rId10" w:type="default"/>
          <w:pgSz w:w="11906" w:h="16838"/>
          <w:pgMar w:top="1440" w:right="1080" w:bottom="1118" w:left="1080" w:header="720" w:footer="720" w:gutter="0"/>
          <w:cols w:space="720" w:num="1"/>
          <w:docGrid w:type="lines" w:linePitch="331" w:charSpace="0"/>
        </w:sectPr>
      </w:pPr>
      <w:bookmarkStart w:id="13" w:name="_Toc485920201"/>
      <w:bookmarkStart w:id="14" w:name="_Toc460253699"/>
      <w:bookmarkStart w:id="15" w:name="_Toc213325921"/>
      <w:bookmarkStart w:id="16" w:name="_Toc213206172"/>
      <w:bookmarkStart w:id="17" w:name="_Toc139967215"/>
      <w:bookmarkStart w:id="18" w:name="_Toc139966431"/>
      <w:bookmarkStart w:id="19" w:name="_Toc213326412"/>
    </w:p>
    <w:p>
      <w:pPr>
        <w:widowControl/>
        <w:jc w:val="center"/>
        <w:outlineLvl w:val="0"/>
        <w:rPr>
          <w:rFonts w:asciiTheme="majorEastAsia" w:hAnsiTheme="majorEastAsia" w:eastAsiaTheme="majorEastAsia" w:cstheme="majorEastAsia"/>
          <w:b/>
          <w:bCs/>
          <w:caps/>
          <w:color w:val="000000" w:themeColor="text1"/>
          <w:sz w:val="32"/>
          <w:szCs w:val="40"/>
        </w:rPr>
      </w:pPr>
      <w:bookmarkStart w:id="20" w:name="_Toc21122"/>
      <w:bookmarkStart w:id="21" w:name="_Toc15101"/>
      <w:bookmarkStart w:id="22" w:name="_Toc6237"/>
      <w:r>
        <w:rPr>
          <w:rFonts w:hint="eastAsia" w:asciiTheme="majorEastAsia" w:hAnsiTheme="majorEastAsia" w:eastAsiaTheme="majorEastAsia" w:cstheme="majorEastAsia"/>
          <w:b/>
          <w:bCs/>
          <w:color w:val="000000" w:themeColor="text1"/>
          <w:sz w:val="32"/>
          <w:szCs w:val="40"/>
        </w:rPr>
        <w:t>第二章  服务需求一览表</w:t>
      </w:r>
      <w:bookmarkEnd w:id="13"/>
      <w:bookmarkEnd w:id="14"/>
      <w:bookmarkEnd w:id="20"/>
      <w:bookmarkEnd w:id="21"/>
      <w:bookmarkEnd w:id="22"/>
    </w:p>
    <w:p>
      <w:pPr>
        <w:spacing w:line="360" w:lineRule="auto"/>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说明：</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1、本服务需求一览表中标注★号的部分为实质性要求和条件。</w:t>
      </w:r>
    </w:p>
    <w:p>
      <w:pPr>
        <w:spacing w:line="360" w:lineRule="auto"/>
        <w:ind w:firstLine="600" w:firstLineChars="25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2、本服务需求一览表中内容如与第六章“合同条款及格式”相关条款不一致的，以本表为准。</w:t>
      </w:r>
    </w:p>
    <w:p>
      <w:pPr>
        <w:spacing w:line="360" w:lineRule="auto"/>
        <w:ind w:firstLine="602" w:firstLineChars="250"/>
      </w:pPr>
      <w:r>
        <w:rPr>
          <w:rFonts w:hint="eastAsia" w:asciiTheme="majorEastAsia" w:hAnsiTheme="majorEastAsia" w:eastAsiaTheme="majorEastAsia" w:cstheme="majorEastAsia"/>
          <w:b/>
          <w:bCs/>
          <w:color w:val="000000" w:themeColor="text1"/>
          <w:sz w:val="24"/>
        </w:rPr>
        <w:t>3、本次服务采购最高限价为：人民币柒拾伍万元整 (￥750000.00元）</w:t>
      </w:r>
    </w:p>
    <w:tbl>
      <w:tblPr>
        <w:tblStyle w:val="18"/>
        <w:tblpPr w:leftFromText="180" w:rightFromText="180" w:vertAnchor="text" w:horzAnchor="page" w:tblpX="1061" w:tblpY="493"/>
        <w:tblOverlap w:val="never"/>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937"/>
        <w:gridCol w:w="721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85" w:hRule="atLeast"/>
        </w:trPr>
        <w:tc>
          <w:tcPr>
            <w:tcW w:w="725" w:type="dxa"/>
            <w:vAlign w:val="center"/>
          </w:tcPr>
          <w:p>
            <w:pPr>
              <w:widowControl/>
              <w:snapToGrid w:val="0"/>
              <w:spacing w:line="360" w:lineRule="auto"/>
              <w:ind w:right="-107" w:rightChars="-51"/>
              <w:jc w:val="center"/>
              <w:rPr>
                <w:rFonts w:ascii="宋体" w:hAnsi="宋体" w:cs="宋体"/>
                <w:b/>
                <w:color w:val="000000" w:themeColor="text1"/>
                <w:kern w:val="0"/>
                <w:sz w:val="24"/>
              </w:rPr>
            </w:pPr>
            <w:bookmarkStart w:id="23" w:name="_Toc485920211"/>
            <w:r>
              <w:rPr>
                <w:rFonts w:hint="eastAsia" w:ascii="宋体" w:hAnsi="宋体" w:cs="宋体"/>
                <w:b/>
                <w:color w:val="000000" w:themeColor="text1"/>
                <w:kern w:val="0"/>
                <w:sz w:val="24"/>
              </w:rPr>
              <w:t>项号</w:t>
            </w:r>
          </w:p>
        </w:tc>
        <w:tc>
          <w:tcPr>
            <w:tcW w:w="1350" w:type="dxa"/>
            <w:vAlign w:val="center"/>
          </w:tcPr>
          <w:p>
            <w:pPr>
              <w:widowControl/>
              <w:snapToGrid w:val="0"/>
              <w:spacing w:line="360" w:lineRule="auto"/>
              <w:jc w:val="center"/>
              <w:rPr>
                <w:rFonts w:ascii="宋体" w:hAnsi="宋体" w:cs="宋体"/>
                <w:b/>
                <w:color w:val="000000" w:themeColor="text1"/>
                <w:kern w:val="0"/>
                <w:sz w:val="24"/>
              </w:rPr>
            </w:pPr>
            <w:r>
              <w:rPr>
                <w:rFonts w:hint="eastAsia" w:ascii="宋体" w:hAnsi="宋体" w:cs="宋体"/>
                <w:b/>
                <w:color w:val="000000" w:themeColor="text1"/>
                <w:kern w:val="0"/>
                <w:sz w:val="24"/>
              </w:rPr>
              <w:t>服务名称</w:t>
            </w:r>
          </w:p>
        </w:tc>
        <w:tc>
          <w:tcPr>
            <w:tcW w:w="937" w:type="dxa"/>
            <w:vAlign w:val="center"/>
          </w:tcPr>
          <w:p>
            <w:pPr>
              <w:widowControl/>
              <w:snapToGrid w:val="0"/>
              <w:spacing w:line="360" w:lineRule="auto"/>
              <w:jc w:val="center"/>
              <w:rPr>
                <w:rFonts w:ascii="宋体" w:hAnsi="宋体" w:cs="宋体"/>
                <w:b/>
                <w:color w:val="000000" w:themeColor="text1"/>
                <w:kern w:val="0"/>
                <w:sz w:val="24"/>
              </w:rPr>
            </w:pPr>
            <w:r>
              <w:rPr>
                <w:rFonts w:hint="eastAsia" w:ascii="宋体" w:hAnsi="宋体" w:cs="宋体"/>
                <w:b/>
                <w:color w:val="000000" w:themeColor="text1"/>
                <w:kern w:val="0"/>
                <w:sz w:val="24"/>
              </w:rPr>
              <w:t>数量</w:t>
            </w:r>
          </w:p>
        </w:tc>
        <w:tc>
          <w:tcPr>
            <w:tcW w:w="7212" w:type="dxa"/>
            <w:vAlign w:val="center"/>
          </w:tcPr>
          <w:p>
            <w:pPr>
              <w:widowControl/>
              <w:snapToGrid w:val="0"/>
              <w:spacing w:line="360" w:lineRule="auto"/>
              <w:jc w:val="center"/>
              <w:rPr>
                <w:rFonts w:ascii="宋体" w:hAnsi="宋体" w:cs="宋体"/>
                <w:b/>
                <w:color w:val="000000" w:themeColor="text1"/>
                <w:kern w:val="0"/>
                <w:sz w:val="24"/>
              </w:rPr>
            </w:pPr>
            <w:r>
              <w:rPr>
                <w:rFonts w:hint="eastAsia" w:ascii="宋体" w:hAnsi="宋体" w:cs="宋体"/>
                <w:b/>
                <w:color w:val="000000" w:themeColor="text1"/>
                <w:kern w:val="0"/>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0" w:hRule="atLeast"/>
        </w:trPr>
        <w:tc>
          <w:tcPr>
            <w:tcW w:w="725" w:type="dxa"/>
            <w:vAlign w:val="center"/>
          </w:tcPr>
          <w:p>
            <w:pPr>
              <w:snapToGrid w:val="0"/>
              <w:spacing w:line="360" w:lineRule="auto"/>
              <w:jc w:val="center"/>
              <w:rPr>
                <w:rFonts w:ascii="宋体" w:hAnsi="宋体" w:cs="宋体"/>
                <w:color w:val="000000" w:themeColor="text1"/>
                <w:kern w:val="0"/>
                <w:sz w:val="24"/>
              </w:rPr>
            </w:pPr>
            <w:r>
              <w:rPr>
                <w:rFonts w:hint="eastAsia" w:ascii="宋体" w:hAnsi="宋体" w:cs="宋体"/>
                <w:bCs/>
                <w:color w:val="000000" w:themeColor="text1"/>
                <w:sz w:val="24"/>
              </w:rPr>
              <w:t>1</w:t>
            </w:r>
          </w:p>
        </w:tc>
        <w:tc>
          <w:tcPr>
            <w:tcW w:w="1350" w:type="dxa"/>
            <w:vAlign w:val="center"/>
          </w:tcPr>
          <w:p>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rPr>
              <w:t>南宁市住房信息系统发布平台升级</w:t>
            </w:r>
          </w:p>
        </w:tc>
        <w:tc>
          <w:tcPr>
            <w:tcW w:w="937" w:type="dxa"/>
            <w:vAlign w:val="center"/>
          </w:tcPr>
          <w:p>
            <w:pPr>
              <w:widowControl/>
              <w:snapToGrid w:val="0"/>
              <w:spacing w:line="360" w:lineRule="auto"/>
              <w:jc w:val="center"/>
              <w:outlineLvl w:val="1"/>
              <w:rPr>
                <w:rFonts w:ascii="宋体" w:hAnsi="宋体" w:cs="宋体"/>
                <w:color w:val="000000" w:themeColor="text1"/>
                <w:kern w:val="0"/>
                <w:sz w:val="24"/>
              </w:rPr>
            </w:pPr>
            <w:bookmarkStart w:id="24" w:name="_Toc19866"/>
            <w:r>
              <w:rPr>
                <w:rFonts w:hint="eastAsia" w:ascii="宋体" w:hAnsi="宋体" w:cs="宋体"/>
                <w:sz w:val="24"/>
              </w:rPr>
              <w:t>1项</w:t>
            </w:r>
            <w:bookmarkEnd w:id="24"/>
          </w:p>
        </w:tc>
        <w:tc>
          <w:tcPr>
            <w:tcW w:w="7212" w:type="dxa"/>
            <w:vAlign w:val="center"/>
          </w:tcPr>
          <w:p>
            <w:pPr>
              <w:snapToGrid w:val="0"/>
              <w:spacing w:line="360" w:lineRule="auto"/>
              <w:rPr>
                <w:rFonts w:ascii="宋体" w:hAnsi="宋体" w:cs="宋体"/>
                <w:sz w:val="24"/>
              </w:rPr>
            </w:pPr>
            <w:r>
              <w:rPr>
                <w:rFonts w:hint="eastAsia" w:ascii="宋体" w:hAnsi="宋体" w:cs="宋体"/>
                <w:sz w:val="24"/>
              </w:rPr>
              <w:t>一、项目概况</w:t>
            </w:r>
          </w:p>
          <w:p>
            <w:pPr>
              <w:snapToGrid w:val="0"/>
              <w:spacing w:line="360" w:lineRule="auto"/>
              <w:ind w:firstLine="480" w:firstLineChars="200"/>
              <w:rPr>
                <w:rFonts w:ascii="宋体" w:hAnsi="宋体" w:cs="宋体"/>
                <w:sz w:val="24"/>
              </w:rPr>
            </w:pPr>
            <w:r>
              <w:rPr>
                <w:rFonts w:hint="eastAsia" w:ascii="宋体" w:hAnsi="宋体" w:cs="宋体"/>
                <w:sz w:val="24"/>
              </w:rPr>
              <w:t>为贯彻落实《国务院关于加快推进“互联网+政务服务”工作的指导意见》（国发[2016]55号），规范网上政务服务平台建设、推进实体政务大厅与网上服务平台融合发展，适应“互联网+政务服务”发展需要，进一步提升实体政务大厅的服务能力，加快南宁市住房和城乡建设行业相关的建筑市场、建设工人数据采集、市政工程基础设施、公用事业、固定资产管理、卫生健康、疫情防控等网上服务平台融合，形成线上线下功能互补、相辅相成的政务服务新模式。推进实体政务大厅向网上延伸、实时把控疫情期间南宁市重点服务项目企业复产复工情况、落实建筑业经济发展指标，增强基础设施建设对全市经济社会发展的关键性、支撑性、引领性作用。</w:t>
            </w:r>
          </w:p>
          <w:p>
            <w:pPr>
              <w:snapToGrid w:val="0"/>
              <w:spacing w:line="360" w:lineRule="auto"/>
              <w:ind w:firstLine="480" w:firstLineChars="200"/>
              <w:rPr>
                <w:rFonts w:ascii="宋体" w:hAnsi="宋体" w:cs="宋体"/>
                <w:sz w:val="24"/>
              </w:rPr>
            </w:pPr>
            <w:r>
              <w:rPr>
                <w:rFonts w:hint="eastAsia" w:ascii="宋体" w:hAnsi="宋体" w:cs="宋体"/>
                <w:sz w:val="24"/>
              </w:rPr>
              <w:t>因此急需对南宁市住房和城乡建设局相关的信息系统发布平台新增业务功能，开设疫情网上填报、基础设施线上收集等功能。从而实现业务流程优化、业务线上一体化、简化业务流程。</w:t>
            </w:r>
          </w:p>
          <w:p>
            <w:pPr>
              <w:snapToGrid w:val="0"/>
              <w:spacing w:line="360" w:lineRule="auto"/>
              <w:rPr>
                <w:rFonts w:ascii="宋体" w:hAnsi="宋体" w:cs="宋体"/>
                <w:sz w:val="24"/>
              </w:rPr>
            </w:pPr>
            <w:r>
              <w:rPr>
                <w:rFonts w:hint="eastAsia" w:ascii="宋体" w:hAnsi="宋体" w:cs="宋体"/>
                <w:sz w:val="24"/>
              </w:rPr>
              <w:t>二、服务目标</w:t>
            </w:r>
          </w:p>
          <w:p>
            <w:pPr>
              <w:snapToGrid w:val="0"/>
              <w:spacing w:line="360" w:lineRule="auto"/>
              <w:ind w:firstLine="480" w:firstLineChars="200"/>
              <w:rPr>
                <w:rFonts w:ascii="宋体" w:hAnsi="宋体" w:cs="宋体"/>
                <w:sz w:val="24"/>
              </w:rPr>
            </w:pPr>
            <w:r>
              <w:rPr>
                <w:rFonts w:hint="eastAsia" w:ascii="宋体" w:hAnsi="宋体" w:cs="宋体"/>
                <w:sz w:val="24"/>
              </w:rPr>
              <w:t>通过对南宁市住房和城乡建设行业相关的建筑市场、市政工程基础设施、公用事业、固定资产管理、卫生健康、疫情防控等南宁市住房和城乡建设局信息系统发布平台进行全新改版，以实现疫情信息填报功能落实党中央关于新型冠状病毒感染肺炎疫情防控工作的重要决策部署；以实现南宁市基础设施三年大会战信息录入功能进一步增强基础设施建设对全市经济社会发展的关键性、支撑性、引领性作用；以实现创城工作信息填报功能，做好创城整改提升工作的社会责任，全员行动抓落实，全力以赴抓整改，全面提升首府“创建文明城市”水平，全面落实强首府战略、推动高质量发展，增强综合竞争力。</w:t>
            </w:r>
          </w:p>
          <w:p>
            <w:pPr>
              <w:snapToGrid w:val="0"/>
              <w:spacing w:line="360" w:lineRule="auto"/>
              <w:rPr>
                <w:rFonts w:ascii="宋体" w:hAnsi="宋体" w:cs="宋体"/>
                <w:sz w:val="24"/>
              </w:rPr>
            </w:pPr>
            <w:r>
              <w:rPr>
                <w:rFonts w:hint="eastAsia" w:ascii="宋体" w:hAnsi="宋体" w:cs="宋体"/>
                <w:sz w:val="24"/>
              </w:rPr>
              <w:t>三、服务范围</w:t>
            </w:r>
          </w:p>
          <w:p>
            <w:pPr>
              <w:snapToGrid w:val="0"/>
              <w:spacing w:line="360" w:lineRule="auto"/>
              <w:ind w:firstLine="480" w:firstLineChars="200"/>
              <w:rPr>
                <w:rFonts w:ascii="宋体" w:hAnsi="宋体" w:cs="宋体"/>
                <w:sz w:val="24"/>
              </w:rPr>
            </w:pPr>
            <w:r>
              <w:rPr>
                <w:rFonts w:hint="eastAsia" w:ascii="宋体" w:hAnsi="宋体" w:cs="宋体"/>
                <w:sz w:val="24"/>
              </w:rPr>
              <w:t>主要包括以用户为中心的数据库开发建设、对平台架构进行优化升级，疫情信息填报功能模块、创城工作信息填报功能模块、南宁市基础设施三年大会战功能模块、重大项目填报功能模块、防疫物资内部申领功能模块五大功能模块内容。</w:t>
            </w:r>
          </w:p>
          <w:p>
            <w:pPr>
              <w:numPr>
                <w:ilvl w:val="0"/>
                <w:numId w:val="2"/>
              </w:numPr>
              <w:snapToGrid w:val="0"/>
              <w:spacing w:line="360" w:lineRule="auto"/>
              <w:rPr>
                <w:rFonts w:ascii="宋体" w:hAnsi="宋体" w:cs="宋体"/>
                <w:sz w:val="24"/>
              </w:rPr>
            </w:pPr>
            <w:r>
              <w:rPr>
                <w:rFonts w:hint="eastAsia" w:ascii="宋体" w:hAnsi="宋体" w:cs="宋体"/>
                <w:sz w:val="24"/>
              </w:rPr>
              <w:t>服务内容及要求</w:t>
            </w:r>
          </w:p>
          <w:p>
            <w:pPr>
              <w:snapToGrid w:val="0"/>
              <w:spacing w:line="360" w:lineRule="auto"/>
              <w:ind w:firstLine="480" w:firstLineChars="200"/>
              <w:rPr>
                <w:rFonts w:ascii="宋体" w:hAnsi="宋体" w:cs="宋体"/>
                <w:sz w:val="24"/>
              </w:rPr>
            </w:pPr>
            <w:r>
              <w:rPr>
                <w:rFonts w:hint="eastAsia" w:ascii="宋体" w:hAnsi="宋体" w:cs="宋体"/>
                <w:sz w:val="24"/>
              </w:rPr>
              <w:t>本项目主要分为疫情信息填报功能、创城工作信息填报功能、基础设施三年大会战功能、重大项目填报功能、防疫物资内部申领功能、线上交易监管功能等方面，每部分的需求具体如下：</w:t>
            </w:r>
          </w:p>
          <w:p>
            <w:pPr>
              <w:snapToGrid w:val="0"/>
              <w:spacing w:line="360" w:lineRule="auto"/>
              <w:ind w:firstLine="480" w:firstLineChars="200"/>
              <w:rPr>
                <w:rFonts w:ascii="宋体" w:hAnsi="宋体" w:cs="宋体"/>
                <w:sz w:val="24"/>
              </w:rPr>
            </w:pPr>
            <w:r>
              <w:rPr>
                <w:rFonts w:hint="eastAsia" w:ascii="宋体" w:hAnsi="宋体" w:cs="宋体"/>
                <w:sz w:val="24"/>
              </w:rPr>
              <w:t>★（一）疫情信息填报功能模块</w:t>
            </w:r>
          </w:p>
          <w:p>
            <w:pPr>
              <w:snapToGrid w:val="0"/>
              <w:spacing w:line="360" w:lineRule="auto"/>
              <w:rPr>
                <w:rFonts w:ascii="宋体" w:hAnsi="宋体" w:cs="宋体"/>
                <w:sz w:val="24"/>
              </w:rPr>
            </w:pPr>
            <w:r>
              <w:rPr>
                <w:rFonts w:hint="eastAsia" w:ascii="宋体" w:hAnsi="宋体" w:cs="宋体"/>
                <w:sz w:val="24"/>
              </w:rPr>
              <w:t>概述：疫情信息填报功能模块是为实党中央关于新型冠状病毒感染肺炎疫情防控工作的重要决策部署而实现的功能，功能包括卫生健康信息、疫情相关信息填报、疫情信息填报数据展示、分析等。</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用户角色设计，根据用户所属单位、企业公司将用户区分开来，主要角色有：局机关用户、房地产、中介用户、建筑企业用户等。</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局机关、房地产、中介、建筑企业复工复产情况收集，以表单的形式让局机关、房地产、中介、建筑企业填报，数据录入数据库，形成数据规范。</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通过企业复工复产情况采集功能收集建筑工人数据，形成数据表。</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以报表形式收集局机关及二层单位员工到疫情重点区域人数、接触疫情重点区域人数，接触病例人数，出现症状人数，就医人数，滞留人数，家属异常人数，小区确诊人数，离开南宁人数， 离开广西人数，返回南宁人数等数据，形成疫情情况数据库，并能实时更新反馈。</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以图表的形式直观展示局机关及二层单位员工的疫情情况数据，各类数据分类统计，形成数据统计页面，辅助决策。</w:t>
            </w:r>
          </w:p>
          <w:p>
            <w:pPr>
              <w:snapToGrid w:val="0"/>
              <w:spacing w:line="360" w:lineRule="auto"/>
              <w:ind w:firstLine="480" w:firstLineChars="200"/>
              <w:rPr>
                <w:rFonts w:ascii="宋体" w:hAnsi="宋体" w:cs="宋体"/>
                <w:sz w:val="24"/>
              </w:rPr>
            </w:pPr>
            <w:r>
              <w:rPr>
                <w:rFonts w:hint="eastAsia" w:ascii="宋体" w:hAnsi="宋体" w:cs="宋体"/>
                <w:sz w:val="24"/>
              </w:rPr>
              <w:t>★（二）创城工作信息填报功能模块</w:t>
            </w:r>
          </w:p>
          <w:p>
            <w:pPr>
              <w:snapToGrid w:val="0"/>
              <w:spacing w:line="360" w:lineRule="auto"/>
              <w:rPr>
                <w:rFonts w:ascii="宋体" w:hAnsi="宋体" w:cs="宋体"/>
                <w:sz w:val="24"/>
              </w:rPr>
            </w:pPr>
            <w:r>
              <w:rPr>
                <w:rFonts w:hint="eastAsia" w:ascii="宋体" w:hAnsi="宋体" w:cs="宋体"/>
                <w:sz w:val="24"/>
              </w:rPr>
              <w:t>概述：创城工作信息填报功能模块是为做好创城整改提升工作的政治责任，全员行动抓落实，全力以赴抓整改，全面提升首府文明城市创建水平，全面落实强首府战略、推动高质量发展，增强综合竞争力而建设的功能模块。</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整理南宁市小区信息数据、局机关及二层单位参与创城人员信息数据，形成小区与人员对应关系数据，确保每个小区都有相关负责人，将相关数据整理入库，形成数据表，提供数据维护、更新服务。</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登录系统：用户输入姓名+填报的手机号码作为登录账户和密码登入创城填报功能。</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用户可在首页查看小区的整改上报记录，能够筛选所有小区、与用户相关的小区、用户收藏的小区进行查看，具有定位到小区、收藏小区以及导出检查报告等功能。</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统计功能：用户可查看所属单位检查小区总体情况、以及所属部门检查小区总体情况，统计信息包括：小区总数、未填报小区数、未整改小区数、整改中小区数、无物业小区数、物业不配合的小区数、需整改但缺少资金的小区数、整改困难小区数等。</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小区基本情况查询：用户点击小区列表中的小区卡片可查看对应小区基本情况信息，包括督办员信息、联系电话、所属公司、科室，小区所在城区、小区名称、地址、物业公司、小区物业经理及其联系电话等信息。支持修正小区地址、公司、物业联系人等信息。</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填报记录情况查询：用户点击小区列表中的小区卡片可查看对应小区的填报记录，具有新增、删除、一键导出检查记录文档。填报信息应包括检查日期、是否静态达标、不达标地方记录、当日进展、检查的整改单照片、打钩法照片等信息。</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小区其他信息采集：用户点击小区列表中的小区卡片可采集小区信息，采集信息应包括：小区整改信息（整改情况、备注等）、小区调查信息（是否能够落实米长制、社区相关信息、占地面积、住户数、人口数等信息、物业相关信息、楼栋信息等）、“四定”表信息等。</w:t>
            </w:r>
          </w:p>
          <w:p>
            <w:pPr>
              <w:pStyle w:val="2"/>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其他功能：地图功能应当支持二维地图、卫星地图切换，路况、路网、所有小区地图展示等功能选择。</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南宁市基础设施三年大会战功能模块</w:t>
            </w:r>
          </w:p>
          <w:p>
            <w:pPr>
              <w:snapToGrid w:val="0"/>
              <w:spacing w:line="360" w:lineRule="auto"/>
              <w:rPr>
                <w:rFonts w:ascii="宋体" w:hAnsi="宋体" w:cs="宋体"/>
                <w:sz w:val="24"/>
              </w:rPr>
            </w:pPr>
            <w:r>
              <w:rPr>
                <w:rFonts w:hint="eastAsia" w:ascii="宋体" w:hAnsi="宋体" w:cs="宋体"/>
                <w:sz w:val="24"/>
              </w:rPr>
              <w:t>概述：南宁市基础设施三年大会战功能模块是为摸清南宁市基础设施“底数”，进一步增强基础设施建设对全市经济社会发展的关键性、支撑性、引领性作用而建设的功能模块。</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收集、整理南宁市基础设施数据，包括设施边界信息、所属业主、项目信息等信息入库，形成数据表，提供数据维护、更新服务。</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登录系统：用户输入关键字匹配相对应的业主名称、输入登陆密码后登入系统。</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项目信息查看：用户登录系统后可看到与自己相关的项目信息，项目以列表卡片形式展示，卡片包含项目名称、业主名称、项目状态、描边数量等信息。</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项目边界描绘：用户点击项目列表的描边按钮可对项目边界进行描绘。</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项目信息填报：用户点击项目后可对该项目进行信息填报、修改。其中填报的信息应包含：项目名称、建设状态、建设长度、管径、埋深、填报人及联系方式、备注等信息。</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一键导出功能：支持用户一键导出包含所有项目的Excel表格，每个项目应包含：项目信息、项目类别、建设规模和内容、项目建设状态、建设长度、开工时间、业主信息、填报人信息、已描边数、备注等信息。</w:t>
            </w:r>
          </w:p>
          <w:p>
            <w:pPr>
              <w:pStyle w:val="2"/>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其他功能：地图功能应当支持二维地图、卫星地图切换，边界线展示、供水管线、雨水管线等线图例选择等功能选择。</w:t>
            </w:r>
          </w:p>
          <w:p>
            <w:pPr>
              <w:snapToGrid w:val="0"/>
              <w:spacing w:line="360" w:lineRule="auto"/>
              <w:ind w:firstLine="480" w:firstLineChars="200"/>
              <w:rPr>
                <w:rFonts w:ascii="宋体" w:hAnsi="宋体" w:cs="宋体"/>
                <w:sz w:val="24"/>
              </w:rPr>
            </w:pPr>
            <w:r>
              <w:rPr>
                <w:rFonts w:hint="eastAsia" w:ascii="宋体" w:hAnsi="宋体" w:cs="宋体"/>
                <w:sz w:val="24"/>
              </w:rPr>
              <w:t>★（四）重大项目填报功能模块</w:t>
            </w:r>
          </w:p>
          <w:p>
            <w:pPr>
              <w:snapToGrid w:val="0"/>
              <w:spacing w:line="360" w:lineRule="auto"/>
              <w:rPr>
                <w:rFonts w:ascii="宋体" w:hAnsi="宋体" w:cs="宋体"/>
                <w:sz w:val="24"/>
              </w:rPr>
            </w:pPr>
            <w:r>
              <w:rPr>
                <w:rFonts w:hint="eastAsia" w:ascii="宋体" w:hAnsi="宋体" w:cs="宋体"/>
                <w:sz w:val="24"/>
              </w:rPr>
              <w:t>概述：重大项目填报功能模块是实时把控疫情期间南宁市重点服务项目企业复产复工情况，了解南宁市重点服务项目企业复产复工难点，协助企业顺利复产复工，协助开展有关指导、协调、监督工程建设以及工程建设工作而建设的功能模块。</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整理南宁市重点服务项目企业项目信息数据入库，形成数据表，提供数据维护、更新服务。</w:t>
            </w:r>
          </w:p>
          <w:p>
            <w:pPr>
              <w:pStyle w:val="2"/>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项目信息填报：填报人首次填报需要填写全部项目信息，二次填报仅需输入身份证，部分信息自动获取，信息包括手机号、项目所属地市、项目名称、建设单位、施工单位名称、项目形象进度、工程造价、资金来源、满负荷施工所需建筑工人数等信息。</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每日填报：由企业填报相关项目信息，包括：建筑工人已返岗人数、返岗率、当日估计完成产值、月份预计完成产值；所缺防疫口罩数量、体温枪数量、消毒液数量、酒精数量以及实现满负荷施工还存在的问题等内容。</w:t>
            </w:r>
          </w:p>
          <w:p>
            <w:pPr>
              <w:snapToGrid w:val="0"/>
              <w:spacing w:line="360" w:lineRule="auto"/>
              <w:ind w:firstLine="480" w:firstLineChars="200"/>
              <w:rPr>
                <w:rFonts w:ascii="宋体" w:hAnsi="宋体" w:cs="宋体"/>
                <w:sz w:val="24"/>
              </w:rPr>
            </w:pPr>
            <w:r>
              <w:rPr>
                <w:rFonts w:hint="eastAsia" w:ascii="宋体" w:hAnsi="宋体" w:cs="宋体"/>
                <w:sz w:val="24"/>
              </w:rPr>
              <w:t>★（五）防疫物资内部申领功能模块</w:t>
            </w:r>
          </w:p>
          <w:p>
            <w:pPr>
              <w:snapToGrid w:val="0"/>
              <w:spacing w:line="360" w:lineRule="auto"/>
              <w:rPr>
                <w:rFonts w:ascii="宋体" w:hAnsi="宋体" w:cs="宋体"/>
                <w:sz w:val="24"/>
              </w:rPr>
            </w:pPr>
            <w:r>
              <w:rPr>
                <w:rFonts w:hint="eastAsia" w:ascii="宋体" w:hAnsi="宋体" w:cs="宋体"/>
                <w:sz w:val="24"/>
              </w:rPr>
              <w:t>概述：防疫物资内部申领功能模块是为规范疫情期间防疫物资申领、协助局办公室管理资产、保障局内后勤工作正常开展而建设的功能模块。</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权限控制：根据登入角色部门所属岗位不同控制不同的菜单展示，物资管理相关部门具有物资管理、审核、领用管理；其他部门具有物资管理、已审物资查看等功能。</w:t>
            </w:r>
          </w:p>
          <w:p>
            <w:pPr>
              <w:numPr>
                <w:ilvl w:val="0"/>
                <w:numId w:val="9"/>
              </w:numPr>
              <w:snapToGrid w:val="0"/>
              <w:spacing w:line="360" w:lineRule="auto"/>
              <w:ind w:firstLine="480" w:firstLineChars="200"/>
              <w:rPr>
                <w:rFonts w:ascii="宋体" w:hAnsi="宋体" w:cs="宋体"/>
                <w:sz w:val="24"/>
              </w:rPr>
            </w:pPr>
            <w:r>
              <w:rPr>
                <w:rFonts w:hint="eastAsia" w:ascii="宋体" w:hAnsi="宋体" w:cs="宋体"/>
                <w:sz w:val="24"/>
              </w:rPr>
              <w:t>物资管理功能：物资管理人员在此界面进行物资录入，物资数量查看、物资修改及删除并支持导出Excel明细表。</w:t>
            </w:r>
          </w:p>
          <w:p>
            <w:pPr>
              <w:numPr>
                <w:ilvl w:val="0"/>
                <w:numId w:val="9"/>
              </w:numPr>
              <w:snapToGrid w:val="0"/>
              <w:spacing w:line="360" w:lineRule="auto"/>
              <w:ind w:firstLine="480" w:firstLineChars="200"/>
              <w:rPr>
                <w:rFonts w:ascii="宋体" w:hAnsi="宋体" w:cs="宋体"/>
                <w:sz w:val="24"/>
              </w:rPr>
            </w:pPr>
            <w:r>
              <w:rPr>
                <w:rFonts w:hint="eastAsia" w:ascii="宋体" w:hAnsi="宋体" w:cs="宋体"/>
                <w:sz w:val="24"/>
              </w:rPr>
              <w:t>物资申请功能：其他部门用户填写物资申领表发起物资申领流程，物资申请初步设计流程为：物资申请-&gt;部门领导填写意见-&gt;局办公室填写意见-&gt;局办领用-&gt;物资数量调整。物资申请界面应当能看到物资使用明细记录表并能导出Excel表。</w:t>
            </w:r>
          </w:p>
          <w:p>
            <w:pPr>
              <w:snapToGrid w:val="0"/>
              <w:spacing w:line="360" w:lineRule="auto"/>
              <w:ind w:firstLine="480" w:firstLineChars="200"/>
              <w:rPr>
                <w:rFonts w:ascii="宋体" w:hAnsi="宋体" w:cs="宋体"/>
                <w:sz w:val="24"/>
              </w:rPr>
            </w:pPr>
            <w:r>
              <w:rPr>
                <w:rFonts w:hint="eastAsia" w:ascii="宋体" w:hAnsi="宋体" w:cs="宋体"/>
                <w:sz w:val="24"/>
              </w:rPr>
              <w:t>3、已审物资查看功能：用户可查看自己已通过审核的物资申请记录，支持查看审核处理过程详细记录，支持查看对应的物资申领表、物资使用明细并具有打印功能。</w:t>
            </w:r>
          </w:p>
          <w:p>
            <w:pPr>
              <w:snapToGrid w:val="0"/>
              <w:spacing w:line="360" w:lineRule="auto"/>
              <w:ind w:firstLine="480" w:firstLineChars="200"/>
              <w:rPr>
                <w:rFonts w:ascii="宋体" w:hAnsi="宋体" w:cs="宋体"/>
                <w:sz w:val="24"/>
              </w:rPr>
            </w:pPr>
            <w:r>
              <w:rPr>
                <w:rFonts w:hint="eastAsia" w:ascii="宋体" w:hAnsi="宋体" w:cs="宋体"/>
                <w:sz w:val="24"/>
              </w:rPr>
              <w:t>4、物资申请审核功能：根据流程所处节点，相关角色用户能够通过此功能对已发起的物资申请进行相关操作，具有退回、提交等流程相关功能；具有导出报表功能。</w:t>
            </w:r>
          </w:p>
          <w:p>
            <w:pPr>
              <w:snapToGrid w:val="0"/>
              <w:spacing w:line="360" w:lineRule="auto"/>
              <w:ind w:firstLine="480" w:firstLineChars="200"/>
              <w:rPr>
                <w:rFonts w:ascii="宋体" w:hAnsi="宋体" w:cs="宋体"/>
                <w:sz w:val="24"/>
              </w:rPr>
            </w:pPr>
            <w:r>
              <w:rPr>
                <w:rFonts w:hint="eastAsia" w:ascii="宋体" w:hAnsi="宋体" w:cs="宋体"/>
                <w:sz w:val="24"/>
              </w:rPr>
              <w:t>5、物资总览功能：物资总览应当具有根据物资种类展示库存总数、使用数量、剩余数量等信息功能，同时具有查看各部门领用情况并支持数据报表导出功能。</w:t>
            </w:r>
          </w:p>
          <w:p>
            <w:pPr>
              <w:snapToGrid w:val="0"/>
              <w:spacing w:line="360" w:lineRule="auto"/>
              <w:ind w:firstLine="480" w:firstLineChars="200"/>
              <w:rPr>
                <w:rFonts w:ascii="宋体" w:hAnsi="宋体" w:cs="宋体"/>
                <w:sz w:val="24"/>
              </w:rPr>
            </w:pPr>
            <w:r>
              <w:rPr>
                <w:rFonts w:hint="eastAsia" w:ascii="宋体" w:hAnsi="宋体" w:cs="宋体"/>
                <w:sz w:val="24"/>
              </w:rPr>
              <w:t>6、领用管理功能：具有物资申领登记、查看物资申请记录功能，支持查看物资申领部门、使用物资、使用人、数量、职务、用途等相关信息并具有导出报表功能。</w:t>
            </w:r>
          </w:p>
          <w:p>
            <w:pPr>
              <w:snapToGrid w:val="0"/>
              <w:spacing w:line="360" w:lineRule="auto"/>
              <w:ind w:firstLine="480" w:firstLineChars="200"/>
              <w:rPr>
                <w:rFonts w:ascii="宋体" w:hAnsi="宋体" w:cs="宋体"/>
                <w:sz w:val="24"/>
              </w:rPr>
            </w:pPr>
            <w:r>
              <w:rPr>
                <w:rFonts w:hint="eastAsia" w:ascii="宋体" w:hAnsi="宋体" w:cs="宋体"/>
                <w:sz w:val="24"/>
              </w:rPr>
              <w:t>★（六）线上交易监管功能模块</w:t>
            </w:r>
          </w:p>
          <w:p>
            <w:pPr>
              <w:snapToGrid w:val="0"/>
              <w:spacing w:line="360" w:lineRule="auto"/>
              <w:rPr>
                <w:rFonts w:ascii="宋体" w:hAnsi="宋体" w:cs="宋体"/>
                <w:sz w:val="24"/>
              </w:rPr>
            </w:pPr>
            <w:r>
              <w:rPr>
                <w:rFonts w:hint="eastAsia" w:ascii="宋体" w:hAnsi="宋体" w:cs="宋体"/>
                <w:sz w:val="24"/>
              </w:rPr>
              <w:t>概述：根据《关于印发&lt;南宁市直机关开展“百名书记引航，推动消费扶贫”活动实施方案&gt;的通知》（南直党工通【2020】18号 ）及《南宁市住房和城乡建设局关于印发2020年脱贫攻坚定点帮扶工作方案的通知》（南住建〔2020〕107号）精神，为推动消费扶贫，特此建设线上交易监管功能模块。</w:t>
            </w:r>
          </w:p>
          <w:p>
            <w:pPr>
              <w:snapToGrid w:val="0"/>
              <w:spacing w:line="360" w:lineRule="auto"/>
              <w:ind w:firstLine="480" w:firstLineChars="200"/>
              <w:rPr>
                <w:rFonts w:ascii="宋体" w:hAnsi="宋体" w:cs="宋体"/>
                <w:sz w:val="24"/>
              </w:rPr>
            </w:pPr>
            <w:r>
              <w:rPr>
                <w:rFonts w:hint="eastAsia" w:ascii="宋体" w:hAnsi="宋体" w:cs="宋体"/>
                <w:sz w:val="24"/>
              </w:rPr>
              <w:t>1、首页产品展示：对首界面产品展示中，可根据需求支持自定义调整产品优先展示顺序，开设热销产品特写宣传、图片滚动宣传以及热门推荐产品展示区。</w:t>
            </w:r>
          </w:p>
          <w:p>
            <w:pPr>
              <w:snapToGrid w:val="0"/>
              <w:spacing w:line="360" w:lineRule="auto"/>
              <w:ind w:firstLine="480" w:firstLineChars="200"/>
              <w:rPr>
                <w:rFonts w:ascii="宋体" w:hAnsi="宋体" w:cs="宋体"/>
                <w:sz w:val="24"/>
              </w:rPr>
            </w:pPr>
            <w:r>
              <w:rPr>
                <w:rFonts w:hint="eastAsia" w:ascii="宋体" w:hAnsi="宋体" w:cs="宋体"/>
                <w:sz w:val="24"/>
              </w:rPr>
              <w:t>2、产品分类查看:可查看产品的详细介绍，包含图文介绍、剩余库存数量、成团人数、已参团人数等信息。支持分类查看产品，可分享产品链接到微信好友或微信朋友圈。</w:t>
            </w:r>
          </w:p>
          <w:p>
            <w:pPr>
              <w:snapToGrid w:val="0"/>
              <w:spacing w:line="360" w:lineRule="auto"/>
              <w:ind w:firstLine="480" w:firstLineChars="200"/>
              <w:rPr>
                <w:rFonts w:ascii="宋体" w:hAnsi="宋体" w:cs="宋体"/>
                <w:sz w:val="24"/>
              </w:rPr>
            </w:pPr>
            <w:r>
              <w:rPr>
                <w:rFonts w:hint="eastAsia" w:ascii="宋体" w:hAnsi="宋体" w:cs="宋体"/>
                <w:sz w:val="24"/>
              </w:rPr>
              <w:t>3、购物车编辑：支持编辑已加入购物车产品、调整采购数量、清除已选产品，在购物车中的产品中可自定义选择产品下单付款。需显示已选下单数量、单价、与合计金额。</w:t>
            </w:r>
          </w:p>
          <w:p>
            <w:pPr>
              <w:snapToGrid w:val="0"/>
              <w:spacing w:line="360" w:lineRule="auto"/>
              <w:ind w:firstLine="480" w:firstLineChars="200"/>
              <w:rPr>
                <w:rFonts w:ascii="宋体" w:hAnsi="宋体" w:cs="宋体"/>
                <w:sz w:val="24"/>
              </w:rPr>
            </w:pPr>
            <w:r>
              <w:rPr>
                <w:rFonts w:hint="eastAsia" w:ascii="宋体" w:hAnsi="宋体" w:cs="宋体"/>
                <w:sz w:val="24"/>
              </w:rPr>
              <w:t>4、个人中心，支持查看用户待付款、待发货、待收货、待评价、密码重置、地址管理、产品收藏等操作。</w:t>
            </w:r>
          </w:p>
          <w:p>
            <w:pPr>
              <w:snapToGrid w:val="0"/>
              <w:spacing w:line="360" w:lineRule="auto"/>
              <w:ind w:firstLine="480" w:firstLineChars="200"/>
              <w:rPr>
                <w:rFonts w:ascii="宋体" w:hAnsi="宋体" w:cs="宋体"/>
                <w:sz w:val="24"/>
              </w:rPr>
            </w:pPr>
            <w:r>
              <w:rPr>
                <w:rFonts w:hint="eastAsia" w:ascii="宋体" w:hAnsi="宋体" w:cs="宋体"/>
                <w:sz w:val="24"/>
              </w:rPr>
              <w:t>5、用户管理功能，支持查看用户购买记录、用户收货地址管理、用户收藏记录、浏览足迹、搜索历史、反馈意见等用户信息，以数据辅助平台运营。</w:t>
            </w:r>
          </w:p>
          <w:p>
            <w:pPr>
              <w:snapToGrid w:val="0"/>
              <w:spacing w:line="360" w:lineRule="auto"/>
              <w:ind w:firstLine="480" w:firstLineChars="200"/>
              <w:rPr>
                <w:rFonts w:ascii="宋体" w:hAnsi="宋体" w:cs="宋体"/>
                <w:sz w:val="24"/>
              </w:rPr>
            </w:pPr>
            <w:r>
              <w:rPr>
                <w:rFonts w:hint="eastAsia" w:ascii="宋体" w:hAnsi="宋体" w:cs="宋体"/>
                <w:sz w:val="24"/>
              </w:rPr>
              <w:t>6、平台管理功能，支持配置产品品牌制造商、产品类目、订单管理、售后管理、通用问题、关键字配置等操作。</w:t>
            </w:r>
          </w:p>
          <w:p>
            <w:pPr>
              <w:snapToGrid w:val="0"/>
              <w:spacing w:line="360" w:lineRule="auto"/>
              <w:ind w:firstLine="480" w:firstLineChars="200"/>
              <w:rPr>
                <w:rFonts w:ascii="宋体" w:hAnsi="宋体" w:cs="宋体"/>
                <w:sz w:val="24"/>
              </w:rPr>
            </w:pPr>
            <w:r>
              <w:rPr>
                <w:rFonts w:hint="eastAsia" w:ascii="宋体" w:hAnsi="宋体" w:cs="宋体"/>
                <w:sz w:val="24"/>
              </w:rPr>
              <w:t>7、产品管理功能，支持产品列表查看编辑，支持批量上下架产品，支持产品信息修改、产品评论查看等操作。</w:t>
            </w:r>
          </w:p>
          <w:p>
            <w:pPr>
              <w:snapToGrid w:val="0"/>
              <w:spacing w:line="360" w:lineRule="auto"/>
              <w:ind w:firstLine="480" w:firstLineChars="200"/>
              <w:rPr>
                <w:rFonts w:ascii="宋体" w:hAnsi="宋体" w:cs="宋体"/>
                <w:sz w:val="24"/>
              </w:rPr>
            </w:pPr>
            <w:r>
              <w:rPr>
                <w:rFonts w:hint="eastAsia" w:ascii="宋体" w:hAnsi="宋体" w:cs="宋体"/>
                <w:sz w:val="24"/>
              </w:rPr>
              <w:t>8、推广管理功能，支持广告管理、优惠券管理、专题管理、团购规则设置、团购活动设置、秒杀活动设置等操作。</w:t>
            </w:r>
          </w:p>
          <w:p>
            <w:pPr>
              <w:snapToGrid w:val="0"/>
              <w:spacing w:line="360" w:lineRule="auto"/>
              <w:ind w:firstLine="480" w:firstLineChars="200"/>
              <w:rPr>
                <w:rFonts w:ascii="宋体" w:hAnsi="宋体" w:cs="宋体"/>
                <w:sz w:val="24"/>
              </w:rPr>
            </w:pPr>
            <w:r>
              <w:rPr>
                <w:rFonts w:hint="eastAsia" w:ascii="宋体" w:hAnsi="宋体" w:cs="宋体"/>
                <w:sz w:val="24"/>
              </w:rPr>
              <w:t>9、系统管理功能，支持管理员账号设置、通知管理、操作日志查看、角色管理、对象存储等操作。</w:t>
            </w:r>
          </w:p>
          <w:p>
            <w:pPr>
              <w:snapToGrid w:val="0"/>
              <w:spacing w:line="360" w:lineRule="auto"/>
              <w:ind w:firstLine="480" w:firstLineChars="200"/>
              <w:rPr>
                <w:rFonts w:ascii="宋体" w:hAnsi="宋体" w:cs="宋体"/>
                <w:sz w:val="24"/>
              </w:rPr>
            </w:pPr>
            <w:r>
              <w:rPr>
                <w:rFonts w:hint="eastAsia" w:ascii="宋体" w:hAnsi="宋体" w:cs="宋体"/>
                <w:sz w:val="24"/>
              </w:rPr>
              <w:t>10、配置管理功能，支持商场配置、运费配置、订单配置、小程序配置、分账配置、配送地址等基本信息配置操作。</w:t>
            </w:r>
          </w:p>
          <w:p>
            <w:pPr>
              <w:snapToGrid w:val="0"/>
              <w:spacing w:line="360" w:lineRule="auto"/>
              <w:ind w:firstLine="480" w:firstLineChars="200"/>
              <w:rPr>
                <w:rFonts w:ascii="宋体" w:hAnsi="宋体" w:cs="宋体"/>
                <w:sz w:val="24"/>
              </w:rPr>
            </w:pPr>
            <w:r>
              <w:rPr>
                <w:rFonts w:hint="eastAsia" w:ascii="宋体" w:hAnsi="宋体" w:cs="宋体"/>
                <w:sz w:val="24"/>
              </w:rPr>
              <w:t>11、统计报表分析功能，支持以图表的直观展示用户统计结果、产品属地统计结果、产品配送统计结果等信息。</w:t>
            </w:r>
          </w:p>
          <w:p>
            <w:pPr>
              <w:numPr>
                <w:ilvl w:val="0"/>
                <w:numId w:val="2"/>
              </w:numPr>
              <w:snapToGrid w:val="0"/>
              <w:spacing w:line="360" w:lineRule="auto"/>
              <w:rPr>
                <w:rFonts w:ascii="宋体" w:hAnsi="宋体" w:cs="宋体"/>
                <w:sz w:val="24"/>
              </w:rPr>
            </w:pPr>
            <w:r>
              <w:rPr>
                <w:rFonts w:hint="eastAsia" w:ascii="宋体" w:hAnsi="宋体" w:cs="宋体"/>
                <w:sz w:val="24"/>
              </w:rPr>
              <w:t>服务方式</w:t>
            </w:r>
          </w:p>
          <w:p>
            <w:pPr>
              <w:snapToGrid w:val="0"/>
              <w:spacing w:line="360" w:lineRule="auto"/>
              <w:ind w:firstLine="480" w:firstLineChars="200"/>
              <w:rPr>
                <w:rFonts w:ascii="宋体" w:hAnsi="宋体" w:cs="宋体"/>
                <w:color w:val="000000" w:themeColor="text1"/>
                <w:kern w:val="0"/>
                <w:sz w:val="24"/>
              </w:rPr>
            </w:pPr>
            <w:r>
              <w:rPr>
                <w:rFonts w:hint="eastAsia" w:ascii="宋体" w:hAnsi="宋体" w:cs="宋体"/>
                <w:sz w:val="24"/>
              </w:rPr>
              <w:t>本地服务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12" w:type="dxa"/>
            <w:gridSpan w:val="3"/>
            <w:vAlign w:val="center"/>
          </w:tcPr>
          <w:p>
            <w:pPr>
              <w:snapToGrid w:val="0"/>
              <w:spacing w:line="360" w:lineRule="auto"/>
              <w:jc w:val="center"/>
              <w:rPr>
                <w:rFonts w:ascii="宋体" w:hAnsi="宋体" w:cs="宋体"/>
                <w:color w:val="000000" w:themeColor="text1"/>
                <w:sz w:val="24"/>
              </w:rPr>
            </w:pPr>
            <w:r>
              <w:rPr>
                <w:rFonts w:hint="eastAsia" w:ascii="宋体" w:hAnsi="宋体" w:cs="宋体"/>
                <w:b/>
                <w:color w:val="000000" w:themeColor="text1"/>
                <w:sz w:val="24"/>
              </w:rPr>
              <w:t>分项最高限价合计（元）</w:t>
            </w:r>
          </w:p>
        </w:tc>
        <w:tc>
          <w:tcPr>
            <w:tcW w:w="7252" w:type="dxa"/>
            <w:gridSpan w:val="2"/>
            <w:vAlign w:val="center"/>
          </w:tcPr>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￥750000.00元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Align w:val="center"/>
          </w:tcPr>
          <w:p>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商 务</w:t>
            </w:r>
          </w:p>
          <w:p>
            <w:pPr>
              <w:snapToGrid w:val="0"/>
              <w:spacing w:line="360" w:lineRule="auto"/>
              <w:jc w:val="center"/>
              <w:rPr>
                <w:rFonts w:ascii="宋体" w:hAnsi="宋体" w:cs="宋体"/>
                <w:b/>
                <w:bCs/>
                <w:color w:val="000000" w:themeColor="text1"/>
                <w:sz w:val="24"/>
              </w:rPr>
            </w:pPr>
            <w:r>
              <w:rPr>
                <w:rFonts w:hint="eastAsia" w:ascii="宋体" w:hAnsi="宋体" w:cs="宋体"/>
                <w:b/>
                <w:color w:val="000000" w:themeColor="text1"/>
                <w:sz w:val="24"/>
              </w:rPr>
              <w:t>条 款</w:t>
            </w:r>
          </w:p>
        </w:tc>
        <w:tc>
          <w:tcPr>
            <w:tcW w:w="9539" w:type="dxa"/>
            <w:gridSpan w:val="4"/>
          </w:tcPr>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一、合同签订期：自成交通知书发出之日起7日内。</w:t>
            </w:r>
          </w:p>
          <w:p>
            <w:pPr>
              <w:widowControl/>
              <w:snapToGrid w:val="0"/>
              <w:spacing w:line="360" w:lineRule="auto"/>
              <w:rPr>
                <w:rFonts w:ascii="宋体" w:hAnsi="宋体" w:cs="宋体"/>
                <w:color w:val="000000" w:themeColor="text1"/>
                <w:sz w:val="24"/>
                <w:lang w:val="zh-CN"/>
              </w:rPr>
            </w:pPr>
            <w:r>
              <w:rPr>
                <w:rFonts w:hint="eastAsia" w:ascii="宋体" w:hAnsi="宋体" w:cs="宋体"/>
                <w:color w:val="000000" w:themeColor="text1"/>
                <w:sz w:val="24"/>
              </w:rPr>
              <w:t>★二、服务时间：</w:t>
            </w:r>
            <w:r>
              <w:rPr>
                <w:rFonts w:hint="eastAsia" w:ascii="宋体" w:hAnsi="宋体" w:cs="宋体"/>
                <w:color w:val="000000" w:themeColor="text1"/>
                <w:sz w:val="24"/>
                <w:lang w:val="zh-CN"/>
              </w:rPr>
              <w:t>自合同签订之日起1年。</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★三、提交服务成果时间：在合同签订后30个工作日内完成。</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四、提交服务成果地点： 采购方指定地点。</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五、售后服务要求：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★1、质量保证期：自验收合格之日起1年</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2、处理问题响应时间：支持7*24小时提供技术支持服务。对于故障要求2小时内赶到指定现场并处理，其具体内容如下：</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（1）非系统崩溃故障响应：对于不影响采购方业务工作的一般性非系统崩溃故障，应首先向采购人提供热线电话故障支持服务。其方式包括通过电话进行技术支持和远程登录。</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（2）系统崩溃：如果系统崩溃或系统故障已导致业务工作不能正常进行，应在接到故障报告后立即向采购人提供电话支持服务，并根据采购人要求及实际情况以最快的速度提供现场维保服务。</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（3）技术咨询：根据采购人要求，提供有关系统使用管理、性能优化等方面的技术咨询，并能提供技术专家直接同客户对话，帮助解决疑难问题。</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（4）热线电话：每周7天,每天24小时的电话答询服务，在采购人发现系统故障或遇到难以解决的疑难问题时给予立即响应。在非工作时间应提供可以直接拨打的服务工程师的移动电话。</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（5）当保修设备发生故障时，成交供应商工程师须2小时内赶到故障现场进行故障检测、维护，并于48小时内恢复采购人系统正常运行</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（6）定期向采购人提供客户管理报告,避免问题再度发生。</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3、项目开发过程服务要求：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项目的需求设计经采购人评审认定后，因有新文件、新政策发布造成的新增需求，成交供应商应承诺在项目的总工作量5%以内的新增和变更需求免费，超出部分双方另行协商议定。新增的工作量以双方对新增需求分析认定。</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（2）测试阶段现场服务承诺</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①承诺完成项目实施工作的规划、软件系统安装和配置应用环境等工作，能够保证软件的正常运行。</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②承诺在现场服务阶段，能够根据采购人的要求和具体需要，提供基于响应本次项目产品开发平台的二次应用开发，并且负责提供合理可行的系统运行调优方案和建议。</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★③现场服务要求至少派出1名具有实际项目经验的工程师。</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★④现场服务的时间由采购人指定。</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4、服务人员要求：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在维护期内，成交供应商需提供5名固定具有独立工作能力和源码开发经验的工作人员作为项目执行技术人员，其中1人具备高级职称，以上人员需为成交供应商正式员工，并能通过本次系统源码修改能力技术测试，如不是正式员工，不能作为直接执行技术人员。</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（2）驻场服务工作人员提供驻点值守，工作日（包括加班日）提供5×8小时服务现场支持服务，非工作时间或节假日提供7×24小时热线或电话支持服务，如有需要，须现场解决。</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指定一名熟悉业务系统和现场经验的项目经理作为本项目的服务运维总负责人，根据系统运维服务需要进行远程支持和不定期的现场支持，确保所有系统高效、安全、稳定的运行，同时负责协调与采购方的商务、技术、人员安排、项目管理及进度控制等事宜。</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★（4）驻场服务工作人员的变动，需经采购人同意，采购人有权要求对不合格人员的进行调整。</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（5）成交供应商现场人员必须遵守采购人的工作规范管理要求。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6）现场性能调优：对系统进行数据性能和应用性能调优。提交性能调优调整报告和解决方法，确保所有系统高效、安全、稳定的运行。所有维护服务通过采购方内部局域网的连接方式进行维护，保证系统信息在网上传输的安全，并能与各系统使用方同步工作，使问题得到快速有效的解决。</w:t>
            </w:r>
            <w:bookmarkStart w:id="25" w:name="OLE_LINK17"/>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★（7）技术支持服务内容至少须包括：</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由于误操作等意外情况造成的数据库混乱，需对数据库或程序进行修复、整理、更换；由于系统环境造成的数据破坏，需对数据库进行修复、整理、更换；由于病毒和计算机系统软件的故障问题，需乙方重新安装、调试软件和数据库的；用户因更换设备需进行软件的安装与调试。针对突发事件，如病毒入侵，使用时断电、误操作等，引发的数据危机，需提供数据紧急修复备份服务；定期电话和现场回访制度。</w:t>
            </w:r>
          </w:p>
          <w:bookmarkEnd w:id="25"/>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5、服务配套设备要求：运行维护过程中所需要的一切技术装备或工具软件由成交供应商自行负责，不得要求采购方另行采购或提供。</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★6、入场服务要求：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（1）要求对维护范围内系统进行全面检查，提交相关的系统运行健康状态报告，通过采购方技能测试。</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本次服务的系统属于采购人业务应用系统，成交供应商需自行掌握应用系统的源码、数据库、应用功能，对系统进行修改时，经采购人确认后，需成交供应商自行搭建系统独立应用环境上进行系统源码修改，待测试不影响系统运行后，方可叠加程序源码在采购方正式应用环境中，以确保应用系统稳定运行。</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技术支持服务内容须包括：由于误操作等意外情况造成的平台系统混乱，需对数据库或程序进行修复、整理、更换；由于系统环境造成的系统崩溃、数据破坏，需对系统、数据库进行修复、整理、更换；由于病毒和计算机系统软件的故障问题，需成交供应商重新安装、调试软件和数据库的；用户因更换设备需进行软件的安装与调试。针对突发事件，如病毒入侵，使用时断电、误操作等，引发的系统、数据危机，需提供系统、数据紧急修复备份服务；定期电话和现场回访制度。</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安装部署要求：对本项目服务的信息系统，采购人如因业务需要对系统进行重新安装部署，成交供应商需根据采购人的要求，将系统安装部署到采购人指定的运行环境，同时协同其它运维人员一起完成系统的安全防护部署，确保系统平台的运行安全。</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★7、验收要求：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（1）完成保密协议签订；</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（2）完成上述系统功能；</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（3）完成系统运行健康状态报告；</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w:t>
            </w:r>
            <w:bookmarkStart w:id="26" w:name="_Hlk517957667"/>
            <w:r>
              <w:rPr>
                <w:rFonts w:hint="eastAsia" w:ascii="宋体" w:hAnsi="宋体" w:cs="宋体"/>
                <w:color w:val="000000" w:themeColor="text1"/>
                <w:sz w:val="24"/>
              </w:rPr>
              <w:t>成交供应商完成整个信息系统项目的主框架搭建、完成数据库结构组建、完成各应用模块的启用、落实数据接口方式等具体事项,同时完成系统软件交货完毕、软件开发、联调测试完毕、系统初步完成开发上线并连续试运行10个工作日，成交供应商在系统试运行期对发现的问题进行修改、补充、完善后，项目试运行结束后，成交供应商以书面形式向采购人提出验收申请，采购人在收到终验申请书后十个工作日内组织验收</w:t>
            </w:r>
            <w:bookmarkEnd w:id="26"/>
            <w:r>
              <w:rPr>
                <w:rFonts w:hint="eastAsia" w:ascii="宋体" w:hAnsi="宋体" w:cs="宋体"/>
                <w:color w:val="000000" w:themeColor="text1"/>
                <w:sz w:val="24"/>
              </w:rPr>
              <w:t>。</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（5）验收依据：完成本项目的所有开发工作，系统能正式上线正确试运行作为验收通过的依据，双方书面签字确认，提交服务经采购人书面验收合格。</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（7）提供各系统相关使用说明文档。</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8、培训要求：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（1）系统代码修改完成后，成交供应商应提供相应的技术培训。</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（2）定期组织用户与软件开发人员之间的技术交流活动。</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（3）成交供应商应按需对应用软件操作人员集中进行免费培训，并提交掌握系统操作所需要的培训资料。</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（4）系统升级后应对技术人员进行技术培训，帮助相关技术人员熟悉软件的各项功能及具体实现。</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（5）定期组织用户与软件开发人员之间的技术交流活动。</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9、安全与保密要求：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★（1）成交供应商的入场服务人员，需与采购人签订相关的保密协议。</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★（2）成交供应商对所维护系统可能出现的安全问题需提出详细的解决方案和具体的措施，不允许通过设置“后门”实现服务。</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★（3）成交供应商在服务期间应遵守采购人单位的保密制度，履行包括在维护期结束后承诺保密义务，并承担相应的涉密责任。</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★（4）成交供应商的技术执行人员在提供服务过程中，对所接触到的所有数据信息负有保密义务。</w:t>
            </w:r>
          </w:p>
          <w:p>
            <w:pPr>
              <w:widowControl/>
              <w:snapToGrid w:val="0"/>
              <w:spacing w:line="360" w:lineRule="auto"/>
              <w:rPr>
                <w:rFonts w:ascii="宋体" w:hAnsi="宋体" w:cs="宋体"/>
                <w:color w:val="auto"/>
                <w:sz w:val="24"/>
              </w:rPr>
            </w:pPr>
            <w:r>
              <w:rPr>
                <w:rFonts w:hint="eastAsia" w:ascii="宋体" w:hAnsi="宋体" w:cs="宋体"/>
                <w:color w:val="000000" w:themeColor="text1"/>
                <w:sz w:val="24"/>
              </w:rPr>
              <w:t>★（5）成交供应商不得在向采购人交付研究开发成果之前，将研究开发成果及非专利技术泄露或转让给第三方</w:t>
            </w:r>
            <w:r>
              <w:rPr>
                <w:rFonts w:hint="eastAsia" w:ascii="宋体" w:hAnsi="宋体" w:cs="宋体"/>
                <w:color w:val="auto"/>
                <w:sz w:val="24"/>
              </w:rPr>
              <w:t>。</w:t>
            </w:r>
          </w:p>
          <w:p>
            <w:pPr>
              <w:widowControl/>
              <w:snapToGrid w:val="0"/>
              <w:spacing w:line="360" w:lineRule="auto"/>
              <w:rPr>
                <w:rFonts w:ascii="宋体" w:hAnsi="宋体" w:cs="宋体"/>
                <w:color w:val="auto"/>
                <w:sz w:val="24"/>
              </w:rPr>
            </w:pPr>
            <w:r>
              <w:rPr>
                <w:rFonts w:hint="eastAsia" w:ascii="宋体" w:hAnsi="宋体" w:cs="宋体"/>
                <w:color w:val="auto"/>
                <w:sz w:val="24"/>
              </w:rPr>
              <w:t>★（6）验收后，成交供应商应向采购人提交本次开发系统全部源代码和相关文档（包含全部开发文档）。磋商供应商应提供功能符合要求、代码完整、最新、已编译上线运行的应用系统源代码给项目采购人。</w:t>
            </w:r>
          </w:p>
          <w:p>
            <w:pPr>
              <w:widowControl/>
              <w:snapToGrid w:val="0"/>
              <w:spacing w:line="360" w:lineRule="auto"/>
              <w:rPr>
                <w:rFonts w:ascii="宋体" w:hAnsi="宋体" w:cs="宋体"/>
                <w:color w:val="auto"/>
                <w:sz w:val="24"/>
              </w:rPr>
            </w:pPr>
            <w:r>
              <w:rPr>
                <w:rFonts w:hint="eastAsia" w:ascii="宋体" w:hAnsi="宋体" w:cs="宋体"/>
                <w:color w:val="auto"/>
                <w:sz w:val="24"/>
              </w:rPr>
              <w:t>10、违约责任</w:t>
            </w:r>
          </w:p>
          <w:p>
            <w:pPr>
              <w:widowControl/>
              <w:snapToGrid w:val="0"/>
              <w:spacing w:line="360" w:lineRule="auto"/>
              <w:rPr>
                <w:rFonts w:ascii="宋体" w:hAnsi="宋体" w:cs="宋体"/>
                <w:color w:val="auto"/>
                <w:sz w:val="24"/>
              </w:rPr>
            </w:pPr>
            <w:r>
              <w:rPr>
                <w:rFonts w:hint="eastAsia" w:ascii="宋体" w:hAnsi="宋体" w:cs="宋体"/>
                <w:color w:val="auto"/>
                <w:sz w:val="24"/>
              </w:rPr>
              <w:t>（1）若因为成交供应商未按合同内容要求进行维护保养，造成采购人系统设备运行故障并对重大活动引起严重影响的，成交供应商承担由此产生的全部责任，采购人有权向成交供应商追索损失费用并向相关主管部门汇报，解除本合同。</w:t>
            </w:r>
          </w:p>
          <w:p>
            <w:pPr>
              <w:widowControl/>
              <w:snapToGrid w:val="0"/>
              <w:spacing w:line="360" w:lineRule="auto"/>
              <w:rPr>
                <w:rFonts w:ascii="宋体" w:hAnsi="宋体" w:cs="宋体"/>
                <w:color w:val="auto"/>
                <w:sz w:val="24"/>
              </w:rPr>
            </w:pPr>
            <w:r>
              <w:rPr>
                <w:rFonts w:hint="eastAsia" w:ascii="宋体" w:hAnsi="宋体" w:cs="宋体"/>
                <w:color w:val="auto"/>
                <w:sz w:val="24"/>
              </w:rPr>
              <w:t>（2）成交供应商如更换服务组成员，需要书面提前通知采购方，按照采购文件要求变更的人员必须具备专业知识与技能，经采购人同意后才能更换人员。否则视为违约。</w:t>
            </w:r>
          </w:p>
          <w:p>
            <w:pPr>
              <w:widowControl/>
              <w:snapToGrid w:val="0"/>
              <w:spacing w:line="360" w:lineRule="auto"/>
              <w:rPr>
                <w:rFonts w:ascii="宋体" w:hAnsi="宋体" w:cs="宋体"/>
                <w:color w:val="000000" w:themeColor="text1"/>
                <w:sz w:val="24"/>
              </w:rPr>
            </w:pPr>
            <w:r>
              <w:rPr>
                <w:rFonts w:hint="eastAsia" w:ascii="宋体" w:hAnsi="宋体" w:cs="宋体"/>
                <w:color w:val="auto"/>
                <w:sz w:val="24"/>
              </w:rPr>
              <w:t>（3）成交供应商应遵守《国家保密法》，严格执行保密制度，不得向第三方泄露其在提供服务期间获得甲方的技术、商业机密，否则须承担</w:t>
            </w:r>
            <w:r>
              <w:rPr>
                <w:rFonts w:hint="eastAsia" w:ascii="宋体" w:hAnsi="宋体" w:cs="宋体"/>
                <w:color w:val="000000" w:themeColor="text1"/>
                <w:sz w:val="24"/>
              </w:rPr>
              <w:t>因此产生的全部责任。</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11、质保期后，应明确承诺继续优惠提供维护服务</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（1）承诺提供系统升级、故障排除、性能调优、技术咨询等售后技术支持服务情况，维护费用不超过合同价的5%。</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（2）对于安全问题应及时免费提供补丁。</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（3）对于设计等技术原因而引起的故障，成交供应商应免费提供解决方案。</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（4）系统出现故障时，其响应速度不得大于1小时，技术执行人员到达现场的时间不得大于2小时，故障修复时间不得大于4小时，经双方同意的个别疑难问题除外。</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（5）质保期后需再次进行二次开发，可另行商定商务条款。</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五、其他要求：</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★1、报价必须含以下部分，包括：</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（1）服务的价格。</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（2）必要的保险费用和各项税金。</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（3）必要的材料费、运输、装卸、安装、调试、培训、技术支持、售后服务、系统更新、系统升级等费用。</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（4）人员工资、加班费、证书培训费、工装费、员工福利及税金等费用。</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★2、付款方式：本项目无预付款，成交供应商完成开发，提交验收材料并通过采购人确认合格后，采购人向成交供应商一次性支付合同全款。</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lang w:val="zh-CN"/>
              </w:rPr>
              <w:t>★3、</w:t>
            </w:r>
            <w:r>
              <w:rPr>
                <w:rFonts w:hint="eastAsia" w:ascii="宋体" w:hAnsi="宋体" w:cs="宋体"/>
                <w:color w:val="000000" w:themeColor="text1"/>
                <w:sz w:val="24"/>
              </w:rPr>
              <w:t xml:space="preserve">对磋商供应商的要求： </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（1）磋商供应商可自行前往采购人现场了解项目实际情况，须向采购人承诺，指派项目负责人和不少于3名开发技术人员驻场服务。</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（2）磋商供应商请在响应时提供人员姓名及手机号码、提供磋商为其缴纳的近期连续三个月社保缴纳证明材料复印件、职称证明，确保成交后与驻场人员匹配。</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4、知识产权与版权归属</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（1）本项目产生成果的版权归采购人所有。</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（2）成交供应商不得在向采购人交付研究开发成果之前，将研究开发成果及非专利技术泄露或转让给第三方。</w:t>
            </w:r>
          </w:p>
          <w:p>
            <w:pPr>
              <w:widowControl/>
              <w:snapToGrid w:val="0"/>
              <w:spacing w:line="360" w:lineRule="auto"/>
              <w:rPr>
                <w:rFonts w:ascii="宋体" w:hAnsi="宋体" w:cs="宋体"/>
                <w:color w:val="000000" w:themeColor="text1"/>
                <w:sz w:val="24"/>
              </w:rPr>
            </w:pPr>
            <w:r>
              <w:rPr>
                <w:rFonts w:hint="eastAsia" w:ascii="宋体" w:hAnsi="宋体" w:cs="宋体"/>
                <w:color w:val="000000" w:themeColor="text1"/>
                <w:sz w:val="24"/>
              </w:rPr>
              <w:t>（3）成交供应商保证最终提供给采购人的技术不得包含任何第三方的知识产权或引起任何第三方基于该产品知识产权的指控。如有任何指控，所产生的一切经济损失和法律责任等后果均由成交供应商无条件承担。</w:t>
            </w:r>
          </w:p>
        </w:tc>
      </w:tr>
      <w:bookmarkEnd w:id="15"/>
      <w:bookmarkEnd w:id="16"/>
      <w:bookmarkEnd w:id="17"/>
      <w:bookmarkEnd w:id="18"/>
      <w:bookmarkEnd w:id="19"/>
      <w:bookmarkEnd w:id="23"/>
    </w:tbl>
    <w:p>
      <w:pPr>
        <w:pStyle w:val="2"/>
        <w:rPr>
          <w:rFonts w:asciiTheme="majorEastAsia" w:hAnsiTheme="majorEastAsia" w:eastAsiaTheme="majorEastAsia"/>
          <w:color w:val="000000" w:themeColor="text1"/>
        </w:rPr>
        <w:sectPr>
          <w:pgSz w:w="11906" w:h="16838"/>
          <w:pgMar w:top="1440" w:right="1080" w:bottom="1118" w:left="1080" w:header="720" w:footer="720" w:gutter="0"/>
          <w:cols w:space="720" w:num="1"/>
          <w:docGrid w:type="lines" w:linePitch="331" w:charSpace="0"/>
        </w:sectPr>
      </w:pPr>
      <w:bookmarkStart w:id="27" w:name="_Toc139967216"/>
      <w:bookmarkStart w:id="28" w:name="_Toc213206173"/>
      <w:bookmarkStart w:id="29" w:name="_Toc139966432"/>
      <w:bookmarkStart w:id="30" w:name="_Toc213326413"/>
      <w:bookmarkStart w:id="31" w:name="_Toc213325922"/>
      <w:bookmarkStart w:id="32" w:name="_Toc460253700"/>
    </w:p>
    <w:p>
      <w:pPr>
        <w:widowControl/>
        <w:jc w:val="center"/>
        <w:outlineLvl w:val="0"/>
        <w:rPr>
          <w:rFonts w:asciiTheme="majorEastAsia" w:hAnsiTheme="majorEastAsia" w:eastAsiaTheme="majorEastAsia" w:cstheme="majorEastAsia"/>
          <w:color w:val="000000" w:themeColor="text1"/>
        </w:rPr>
      </w:pPr>
      <w:bookmarkStart w:id="33" w:name="_Toc2911"/>
      <w:bookmarkStart w:id="34" w:name="_Toc10048"/>
      <w:bookmarkStart w:id="35" w:name="_Toc13451"/>
      <w:bookmarkStart w:id="36" w:name="_Toc508092927"/>
      <w:bookmarkStart w:id="37" w:name="_Toc18848"/>
      <w:r>
        <w:rPr>
          <w:rFonts w:hint="eastAsia" w:asciiTheme="majorEastAsia" w:hAnsiTheme="majorEastAsia" w:eastAsiaTheme="majorEastAsia" w:cstheme="majorEastAsia"/>
          <w:b/>
          <w:color w:val="000000" w:themeColor="text1"/>
          <w:sz w:val="36"/>
        </w:rPr>
        <w:t>第三章  评审方法</w:t>
      </w:r>
      <w:bookmarkEnd w:id="33"/>
      <w:bookmarkEnd w:id="34"/>
      <w:bookmarkEnd w:id="35"/>
      <w:bookmarkEnd w:id="36"/>
      <w:bookmarkEnd w:id="37"/>
    </w:p>
    <w:p>
      <w:pPr>
        <w:pStyle w:val="9"/>
        <w:spacing w:line="324" w:lineRule="auto"/>
        <w:jc w:val="center"/>
        <w:rPr>
          <w:rFonts w:asciiTheme="majorEastAsia" w:hAnsiTheme="majorEastAsia" w:eastAsiaTheme="majorEastAsia"/>
          <w:b/>
          <w:color w:val="000000" w:themeColor="text1"/>
          <w:sz w:val="36"/>
        </w:rPr>
      </w:pPr>
      <w:r>
        <w:rPr>
          <w:rFonts w:asciiTheme="majorEastAsia" w:hAnsiTheme="majorEastAsia" w:eastAsiaTheme="majorEastAsia"/>
          <w:b/>
          <w:color w:val="000000" w:themeColor="text1"/>
          <w:sz w:val="30"/>
          <w:szCs w:val="30"/>
        </w:rPr>
        <w:t>综合评分法</w:t>
      </w:r>
    </w:p>
    <w:p>
      <w:pPr>
        <w:spacing w:line="324" w:lineRule="auto"/>
        <w:ind w:firstLine="480" w:firstLineChars="200"/>
        <w:rPr>
          <w:rFonts w:cs="宋体"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rPr>
        <w:t>一）磋商小组以采购文件为依据，对响应文件进行评审，对磋商供应商的响应报价、技术文件、商务文件等三部分内容按百分制打分，其中</w:t>
      </w:r>
      <w:r>
        <w:rPr>
          <w:rFonts w:hint="eastAsia" w:ascii="宋体" w:hAnsi="宋体" w:cs="宋体"/>
          <w:sz w:val="24"/>
        </w:rPr>
        <w:t>价格分15分，技术分40分，商务分45分</w:t>
      </w:r>
      <w:r>
        <w:rPr>
          <w:rFonts w:hint="eastAsia" w:cs="宋体" w:asciiTheme="majorEastAsia" w:hAnsiTheme="majorEastAsia" w:eastAsiaTheme="majorEastAsia"/>
          <w:color w:val="000000" w:themeColor="text1"/>
          <w:sz w:val="24"/>
        </w:rPr>
        <w:t>。（对于带有主观因素的评分，由磋商小组在打分前确定方案档次标准后，对各磋商供应商技术文件各部分的优劣程度应由各评委独立进行评价、打分。）</w:t>
      </w:r>
    </w:p>
    <w:p>
      <w:pPr>
        <w:spacing w:line="324" w:lineRule="auto"/>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（二）评分细则：（按四舍五入取至百分位）</w:t>
      </w:r>
    </w:p>
    <w:p>
      <w:pPr>
        <w:spacing w:line="324" w:lineRule="auto"/>
        <w:ind w:firstLine="482" w:firstLineChars="200"/>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1、价格分………………………………………………………………………………15分</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对于非专门面向中小企业的项目，对小型和微型企业产品的价格给予10%的价格扣除，扣除后的价格为评标价，即评标价＝响应报价×（1-10%）；（以磋商供应商按第五章“响应文件格式”要求提供的《报价表》和《中小企业声明函》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响应报价×（1-2%）；（以磋商供应商按第五章“响应文件格式”要求提供的《报价表》、《中小企业声明函》和《联合体协议书》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产品提供企业按《关于政府采购支持监狱企业发展有关问题的通知》(财库[2014]68号)认定为监狱企业的，在政府采购活动中，监狱企业视同小型、微型企业。（以磋商供应商按第五章“响应文件格式”要求提供的《报价表》和由省级以上监狱管理局、戒毒管理局(含新疆生产建设兵团)出具的属于监狱企业的证明文件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（4）</w:t>
      </w:r>
      <w:r>
        <w:rPr>
          <w:rFonts w:hint="eastAsia" w:asciiTheme="majorEastAsia" w:hAnsiTheme="majorEastAsia" w:eastAsiaTheme="majorEastAsia" w:cstheme="majorEastAsia"/>
          <w:color w:val="000000" w:themeColor="text1"/>
          <w:sz w:val="24"/>
          <w:szCs w:val="24"/>
        </w:rPr>
        <w:t>响应</w:t>
      </w:r>
      <w:r>
        <w:rPr>
          <w:rFonts w:asciiTheme="majorEastAsia" w:hAnsiTheme="majorEastAsia" w:eastAsiaTheme="majorEastAsia" w:cstheme="majorEastAsia"/>
          <w:color w:val="000000" w:themeColor="text1"/>
          <w:sz w:val="24"/>
          <w:szCs w:val="24"/>
        </w:rPr>
        <w:t>产品提供企业按《关于促进残疾人就业政府采购政策的通知》(财库〔2017〕141号)认定为残疾人福利性单位的，在政府采购活动中，残疾人福利性单位视同小型、微型企业。</w:t>
      </w:r>
      <w:r>
        <w:rPr>
          <w:rFonts w:hint="eastAsia" w:asciiTheme="majorEastAsia" w:hAnsiTheme="majorEastAsia" w:eastAsiaTheme="majorEastAsia" w:cstheme="majorEastAsia"/>
          <w:color w:val="000000" w:themeColor="text1"/>
          <w:sz w:val="24"/>
          <w:szCs w:val="24"/>
        </w:rPr>
        <w:t>残疾人福利性单位参加政府采购活动时，应当提供该通知规定的《残疾人福利性单位声明函》，并对声明的真实性负责。声明函应随成交结果同时公告，接受社会监督。</w:t>
      </w:r>
      <w:r>
        <w:rPr>
          <w:rFonts w:asciiTheme="majorEastAsia" w:hAnsiTheme="majorEastAsia" w:eastAsiaTheme="majorEastAsia" w:cstheme="majorEastAsia"/>
          <w:color w:val="000000" w:themeColor="text1"/>
          <w:sz w:val="24"/>
          <w:szCs w:val="24"/>
        </w:rPr>
        <w:t>（以磋商供应商按第五章“</w:t>
      </w:r>
      <w:r>
        <w:rPr>
          <w:rFonts w:hint="eastAsia" w:asciiTheme="majorEastAsia" w:hAnsiTheme="majorEastAsia" w:eastAsiaTheme="majorEastAsia" w:cstheme="majorEastAsia"/>
          <w:color w:val="000000" w:themeColor="text1"/>
          <w:sz w:val="24"/>
          <w:szCs w:val="24"/>
        </w:rPr>
        <w:t>响应</w:t>
      </w:r>
      <w:r>
        <w:rPr>
          <w:rFonts w:asciiTheme="majorEastAsia" w:hAnsiTheme="majorEastAsia" w:eastAsiaTheme="majorEastAsia" w:cstheme="majorEastAsia"/>
          <w:color w:val="000000" w:themeColor="text1"/>
          <w:sz w:val="24"/>
          <w:szCs w:val="24"/>
        </w:rPr>
        <w:t>文件格式”要求提供的《报价表》和《残疾人福利性单位声明函》为评分依据）</w:t>
      </w:r>
      <w:r>
        <w:rPr>
          <w:rFonts w:hint="eastAsia" w:asciiTheme="majorEastAsia" w:hAnsiTheme="majorEastAsia" w:eastAsiaTheme="majorEastAsia" w:cstheme="majorEastAsia"/>
          <w:color w:val="000000" w:themeColor="text1"/>
          <w:sz w:val="24"/>
          <w:szCs w:val="24"/>
        </w:rPr>
        <w:t>。</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（5）除上述情况外，评标价＝响应报价；</w:t>
      </w:r>
    </w:p>
    <w:p>
      <w:pPr>
        <w:spacing w:line="324" w:lineRule="auto"/>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（6）价格分计算公式：</w:t>
      </w:r>
    </w:p>
    <w:p>
      <w:pPr>
        <w:pStyle w:val="8"/>
        <w:spacing w:line="324" w:lineRule="auto"/>
        <w:ind w:firstLine="3840" w:firstLineChars="16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pacing w:val="0"/>
          <w:sz w:val="24"/>
          <w:szCs w:val="24"/>
        </w:rPr>
        <w:t>磋商供应商最低评</w:t>
      </w:r>
      <w:r>
        <w:rPr>
          <w:rFonts w:hint="eastAsia" w:asciiTheme="majorEastAsia" w:hAnsiTheme="majorEastAsia" w:eastAsiaTheme="majorEastAsia" w:cstheme="majorEastAsia"/>
          <w:color w:val="000000" w:themeColor="text1"/>
          <w:sz w:val="24"/>
          <w:szCs w:val="24"/>
        </w:rPr>
        <w:t>标价金额</w:t>
      </w:r>
    </w:p>
    <w:p>
      <w:pPr>
        <w:pStyle w:val="8"/>
        <w:spacing w:line="324" w:lineRule="auto"/>
        <w:ind w:firstLine="1200" w:firstLineChars="5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pacing w:val="0"/>
          <w:sz w:val="24"/>
          <w:szCs w:val="24"/>
        </w:rPr>
        <w:pict>
          <v:line id="_x0000_s1026" o:spid="_x0000_s1026" o:spt="20" style="position:absolute;left:0pt;margin-left:199.5pt;margin-top:12.7pt;height:0pt;width:131.55pt;z-index:251660288;mso-width-relative:page;mso-height-relative:page;" coordsize="21600,21600" o:gfxdata="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vrC&#10;PNcAAAAJAQAADwAAAAAAAAABACAAAAAiAAAAZHJzL2Rvd25yZXYueG1sUEsBAhQAFAAAAAgAh07i&#10;QAie7UbqAQAAuAMAAA4AAAAAAAAAAQAgAAAAJgEAAGRycy9lMm9Eb2MueG1sUEsFBgAAAAAGAAYA&#10;WQEAAIIFAAAAAA==&#10;">
            <v:path arrowok="t"/>
            <v:fill focussize="0,0"/>
            <v:stroke/>
            <v:imagedata o:title=""/>
            <o:lock v:ext="edit"/>
          </v:line>
        </w:pict>
      </w:r>
      <w:r>
        <w:rPr>
          <w:rFonts w:hint="eastAsia" w:asciiTheme="majorEastAsia" w:hAnsiTheme="majorEastAsia" w:eastAsiaTheme="majorEastAsia" w:cstheme="majorEastAsia"/>
          <w:color w:val="000000" w:themeColor="text1"/>
          <w:spacing w:val="0"/>
          <w:sz w:val="24"/>
          <w:szCs w:val="24"/>
        </w:rPr>
        <w:t>某磋商供应商价格</w:t>
      </w:r>
      <w:r>
        <w:rPr>
          <w:rFonts w:hint="eastAsia" w:asciiTheme="majorEastAsia" w:hAnsiTheme="majorEastAsia" w:eastAsiaTheme="majorEastAsia" w:cstheme="majorEastAsia"/>
          <w:color w:val="000000" w:themeColor="text1"/>
          <w:sz w:val="24"/>
          <w:szCs w:val="24"/>
        </w:rPr>
        <w:t>分 ＝                             × 15分</w:t>
      </w:r>
    </w:p>
    <w:p>
      <w:pPr>
        <w:pStyle w:val="8"/>
        <w:spacing w:line="324" w:lineRule="auto"/>
        <w:ind w:firstLine="464" w:firstLineChars="200"/>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sz w:val="24"/>
          <w:szCs w:val="24"/>
        </w:rPr>
        <w:t xml:space="preserve">                   　          </w:t>
      </w:r>
      <w:r>
        <w:rPr>
          <w:rFonts w:hint="eastAsia" w:asciiTheme="majorEastAsia" w:hAnsiTheme="majorEastAsia" w:eastAsiaTheme="majorEastAsia" w:cstheme="majorEastAsia"/>
          <w:color w:val="000000" w:themeColor="text1"/>
          <w:spacing w:val="0"/>
          <w:sz w:val="24"/>
          <w:szCs w:val="24"/>
        </w:rPr>
        <w:t>某磋商供应商评标</w:t>
      </w:r>
      <w:r>
        <w:rPr>
          <w:rFonts w:hint="eastAsia" w:asciiTheme="majorEastAsia" w:hAnsiTheme="majorEastAsia" w:eastAsiaTheme="majorEastAsia" w:cstheme="majorEastAsia"/>
          <w:color w:val="000000" w:themeColor="text1"/>
          <w:sz w:val="24"/>
          <w:szCs w:val="24"/>
        </w:rPr>
        <w:t>价金额</w:t>
      </w:r>
    </w:p>
    <w:p>
      <w:pPr>
        <w:numPr>
          <w:ilvl w:val="0"/>
          <w:numId w:val="10"/>
        </w:numPr>
        <w:spacing w:line="360" w:lineRule="auto"/>
        <w:ind w:firstLine="482" w:firstLineChars="200"/>
        <w:rPr>
          <w:rFonts w:ascii="宋体" w:hAnsi="宋体" w:cs="宋体"/>
          <w:b/>
          <w:color w:val="505B66"/>
          <w:sz w:val="24"/>
        </w:rPr>
      </w:pPr>
      <w:r>
        <w:rPr>
          <w:rFonts w:hint="eastAsia" w:ascii="宋体" w:hAnsi="宋体" w:cs="宋体"/>
          <w:b/>
          <w:color w:val="505B66"/>
          <w:sz w:val="24"/>
        </w:rPr>
        <w:t>技术分………………………………………………………………………………40分</w:t>
      </w:r>
    </w:p>
    <w:p>
      <w:pPr>
        <w:spacing w:line="360" w:lineRule="auto"/>
        <w:ind w:firstLine="480" w:firstLineChars="200"/>
        <w:rPr>
          <w:rFonts w:ascii="宋体" w:hAnsi="宋体" w:cs="宋体"/>
          <w:color w:val="auto"/>
          <w:sz w:val="24"/>
        </w:rPr>
      </w:pPr>
      <w:r>
        <w:rPr>
          <w:rFonts w:hint="eastAsia" w:ascii="宋体" w:hAnsi="宋体" w:cs="宋体"/>
          <w:bCs/>
          <w:color w:val="505B66"/>
          <w:sz w:val="24"/>
        </w:rPr>
        <w:t>（</w:t>
      </w:r>
      <w:r>
        <w:rPr>
          <w:rFonts w:hint="eastAsia" w:ascii="宋体" w:hAnsi="宋体" w:cs="宋体"/>
          <w:sz w:val="24"/>
        </w:rPr>
        <w:t>1）项目设</w:t>
      </w:r>
      <w:r>
        <w:rPr>
          <w:rFonts w:hint="eastAsia" w:ascii="宋体" w:hAnsi="宋体" w:cs="宋体"/>
          <w:color w:val="auto"/>
          <w:sz w:val="24"/>
        </w:rPr>
        <w:t>计方案分（满分15分，不提供方案或不满足一档不得分。）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一档（5分）：磋商供应商能提供简单的技术方案，基本满足采购文件要求的；</w:t>
      </w:r>
    </w:p>
    <w:p>
      <w:pPr>
        <w:spacing w:line="360" w:lineRule="auto"/>
        <w:ind w:firstLine="480" w:firstLineChars="200"/>
        <w:rPr>
          <w:rFonts w:ascii="宋体" w:hAnsi="宋体" w:cs="宋体"/>
          <w:color w:val="auto"/>
          <w:sz w:val="24"/>
        </w:rPr>
      </w:pPr>
      <w:r>
        <w:rPr>
          <w:rFonts w:hint="eastAsia" w:ascii="宋体" w:hAnsi="宋体" w:cs="宋体"/>
          <w:color w:val="auto"/>
          <w:sz w:val="24"/>
        </w:rPr>
        <w:t>二档（10分）：磋商供应商能提供简单的技术方案可行、论证基本准确，没有明显技术错误，系统数据库设计相对合理，命名相对规范，模块功能描述相对具体，方案阐述比较详细；</w:t>
      </w:r>
    </w:p>
    <w:p>
      <w:pPr>
        <w:spacing w:line="360" w:lineRule="auto"/>
        <w:ind w:firstLine="480" w:firstLineChars="200"/>
        <w:rPr>
          <w:rFonts w:ascii="宋体" w:hAnsi="宋体" w:cs="宋体"/>
          <w:color w:val="auto"/>
          <w:sz w:val="24"/>
        </w:rPr>
      </w:pPr>
      <w:r>
        <w:rPr>
          <w:rFonts w:hint="eastAsia" w:ascii="宋体" w:hAnsi="宋体" w:cs="宋体"/>
          <w:color w:val="auto"/>
          <w:sz w:val="24"/>
        </w:rPr>
        <w:t>三档（15分）：方案的整体要求、开发技术及设计架构的合理性、采用的技术先进性、设计的完整性以及系统的扩展性、实用性、规范性、易用性、可行性、可靠性设计很好，方案可行且具先进性、创新性，论证很准确，系统数据库设计合理，命名较为规范，符合数据库表命名标准规范，实现技术新，模块功能描述非常具体，方案阐述非常详细，能够完全满足项目的需求、准确体现招标方对该项目的实际需求的。</w:t>
      </w:r>
    </w:p>
    <w:p>
      <w:pPr>
        <w:spacing w:line="360" w:lineRule="auto"/>
        <w:ind w:firstLine="480" w:firstLineChars="200"/>
        <w:rPr>
          <w:rFonts w:ascii="宋体" w:hAnsi="宋体" w:cs="宋体"/>
          <w:color w:val="auto"/>
          <w:sz w:val="24"/>
        </w:rPr>
      </w:pPr>
      <w:r>
        <w:rPr>
          <w:rFonts w:hint="eastAsia" w:ascii="宋体" w:hAnsi="宋体" w:cs="宋体"/>
          <w:color w:val="auto"/>
          <w:sz w:val="24"/>
        </w:rPr>
        <w:t>（2）项目实施方案分（满分15分，不提供方案或不满足一档不得分。）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一档（5分）：磋商供应商能提供简单的实施方案的，基本满足招标需要的；</w:t>
      </w:r>
    </w:p>
    <w:p>
      <w:pPr>
        <w:spacing w:line="360" w:lineRule="auto"/>
        <w:ind w:firstLine="480" w:firstLineChars="200"/>
        <w:rPr>
          <w:rFonts w:ascii="宋体" w:hAnsi="宋体" w:cs="宋体"/>
          <w:color w:val="auto"/>
          <w:sz w:val="24"/>
        </w:rPr>
      </w:pPr>
      <w:r>
        <w:rPr>
          <w:rFonts w:hint="eastAsia" w:ascii="宋体" w:hAnsi="宋体" w:cs="宋体"/>
          <w:color w:val="auto"/>
          <w:sz w:val="24"/>
        </w:rPr>
        <w:t>二档（10分）：磋商供应商能提供较好的软件部署方案、测试方案、试运转方案、培训方案及验收方案、项目管理组织机构图、人员工作安排及施工进度安排，所提供方案内容合理可行、较为详细，科学合理；</w:t>
      </w:r>
    </w:p>
    <w:p>
      <w:pPr>
        <w:spacing w:line="360" w:lineRule="auto"/>
        <w:ind w:firstLine="480" w:firstLineChars="200"/>
        <w:rPr>
          <w:rFonts w:ascii="宋体" w:hAnsi="宋体" w:cs="宋体"/>
          <w:color w:val="auto"/>
          <w:sz w:val="24"/>
        </w:rPr>
      </w:pPr>
      <w:r>
        <w:rPr>
          <w:rFonts w:hint="eastAsia" w:ascii="宋体" w:hAnsi="宋体" w:cs="宋体"/>
          <w:color w:val="auto"/>
          <w:sz w:val="24"/>
        </w:rPr>
        <w:t>三档（15分）：磋商供应商能提供很好的软件部署方案、测试方案、试运转方案、培训方案及验收方案，内容可行、详细；具有合理性、科学性，有项目进度计划和工期保证措施及赶工措施、项目质量保证措施、项目风险管理措施，详细说明各个阶段工作安排，阐述清楚实施组织办法及保障体系，指明项目重点难点及解决办法。</w:t>
      </w:r>
    </w:p>
    <w:p>
      <w:pPr>
        <w:spacing w:line="360" w:lineRule="auto"/>
        <w:ind w:firstLine="480" w:firstLineChars="200"/>
        <w:rPr>
          <w:rFonts w:ascii="宋体" w:hAnsi="宋体" w:cs="宋体"/>
          <w:color w:val="auto"/>
          <w:sz w:val="24"/>
        </w:rPr>
      </w:pPr>
      <w:r>
        <w:rPr>
          <w:rFonts w:hint="eastAsia" w:ascii="宋体" w:hAnsi="宋体" w:cs="宋体"/>
          <w:color w:val="auto"/>
          <w:sz w:val="24"/>
        </w:rPr>
        <w:t>（3）售后服务方案分（满分10分，不提供方案或不满足一档不得分。）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一档（3分）：售后服务方案简单，基本满足招标要求；</w:t>
      </w:r>
    </w:p>
    <w:p>
      <w:pPr>
        <w:spacing w:line="360" w:lineRule="auto"/>
        <w:ind w:firstLine="480" w:firstLineChars="200"/>
        <w:rPr>
          <w:rFonts w:ascii="宋体" w:hAnsi="宋体" w:cs="宋体"/>
          <w:color w:val="auto"/>
          <w:sz w:val="24"/>
        </w:rPr>
      </w:pPr>
      <w:r>
        <w:rPr>
          <w:rFonts w:hint="eastAsia" w:ascii="宋体" w:hAnsi="宋体" w:cs="宋体"/>
          <w:color w:val="auto"/>
          <w:sz w:val="24"/>
        </w:rPr>
        <w:t>二档（6分）：售后服务方案完全满足以下条件：①供应商有详细的售后服务方案、培训方案；② 供应商承诺响应时间、故障到场时间、一般故障排除时间满足采购文件要求；</w:t>
      </w:r>
    </w:p>
    <w:p>
      <w:pPr>
        <w:spacing w:line="360" w:lineRule="auto"/>
        <w:ind w:firstLine="480" w:firstLineChars="200"/>
        <w:rPr>
          <w:rFonts w:ascii="宋体" w:hAnsi="宋体" w:cs="宋体"/>
          <w:color w:val="auto"/>
          <w:sz w:val="24"/>
        </w:rPr>
      </w:pPr>
      <w:r>
        <w:rPr>
          <w:rFonts w:hint="eastAsia" w:ascii="宋体" w:hAnsi="宋体" w:cs="宋体"/>
          <w:color w:val="auto"/>
          <w:sz w:val="24"/>
        </w:rPr>
        <w:t>三档（10分）：售后服务方案完全满足以下条件：①供应商有详细的售后服务方案、培训方案；②供应商承诺响应时间、故障到场时间、一般故障排除时间优于采购文件要求,；③提供售后人员相关资质证书（须提供证书复印件及供应商缴纳的拟投入人员最近半年内连续三个月的社保证明）。</w:t>
      </w:r>
    </w:p>
    <w:p>
      <w:pPr>
        <w:pStyle w:val="2"/>
        <w:rPr>
          <w:color w:val="auto"/>
        </w:rPr>
      </w:pPr>
    </w:p>
    <w:p>
      <w:pPr>
        <w:numPr>
          <w:ilvl w:val="0"/>
          <w:numId w:val="10"/>
        </w:numPr>
        <w:spacing w:line="360" w:lineRule="auto"/>
        <w:ind w:firstLine="482" w:firstLineChars="200"/>
        <w:rPr>
          <w:rFonts w:ascii="宋体" w:hAnsi="宋体" w:cs="宋体"/>
          <w:b/>
          <w:color w:val="auto"/>
          <w:sz w:val="24"/>
        </w:rPr>
      </w:pPr>
      <w:r>
        <w:rPr>
          <w:rFonts w:hint="eastAsia" w:ascii="宋体" w:hAnsi="宋体" w:cs="宋体"/>
          <w:b/>
          <w:color w:val="auto"/>
          <w:sz w:val="24"/>
        </w:rPr>
        <w:t>商务分…………………………………………………………………45分</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（1）磋商供应商能力和信誉（14分）</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1）磋商供应商提供有效期内质量管理体系认证证书得2分，未提供不得分；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2）磋商供应商提供有效期内职业健康安全管理体系证书得2分，未提供不得分；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3）磋商供应商提供有效期内环境管理体系证书得3分，未提供不得分；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4）磋商供应商提供有效期内信息安全管理体系证书得3分，未提供不得分；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5）项目负责人具有正高级工程师专业技术职称得4分，未提供不得分。（需提交投标截止时间前三个月的社保证明复印件、原件备查）</w:t>
      </w:r>
    </w:p>
    <w:p>
      <w:pPr>
        <w:spacing w:line="360" w:lineRule="auto"/>
        <w:ind w:firstLine="480" w:firstLineChars="200"/>
        <w:rPr>
          <w:rFonts w:ascii="宋体" w:hAnsi="宋体" w:cs="宋体"/>
          <w:color w:val="auto"/>
          <w:sz w:val="24"/>
        </w:rPr>
      </w:pPr>
      <w:r>
        <w:rPr>
          <w:rFonts w:hint="eastAsia" w:ascii="宋体" w:hAnsi="宋体" w:cs="宋体"/>
          <w:color w:val="auto"/>
          <w:sz w:val="24"/>
        </w:rPr>
        <w:t>（2）磋商供应商业绩（16分）</w:t>
      </w:r>
    </w:p>
    <w:p>
      <w:pPr>
        <w:spacing w:line="360" w:lineRule="auto"/>
        <w:ind w:firstLine="480" w:firstLineChars="200"/>
        <w:rPr>
          <w:rFonts w:ascii="宋体" w:hAnsi="宋体" w:cs="宋体"/>
          <w:color w:val="auto"/>
          <w:sz w:val="24"/>
        </w:rPr>
      </w:pPr>
      <w:r>
        <w:rPr>
          <w:rFonts w:hint="eastAsia" w:ascii="宋体" w:hAnsi="宋体" w:cs="宋体"/>
          <w:color w:val="auto"/>
          <w:sz w:val="24"/>
        </w:rPr>
        <w:t>磋商供应商2017年以来同类业绩（数据库、信息系统软件开发类等），每项业绩得2分。（提供中标通知书或合同复印件）（满分16分）</w:t>
      </w:r>
    </w:p>
    <w:p>
      <w:pPr>
        <w:spacing w:line="360" w:lineRule="auto"/>
        <w:ind w:firstLine="480" w:firstLineChars="200"/>
        <w:rPr>
          <w:rFonts w:ascii="宋体" w:hAnsi="宋体" w:cs="宋体"/>
          <w:color w:val="auto"/>
          <w:sz w:val="24"/>
        </w:rPr>
      </w:pPr>
      <w:r>
        <w:rPr>
          <w:rFonts w:hint="eastAsia" w:ascii="宋体" w:hAnsi="宋体" w:cs="宋体"/>
          <w:color w:val="auto"/>
          <w:sz w:val="24"/>
        </w:rPr>
        <w:t>（3）磋商供应商荣誉（10分）</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1）磋商供应商2017年以来获得市级或以上人民政府颁发的奖项的，每项得2分；（提供证书复印件）（满分4分）；</w:t>
      </w:r>
    </w:p>
    <w:p>
      <w:pPr>
        <w:spacing w:line="360" w:lineRule="auto"/>
        <w:ind w:firstLine="480" w:firstLineChars="200"/>
        <w:rPr>
          <w:rFonts w:ascii="宋体" w:hAnsi="宋体" w:cs="宋体"/>
          <w:color w:val="auto"/>
          <w:sz w:val="24"/>
        </w:rPr>
      </w:pPr>
      <w:r>
        <w:rPr>
          <w:rFonts w:hint="eastAsia" w:ascii="宋体" w:hAnsi="宋体" w:cs="宋体"/>
          <w:color w:val="auto"/>
          <w:sz w:val="24"/>
        </w:rPr>
        <w:t>2）磋商供应商2017年以来获得省级行业行政主管部门或其</w:t>
      </w:r>
      <w:r>
        <w:rPr>
          <w:rFonts w:hint="eastAsia" w:ascii="宋体" w:hAnsi="宋体" w:cs="宋体"/>
          <w:color w:val="auto"/>
          <w:sz w:val="24"/>
        </w:rPr>
        <w:t>认定的行业协会颁发的有关奖项，每项得0.5分；（提供证书复印件）（满分3分）；</w:t>
      </w:r>
    </w:p>
    <w:p>
      <w:pPr>
        <w:spacing w:line="360" w:lineRule="auto"/>
        <w:ind w:firstLine="480" w:firstLineChars="200"/>
        <w:rPr>
          <w:rFonts w:ascii="宋体" w:hAnsi="宋体" w:cs="宋体"/>
          <w:color w:val="auto"/>
          <w:sz w:val="24"/>
        </w:rPr>
      </w:pPr>
      <w:r>
        <w:rPr>
          <w:rFonts w:hint="eastAsia" w:ascii="宋体" w:hAnsi="宋体" w:cs="宋体"/>
          <w:color w:val="auto"/>
          <w:sz w:val="24"/>
        </w:rPr>
        <w:t>3）磋商供应商2017年以来获得全国性行业协会颁发的有关奖项的，每项得0.5分。（提供证书复印件）（满分3分）</w:t>
      </w:r>
    </w:p>
    <w:p>
      <w:pPr>
        <w:spacing w:line="360" w:lineRule="auto"/>
        <w:ind w:firstLine="480" w:firstLineChars="200"/>
        <w:rPr>
          <w:rFonts w:ascii="宋体" w:hAnsi="宋体" w:cs="宋体"/>
          <w:sz w:val="24"/>
        </w:rPr>
      </w:pPr>
      <w:r>
        <w:rPr>
          <w:rFonts w:hint="eastAsia" w:ascii="宋体" w:hAnsi="宋体" w:cs="宋体"/>
          <w:sz w:val="24"/>
        </w:rPr>
        <w:t>（4）本地化服务（5分）</w:t>
      </w:r>
    </w:p>
    <w:p>
      <w:pPr>
        <w:spacing w:line="360" w:lineRule="auto"/>
        <w:ind w:firstLine="480" w:firstLineChars="200"/>
        <w:rPr>
          <w:rFonts w:ascii="宋体" w:hAnsi="宋体" w:cs="宋体"/>
          <w:sz w:val="24"/>
        </w:rPr>
      </w:pPr>
      <w:r>
        <w:rPr>
          <w:rFonts w:hint="eastAsia" w:ascii="宋体" w:hAnsi="宋体" w:cs="宋体"/>
          <w:sz w:val="24"/>
        </w:rPr>
        <w:t>磋商供应商在对本项目提供的驻点维护人员达2人的，得1分；针对本项目提供的驻点维护人员达4人的，得3分；针对本项目提供的驻点维护人员6人以上的，得5分。（在投标文件中提供维护团队人员花名册包括姓名、身份证号、职称证复印件，需提交响应截止时间前连续</w:t>
      </w:r>
      <w:r>
        <w:rPr>
          <w:rFonts w:hint="eastAsia" w:ascii="宋体" w:hAnsi="宋体" w:cs="宋体"/>
          <w:bCs/>
          <w:sz w:val="24"/>
        </w:rPr>
        <w:t>三个月的社保缴纳证明复印件</w:t>
      </w:r>
      <w:r>
        <w:rPr>
          <w:rFonts w:hint="eastAsia" w:ascii="宋体" w:hAnsi="宋体" w:cs="宋体"/>
          <w:sz w:val="24"/>
        </w:rPr>
        <w:t>）（满分5分）</w:t>
      </w:r>
    </w:p>
    <w:p>
      <w:pPr>
        <w:pStyle w:val="9"/>
        <w:spacing w:line="351"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（5）诚</w:t>
      </w:r>
      <w:r>
        <w:rPr>
          <w:rFonts w:hint="eastAsia" w:ascii="新宋体" w:hAnsi="新宋体" w:eastAsia="新宋体" w:cs="新宋体"/>
          <w:color w:val="auto"/>
          <w:sz w:val="24"/>
          <w:szCs w:val="24"/>
        </w:rPr>
        <w:t>信分：</w:t>
      </w:r>
      <w:r>
        <w:rPr>
          <w:rFonts w:hint="eastAsia" w:ascii="新宋体" w:hAnsi="新宋体" w:eastAsia="新宋体" w:cs="新宋体"/>
          <w:bCs/>
          <w:color w:val="auto"/>
          <w:sz w:val="24"/>
          <w:szCs w:val="24"/>
        </w:rPr>
        <w:t>磋商供应商</w:t>
      </w:r>
      <w:r>
        <w:rPr>
          <w:rFonts w:hint="eastAsia" w:ascii="新宋体" w:hAnsi="新宋体" w:eastAsia="新宋体" w:cs="新宋体"/>
          <w:color w:val="auto"/>
          <w:sz w:val="24"/>
          <w:szCs w:val="24"/>
        </w:rPr>
        <w:t>在截标</w:t>
      </w:r>
      <w:r>
        <w:rPr>
          <w:rFonts w:hint="eastAsia" w:ascii="新宋体" w:hAnsi="新宋体" w:eastAsia="新宋体" w:cs="新宋体"/>
          <w:sz w:val="24"/>
          <w:szCs w:val="24"/>
        </w:rPr>
        <w:t>日前1年内在政府采购活动中存在违约违规情形的（以财政部门出具的书面材料为评分依据），每次扣除3分，最高扣分6分扣完为止。</w:t>
      </w:r>
    </w:p>
    <w:p>
      <w:pPr>
        <w:spacing w:line="351" w:lineRule="auto"/>
        <w:ind w:firstLine="480" w:firstLineChars="200"/>
        <w:rPr>
          <w:rFonts w:ascii="新宋体" w:hAnsi="新宋体" w:eastAsia="新宋体" w:cs="新宋体"/>
          <w:sz w:val="24"/>
        </w:rPr>
      </w:pPr>
      <w:r>
        <w:rPr>
          <w:rFonts w:hint="eastAsia" w:ascii="新宋体" w:hAnsi="新宋体" w:eastAsia="新宋体" w:cs="新宋体"/>
          <w:sz w:val="24"/>
        </w:rPr>
        <w:t>（四）总得分＝1＋2＋3</w:t>
      </w:r>
    </w:p>
    <w:p>
      <w:pPr>
        <w:spacing w:line="351" w:lineRule="auto"/>
        <w:jc w:val="left"/>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（四）成交候选供应商推荐原则</w:t>
      </w:r>
    </w:p>
    <w:bookmarkEnd w:id="0"/>
    <w:bookmarkEnd w:id="1"/>
    <w:bookmarkEnd w:id="27"/>
    <w:bookmarkEnd w:id="28"/>
    <w:bookmarkEnd w:id="29"/>
    <w:bookmarkEnd w:id="30"/>
    <w:bookmarkEnd w:id="31"/>
    <w:bookmarkEnd w:id="32"/>
    <w:p>
      <w:pPr>
        <w:spacing w:line="351" w:lineRule="auto"/>
        <w:ind w:firstLine="480" w:firstLineChars="200"/>
        <w:rPr>
          <w:rFonts w:cs="宋体" w:asciiTheme="majorEastAsia" w:hAnsiTheme="majorEastAsia" w:eastAsiaTheme="majorEastAsia"/>
          <w:color w:val="000000" w:themeColor="text1"/>
          <w:kern w:val="0"/>
          <w:sz w:val="24"/>
        </w:rPr>
      </w:pPr>
      <w:bookmarkStart w:id="38" w:name="_Toc213325923"/>
      <w:bookmarkStart w:id="39" w:name="_Toc213326414"/>
      <w:bookmarkStart w:id="40" w:name="_Toc213206174"/>
      <w:bookmarkStart w:id="41" w:name="_Toc460253701"/>
      <w:bookmarkStart w:id="42" w:name="_Toc485920212"/>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kern w:val="0"/>
          <w:sz w:val="24"/>
        </w:rPr>
        <w:t>磋商小组将按总得分由高到低排列成交候选供</w:t>
      </w:r>
      <w:r>
        <w:rPr>
          <w:rFonts w:hint="eastAsia" w:asciiTheme="majorEastAsia" w:hAnsiTheme="majorEastAsia" w:eastAsiaTheme="majorEastAsia"/>
          <w:color w:val="000000" w:themeColor="text1"/>
          <w:sz w:val="24"/>
        </w:rPr>
        <w:t>应商顺序（</w:t>
      </w:r>
      <w:r>
        <w:rPr>
          <w:rFonts w:asciiTheme="majorEastAsia" w:hAnsiTheme="majorEastAsia" w:eastAsiaTheme="majorEastAsia"/>
          <w:color w:val="000000" w:themeColor="text1"/>
          <w:sz w:val="24"/>
        </w:rPr>
        <w:t>评标价相同时，依次按节能环保产品优先、技术指标高优先、质量保证期长优先、故障响应时间短优先的顺序排列</w:t>
      </w:r>
      <w:r>
        <w:rPr>
          <w:rFonts w:hint="eastAsia" w:asciiTheme="majorEastAsia" w:hAnsiTheme="majorEastAsia" w:eastAsiaTheme="majorEastAsia"/>
          <w:color w:val="000000" w:themeColor="text1"/>
          <w:sz w:val="24"/>
        </w:rPr>
        <w:t>；前述指标均相同时，由磋商小组各成员对供应商当场投票表决，得票多者优先；按前述程序仍无法确定供应商排名顺序的，由磋商小组抽签决定），并依照次序确定成交供</w:t>
      </w:r>
      <w:r>
        <w:rPr>
          <w:rFonts w:hint="eastAsia" w:cs="宋体" w:asciiTheme="majorEastAsia" w:hAnsiTheme="majorEastAsia" w:eastAsiaTheme="majorEastAsia"/>
          <w:color w:val="000000" w:themeColor="text1"/>
          <w:kern w:val="0"/>
          <w:sz w:val="24"/>
        </w:rPr>
        <w:t>应商。</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2、根据《财政部关于政府采购竞争性磋商采购方式管理暂行办法有关问题的补充通知》（财库【2015】124号）规定：采用竞争性磋商采购方式的政府购买服务项目或政府和社会资本合作项目，在采购过程中符合要求的供应商只有2家的，其采购活动可以继续进行。</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3、根据《政府采购竞争性磋商采购方式管理暂行办法》（财库【2014】214号）规定并结合《政府采购货物和服务招标投标管理办法》南财采【2019】36号文的要求：采用竞争性磋商采购方式的市场竞争不充分的科研项目或需要扶持科技成果转化项目，在符合专业条件的供应商或者对招标文件作实质响应的供应商不少三家前提下，且提交最后报价的供应商有2家的，其采购活动可以继续进行。</w:t>
      </w:r>
    </w:p>
    <w:p>
      <w:pPr>
        <w:spacing w:line="351" w:lineRule="auto"/>
        <w:ind w:firstLine="482" w:firstLineChars="200"/>
        <w:rPr>
          <w:rFonts w:asciiTheme="majorEastAsia" w:hAnsiTheme="majorEastAsia" w:eastAsiaTheme="majorEastAsia"/>
          <w:color w:val="000000" w:themeColor="text1"/>
          <w:sz w:val="24"/>
        </w:rPr>
      </w:pPr>
      <w:r>
        <w:rPr>
          <w:rFonts w:hint="eastAsia" w:asciiTheme="majorEastAsia" w:hAnsiTheme="majorEastAsia" w:eastAsiaTheme="majorEastAsia"/>
          <w:b/>
          <w:bCs/>
          <w:color w:val="000000" w:themeColor="text1"/>
          <w:sz w:val="24"/>
        </w:rPr>
        <w:t>4、磋</w:t>
      </w:r>
      <w:r>
        <w:rPr>
          <w:rFonts w:hint="eastAsia" w:asciiTheme="majorEastAsia" w:hAnsiTheme="majorEastAsia" w:eastAsiaTheme="majorEastAsia"/>
          <w:b/>
          <w:color w:val="000000" w:themeColor="text1"/>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pPr>
        <w:jc w:val="center"/>
        <w:rPr>
          <w:rFonts w:asciiTheme="majorEastAsia" w:hAnsiTheme="majorEastAsia" w:eastAsiaTheme="majorEastAsia" w:cstheme="majorEastAsia"/>
          <w:b/>
          <w:color w:val="000000" w:themeColor="text1"/>
          <w:sz w:val="32"/>
          <w:szCs w:val="32"/>
        </w:rPr>
      </w:pPr>
    </w:p>
    <w:p>
      <w:pPr>
        <w:pStyle w:val="3"/>
        <w:sectPr>
          <w:pgSz w:w="11906" w:h="16838"/>
          <w:pgMar w:top="1440" w:right="1080" w:bottom="1440" w:left="1080" w:header="720" w:footer="720" w:gutter="0"/>
          <w:cols w:space="720" w:num="1"/>
          <w:docGrid w:type="lines" w:linePitch="331" w:charSpace="0"/>
        </w:sectPr>
      </w:pPr>
    </w:p>
    <w:p>
      <w:pPr>
        <w:pStyle w:val="3"/>
        <w:jc w:val="center"/>
        <w:rPr>
          <w:rFonts w:asciiTheme="majorEastAsia" w:hAnsiTheme="majorEastAsia" w:eastAsiaTheme="majorEastAsia" w:cstheme="majorEastAsia"/>
          <w:b/>
          <w:bCs/>
          <w:color w:val="000000" w:themeColor="text1"/>
          <w:sz w:val="32"/>
          <w:szCs w:val="32"/>
        </w:rPr>
      </w:pPr>
      <w:bookmarkStart w:id="43" w:name="_Toc24864"/>
      <w:bookmarkStart w:id="44" w:name="_Toc27859"/>
      <w:bookmarkStart w:id="45" w:name="_Toc6053"/>
      <w:r>
        <w:rPr>
          <w:rFonts w:hint="eastAsia" w:asciiTheme="majorEastAsia" w:hAnsiTheme="majorEastAsia" w:eastAsiaTheme="majorEastAsia" w:cstheme="majorEastAsia"/>
          <w:b/>
          <w:color w:val="000000" w:themeColor="text1"/>
          <w:sz w:val="32"/>
          <w:szCs w:val="32"/>
        </w:rPr>
        <w:t>第四章   磋商供应商须知</w:t>
      </w:r>
      <w:bookmarkEnd w:id="38"/>
      <w:bookmarkEnd w:id="39"/>
      <w:bookmarkEnd w:id="40"/>
      <w:bookmarkEnd w:id="41"/>
      <w:bookmarkEnd w:id="42"/>
      <w:bookmarkEnd w:id="43"/>
      <w:bookmarkEnd w:id="44"/>
      <w:bookmarkEnd w:id="45"/>
      <w:bookmarkStart w:id="46" w:name="_Toc213326415"/>
    </w:p>
    <w:bookmarkEnd w:id="46"/>
    <w:p>
      <w:pPr>
        <w:pStyle w:val="9"/>
        <w:spacing w:line="360" w:lineRule="auto"/>
        <w:ind w:firstLine="482" w:firstLineChars="200"/>
        <w:jc w:val="left"/>
        <w:rPr>
          <w:rFonts w:asciiTheme="majorEastAsia" w:hAnsiTheme="majorEastAsia" w:eastAsiaTheme="majorEastAsia" w:cstheme="majorEastAsia"/>
          <w:b/>
          <w:color w:val="000000" w:themeColor="text1"/>
          <w:sz w:val="24"/>
          <w:szCs w:val="24"/>
        </w:rPr>
      </w:pPr>
      <w:bookmarkStart w:id="47" w:name="_Toc460253702"/>
      <w:r>
        <w:rPr>
          <w:rFonts w:hint="eastAsia" w:asciiTheme="majorEastAsia" w:hAnsiTheme="majorEastAsia" w:eastAsiaTheme="majorEastAsia" w:cstheme="majorEastAsia"/>
          <w:b/>
          <w:color w:val="000000" w:themeColor="text1"/>
          <w:sz w:val="24"/>
          <w:szCs w:val="24"/>
        </w:rPr>
        <w:t>本表是关于本次采购项目的具体资料，是对后列条款的具体补充和修改。所有与本次采购有关的事宜，以本表规定的为准。</w:t>
      </w:r>
      <w:bookmarkEnd w:id="47"/>
    </w:p>
    <w:tbl>
      <w:tblPr>
        <w:tblStyle w:val="18"/>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64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条款号</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条款名称</w:t>
            </w:r>
          </w:p>
        </w:tc>
        <w:tc>
          <w:tcPr>
            <w:tcW w:w="6459"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采购人</w:t>
            </w:r>
          </w:p>
        </w:tc>
        <w:tc>
          <w:tcPr>
            <w:tcW w:w="6459" w:type="dxa"/>
            <w:vAlign w:val="center"/>
          </w:tcPr>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名称：南宁市住房和城乡建设局</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地址：南宁市嘉宾路1号市政府大楼10楼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联系人：农云浩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联系电话：0771-5527061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采购代理机构</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名称：广西邕政采购代理有限公司</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地址：南宁市青秀区思贤路45号创投中心16A层  </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项目联系人：蔺工、罗工</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项目名称</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南宁市住房信息系统发布平台升级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项目编号</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NNZC2020-C3-990367-GXYZ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采购预算</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人民币柒拾伍万元整(￥750000.00元)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获取招标文件的方式</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1、本项目不发放纸质文件，磋商供应商自行在南宁市公共资源交易平台(https://www.nnggzy.org.cn/gxnnzbw/)的信息公告处下载采购文件。</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2、采购文件每套售价0元。</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3、本项目竞争性磋商公告期限为公告发布之日起5个工作日（2020年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05</w:t>
            </w:r>
            <w:r>
              <w:rPr>
                <w:rFonts w:hint="eastAsia" w:asciiTheme="majorEastAsia" w:hAnsiTheme="majorEastAsia" w:eastAsiaTheme="majorEastAsia" w:cstheme="majorEastAsia"/>
                <w:color w:val="000000" w:themeColor="text1"/>
                <w:sz w:val="24"/>
                <w:szCs w:val="24"/>
              </w:rPr>
              <w:t>日至2020年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w:t>
            </w:r>
          </w:p>
        </w:tc>
        <w:tc>
          <w:tcPr>
            <w:tcW w:w="2640"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预留采购份额</w:t>
            </w:r>
          </w:p>
        </w:tc>
        <w:tc>
          <w:tcPr>
            <w:tcW w:w="6459" w:type="dxa"/>
            <w:vAlign w:val="center"/>
          </w:tcPr>
          <w:p>
            <w:pPr>
              <w:snapToGrid w:val="0"/>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磋商供应商应具备的资格条件</w:t>
            </w:r>
          </w:p>
        </w:tc>
        <w:tc>
          <w:tcPr>
            <w:tcW w:w="6459" w:type="dxa"/>
            <w:vAlign w:val="center"/>
          </w:tcPr>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1、满足《中华人民共和国政府采购法》第二十二条规定；</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2、落实政府采购政策需满足的资格要求：本项目适用政府采购促进中小企业、监狱企业发展、促进残疾人就业等有关政策，具体详见竞争性磋商文件；</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3、本项目的特定资格要求：无</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4、具有国内法人资格，注册经营范围满足所采购内容的供应商。</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是否接受联合体</w:t>
            </w:r>
          </w:p>
        </w:tc>
        <w:tc>
          <w:tcPr>
            <w:tcW w:w="6459" w:type="dxa"/>
            <w:vAlign w:val="center"/>
          </w:tcPr>
          <w:p>
            <w:pPr>
              <w:pStyle w:val="9"/>
              <w:tabs>
                <w:tab w:val="right" w:pos="6461"/>
              </w:tabs>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4.1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质疑受理</w:t>
            </w:r>
          </w:p>
        </w:tc>
        <w:tc>
          <w:tcPr>
            <w:tcW w:w="6459" w:type="dxa"/>
            <w:vAlign w:val="center"/>
          </w:tcPr>
          <w:p>
            <w:pPr>
              <w:pStyle w:val="9"/>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质疑书的提交地点：广西邕政采购代理有限公司（南宁市思贤路45号创投中心16A层）</w:t>
            </w:r>
          </w:p>
          <w:p>
            <w:pPr>
              <w:pStyle w:val="9"/>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质疑受理电话：0771-2442850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8.8</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响应文件份数</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首次报价文件：正本1份，副本4份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商务文件：正本1份，副本4份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采购代理服务费</w:t>
            </w:r>
          </w:p>
        </w:tc>
        <w:tc>
          <w:tcPr>
            <w:tcW w:w="6459" w:type="dxa"/>
            <w:vAlign w:val="center"/>
          </w:tcPr>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本项目代理服务费按国家发展计划委员会《招标代理服务费管理暂行办法》（计价格</w:t>
            </w:r>
            <w:r>
              <w:rPr>
                <w:rFonts w:cs="宋体" w:asciiTheme="majorEastAsia" w:hAnsiTheme="majorEastAsia" w:eastAsiaTheme="majorEastAsia"/>
                <w:color w:val="000000" w:themeColor="text1"/>
                <w:sz w:val="24"/>
                <w:szCs w:val="24"/>
              </w:rPr>
              <w:t>[2002]1980</w:t>
            </w:r>
            <w:r>
              <w:rPr>
                <w:rFonts w:hint="eastAsia" w:cs="宋体" w:asciiTheme="majorEastAsia" w:hAnsiTheme="majorEastAsia" w:eastAsiaTheme="majorEastAsia"/>
                <w:color w:val="000000" w:themeColor="text1"/>
                <w:sz w:val="24"/>
                <w:szCs w:val="24"/>
              </w:rPr>
              <w:t>号）收费标准下浮10%计取。由成交单位在领</w:t>
            </w:r>
            <w:r>
              <w:rPr>
                <w:rFonts w:hint="eastAsia" w:cs="宋体" w:asciiTheme="majorEastAsia" w:hAnsiTheme="majorEastAsia" w:eastAsiaTheme="majorEastAsia"/>
                <w:color w:val="000000" w:themeColor="text1"/>
                <w:kern w:val="0"/>
                <w:sz w:val="24"/>
              </w:rPr>
              <w:t>成交</w:t>
            </w:r>
            <w:r>
              <w:rPr>
                <w:rFonts w:hint="eastAsia" w:cs="宋体" w:asciiTheme="majorEastAsia" w:hAnsiTheme="majorEastAsia" w:eastAsiaTheme="majorEastAsia"/>
                <w:color w:val="000000" w:themeColor="text1"/>
                <w:sz w:val="24"/>
                <w:szCs w:val="24"/>
              </w:rPr>
              <w:t>通知书时一次性支付采购代理服务费。</w:t>
            </w:r>
            <w:r>
              <w:rPr>
                <w:rFonts w:cs="宋体" w:asciiTheme="majorEastAsia" w:hAnsiTheme="majorEastAsia" w:eastAsiaTheme="majorEastAsia"/>
                <w:color w:val="000000" w:themeColor="text1"/>
                <w:sz w:val="24"/>
                <w:szCs w:val="24"/>
              </w:rPr>
              <w:t xml:space="preserve"> </w:t>
            </w:r>
          </w:p>
          <w:tbl>
            <w:tblPr>
              <w:tblStyle w:val="18"/>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某</w:t>
                  </w:r>
                  <w:r>
                    <w:rPr>
                      <w:rFonts w:hint="eastAsia" w:cs="宋体" w:asciiTheme="majorEastAsia" w:hAnsiTheme="majorEastAsia" w:eastAsiaTheme="majorEastAsia"/>
                      <w:color w:val="000000" w:themeColor="text1"/>
                      <w:kern w:val="0"/>
                      <w:sz w:val="24"/>
                    </w:rPr>
                    <w:t>成交</w:t>
                  </w:r>
                  <w:r>
                    <w:rPr>
                      <w:rFonts w:asciiTheme="majorEastAsia" w:hAnsiTheme="majorEastAsia" w:eastAsiaTheme="majorEastAsia"/>
                      <w:color w:val="000000" w:themeColor="text1"/>
                      <w:sz w:val="24"/>
                      <w:szCs w:val="24"/>
                    </w:rPr>
                    <w:t>金额（万元）</w:t>
                  </w:r>
                </w:p>
              </w:tc>
              <w:tc>
                <w:tcPr>
                  <w:tcW w:w="156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100以下</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100-500</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500-1000</w:t>
                  </w:r>
                </w:p>
              </w:tc>
              <w:tc>
                <w:tcPr>
                  <w:tcW w:w="156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0.45%</w:t>
                  </w:r>
                </w:p>
              </w:tc>
            </w:tr>
          </w:tbl>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注：招标代理服务费按差额定率累进法计算。</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开户名称：广西邕政采购代理有限公司</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开户银行：交通银行南宁东葛西支行</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账号：</w:t>
            </w:r>
            <w:r>
              <w:rPr>
                <w:rFonts w:asciiTheme="majorEastAsia" w:hAnsiTheme="majorEastAsia" w:eastAsiaTheme="majorEastAsia" w:cstheme="majorEastAsia"/>
                <w:color w:val="000000" w:themeColor="text1"/>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响应有效期</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自提交响应文件截止时间起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磋商保证金金额</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本项目不收取</w:t>
            </w:r>
            <w:r>
              <w:rPr>
                <w:rFonts w:hint="eastAsia" w:asciiTheme="majorEastAsia" w:hAnsiTheme="majorEastAsia" w:eastAsiaTheme="majorEastAsia" w:cstheme="majorEastAsia"/>
                <w:bCs/>
                <w:color w:val="000000" w:themeColor="text1"/>
                <w:sz w:val="24"/>
                <w:szCs w:val="24"/>
              </w:rPr>
              <w:t>磋商</w:t>
            </w:r>
            <w:r>
              <w:rPr>
                <w:rFonts w:hint="eastAsia" w:asciiTheme="majorEastAsia" w:hAnsiTheme="majorEastAsia" w:eastAsiaTheme="majorEastAsia" w:cstheme="majorEastAsia"/>
                <w:color w:val="000000" w:themeColor="text1"/>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提交响应文件截止时间</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16</w:t>
            </w:r>
            <w:r>
              <w:rPr>
                <w:rFonts w:hint="eastAsia" w:asciiTheme="majorEastAsia" w:hAnsiTheme="majorEastAsia" w:eastAsiaTheme="majorEastAsia" w:cstheme="majorEastAsia"/>
                <w:color w:val="000000" w:themeColor="text1"/>
                <w:kern w:val="0"/>
                <w:sz w:val="24"/>
              </w:rPr>
              <w:t>日</w:t>
            </w:r>
            <w:r>
              <w:rPr>
                <w:rFonts w:hint="eastAsia" w:asciiTheme="majorEastAsia" w:hAnsiTheme="majorEastAsia" w:eastAsiaTheme="majorEastAsia" w:cstheme="majorEastAsia"/>
                <w:color w:val="000000" w:themeColor="text1"/>
                <w:kern w:val="0"/>
                <w:sz w:val="24"/>
                <w:lang w:val="en-US" w:eastAsia="zh-CN"/>
              </w:rPr>
              <w:t>09</w:t>
            </w:r>
            <w:r>
              <w:rPr>
                <w:rFonts w:hint="eastAsia" w:asciiTheme="majorEastAsia" w:hAnsiTheme="majorEastAsia" w:eastAsiaTheme="majorEastAsia" w:cstheme="majorEastAsia"/>
                <w:color w:val="000000" w:themeColor="text1"/>
                <w:kern w:val="0"/>
                <w:sz w:val="24"/>
              </w:rPr>
              <w:t>时</w:t>
            </w:r>
            <w:r>
              <w:rPr>
                <w:rFonts w:hint="eastAsia" w:asciiTheme="majorEastAsia" w:hAnsiTheme="majorEastAsia" w:eastAsiaTheme="majorEastAsia" w:cstheme="majorEastAsia"/>
                <w:color w:val="000000" w:themeColor="text1"/>
                <w:kern w:val="0"/>
                <w:sz w:val="24"/>
                <w:lang w:val="en-US" w:eastAsia="zh-CN"/>
              </w:rPr>
              <w:t>30</w:t>
            </w:r>
            <w:r>
              <w:rPr>
                <w:rFonts w:hint="eastAsia" w:asciiTheme="majorEastAsia" w:hAnsiTheme="majorEastAsia" w:eastAsiaTheme="majorEastAsia" w:cstheme="majorEastAsia"/>
                <w:color w:val="000000" w:themeColor="text1"/>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南宁市良庆区玉洞大道33号（青少年活动中心旁）市民中心9楼南宁市公共资源交易中心（具体详见9楼电子显示屏场地安排）</w:t>
            </w:r>
            <w:r>
              <w:rPr>
                <w:rFonts w:hint="eastAsia" w:asciiTheme="majorEastAsia" w:hAnsiTheme="majorEastAsia" w:eastAsiaTheme="majorEastAsia" w:cstheme="majorEastAsia"/>
                <w:color w:val="000000" w:themeColor="text1"/>
                <w:kern w:val="0"/>
                <w:sz w:val="24"/>
              </w:rPr>
              <w:t>，</w:t>
            </w:r>
            <w:r>
              <w:rPr>
                <w:rFonts w:hint="eastAsia" w:asciiTheme="majorEastAsia" w:hAnsiTheme="majorEastAsia" w:eastAsiaTheme="majorEastAsia"/>
                <w:color w:val="000000" w:themeColor="text1"/>
                <w:sz w:val="24"/>
                <w:szCs w:val="24"/>
              </w:rPr>
              <w:t>为做好疫情防控工作，本项目的</w:t>
            </w:r>
            <w:r>
              <w:rPr>
                <w:rFonts w:hint="eastAsia" w:cs="宋体" w:asciiTheme="majorEastAsia" w:hAnsiTheme="majorEastAsia" w:eastAsiaTheme="majorEastAsia"/>
                <w:color w:val="000000" w:themeColor="text1"/>
                <w:kern w:val="0"/>
                <w:sz w:val="24"/>
              </w:rPr>
              <w:t>响应</w:t>
            </w:r>
            <w:r>
              <w:rPr>
                <w:rFonts w:hint="eastAsia" w:asciiTheme="majorEastAsia" w:hAnsiTheme="majorEastAsia" w:eastAsiaTheme="majorEastAsia"/>
                <w:color w:val="000000" w:themeColor="text1"/>
                <w:sz w:val="24"/>
                <w:szCs w:val="24"/>
              </w:rPr>
              <w:t>文件通过邮寄快递的方式送达，具体要求详见采购文件</w:t>
            </w:r>
            <w:r>
              <w:rPr>
                <w:rFonts w:hint="eastAsia" w:asciiTheme="majorEastAsia" w:hAnsiTheme="majorEastAsia" w:eastAsiaTheme="majorEastAsia" w:cs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17.4.8（1）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与递交响应文件地点相同。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30</w:t>
            </w:r>
          </w:p>
        </w:tc>
        <w:tc>
          <w:tcPr>
            <w:tcW w:w="2640"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sz w:val="24"/>
                <w:szCs w:val="24"/>
              </w:rPr>
              <w:t>需要补充的其他内容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color w:val="000000" w:themeColor="text1"/>
                <w:sz w:val="24"/>
                <w:szCs w:val="24"/>
              </w:rPr>
              <w:t>注：为帮助中小微企业解决资金周转或融资困难问题，南宁市政府采购试行政府采购信用融资</w:t>
            </w:r>
            <w:bookmarkStart w:id="140" w:name="_GoBack"/>
            <w:bookmarkEnd w:id="140"/>
            <w:r>
              <w:rPr>
                <w:rFonts w:hint="eastAsia" w:asciiTheme="majorEastAsia" w:hAnsiTheme="majorEastAsia" w:eastAsiaTheme="majorEastAsia" w:cstheme="majorEastAsia"/>
                <w:b/>
                <w:color w:val="000000" w:themeColor="text1"/>
                <w:sz w:val="24"/>
                <w:szCs w:val="24"/>
              </w:rPr>
              <w:t>制度，为中小企业参与政府采购活动提供金融服务。磋商供应商可凭政府采购合同申请政府采购信用融资，具体办理要求与办理方式，详见南宁市公共资源交易中心网‘政府采购信用融资’专栏。</w:t>
            </w:r>
          </w:p>
        </w:tc>
      </w:tr>
    </w:tbl>
    <w:p>
      <w:pPr>
        <w:pStyle w:val="16"/>
        <w:outlineLvl w:val="9"/>
        <w:rPr>
          <w:rFonts w:asciiTheme="majorEastAsia" w:hAnsiTheme="majorEastAsia" w:eastAsiaTheme="majorEastAsia" w:cstheme="majorEastAsia"/>
          <w:color w:val="000000" w:themeColor="text1"/>
        </w:rPr>
        <w:sectPr>
          <w:pgSz w:w="11906" w:h="16838"/>
          <w:pgMar w:top="1440" w:right="1080" w:bottom="1118" w:left="1080" w:header="720" w:footer="720" w:gutter="0"/>
          <w:cols w:space="720" w:num="1"/>
          <w:docGrid w:type="lines" w:linePitch="331" w:charSpace="0"/>
        </w:sectPr>
      </w:pPr>
      <w:bookmarkStart w:id="48" w:name="_Toc460253703"/>
      <w:bookmarkStart w:id="49" w:name="_Toc213326416"/>
      <w:bookmarkStart w:id="50" w:name="_Toc485920213"/>
    </w:p>
    <w:p>
      <w:pPr>
        <w:pStyle w:val="16"/>
        <w:outlineLvl w:val="1"/>
        <w:rPr>
          <w:rFonts w:asciiTheme="majorEastAsia" w:hAnsiTheme="majorEastAsia" w:eastAsiaTheme="majorEastAsia" w:cstheme="majorEastAsia"/>
          <w:color w:val="000000" w:themeColor="text1"/>
        </w:rPr>
      </w:pPr>
      <w:bookmarkStart w:id="51" w:name="_Toc24534"/>
      <w:bookmarkStart w:id="52" w:name="_Toc13597"/>
      <w:bookmarkStart w:id="53" w:name="_Toc24501"/>
      <w:r>
        <w:rPr>
          <w:rFonts w:hint="eastAsia" w:asciiTheme="majorEastAsia" w:hAnsiTheme="majorEastAsia" w:eastAsiaTheme="majorEastAsia" w:cstheme="majorEastAsia"/>
          <w:color w:val="000000" w:themeColor="text1"/>
        </w:rPr>
        <w:t>一   总则</w:t>
      </w:r>
      <w:bookmarkEnd w:id="48"/>
      <w:bookmarkEnd w:id="49"/>
      <w:bookmarkEnd w:id="50"/>
      <w:bookmarkEnd w:id="51"/>
      <w:bookmarkEnd w:id="52"/>
      <w:bookmarkEnd w:id="53"/>
    </w:p>
    <w:p>
      <w:pPr>
        <w:pStyle w:val="9"/>
        <w:spacing w:line="440" w:lineRule="exact"/>
        <w:ind w:left="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  项目概况</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采购人：见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采购代理机构：见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1.3  项目名称：</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1.4  项目编号：</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采购预算：见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1.6  资金来源：政府财政性资金。</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  </w:t>
      </w:r>
      <w:r>
        <w:rPr>
          <w:rFonts w:hint="eastAsia" w:asciiTheme="majorEastAsia" w:hAnsiTheme="majorEastAsia" w:eastAsiaTheme="majorEastAsia" w:cstheme="majorEastAsia"/>
          <w:color w:val="000000" w:themeColor="text1"/>
          <w:sz w:val="24"/>
          <w:szCs w:val="24"/>
        </w:rPr>
        <w:t>获取竞争性磋商文件的方式：</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left="2"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  预留采购份额：见磋商供应商须知前附表。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p>
    <w:p>
      <w:pPr>
        <w:pStyle w:val="9"/>
        <w:spacing w:line="440" w:lineRule="exact"/>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  政府采购信息发布媒体：</w:t>
      </w:r>
    </w:p>
    <w:p>
      <w:pPr>
        <w:snapToGrid w:val="0"/>
        <w:spacing w:line="500" w:lineRule="exact"/>
        <w:ind w:firstLine="480" w:firstLineChars="200"/>
        <w:rPr>
          <w:rFonts w:asciiTheme="majorEastAsia" w:hAnsiTheme="majorEastAsia" w:eastAsiaTheme="majorEastAsia" w:cstheme="majorEastAsia"/>
          <w:bCs/>
          <w:color w:val="000000" w:themeColor="text1"/>
          <w:sz w:val="24"/>
        </w:rPr>
      </w:pPr>
      <w:r>
        <w:rPr>
          <w:rFonts w:hint="eastAsia" w:asciiTheme="majorEastAsia" w:hAnsiTheme="majorEastAsia" w:eastAsiaTheme="majorEastAsia" w:cstheme="majorEastAsia"/>
          <w:bCs/>
          <w:color w:val="000000" w:themeColor="text1"/>
          <w:sz w:val="24"/>
        </w:rPr>
        <w:t>2.1  与本项目相关的政府采购业务信息（包括竞争性磋商公告、成交公告及其更正事项等）将在以下媒体上发布：广西壮族自治区政府采购网、南宁公共资源交易中心网上发布。</w:t>
      </w:r>
    </w:p>
    <w:p>
      <w:pPr>
        <w:snapToGrid w:val="0"/>
        <w:spacing w:line="5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2.2  本项目竞争性磋商公告期限为公告发布之日起5个工作日。</w:t>
      </w:r>
    </w:p>
    <w:p>
      <w:pPr>
        <w:pStyle w:val="9"/>
        <w:spacing w:line="440" w:lineRule="exact"/>
        <w:ind w:left="242" w:hanging="242" w:hangingChars="10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 </w:t>
      </w:r>
      <w:r>
        <w:rPr>
          <w:rFonts w:hint="eastAsia" w:asciiTheme="majorEastAsia" w:hAnsiTheme="majorEastAsia" w:eastAsiaTheme="majorEastAsia" w:cstheme="majorEastAsia"/>
          <w:color w:val="000000" w:themeColor="text1"/>
          <w:sz w:val="24"/>
          <w:szCs w:val="24"/>
        </w:rPr>
        <w:t>磋商供应商的</w:t>
      </w:r>
      <w:r>
        <w:rPr>
          <w:rFonts w:hint="eastAsia" w:asciiTheme="majorEastAsia" w:hAnsiTheme="majorEastAsia" w:eastAsiaTheme="majorEastAsia" w:cstheme="majorEastAsia"/>
          <w:bCs/>
          <w:color w:val="000000" w:themeColor="text1"/>
          <w:sz w:val="24"/>
          <w:szCs w:val="24"/>
        </w:rPr>
        <w:t>资格要求：</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3.1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color w:val="000000" w:themeColor="text1"/>
          <w:sz w:val="24"/>
        </w:rPr>
        <w:t>供应商未被列入失信被执行人、重大税收违法案件当事人名单、政府采购严重违法失信行为记录名单，且应符合《中华人民共和国政府采购法》第二十二条规定的资格条件</w:t>
      </w:r>
      <w:r>
        <w:rPr>
          <w:rFonts w:hint="eastAsia" w:asciiTheme="majorEastAsia" w:hAnsiTheme="majorEastAsia" w:eastAsiaTheme="majorEastAsia" w:cstheme="majorEastAsia"/>
          <w:bCs/>
          <w:color w:val="000000" w:themeColor="text1"/>
          <w:sz w:val="24"/>
          <w:szCs w:val="24"/>
        </w:rPr>
        <w:t>。</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针对本项目，</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应具备的特定条件：见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须知前附表规定接受联合体磋商的，两个以上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供应商可以组成一个</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联合体，</w:t>
      </w:r>
      <w:r>
        <w:rPr>
          <w:rFonts w:hint="eastAsia" w:asciiTheme="majorEastAsia" w:hAnsiTheme="majorEastAsia" w:eastAsiaTheme="majorEastAsia" w:cstheme="majorEastAsia"/>
          <w:color w:val="000000" w:themeColor="text1"/>
          <w:sz w:val="24"/>
          <w:szCs w:val="24"/>
        </w:rPr>
        <w:t>以一个磋商供应商的身份共同参加磋商</w:t>
      </w:r>
      <w:r>
        <w:rPr>
          <w:rFonts w:hint="eastAsia" w:asciiTheme="majorEastAsia" w:hAnsiTheme="majorEastAsia" w:eastAsiaTheme="majorEastAsia" w:cstheme="majorEastAsia"/>
          <w:bCs/>
          <w:color w:val="000000" w:themeColor="text1"/>
          <w:sz w:val="24"/>
          <w:szCs w:val="24"/>
        </w:rPr>
        <w:t>。以联合体形式参加磋商的，联合体各方均应当符合本章第3.1项的要求，联合体各方中至少应当有一方符合本章第3.2项的要求。由同一专业的组成的联合体，按照资质等级较低的确定资质等级。联合体各方不得再以自己名义单独或组成新的联合体参加同一项目同一分项磋商。</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3.4  </w:t>
      </w:r>
      <w:r>
        <w:rPr>
          <w:rFonts w:hint="eastAsia" w:asciiTheme="majorEastAsia" w:hAnsiTheme="majorEastAsia" w:eastAsiaTheme="majorEastAsia" w:cstheme="majorEastAsia"/>
          <w:color w:val="000000" w:themeColor="text1"/>
          <w:sz w:val="24"/>
          <w:szCs w:val="24"/>
        </w:rPr>
        <w:t xml:space="preserve">磋商供应商不得直接或间接地与为本次采购的项目内容进行设计、编制规范和其他文件的咨询公司、采购人、采购代理机构或其附属机构有任何关联。 </w:t>
      </w:r>
    </w:p>
    <w:p>
      <w:pPr>
        <w:pStyle w:val="9"/>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4.1  </w:t>
      </w:r>
      <w:r>
        <w:rPr>
          <w:rFonts w:hint="eastAsia" w:asciiTheme="majorEastAsia" w:hAnsiTheme="majorEastAsia" w:eastAsiaTheme="majorEastAsia"/>
          <w:sz w:val="24"/>
        </w:rPr>
        <w:t>磋商供应商</w:t>
      </w:r>
      <w:r>
        <w:rPr>
          <w:rFonts w:hint="eastAsia" w:asciiTheme="majorEastAsia" w:hAnsiTheme="majorEastAsia" w:eastAsiaTheme="majorEastAsia"/>
          <w:bCs/>
          <w:sz w:val="24"/>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4.2提出质疑</w:t>
      </w:r>
      <w:r>
        <w:rPr>
          <w:rFonts w:hint="eastAsia" w:ascii="宋体" w:hAnsi="宋体"/>
          <w:bCs/>
          <w:sz w:val="24"/>
        </w:rPr>
        <w:t>的</w:t>
      </w:r>
      <w:r>
        <w:rPr>
          <w:rFonts w:hint="eastAsia" w:asciiTheme="majorEastAsia" w:hAnsiTheme="majorEastAsia" w:eastAsiaTheme="majorEastAsia"/>
          <w:sz w:val="24"/>
        </w:rPr>
        <w:t>磋商供应商</w:t>
      </w:r>
      <w:r>
        <w:rPr>
          <w:rFonts w:hint="eastAsia" w:ascii="宋体" w:hAnsi="宋体"/>
          <w:bCs/>
          <w:sz w:val="24"/>
        </w:rPr>
        <w:t>应</w:t>
      </w:r>
      <w:r>
        <w:rPr>
          <w:rFonts w:hint="eastAsia" w:asciiTheme="majorEastAsia" w:hAnsiTheme="majorEastAsia" w:eastAsiaTheme="majorEastAsia"/>
          <w:bCs/>
          <w:sz w:val="24"/>
        </w:rPr>
        <w:t>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21"/>
          <w:rFonts w:hint="eastAsia" w:asciiTheme="majorEastAsia" w:hAnsiTheme="majorEastAsia" w:eastAsiaTheme="majorEastAsia"/>
          <w:bCs/>
          <w:color w:val="auto"/>
          <w:sz w:val="24"/>
        </w:rPr>
        <w:t>财政部发布《政府采购供应商质疑函范本》</w:t>
      </w:r>
      <w:r>
        <w:rPr>
          <w:rStyle w:val="21"/>
          <w:rFonts w:hint="eastAsia" w:asciiTheme="majorEastAsia" w:hAnsiTheme="majorEastAsia" w:eastAsiaTheme="majorEastAsia"/>
          <w:bCs/>
          <w:color w:val="auto"/>
          <w:sz w:val="24"/>
        </w:rPr>
        <w:fldChar w:fldCharType="end"/>
      </w:r>
      <w:r>
        <w:rPr>
          <w:rFonts w:hint="eastAsia" w:asciiTheme="majorEastAsia" w:hAnsiTheme="majorEastAsia" w:eastAsiaTheme="majorEastAsia"/>
          <w:bCs/>
          <w:sz w:val="24"/>
        </w:rPr>
        <w:t>编制，质疑函内容或格式不符合其规定的，磋商供应商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4.4供应商提交质疑应当提交质疑函和必要的证明材料，质疑函应当包括下列内容：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（1）供应商的姓名或者名称、地址、邮编、联系人及联系电话；</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（2）质疑项目的名称、编号；</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（3）具体、明确的质疑事项和质疑事项相关的请求；</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（4）事实依据；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（5）必要的法律依据；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（6）提起质疑的日期；</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4.6  质疑供应商提起质疑应当符合下列条件：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（2）质疑函内容符合本章第4.4项的规定；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（3）在质疑有效期限内提起质疑；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（8）财政部门规定的其他条件。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4.7  采购人或采购人委托的采购代理机构自受理质疑之日起七个工作日内，对质疑事项作出答复，并以书面形式通知质疑供应商及其他有关供应商。</w:t>
      </w:r>
    </w:p>
    <w:p>
      <w:pPr>
        <w:pStyle w:val="9"/>
        <w:spacing w:line="440" w:lineRule="exact"/>
        <w:ind w:left="542" w:leftChars="201" w:hanging="120" w:hangingChars="5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  </w:t>
      </w:r>
      <w:r>
        <w:rPr>
          <w:rFonts w:hint="eastAsia" w:asciiTheme="majorEastAsia" w:hAnsiTheme="majorEastAsia" w:eastAsiaTheme="majorEastAsia" w:cstheme="majorEastAsia"/>
          <w:bCs/>
          <w:color w:val="000000" w:themeColor="text1"/>
          <w:sz w:val="24"/>
          <w:szCs w:val="24"/>
        </w:rPr>
        <w:t>投诉</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5.1  </w:t>
      </w:r>
      <w:r>
        <w:rPr>
          <w:rFonts w:hint="eastAsia" w:asciiTheme="majorEastAsia" w:hAnsiTheme="majorEastAsia" w:eastAsiaTheme="majorEastAsia" w:cstheme="majorEastAsia"/>
          <w:bCs/>
          <w:color w:val="000000" w:themeColor="text1"/>
          <w:sz w:val="24"/>
          <w:szCs w:val="24"/>
        </w:rPr>
        <w:t>供应商认为采购文件、采购过程、成交结果使自己的合法权益受到损害的，应当首先依法向采购人或采购人委托的</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提出质疑。对采购人、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的答复不满意，或者采购人、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未在规定期限内做出答复的，供应商可以在答复期满后十五个工作日内向</w:t>
      </w:r>
      <w:r>
        <w:rPr>
          <w:rFonts w:hint="eastAsia" w:asciiTheme="majorEastAsia" w:hAnsiTheme="majorEastAsia" w:eastAsiaTheme="majorEastAsia" w:cstheme="majorEastAsia"/>
          <w:color w:val="000000" w:themeColor="text1"/>
          <w:sz w:val="24"/>
          <w:szCs w:val="24"/>
        </w:rPr>
        <w:t>南宁市政府采购监督管理部门</w:t>
      </w:r>
      <w:r>
        <w:rPr>
          <w:rFonts w:hint="eastAsia" w:asciiTheme="majorEastAsia" w:hAnsiTheme="majorEastAsia" w:eastAsiaTheme="majorEastAsia" w:cstheme="majorEastAsia"/>
          <w:bCs/>
          <w:color w:val="000000" w:themeColor="text1"/>
          <w:sz w:val="24"/>
          <w:szCs w:val="24"/>
        </w:rPr>
        <w:t>提起投诉。</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5.2  </w:t>
      </w:r>
      <w:r>
        <w:rPr>
          <w:rFonts w:hint="eastAsia" w:asciiTheme="majorEastAsia" w:hAnsiTheme="majorEastAsia" w:eastAsiaTheme="majorEastAsia" w:cstheme="majorEastAsia"/>
          <w:color w:val="000000" w:themeColor="text1"/>
          <w:sz w:val="24"/>
          <w:szCs w:val="24"/>
        </w:rPr>
        <w:t>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1）投诉人和被投诉人的名称、地址、电话等； </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2）具体的投诉事项及事实依据；</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3）质疑和质疑答复情况及相关证明材料； </w:t>
      </w:r>
    </w:p>
    <w:p>
      <w:pPr>
        <w:pStyle w:val="9"/>
        <w:tabs>
          <w:tab w:val="right" w:pos="9638"/>
        </w:tabs>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4）提起投诉的日期。</w:t>
      </w:r>
    </w:p>
    <w:p>
      <w:pPr>
        <w:pStyle w:val="9"/>
        <w:tabs>
          <w:tab w:val="right" w:pos="9638"/>
        </w:tabs>
        <w:spacing w:line="440" w:lineRule="exact"/>
        <w:ind w:left="2" w:firstLine="477" w:firstLineChars="199"/>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5）附件材料：营业执照副本内页复印件（要求证件有效清晰和企业年度报告公示材料；近期三个月依法缴纳税收和在职职工社会保障资金证明材料（复印件，原件备查）。</w:t>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 xml:space="preserve">    投诉书应当署名。投诉人为法人或者其他组织的，应当由法定代表人或者主要负责人签字盖章并加盖公章。</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5.3  </w:t>
      </w:r>
      <w:r>
        <w:rPr>
          <w:rFonts w:hint="eastAsia" w:asciiTheme="majorEastAsia" w:hAnsiTheme="majorEastAsia" w:eastAsiaTheme="majorEastAsia" w:cstheme="majorEastAsia"/>
          <w:color w:val="000000" w:themeColor="text1"/>
          <w:sz w:val="24"/>
          <w:szCs w:val="24"/>
        </w:rPr>
        <w:t>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5.4  </w:t>
      </w:r>
      <w:r>
        <w:rPr>
          <w:rFonts w:hint="eastAsia" w:asciiTheme="majorEastAsia" w:hAnsiTheme="majorEastAsia" w:eastAsiaTheme="majorEastAsia" w:cstheme="majorEastAsia"/>
          <w:color w:val="000000" w:themeColor="text1"/>
          <w:sz w:val="24"/>
          <w:szCs w:val="24"/>
        </w:rPr>
        <w:t>投诉人提起投诉应当符合下列条件：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1）投诉人是参与所投诉政府采购活动的供应商；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2）提起投诉前已依法进行质疑；</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3）投诉书内容符合本章第5.2项的规定；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4）在投诉有效期限内提起投诉；</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5）属于南宁市政府采购监督管理部门管辖；</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6）同一投诉事项未经南宁市政府采购监督管理部门投诉处理；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7）国务院财政部门规定的其他条件。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5.5  </w:t>
      </w:r>
      <w:r>
        <w:rPr>
          <w:rFonts w:hint="eastAsia" w:asciiTheme="majorEastAsia" w:hAnsiTheme="majorEastAsia" w:eastAsiaTheme="majorEastAsia" w:cstheme="majorEastAsia"/>
          <w:color w:val="000000" w:themeColor="text1"/>
          <w:sz w:val="24"/>
        </w:rPr>
        <w:t>南宁市政府采购监督管理部门自受理投诉之日起三十个工作日内，对投诉事项作出处理决定，并以书面形式通知投诉人、被投诉人及其他与投诉处理结果有利害关系的政府采购当事人。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5.6  </w:t>
      </w:r>
      <w:r>
        <w:rPr>
          <w:rFonts w:hint="eastAsia" w:asciiTheme="majorEastAsia" w:hAnsiTheme="majorEastAsia" w:eastAsiaTheme="majorEastAsia" w:cstheme="majorEastAsia"/>
          <w:color w:val="000000" w:themeColor="text1"/>
          <w:sz w:val="24"/>
        </w:rPr>
        <w:t>南宁市政府采购监督管理部门在处理投诉事项期间，可以视具体情况暂停采购活动。</w:t>
      </w:r>
    </w:p>
    <w:p>
      <w:pPr>
        <w:pStyle w:val="16"/>
        <w:outlineLvl w:val="1"/>
        <w:rPr>
          <w:rFonts w:asciiTheme="majorEastAsia" w:hAnsiTheme="majorEastAsia" w:eastAsiaTheme="majorEastAsia" w:cstheme="majorEastAsia"/>
          <w:color w:val="000000" w:themeColor="text1"/>
        </w:rPr>
      </w:pPr>
      <w:bookmarkStart w:id="54" w:name="_Toc18851"/>
      <w:bookmarkStart w:id="55" w:name="_Toc460253705"/>
      <w:bookmarkStart w:id="56" w:name="_Toc32743"/>
      <w:bookmarkStart w:id="57" w:name="_Toc9777"/>
      <w:bookmarkStart w:id="58" w:name="_Toc485920214"/>
      <w:bookmarkStart w:id="59" w:name="_Toc213326417"/>
      <w:r>
        <w:rPr>
          <w:rFonts w:hint="eastAsia" w:asciiTheme="majorEastAsia" w:hAnsiTheme="majorEastAsia" w:eastAsiaTheme="majorEastAsia" w:cstheme="majorEastAsia"/>
          <w:color w:val="000000" w:themeColor="text1"/>
        </w:rPr>
        <w:t>二   竞争性磋商采购文件</w:t>
      </w:r>
      <w:bookmarkEnd w:id="54"/>
      <w:bookmarkEnd w:id="55"/>
      <w:bookmarkEnd w:id="56"/>
      <w:bookmarkEnd w:id="57"/>
      <w:bookmarkEnd w:id="58"/>
      <w:bookmarkEnd w:id="59"/>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6.  竞争性磋商采购文件的组成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本</w:t>
      </w:r>
      <w:r>
        <w:rPr>
          <w:rFonts w:hint="eastAsia" w:asciiTheme="majorEastAsia" w:hAnsiTheme="majorEastAsia" w:eastAsiaTheme="majorEastAsia" w:cstheme="majorEastAsia"/>
          <w:bCs/>
          <w:color w:val="000000" w:themeColor="text1"/>
          <w:sz w:val="24"/>
          <w:szCs w:val="24"/>
        </w:rPr>
        <w:t>竞争性磋商采购文件</w:t>
      </w:r>
      <w:r>
        <w:rPr>
          <w:rFonts w:hint="eastAsia" w:asciiTheme="majorEastAsia" w:hAnsiTheme="majorEastAsia" w:eastAsiaTheme="majorEastAsia" w:cstheme="majorEastAsia"/>
          <w:color w:val="000000" w:themeColor="text1"/>
          <w:sz w:val="24"/>
          <w:szCs w:val="24"/>
        </w:rPr>
        <w:t>包括六个章节，各章的内容如下：</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第一章  竞争性磋商公告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第二章  服务需求一览表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第三章  评审方法</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第四章  磋商供应商须知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第五章  响应文件格式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第六章  合同草案条款及格式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根据本章第7.1项的规定对竞争性磋商文件所做的澄清、修改，构成竞争性磋商文件的组成部分。当竞争性磋商文件与澄清和修改的同一内容的表述不一致时，以最后发出的书面文件为准。</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7.  竞争性</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采购文件的澄清和修改</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7.1　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不足5日的，采购人、采购代理机构应当顺延提交首次响应文件截止时间。同时，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7.2采购人和采购代理机构可以视采购具体情况，变更递交响应文件截止时间，但应当在递交响应文件截止之日前，采购代理机构在本章第2.1项规定的政府采购信息发布媒体上发布更正公告，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16"/>
        <w:outlineLvl w:val="1"/>
        <w:rPr>
          <w:rFonts w:asciiTheme="majorEastAsia" w:hAnsiTheme="majorEastAsia" w:eastAsiaTheme="majorEastAsia" w:cstheme="majorEastAsia"/>
          <w:color w:val="000000" w:themeColor="text1"/>
        </w:rPr>
      </w:pPr>
      <w:bookmarkStart w:id="60" w:name="_Toc460253706"/>
      <w:bookmarkStart w:id="61" w:name="_Toc31152"/>
      <w:bookmarkStart w:id="62" w:name="_Toc4272"/>
      <w:bookmarkStart w:id="63" w:name="_Toc485920215"/>
      <w:bookmarkStart w:id="64" w:name="_Toc30256"/>
      <w:bookmarkStart w:id="65" w:name="_Toc213326418"/>
      <w:r>
        <w:rPr>
          <w:rFonts w:hint="eastAsia" w:asciiTheme="majorEastAsia" w:hAnsiTheme="majorEastAsia" w:eastAsiaTheme="majorEastAsia" w:cstheme="majorEastAsia"/>
          <w:color w:val="000000" w:themeColor="text1"/>
        </w:rPr>
        <w:t>三   响应文件</w:t>
      </w:r>
      <w:bookmarkEnd w:id="60"/>
      <w:bookmarkEnd w:id="61"/>
      <w:bookmarkEnd w:id="62"/>
      <w:bookmarkEnd w:id="63"/>
      <w:bookmarkEnd w:id="64"/>
      <w:bookmarkEnd w:id="65"/>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8.  响应文件的编制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8.1 磋商供应商应仔细阅读竞争性磋商文件，在充分了解采购的内容、技术参数要求和商务条款以及实质性要求和条件后，编写响应文件。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8.2  对竞争性磋商文件的实质性要求和条件作出响应是指磋商供应商必须对竞争性磋商文件中标注为实质性要求和条件的技术参数要求、商务条款及其它内容</w:t>
      </w:r>
      <w:r>
        <w:rPr>
          <w:rFonts w:hint="eastAsia" w:asciiTheme="majorEastAsia" w:hAnsiTheme="majorEastAsia" w:eastAsiaTheme="majorEastAsia" w:cstheme="majorEastAsia"/>
          <w:b/>
          <w:color w:val="000000" w:themeColor="text1"/>
          <w:sz w:val="24"/>
          <w:szCs w:val="24"/>
        </w:rPr>
        <w:t>作出满足或者优于原要求和条件的承诺</w:t>
      </w:r>
      <w:r>
        <w:rPr>
          <w:rFonts w:hint="eastAsia" w:asciiTheme="majorEastAsia" w:hAnsiTheme="majorEastAsia" w:eastAsiaTheme="majorEastAsia" w:cstheme="majorEastAsia"/>
          <w:color w:val="000000" w:themeColor="text1"/>
          <w:sz w:val="24"/>
          <w:szCs w:val="24"/>
        </w:rPr>
        <w:t>。</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8.3  竞争性磋商文件中标注★号的内容为实质性要求和条件。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8.4  响应文件应用不褪色的材料书写或打印，保证其清楚、工整，相关材料的复印件应清晰可辨认。响应文件字迹潦草、表达不清、模糊无法辨认而导致非唯一理解是磋商供应商的风险，很可能导致该响应无效。</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8.5  第五章“响应文件格式”中规定了响应文件格式的，应按相应格式要求编写。</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8.6  响应文件应由磋商供应商的法定代表人或其委托代理人在凡规定签章处逐一签字或盖章并加盖单位公章。响应文件应尽量避免涂改、行间插字或删除。如果出现上述情况，改动之处应加盖单位公章或由磋商供应商的法定代表人或其委托代理人签字或盖章确认。</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8.7  响应文件应编制目录，且页码清晰准确。</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8.8  响应文件的正本和副本应分别装订成册，封面上应清楚地标记“正本”或“副本”字样，并标明项目名称、项目编号、磋商供应商名称等内容。副本可以采用正本的复印件，当副本和正本不一致时，以正本为准。磋商供应商应准备首次报价文件正本、技术文件正本、商务文件正本各一份，副本份数见磋商供应商须知前附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9.  响应文件语言文字及计量单位</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  对不同文字文本响应文件的解释发生异议的，以中文文本为准。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9.3  响应文件使用的计量单位除竞争性磋商文件中有特殊规定外，一律使用中华人民共和国法定计量单位。</w:t>
      </w:r>
    </w:p>
    <w:p>
      <w:pPr>
        <w:pStyle w:val="9"/>
        <w:spacing w:line="440" w:lineRule="exact"/>
        <w:rPr>
          <w:rFonts w:asciiTheme="majorEastAsia" w:hAnsiTheme="majorEastAsia" w:eastAsiaTheme="majorEastAsia" w:cstheme="majorEastAsia"/>
          <w:bCs/>
          <w:color w:val="000000" w:themeColor="text1"/>
          <w:sz w:val="24"/>
          <w:szCs w:val="24"/>
        </w:rPr>
      </w:pPr>
      <w:bookmarkStart w:id="66" w:name="_Toc485920221"/>
      <w:bookmarkStart w:id="67" w:name="_Toc213206176"/>
      <w:bookmarkStart w:id="68" w:name="_Toc213326424"/>
      <w:bookmarkStart w:id="69" w:name="_Toc213325925"/>
      <w:bookmarkStart w:id="70" w:name="_Toc460253715"/>
      <w:r>
        <w:rPr>
          <w:rFonts w:hint="eastAsia" w:asciiTheme="majorEastAsia" w:hAnsiTheme="majorEastAsia" w:eastAsiaTheme="majorEastAsia" w:cstheme="majorEastAsia"/>
          <w:bCs/>
          <w:color w:val="000000" w:themeColor="text1"/>
          <w:sz w:val="24"/>
          <w:szCs w:val="24"/>
        </w:rPr>
        <w:t>10.  响应文件的组成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  磋商供应商需编制的响应文件包括首次报价文件、技术文件和商务文件三部分，磋商供应商应按下列说明编写和提交。应提交的有关文件如未特别注明为原件的，可提交复印件。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10.1.1  首次报价文件，包括：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（1）响应函：按第五章“响应文件格式”提供的“响应函（格式）”的要求填写；</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（2）响应报价表：按第五章“响应文件格式”提供的“响应报价表（格式）”的要求填写。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（3）中小企业声明函：按第五章“响应文件格式”提供的“中小企业声明函（格式）”的要求填写。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（4）残疾人福利性单位声明函：按第五章“响应文件格式”提供的“残疾人福利性单位声明函（格式）”的要求填写；</w:t>
      </w:r>
    </w:p>
    <w:p>
      <w:pPr>
        <w:pStyle w:val="9"/>
        <w:spacing w:after="165"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（5）监狱企业证明：提供由省级以上监狱管理局、戒毒管理局（含新疆生产建设兵团）出具的属于监狱企业的证明文件。</w:t>
      </w:r>
    </w:p>
    <w:p>
      <w:pPr>
        <w:pStyle w:val="9"/>
        <w:spacing w:line="440" w:lineRule="exact"/>
        <w:ind w:firstLine="482" w:firstLineChars="20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其中，报价文件组成要求的第（1）～（2）项必须提交；第（3）～（5）项如有请提交。</w:t>
      </w:r>
      <w:r>
        <w:rPr>
          <w:rFonts w:hint="eastAsia" w:asciiTheme="majorEastAsia" w:hAnsiTheme="majorEastAsia" w:eastAsiaTheme="majorEastAsia" w:cstheme="majorEastAsia"/>
          <w:color w:val="000000" w:themeColor="text1"/>
          <w:sz w:val="24"/>
          <w:szCs w:val="24"/>
        </w:rPr>
        <w:t>10.1.2  技术文件，包括：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（1）响应服务技术资料表：按第五章“响应文件格式”提供的“响应服务技术资料表（格式）”的要求填写；</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color w:val="000000" w:themeColor="text1"/>
          <w:sz w:val="24"/>
          <w:szCs w:val="24"/>
        </w:rPr>
        <w:t>（2）其它：针对所提供服务的主要技术指标方案等的详细说明，等等。</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技术文件中的第（1）项必须提交；第（2）项如有请提交。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10.1.3  商务文件，包括：</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1</w:t>
      </w:r>
      <w:r>
        <w:rPr>
          <w:rFonts w:hint="eastAsia" w:hAnsi="宋体"/>
          <w:color w:val="000000" w:themeColor="text1"/>
          <w:sz w:val="24"/>
          <w:szCs w:val="24"/>
        </w:rPr>
        <w:t>）供应商资格文件：</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①信用声明函。按第五章“响应文件格式”提供的“信用声明函（格式）”的要求填写。对列入失信被执行人、重大税收违法案件当事人名单、政府采购严重违法失信行为记录名单的供应商，将被拒绝参与本项目政府采购活动。</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②根据本章第</w:t>
      </w:r>
      <w:r>
        <w:rPr>
          <w:rFonts w:hAnsi="宋体"/>
          <w:color w:val="000000" w:themeColor="text1"/>
          <w:sz w:val="24"/>
          <w:szCs w:val="24"/>
        </w:rPr>
        <w:t>3.2</w:t>
      </w:r>
      <w:r>
        <w:rPr>
          <w:rFonts w:hint="eastAsia" w:hAnsi="宋体"/>
          <w:color w:val="000000" w:themeColor="text1"/>
          <w:sz w:val="24"/>
          <w:szCs w:val="24"/>
        </w:rPr>
        <w:t>项规定的磋商供应商应具备的特定条件提供，包括营业执照副本内页或事业单位法人证书复印件（磋商供应商如为企业的，要求证件有效并清晰反映企业法人经营范围）和磋商供应商资格的其他证明文件复印件；</w:t>
      </w:r>
    </w:p>
    <w:p>
      <w:pPr>
        <w:pStyle w:val="9"/>
        <w:spacing w:line="440" w:lineRule="exact"/>
        <w:ind w:firstLine="420"/>
        <w:rPr>
          <w:rFonts w:hAnsi="宋体"/>
          <w:color w:val="000000" w:themeColor="text1"/>
          <w:sz w:val="24"/>
          <w:szCs w:val="24"/>
        </w:rPr>
      </w:pPr>
      <w:r>
        <w:rPr>
          <w:rFonts w:hint="eastAsia" w:asciiTheme="minorEastAsia" w:hAnsiTheme="minorEastAsia" w:eastAsiaTheme="minorEastAsia"/>
          <w:color w:val="000000" w:themeColor="text1"/>
          <w:sz w:val="24"/>
          <w:szCs w:val="24"/>
        </w:rPr>
        <w:t>③磋商供应商直接控股、管理关系信息表，按第五章“响应文件格式”提供的“磋商供应商直接控股、管理关系信息表（格式）”的要求填写；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2</w:t>
      </w:r>
      <w:r>
        <w:rPr>
          <w:rFonts w:hint="eastAsia" w:hAnsi="宋体"/>
          <w:color w:val="000000" w:themeColor="text1"/>
          <w:sz w:val="24"/>
          <w:szCs w:val="24"/>
        </w:rPr>
        <w:t>）法定代表人身份证明复印件：如使用第二代身份证应提交正、反面复印件，如法定代表人非中国国籍应提交护照复印件，要求证件有效并与营业执照中的法定代表人相符；</w:t>
      </w:r>
      <w:r>
        <w:rPr>
          <w:rFonts w:hAnsi="宋体"/>
          <w:color w:val="000000" w:themeColor="text1"/>
          <w:sz w:val="24"/>
          <w:szCs w:val="24"/>
        </w:rPr>
        <w:t xml:space="preserve"> </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3</w:t>
      </w:r>
      <w:r>
        <w:rPr>
          <w:rFonts w:hint="eastAsia" w:hAnsi="宋体"/>
          <w:color w:val="000000" w:themeColor="text1"/>
          <w:sz w:val="24"/>
          <w:szCs w:val="24"/>
        </w:rPr>
        <w:t>）售后服务承诺书：按第五章“响应文件格式”提供的“售后服务承诺书（格式）”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4</w:t>
      </w:r>
      <w:r>
        <w:rPr>
          <w:rFonts w:hint="eastAsia" w:hAnsi="宋体"/>
          <w:color w:val="000000" w:themeColor="text1"/>
          <w:sz w:val="24"/>
          <w:szCs w:val="24"/>
        </w:rPr>
        <w:t>）商务条款偏离表：按第五章“响应文件格式”提供的“商务条款偏离表（格式）”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5）磋商供应商半年内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供应商所在地社保部门出具的《依法缴纳或依法免缴社保费证明》（复印件，格式自拟）；</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（6）法定代表人授权委托书：按第五章“响应文件格式”提供的“法定代表人授权委托书（格式）”的要求填写；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（7）委托代理人身份证明复印件：如使用第二代身份证应提交正、反面复印件，如委托代理人非中国国籍应提交护照复印件，要求证件有效并与法定代表人授权委托书中的委托代理人相符；</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（8）财务会计报表复印件：磋商供应商近三年的经会计师事务所或审计机构审计的财务会计报表，包括资产负债表、现金流量表、利润表、财务情况说明书和审计报告；</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9）其它：磋商供应商通过国家或国际认证资格证书复印件、银行出具的磋商供应商资信证明或信用等级证明复印件、磋商供应商近三年同类服务的实际业绩证明（附成交通知书复印件或合同复印件）、服务近三年的质量获奖荣誉证书复印件、环保体系认证证书复印件、磋商供应商近三年发生的诉讼及仲裁情况说明（附法院或仲裁机构作出的判决、裁决等有关法律文书复印件），等等。</w:t>
      </w:r>
    </w:p>
    <w:p>
      <w:pPr>
        <w:pStyle w:val="9"/>
        <w:spacing w:line="440" w:lineRule="exact"/>
        <w:ind w:firstLine="420"/>
        <w:rPr>
          <w:rFonts w:hAnsi="宋体"/>
          <w:color w:val="000000" w:themeColor="text1"/>
          <w:sz w:val="24"/>
          <w:szCs w:val="24"/>
        </w:rPr>
      </w:pPr>
      <w:r>
        <w:rPr>
          <w:rFonts w:hint="eastAsia" w:hAnsi="宋体"/>
          <w:b/>
          <w:color w:val="000000" w:themeColor="text1"/>
          <w:sz w:val="24"/>
          <w:szCs w:val="24"/>
        </w:rPr>
        <w:t>商务文件中的第（1）～（5）项必须提交；第（6）、（7）项在委托代理时必须提交；第（8）（9）项如有请提交。</w:t>
      </w:r>
    </w:p>
    <w:p>
      <w:pPr>
        <w:pStyle w:val="9"/>
        <w:spacing w:line="440" w:lineRule="exact"/>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10.2  磋商供应商应按上述顺序将首次报价文件、技术文件和商务文件</w:t>
      </w:r>
      <w:r>
        <w:rPr>
          <w:rFonts w:hint="eastAsia" w:asciiTheme="majorEastAsia" w:hAnsiTheme="majorEastAsia" w:eastAsiaTheme="majorEastAsia" w:cstheme="majorEastAsia"/>
          <w:b/>
          <w:color w:val="000000" w:themeColor="text1"/>
          <w:sz w:val="24"/>
          <w:szCs w:val="24"/>
        </w:rPr>
        <w:t>分别装订成册</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b/>
          <w:color w:val="000000" w:themeColor="text1"/>
          <w:sz w:val="24"/>
          <w:szCs w:val="24"/>
        </w:rPr>
        <w:t>特别注意响应报价不得出现在技术文件和商务文件中。</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响应文件报价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磋商供应商应以人民币报价。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磋商供应商可就第二章“服务需求一览表”中的</w:t>
      </w:r>
      <w:r>
        <w:rPr>
          <w:rFonts w:hint="eastAsia" w:asciiTheme="majorEastAsia" w:hAnsiTheme="majorEastAsia" w:eastAsiaTheme="majorEastAsia" w:cstheme="majorEastAsia"/>
          <w:b/>
          <w:color w:val="000000" w:themeColor="text1"/>
          <w:sz w:val="24"/>
          <w:szCs w:val="24"/>
        </w:rPr>
        <w:t>某一个分项内容报出完整且唯一报价，也可就某几个或所有分项内容分别报出完整且唯一报价。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响应报价为在采购人指定地点提交服务成果所需的全部费用，其组成部分详见第二章“服务需求一览表”。采购人不再向成交供应商支付其响应报价之外的任何费用。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11.4  本项目的采购代理服务费按物价部门核准的收费标准执行，见磋商供应商须知前附表。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11.5  不论磋商结果如何，磋商供应商均应自行承担与编制和提交响应文件有关的全部费用。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响应有效期</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12.1  在磋商供应商须知前附表规定的响应有效期内，磋商供应商不得要求撤销或修改其响应文件。</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12.2  在特殊情况下，采购人或采购代理机构可与磋商供应商协商延长响应有效期，这种要求与答复均应使用书面形式。磋商供应商同意延长的，应相应延长其磋商有效期，但不得要求或被允许修改或撤销其响应文件；磋商供应商拒绝延长的，其响应失效。</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13.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保证金</w:t>
      </w:r>
    </w:p>
    <w:p>
      <w:pPr>
        <w:pStyle w:val="9"/>
        <w:spacing w:line="500" w:lineRule="exact"/>
        <w:ind w:left="2" w:leftChars="1" w:firstLine="477" w:firstLineChars="199"/>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本项目不收取磋商保证金。</w:t>
      </w:r>
    </w:p>
    <w:p>
      <w:pPr>
        <w:pStyle w:val="16"/>
        <w:outlineLvl w:val="1"/>
        <w:rPr>
          <w:rFonts w:asciiTheme="majorEastAsia" w:hAnsiTheme="majorEastAsia" w:eastAsiaTheme="majorEastAsia" w:cstheme="majorEastAsia"/>
          <w:color w:val="000000" w:themeColor="text1"/>
        </w:rPr>
      </w:pPr>
      <w:bookmarkStart w:id="71" w:name="_Toc213326419"/>
      <w:bookmarkStart w:id="72" w:name="_Toc495334413"/>
      <w:bookmarkStart w:id="73" w:name="_Toc23921"/>
      <w:bookmarkStart w:id="74" w:name="_Toc31394"/>
      <w:bookmarkStart w:id="75" w:name="_Toc16227"/>
      <w:bookmarkStart w:id="76" w:name="_Toc213326420"/>
      <w:r>
        <w:rPr>
          <w:rFonts w:hint="eastAsia" w:asciiTheme="majorEastAsia" w:hAnsiTheme="majorEastAsia" w:eastAsiaTheme="majorEastAsia" w:cstheme="majorEastAsia"/>
          <w:color w:val="000000" w:themeColor="text1"/>
        </w:rPr>
        <w:t xml:space="preserve">四   </w:t>
      </w:r>
      <w:bookmarkEnd w:id="71"/>
      <w:r>
        <w:rPr>
          <w:rFonts w:hint="eastAsia" w:asciiTheme="majorEastAsia" w:hAnsiTheme="majorEastAsia" w:eastAsiaTheme="majorEastAsia" w:cstheme="majorEastAsia"/>
          <w:color w:val="000000" w:themeColor="text1"/>
        </w:rPr>
        <w:t>磋商响应</w:t>
      </w:r>
      <w:bookmarkEnd w:id="72"/>
      <w:bookmarkEnd w:id="73"/>
      <w:bookmarkEnd w:id="74"/>
      <w:bookmarkEnd w:id="75"/>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14.  </w:t>
      </w:r>
      <w:r>
        <w:rPr>
          <w:rFonts w:hint="eastAsia" w:asciiTheme="majorEastAsia" w:hAnsiTheme="majorEastAsia" w:eastAsiaTheme="majorEastAsia" w:cstheme="majorEastAsia"/>
          <w:color w:val="000000" w:themeColor="text1"/>
          <w:sz w:val="24"/>
          <w:szCs w:val="24"/>
        </w:rPr>
        <w:t>响应</w:t>
      </w:r>
      <w:r>
        <w:rPr>
          <w:rFonts w:hint="eastAsia" w:asciiTheme="majorEastAsia" w:hAnsiTheme="majorEastAsia" w:eastAsiaTheme="majorEastAsia" w:cstheme="majorEastAsia"/>
          <w:bCs/>
          <w:color w:val="000000" w:themeColor="text1"/>
          <w:sz w:val="24"/>
          <w:szCs w:val="24"/>
        </w:rPr>
        <w:t>文件的密封</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14.1  磋商供应商应将响应文件进行密封包装，并在包装面上加盖单位公章。</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响应文件的提交</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15.1 磋商供应商提交响应文件截止时间：见磋商供应商须知前附表。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15.2 磋商供应商提交响应文件地点：见磋商供应商须知前附表。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15.3 磋商供应商提交响应文件时，应自行检查其响应文件的密封性。</w:t>
      </w:r>
    </w:p>
    <w:p>
      <w:pPr>
        <w:pStyle w:val="9"/>
        <w:spacing w:line="440" w:lineRule="exact"/>
        <w:jc w:val="center"/>
        <w:rPr>
          <w:rFonts w:asciiTheme="majorEastAsia" w:hAnsiTheme="majorEastAsia" w:eastAsiaTheme="majorEastAsia" w:cstheme="majorEastAsia"/>
          <w:color w:val="000000" w:themeColor="text1"/>
        </w:rPr>
      </w:pPr>
    </w:p>
    <w:bookmarkEnd w:id="76"/>
    <w:p>
      <w:pPr>
        <w:pStyle w:val="16"/>
        <w:outlineLvl w:val="1"/>
        <w:rPr>
          <w:rFonts w:asciiTheme="majorEastAsia" w:hAnsiTheme="majorEastAsia" w:eastAsiaTheme="majorEastAsia" w:cstheme="majorEastAsia"/>
          <w:color w:val="000000" w:themeColor="text1"/>
        </w:rPr>
      </w:pPr>
      <w:bookmarkStart w:id="77" w:name="_Toc22170"/>
      <w:bookmarkStart w:id="78" w:name="_Toc7972"/>
      <w:bookmarkStart w:id="79" w:name="_Toc21033"/>
      <w:bookmarkStart w:id="80" w:name="_Toc495334414"/>
      <w:r>
        <w:rPr>
          <w:rFonts w:hint="eastAsia" w:asciiTheme="majorEastAsia" w:hAnsiTheme="majorEastAsia" w:eastAsiaTheme="majorEastAsia" w:cstheme="majorEastAsia"/>
          <w:color w:val="000000" w:themeColor="text1"/>
        </w:rPr>
        <w:t>五   评审与磋商</w:t>
      </w:r>
      <w:bookmarkEnd w:id="77"/>
      <w:bookmarkEnd w:id="78"/>
      <w:bookmarkEnd w:id="79"/>
      <w:bookmarkEnd w:id="80"/>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16.  </w:t>
      </w:r>
      <w:r>
        <w:rPr>
          <w:rFonts w:hint="eastAsia" w:asciiTheme="majorEastAsia" w:hAnsiTheme="majorEastAsia" w:eastAsiaTheme="majorEastAsia" w:cstheme="majorEastAsia"/>
          <w:color w:val="000000" w:themeColor="text1"/>
          <w:sz w:val="24"/>
          <w:szCs w:val="24"/>
        </w:rPr>
        <w:t>响应文件</w:t>
      </w:r>
      <w:r>
        <w:rPr>
          <w:rFonts w:hint="eastAsia" w:asciiTheme="majorEastAsia" w:hAnsiTheme="majorEastAsia" w:eastAsiaTheme="majorEastAsia" w:cstheme="majorEastAsia"/>
          <w:bCs/>
          <w:color w:val="000000" w:themeColor="text1"/>
          <w:sz w:val="24"/>
          <w:szCs w:val="24"/>
        </w:rPr>
        <w:t>截止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  磋商供应商的法定代表人或其委托代理人应在提交响应文件截止时间前到达响应文件递交响应文件。如未按时递交，由此产生的后果由磋商供应商自行负责。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16.1.1 截标后由采购人或采购代理机构对磋商供应商进行信用查询。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查询渠道：“信用中国”网站（www.creditchina.gov.cn）、中国政府采购网（www.ccgp.gov.cn）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查询截止时点：响应截止时间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查询记录和证据留存方式：在查询网站中直接打印查询记录，打印材料作为评审资料保存。</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17.  评审与磋商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17.1  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17.2  评审原则：评审活动遵循公平、公正、科学和择优的原则。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17.3  评审方法：磋商小组按照磋商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  </w:t>
      </w:r>
      <w:r>
        <w:rPr>
          <w:rFonts w:hint="eastAsia" w:asciiTheme="majorEastAsia" w:hAnsiTheme="majorEastAsia" w:eastAsiaTheme="majorEastAsia" w:cstheme="majorEastAsia"/>
          <w:bCs/>
          <w:color w:val="000000" w:themeColor="text1"/>
          <w:sz w:val="24"/>
          <w:szCs w:val="24"/>
        </w:rPr>
        <w:t>评审程序：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17.4.1  </w:t>
      </w:r>
      <w:r>
        <w:rPr>
          <w:rFonts w:hint="eastAsia" w:asciiTheme="majorEastAsia" w:hAnsiTheme="majorEastAsia" w:eastAsiaTheme="majorEastAsia" w:cstheme="majorEastAsia"/>
          <w:bCs/>
          <w:color w:val="000000" w:themeColor="text1"/>
          <w:sz w:val="24"/>
          <w:szCs w:val="24"/>
        </w:rPr>
        <w:t>采购代理机构项目负责人宣读评审会场纪律要求，集中管理通讯工具，询问在场人员是否申请回避。</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17.4.2  </w:t>
      </w:r>
      <w:r>
        <w:rPr>
          <w:rFonts w:hint="eastAsia" w:asciiTheme="majorEastAsia" w:hAnsiTheme="majorEastAsia" w:eastAsiaTheme="majorEastAsia" w:cstheme="majorEastAsia"/>
          <w:bCs/>
          <w:color w:val="000000" w:themeColor="text1"/>
          <w:sz w:val="24"/>
          <w:szCs w:val="24"/>
        </w:rPr>
        <w:t>采购代理机构项目负责人介绍项目概况及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小组组成情况（但不得发表影响评审的倾向性、歧视性言论），推选</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小组组长（原则上采购人不得担任</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17.4.3  </w:t>
      </w:r>
      <w:r>
        <w:rPr>
          <w:rFonts w:hint="eastAsia" w:asciiTheme="majorEastAsia" w:hAnsiTheme="majorEastAsia" w:eastAsiaTheme="majorEastAsia" w:cstheme="majorEastAsia"/>
          <w:color w:val="000000" w:themeColor="text1"/>
          <w:sz w:val="24"/>
          <w:szCs w:val="24"/>
        </w:rPr>
        <w:t>磋商小组在响应文件拆封前对响应文件做密封性检查，并签字确认。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17.4.4  响应文件初审：初审分为资格性检查和符合性检查。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（1）资格性检查：依据法律法规和采购文件的规定，对响应文件中的资格证明等进行审查，以确定磋商供应商是否具备响应的资格。</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（2）符合性检查：依据采购文件的规定，从响应文件的有效性、完整性和对响应文件的响应程度进行审查，以确定是否对响应文件的实质性要求和条件作出响应。</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(1)有下列情形之一的视为磋商供应商相互串通，响应文件将被视为无效。</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①不同磋商供应商的响应文件由同一单位或者个人编制；</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2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②</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不同磋商供应商委托同一单位或者个人办理磋商事宜；</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3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③</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不同的磋商供应商的响应文件载明的项目管理员为同一个人；</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4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④</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不同磋商供应商的响应文件异常一致或报价呈规律性差异；</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5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⑤</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不同磋商供应商的响应文件相互混装；</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（2）关联供应商不得参加同一合同项下政府采购活动，否则磋商文件将被视为无效</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①单位负责人为同一人或者存在直接控股、管理关系的不同的供应商，不得参加同一合同项下的政府采购活动;</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②生产厂商授权给供应商后自己不得参加同一合同项下的政府采购活动；生产厂商对同一品牌同一型号的货物，仅能委托一个代理商参加响应。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17.4.5  澄清有关问题。对响应文件中含义不明确、同类问题表述不一致或者有明显文字和计算错误的内容，磋商小组可以书面形式（应当由磋商小组专家签字）要求磋商供应商作出必要的澄清、说明或者纠正。磋商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17.4.6  制定磋商文件。磋商小组根据采购项目以及磋商供应商的实际情况制定磋商文件。磋商文件应当明确磋商程序、磋商内容、合同草案的条款以及评定成交的标准等事项。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17.4.7  确定邀请参加磋商的供应商名单。磋商小组将所有通过资格性审查的供应商确定为邀请参加磋商的供应商，并向其提供磋商文件。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17.4.8  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（1）磋商小组将在磋商供应商须知前附表规定的地点与各磋商供应商进行每轮磋商。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（2）磋商内容包括：响应报价、技术参数要求和商务条款、合同草案条款，其中磋商供应商资格条件除外。</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磋商小组所有成员集中与单一供应商分别进行磋商。在磋商中，磋商的任何一方不得透露与磋商有关的其他供应商的技术资料、价格和其他信息。对磋商文件做出的实质性变动（采购需求中的技术、服务要求以及合同草案条款）是磋商文件的有效组成部分，磋商小组应当及时以书面形式通知所有参加磋商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法定代表人或其委托代理人以及技术人员必须参加每轮磋商。磋商供应商的法定代表人凭法定代表人资格证明书和本人身份证原件参加磋商，其委托代理人凭授权委托书和本人身份证原件参加磋商。磋商供应商未按时到达评审会场参加磋商或未能出示上述证件的，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磋商小组与磋商供应商进行磋商的内容，磋商供应商除当场答复外，还应作出书面应答。书面应答文件必须由磋商供应商的法定代表人或其委托代理人签字（签章）或盖公章，按要求进行封装并在磋商文件规定的时间前提交至磋商小组，否则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（6）未实质性响应磋商文件的响应文件按无效响应处理，磋商小组应当告知提交响应文件的供应商。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磋商小组与磋商供应商可进行多轮磋商，磋商供应商的最后一次应答文件及最终报价应单独封装提交至磋商小组。在对商务、技术及其他内容的比较和评价结束前，磋商小组不能接触、比较和评价响应报价。最终报价在磋商小组完成商务、技术及其他内容的评审后才能拆封。</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rPr>
        <w:t>（8）磋商供应商的应答文件经磋商小组代表确认后，变动竞争性磋商文件或响应文件中相应</w:t>
      </w:r>
      <w:r>
        <w:rPr>
          <w:rFonts w:hint="eastAsia" w:asciiTheme="majorEastAsia" w:hAnsiTheme="majorEastAsia" w:eastAsiaTheme="majorEastAsia" w:cstheme="majorEastAsia"/>
          <w:sz w:val="24"/>
          <w:szCs w:val="24"/>
        </w:rPr>
        <w:t>的内容，并构成响应文件的组成部分和评审的依据。如成交，则作为合同的组成部分。</w:t>
      </w:r>
    </w:p>
    <w:p>
      <w:pPr>
        <w:pStyle w:val="9"/>
        <w:spacing w:line="440" w:lineRule="exact"/>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17.4.9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供应商以低于成本报价响应，其响应无效。</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17.4.10  按顺序排列成交候选供应商，并编写评审报告。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17.4.11  采购代理机构对评审过程和评分、评审结论进行核对和复核，如有错漏，请磋商小组进行校正，按校正后的结果确定成交供应商。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18.  响应文件的修正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18.1  如果出现计算或表达上的错误，修正的原则如下：</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（1）响应文件中响应函内容与响应报价表内容不一致的，以响应报价表为准；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（2）响应文件的大写金额和小写金额不一致的，以大写金额为准；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（3）总价金额与按单价汇总金额不一致的，以单价金额计算结果为准；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（4）单价金额小数点有明显错位的，应以总价为准，并修改单价。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18.2  按上述修正原则修正后的响应报价经磋商供应商书面确认后对磋商供应商具有约束力。如果磋商供应商不接受修正后的响应报价，则其响应文件无效。</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19.  拒绝接收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19.1  磋商供应商未在本章第15.1项规定的时间之前将响应文件送达至本章第15.2项指定地点的，采购代理机构应当拒绝接收该磋商供应商的响应文件。</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20. 无效响应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★属下列情形之一的，供应商的响应无效：</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（1）供应商不具备本章第3项规定的供应商资格要求的；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（2）响应文件未按本章第8.8项的规定标识或未按规定的正、副本数量递交的； </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（3）响应文件未按本章第10.1项的规定编写和提交的（包括缺少应提交的文件或格式不符合第五章“响应文件格式”的要求）；</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（4）响应文件不符合本章第10.2项规定的；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（5）响应报价不符合本章第11项规定的或超过采购预算的</w:t>
      </w:r>
      <w:r>
        <w:rPr>
          <w:rFonts w:cs="宋体" w:asciiTheme="majorEastAsia" w:hAnsiTheme="majorEastAsia" w:eastAsiaTheme="majorEastAsia"/>
          <w:sz w:val="24"/>
          <w:szCs w:val="24"/>
        </w:rPr>
        <w:t>或超过最高限价的</w:t>
      </w:r>
      <w:r>
        <w:rPr>
          <w:rFonts w:hint="eastAsia" w:asciiTheme="majorEastAsia" w:hAnsiTheme="majorEastAsia" w:eastAsiaTheme="majorEastAsia" w:cstheme="majorEastAsia"/>
          <w:color w:val="000000" w:themeColor="text1"/>
          <w:sz w:val="24"/>
          <w:szCs w:val="24"/>
        </w:rPr>
        <w:t>或磋商小组认定低于成本报价的；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（6）响应文件不符合本章第14项规定的；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（7）供应商出现本章第17.4.4项所述的响应文件将被视为无效的情形的；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（8）供应商出现本章第18.2项所述情形的；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（9）响应文件未对竞争性磋商文件提出的要求和条件作出实质性响应的；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（10）磋商小组认为响应文件存在严重负偏离的；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（11）响应文件附有采购需求以外的条件使磋商小组认为不能接受的；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（12）供应商在响应过程中提供虚假材料的。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（13）响应文件含有违反国家法律、法规的内容。</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供应商响应无效的，磋商小组应当告知有关供应商。 </w:t>
      </w:r>
    </w:p>
    <w:p>
      <w:pPr>
        <w:pStyle w:val="9"/>
        <w:spacing w:line="440" w:lineRule="exact"/>
        <w:ind w:firstLine="420"/>
        <w:rPr>
          <w:rFonts w:asciiTheme="majorEastAsia" w:hAnsiTheme="majorEastAsia" w:eastAsiaTheme="majorEastAsia" w:cstheme="majorEastAsia"/>
          <w:color w:val="000000" w:themeColor="text1"/>
          <w:sz w:val="24"/>
          <w:szCs w:val="24"/>
        </w:rPr>
      </w:pPr>
    </w:p>
    <w:p>
      <w:pPr>
        <w:pStyle w:val="9"/>
        <w:spacing w:line="440" w:lineRule="exact"/>
        <w:rPr>
          <w:rFonts w:asciiTheme="majorEastAsia" w:hAnsiTheme="majorEastAsia" w:eastAsiaTheme="majorEastAsia" w:cstheme="majorEastAsia"/>
          <w:color w:val="000000" w:themeColor="text1"/>
          <w:sz w:val="24"/>
          <w:szCs w:val="24"/>
        </w:rPr>
      </w:pPr>
      <w:bookmarkStart w:id="81" w:name="_Toc213326421"/>
      <w:bookmarkStart w:id="82" w:name="_Toc495334415"/>
      <w:r>
        <w:rPr>
          <w:rFonts w:hint="eastAsia" w:asciiTheme="majorEastAsia" w:hAnsiTheme="majorEastAsia" w:eastAsiaTheme="majorEastAsia" w:cstheme="majorEastAsia"/>
          <w:color w:val="000000" w:themeColor="text1"/>
          <w:sz w:val="24"/>
          <w:szCs w:val="24"/>
        </w:rPr>
        <w:t>21. 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21.1  在采购过程中，出现下列情形之一的，予以废标：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（1）采用竞争性磋商采购方式的政府购买服务项目或政府和社会资本合作项目对竞争性磋商文件作实质响应的供应商不足2家的；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（2）采用竞争性磋商采购方式的市场竞争不充分的科研项目或需要扶持科技成果转化项目对竞争性磋商文件作实质响应的供应商不足3家的；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（3）出现影响采购公正的违法、违规行为的；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（4）磋商供应商的报价均超过了采购预算，采购人不能支付的；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（5）因重大变故，采购任务取消的。</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21.2  废标后，采购代理机构将在本章第2项规定的政府采购信息发布媒体上公告废标理由，不再另行通知。</w:t>
      </w:r>
    </w:p>
    <w:p>
      <w:pPr>
        <w:pStyle w:val="16"/>
        <w:outlineLvl w:val="1"/>
        <w:rPr>
          <w:rFonts w:asciiTheme="majorEastAsia" w:hAnsiTheme="majorEastAsia" w:eastAsiaTheme="majorEastAsia" w:cstheme="majorEastAsia"/>
          <w:color w:val="000000" w:themeColor="text1"/>
          <w:sz w:val="30"/>
          <w:szCs w:val="30"/>
        </w:rPr>
      </w:pPr>
      <w:bookmarkStart w:id="83" w:name="_Toc26939"/>
      <w:bookmarkStart w:id="84" w:name="_Toc15380"/>
      <w:bookmarkStart w:id="85" w:name="_Toc32230"/>
      <w:r>
        <w:rPr>
          <w:rFonts w:hint="eastAsia" w:asciiTheme="majorEastAsia" w:hAnsiTheme="majorEastAsia" w:eastAsiaTheme="majorEastAsia" w:cstheme="majorEastAsia"/>
          <w:color w:val="000000" w:themeColor="text1"/>
        </w:rPr>
        <w:t>六   合同授予</w:t>
      </w:r>
      <w:bookmarkEnd w:id="81"/>
      <w:bookmarkEnd w:id="82"/>
      <w:bookmarkEnd w:id="83"/>
      <w:bookmarkEnd w:id="84"/>
      <w:bookmarkEnd w:id="85"/>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22.  成交供应商的确定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磋商小组按第三章“评审方法”的规定排列成交候选供应商顺序，并依照次序确定成交方。</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23.  成交公告及成交通知书</w:t>
      </w:r>
    </w:p>
    <w:p>
      <w:pPr>
        <w:pStyle w:val="9"/>
        <w:spacing w:line="440" w:lineRule="exact"/>
        <w:ind w:firstLine="36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szCs w:val="24"/>
        </w:rPr>
        <w:t>23.1采购代理机构应当自成交人确认之日起2个工作日内，在</w:t>
      </w:r>
      <w:r>
        <w:rPr>
          <w:rFonts w:hint="eastAsia" w:asciiTheme="majorEastAsia" w:hAnsiTheme="majorEastAsia" w:eastAsiaTheme="majorEastAsia" w:cstheme="majorEastAsia"/>
          <w:color w:val="000000" w:themeColor="text1"/>
          <w:sz w:val="24"/>
        </w:rPr>
        <w:t>本章第2.1项规定的政府采购信息发布媒体上公示成交结果，成交公告期限为1个工作日，在公告成交结果的同时，采购代理机构应当向成交人发出成交通知书。</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23.2  成交通知书对采购人和成交供应商具有同等法律效力。成交通知书发出后，采购人改变成交结果，或者成交供应商放弃成交，应当承担相应的法律责任。</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24.  响应文件的退回</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24.1  采购人及采购代理机构无义务向未成交供应商退回响应文件。</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25.   签订合同</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25.1  采购人和成交供应商应当在第二章“服务需求一览表”中商务条款要求载明的合同签订期内，根据竞争性磋商文件、成交供应商的响应文件及有关澄清承诺书的要求按第六章“合同条款及格式”订立书面合同。</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25.2  发出成交通知书后，采购人无正当理由拒签合同的，给成交供应商造成损失的，应当赔偿损失。</w:t>
      </w:r>
    </w:p>
    <w:p>
      <w:pPr>
        <w:widowControl/>
        <w:spacing w:before="100" w:beforeAutospacing="1" w:after="100" w:afterAutospacing="1" w:line="450" w:lineRule="atLeast"/>
        <w:ind w:firstLine="480" w:firstLineChars="200"/>
        <w:jc w:val="lef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25.3  成交供应商拒绝与采购人签订合同的，</w:t>
      </w:r>
      <w:r>
        <w:rPr>
          <w:rFonts w:hint="eastAsia" w:asciiTheme="majorEastAsia" w:hAnsiTheme="majorEastAsia" w:eastAsiaTheme="majorEastAsia" w:cstheme="majorEastAsia"/>
          <w:color w:val="000000" w:themeColor="text1"/>
          <w:sz w:val="24"/>
        </w:rPr>
        <w:t>经政府采购监督管理部门同意，</w:t>
      </w:r>
      <w:r>
        <w:rPr>
          <w:rFonts w:hint="eastAsia" w:asciiTheme="majorEastAsia" w:hAnsiTheme="majorEastAsia" w:eastAsiaTheme="majorEastAsia" w:cstheme="majorEastAsia"/>
          <w:color w:val="000000" w:themeColor="text1"/>
          <w:kern w:val="0"/>
          <w:sz w:val="24"/>
        </w:rPr>
        <w:t>采购人可以按照评审报告推荐的成交候选人名单排序，确定下一候选人为成交供应商，也可以重新开展政府采购活动。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25.4  成交供应商因不可抗力或者自身原因不能履行政府采购合同的，采购人可以与排位在成交供应商之后第一位的成交候选供应商签订政府采购合同，以此类推。</w:t>
      </w:r>
    </w:p>
    <w:p>
      <w:pPr>
        <w:pStyle w:val="9"/>
        <w:spacing w:line="440" w:lineRule="exact"/>
        <w:rPr>
          <w:rFonts w:asciiTheme="majorEastAsia" w:hAnsiTheme="majorEastAsia" w:eastAsiaTheme="majorEastAsia" w:cstheme="majorEastAsia"/>
          <w:bCs/>
          <w:color w:val="000000" w:themeColor="text1"/>
          <w:sz w:val="24"/>
          <w:szCs w:val="24"/>
        </w:rPr>
      </w:pPr>
      <w:bookmarkStart w:id="86" w:name="_Toc213326423"/>
      <w:bookmarkStart w:id="87" w:name="_Toc213325924"/>
      <w:bookmarkStart w:id="88" w:name="_Toc213206175"/>
      <w:r>
        <w:rPr>
          <w:rFonts w:hint="eastAsia" w:asciiTheme="majorEastAsia" w:hAnsiTheme="majorEastAsia" w:eastAsiaTheme="majorEastAsia" w:cstheme="majorEastAsia"/>
          <w:bCs/>
          <w:color w:val="000000" w:themeColor="text1"/>
          <w:sz w:val="24"/>
          <w:szCs w:val="24"/>
        </w:rPr>
        <w:t>26.  履约保证金及质量保证金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bookmarkStart w:id="89" w:name="_Toc495334416"/>
      <w:bookmarkStart w:id="90" w:name="_Toc213326422"/>
      <w:r>
        <w:rPr>
          <w:rFonts w:hint="eastAsia" w:asciiTheme="majorEastAsia" w:hAnsiTheme="majorEastAsia" w:eastAsiaTheme="majorEastAsia" w:cstheme="majorEastAsia"/>
          <w:color w:val="000000" w:themeColor="text1"/>
          <w:sz w:val="24"/>
          <w:szCs w:val="24"/>
        </w:rPr>
        <w:t>本项目不收取履约保证金及质量保证金</w:t>
      </w:r>
      <w:r>
        <w:rPr>
          <w:rFonts w:hint="eastAsia" w:asciiTheme="majorEastAsia" w:hAnsiTheme="majorEastAsia" w:eastAsiaTheme="majorEastAsia" w:cstheme="majorEastAsia"/>
          <w:color w:val="000000" w:themeColor="text1"/>
          <w:szCs w:val="28"/>
        </w:rPr>
        <w:t>。</w:t>
      </w:r>
    </w:p>
    <w:p>
      <w:pPr>
        <w:pStyle w:val="9"/>
        <w:spacing w:line="440" w:lineRule="exact"/>
        <w:jc w:val="center"/>
        <w:rPr>
          <w:rFonts w:asciiTheme="majorEastAsia" w:hAnsiTheme="majorEastAsia" w:eastAsiaTheme="majorEastAsia" w:cstheme="majorEastAsia"/>
          <w:color w:val="000000" w:themeColor="text1"/>
        </w:rPr>
      </w:pPr>
    </w:p>
    <w:p>
      <w:pPr>
        <w:pStyle w:val="16"/>
        <w:outlineLvl w:val="1"/>
        <w:rPr>
          <w:rFonts w:asciiTheme="majorEastAsia" w:hAnsiTheme="majorEastAsia" w:eastAsiaTheme="majorEastAsia" w:cstheme="majorEastAsia"/>
          <w:color w:val="000000" w:themeColor="text1"/>
        </w:rPr>
      </w:pPr>
      <w:bookmarkStart w:id="91" w:name="_Toc9686"/>
      <w:bookmarkStart w:id="92" w:name="_Toc8678"/>
      <w:bookmarkStart w:id="93" w:name="_Toc24434"/>
      <w:r>
        <w:rPr>
          <w:rFonts w:hint="eastAsia" w:asciiTheme="majorEastAsia" w:hAnsiTheme="majorEastAsia" w:eastAsiaTheme="majorEastAsia" w:cstheme="majorEastAsia"/>
          <w:color w:val="000000" w:themeColor="text1"/>
        </w:rPr>
        <w:t>七   其他事项</w:t>
      </w:r>
      <w:bookmarkEnd w:id="89"/>
      <w:bookmarkEnd w:id="90"/>
      <w:bookmarkEnd w:id="91"/>
      <w:bookmarkEnd w:id="92"/>
      <w:bookmarkEnd w:id="93"/>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27.  解释权</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27.1  本竞争性磋商采购文件根据《中华人民共和国政府采购法》、《中华人民共和国政府采购法实施条例》、《政府采购竞争性磋商采购方式管理暂行办法》（财库〔2014〕214号）及相关法律法规编制，解释权属采购代理机构。</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28.  其他</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只要磋商供应商参与响应并递交响应文件即视为已经理解并毫无保留地同意了本竞争性磋商文件的所有条文。</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29.   响应文件的退回</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所有响应文件均不予退回。</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30.  需要补充的其他内容</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需要补充的其他内容：见磋商供应商须知前附表。</w:t>
      </w:r>
    </w:p>
    <w:p>
      <w:pPr>
        <w:pStyle w:val="16"/>
        <w:rPr>
          <w:rFonts w:ascii="宋体"/>
          <w:color w:val="000000" w:themeColor="text1"/>
        </w:rPr>
      </w:pPr>
      <w:r>
        <w:rPr>
          <w:rFonts w:hint="eastAsia" w:asciiTheme="majorEastAsia" w:hAnsiTheme="majorEastAsia" w:eastAsiaTheme="majorEastAsia" w:cstheme="majorEastAsia"/>
          <w:color w:val="000000" w:themeColor="text1"/>
        </w:rPr>
        <w:br w:type="page"/>
      </w:r>
      <w:bookmarkEnd w:id="86"/>
      <w:bookmarkEnd w:id="87"/>
      <w:bookmarkEnd w:id="88"/>
      <w:bookmarkStart w:id="94" w:name="_Toc14764"/>
      <w:bookmarkStart w:id="95" w:name="_Toc18164"/>
      <w:bookmarkStart w:id="96" w:name="_Toc6584"/>
      <w:bookmarkStart w:id="97" w:name="_Toc18802"/>
      <w:r>
        <w:rPr>
          <w:rFonts w:hint="eastAsia" w:ascii="宋体" w:hAnsi="宋体"/>
          <w:color w:val="000000" w:themeColor="text1"/>
        </w:rPr>
        <w:t>第五章</w:t>
      </w:r>
      <w:r>
        <w:rPr>
          <w:rFonts w:ascii="宋体" w:hAnsi="宋体"/>
          <w:color w:val="000000" w:themeColor="text1"/>
        </w:rPr>
        <w:t xml:space="preserve">  </w:t>
      </w:r>
      <w:r>
        <w:rPr>
          <w:rFonts w:hint="eastAsia" w:ascii="宋体" w:hAnsi="宋体"/>
          <w:color w:val="000000" w:themeColor="text1"/>
        </w:rPr>
        <w:t>响应文件格式</w:t>
      </w:r>
      <w:bookmarkEnd w:id="94"/>
      <w:bookmarkEnd w:id="95"/>
      <w:bookmarkEnd w:id="96"/>
    </w:p>
    <w:p>
      <w:pPr>
        <w:pStyle w:val="9"/>
        <w:spacing w:line="500" w:lineRule="exact"/>
        <w:outlineLvl w:val="1"/>
        <w:rPr>
          <w:rFonts w:hAnsi="宋体"/>
          <w:b/>
          <w:color w:val="000000" w:themeColor="text1"/>
        </w:rPr>
      </w:pPr>
      <w:bookmarkStart w:id="98" w:name="_Toc30378"/>
      <w:bookmarkStart w:id="99" w:name="_Toc12985"/>
      <w:bookmarkStart w:id="100" w:name="_Toc26261"/>
      <w:bookmarkStart w:id="101" w:name="_Toc30227"/>
      <w:r>
        <w:rPr>
          <w:rFonts w:hint="eastAsia" w:hAnsi="宋体"/>
          <w:b/>
          <w:color w:val="000000" w:themeColor="text1"/>
        </w:rPr>
        <w:t>格式</w:t>
      </w:r>
      <w:r>
        <w:rPr>
          <w:rFonts w:hAnsi="宋体"/>
          <w:b/>
          <w:color w:val="000000" w:themeColor="text1"/>
        </w:rPr>
        <w:t>1</w:t>
      </w:r>
      <w:r>
        <w:rPr>
          <w:rFonts w:hint="eastAsia" w:hAnsi="宋体"/>
          <w:b/>
          <w:color w:val="000000" w:themeColor="text1"/>
        </w:rPr>
        <w:t>：</w:t>
      </w:r>
      <w:bookmarkEnd w:id="98"/>
      <w:bookmarkEnd w:id="99"/>
      <w:bookmarkEnd w:id="100"/>
      <w:bookmarkEnd w:id="101"/>
    </w:p>
    <w:p>
      <w:pPr>
        <w:pStyle w:val="9"/>
        <w:spacing w:line="500" w:lineRule="exact"/>
        <w:jc w:val="center"/>
        <w:rPr>
          <w:rFonts w:hAnsi="宋体"/>
          <w:b/>
          <w:bCs/>
          <w:color w:val="000000" w:themeColor="text1"/>
          <w:sz w:val="30"/>
          <w:szCs w:val="30"/>
        </w:rPr>
      </w:pPr>
      <w:r>
        <w:rPr>
          <w:rFonts w:hint="eastAsia" w:hAnsi="宋体"/>
          <w:b/>
          <w:bCs/>
          <w:color w:val="000000" w:themeColor="text1"/>
          <w:sz w:val="30"/>
          <w:szCs w:val="30"/>
        </w:rPr>
        <w:t>响应函（格式）</w:t>
      </w:r>
    </w:p>
    <w:p>
      <w:pPr>
        <w:pStyle w:val="9"/>
        <w:spacing w:line="500" w:lineRule="exact"/>
        <w:rPr>
          <w:rFonts w:hAnsi="宋体"/>
          <w:color w:val="000000" w:themeColor="text1"/>
          <w:sz w:val="32"/>
        </w:rPr>
      </w:pPr>
    </w:p>
    <w:p>
      <w:pPr>
        <w:pStyle w:val="9"/>
        <w:spacing w:line="440" w:lineRule="exact"/>
        <w:rPr>
          <w:rFonts w:hAnsi="宋体"/>
          <w:color w:val="000000" w:themeColor="text1"/>
          <w:sz w:val="24"/>
          <w:szCs w:val="24"/>
        </w:rPr>
      </w:pPr>
      <w:r>
        <w:rPr>
          <w:rFonts w:hint="eastAsia" w:hAnsi="宋体"/>
          <w:color w:val="000000" w:themeColor="text1"/>
          <w:sz w:val="24"/>
          <w:szCs w:val="24"/>
        </w:rPr>
        <w:t>致：</w:t>
      </w:r>
      <w:r>
        <w:rPr>
          <w:rFonts w:hint="eastAsia"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我方已仔细阅读了贵方组织的</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int="eastAsia" w:hAnsi="宋体"/>
          <w:color w:val="000000" w:themeColor="text1"/>
          <w:sz w:val="24"/>
          <w:szCs w:val="24"/>
        </w:rPr>
        <w:t>项目（项目编号：</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rPr>
        <w:t>）的竞争性磋商文件的全部内容，现正式提交下述响应文件参加贵方组织的本次政府采购活动：</w:t>
      </w:r>
      <w:r>
        <w:rPr>
          <w:rFonts w:hAnsi="宋体"/>
          <w:color w:val="000000" w:themeColor="text1"/>
          <w:sz w:val="24"/>
          <w:szCs w:val="24"/>
        </w:rPr>
        <w:t xml:space="preserve"> </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一、首次报价文件正本一份，副本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10.1.1</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二、技术文件正本一份，副本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10.1.2</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三、商务文件正本一份，副本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10.1.3</w:t>
      </w:r>
      <w:r>
        <w:rPr>
          <w:rFonts w:hint="eastAsia" w:hAnsi="宋体"/>
          <w:color w:val="000000" w:themeColor="text1"/>
          <w:sz w:val="24"/>
          <w:szCs w:val="24"/>
        </w:rPr>
        <w:t>项要求提交的全部文件）。</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据此函，签字人兹宣布：</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、我方愿意以（大写）人民币</w:t>
      </w:r>
      <w:r>
        <w:rPr>
          <w:rFonts w:hAnsi="宋体"/>
          <w:color w:val="000000" w:themeColor="text1"/>
          <w:sz w:val="24"/>
          <w:szCs w:val="24"/>
        </w:rPr>
        <w:t xml:space="preserve"> </w:t>
      </w:r>
      <w:r>
        <w:rPr>
          <w:rFonts w:hAnsi="宋体"/>
          <w:color w:val="000000" w:themeColor="text1"/>
          <w:sz w:val="24"/>
          <w:szCs w:val="24"/>
          <w:u w:val="single"/>
        </w:rPr>
        <w:t xml:space="preserve">       </w:t>
      </w:r>
      <w:r>
        <w:rPr>
          <w:rFonts w:hint="eastAsia" w:hAnsi="宋体"/>
          <w:color w:val="000000" w:themeColor="text1"/>
          <w:sz w:val="24"/>
          <w:szCs w:val="24"/>
        </w:rPr>
        <w:t>（￥</w:t>
      </w:r>
      <w:r>
        <w:rPr>
          <w:rFonts w:hAnsi="宋体"/>
          <w:color w:val="000000" w:themeColor="text1"/>
          <w:sz w:val="24"/>
          <w:szCs w:val="24"/>
          <w:u w:val="single"/>
        </w:rPr>
        <w:t xml:space="preserve">     </w:t>
      </w:r>
      <w:r>
        <w:rPr>
          <w:rFonts w:hint="eastAsia" w:hAnsi="宋体"/>
          <w:color w:val="000000" w:themeColor="text1"/>
          <w:sz w:val="24"/>
          <w:szCs w:val="24"/>
        </w:rPr>
        <w:t>元</w:t>
      </w:r>
      <w:r>
        <w:rPr>
          <w:rFonts w:hAnsi="宋体"/>
          <w:color w:val="000000" w:themeColor="text1"/>
          <w:sz w:val="24"/>
          <w:szCs w:val="24"/>
        </w:rPr>
        <w:t>)</w:t>
      </w:r>
      <w:r>
        <w:rPr>
          <w:rFonts w:hint="eastAsia" w:hAnsi="宋体"/>
          <w:color w:val="000000" w:themeColor="text1"/>
          <w:sz w:val="24"/>
          <w:szCs w:val="24"/>
        </w:rPr>
        <w:t>的响应总报价，</w:t>
      </w:r>
      <w:r>
        <w:rPr>
          <w:rFonts w:hint="eastAsia" w:hAnsi="宋体" w:cs="宋体"/>
          <w:color w:val="000000" w:themeColor="text1"/>
          <w:sz w:val="24"/>
          <w:szCs w:val="24"/>
        </w:rPr>
        <w:t>服务时间</w:t>
      </w:r>
      <w:r>
        <w:rPr>
          <w:rFonts w:hint="eastAsia" w:cs="新宋体" w:asciiTheme="majorEastAsia" w:hAnsiTheme="majorEastAsia" w:eastAsiaTheme="majorEastAsia"/>
          <w:color w:val="000000" w:themeColor="text1"/>
          <w:sz w:val="24"/>
        </w:rPr>
        <w:t>：</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，提供本项目竞争性磋商文件第二章“服务需求一览表”中相应的采购内容。</w:t>
      </w:r>
    </w:p>
    <w:p>
      <w:pPr>
        <w:pStyle w:val="9"/>
        <w:spacing w:line="440" w:lineRule="exact"/>
        <w:ind w:firstLine="48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、我方同意自本项目竞争性磋商文件“磋商供应商须知”第</w:t>
      </w:r>
      <w:r>
        <w:rPr>
          <w:rFonts w:hAnsi="宋体"/>
          <w:color w:val="000000" w:themeColor="text1"/>
          <w:sz w:val="24"/>
          <w:szCs w:val="24"/>
        </w:rPr>
        <w:t>15.1</w:t>
      </w:r>
      <w:r>
        <w:rPr>
          <w:rFonts w:hint="eastAsia" w:hAnsi="宋体"/>
          <w:color w:val="000000" w:themeColor="text1"/>
          <w:sz w:val="24"/>
          <w:szCs w:val="24"/>
        </w:rPr>
        <w:t>项规定的提交响应文件截止时间起遵循本响应函，并承诺在“磋商供应商须知”第</w:t>
      </w:r>
      <w:r>
        <w:rPr>
          <w:rFonts w:hAnsi="宋体"/>
          <w:color w:val="000000" w:themeColor="text1"/>
          <w:sz w:val="24"/>
          <w:szCs w:val="24"/>
        </w:rPr>
        <w:t>12.1</w:t>
      </w:r>
      <w:r>
        <w:rPr>
          <w:rFonts w:hint="eastAsia" w:hAnsi="宋体"/>
          <w:color w:val="000000" w:themeColor="text1"/>
          <w:sz w:val="24"/>
          <w:szCs w:val="24"/>
        </w:rPr>
        <w:t>项规定的响应有效期内不修改、撤销响应文件。</w:t>
      </w:r>
    </w:p>
    <w:p>
      <w:pPr>
        <w:pStyle w:val="9"/>
        <w:spacing w:line="440" w:lineRule="exact"/>
        <w:ind w:firstLine="48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、我方在此声明，所提交的响应文件及有关资料内容完整、真实和准确。</w:t>
      </w:r>
    </w:p>
    <w:p>
      <w:pPr>
        <w:pStyle w:val="9"/>
        <w:spacing w:line="440" w:lineRule="exact"/>
        <w:ind w:firstLine="48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、我方承诺未被列入失信被执行人、重大税收违法案件当事人名单、政府采购严重违法失信行为记录名单，并已已经具备《中华人民共和国政府采购法》中规定的参加政府采购活动的供应商应当具备的条件：</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具有独立承担民事责任的能力；</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具有良好的商业信誉和健全的财务会计制度；</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具有履行合同所必需的设备和专业技术能力；</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有依法缴纳税收和社会保障资金的良好记录；</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参加政府采购活动前三年内，在经营活动中没有重大违法记录；</w:t>
      </w:r>
    </w:p>
    <w:p>
      <w:pPr>
        <w:pStyle w:val="9"/>
        <w:numPr>
          <w:ilvl w:val="0"/>
          <w:numId w:val="11"/>
        </w:numPr>
        <w:spacing w:line="440" w:lineRule="exact"/>
        <w:rPr>
          <w:rFonts w:hAnsi="宋体"/>
          <w:color w:val="000000" w:themeColor="text1"/>
          <w:sz w:val="24"/>
          <w:szCs w:val="24"/>
        </w:rPr>
      </w:pPr>
      <w:r>
        <w:rPr>
          <w:rFonts w:hint="eastAsia" w:hAnsi="宋体"/>
          <w:color w:val="000000" w:themeColor="text1"/>
          <w:sz w:val="24"/>
          <w:szCs w:val="24"/>
        </w:rPr>
        <w:t>法律、行政法规规定的其他条件。</w:t>
      </w:r>
    </w:p>
    <w:p>
      <w:pPr>
        <w:pStyle w:val="9"/>
        <w:spacing w:line="440" w:lineRule="exact"/>
        <w:ind w:firstLine="48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我方成交，我方承诺在收到成交通知书后，在成交通知书规定的期限内，根据竞争性磋商采购文件、我方的响应文件及有关澄清承诺书的要求按第六章“合同条款及格式”与采购人订立书面合同，并按照合同约定承担完成合同的责任和义务。</w:t>
      </w:r>
    </w:p>
    <w:p>
      <w:pPr>
        <w:pStyle w:val="9"/>
        <w:spacing w:line="440" w:lineRule="exact"/>
        <w:ind w:firstLine="482"/>
        <w:rPr>
          <w:rFonts w:hAnsi="宋体"/>
          <w:color w:val="000000" w:themeColor="text1"/>
          <w:sz w:val="24"/>
          <w:szCs w:val="24"/>
        </w:rPr>
      </w:pPr>
      <w:r>
        <w:rPr>
          <w:rFonts w:hAnsi="宋体"/>
          <w:color w:val="000000" w:themeColor="text1"/>
          <w:sz w:val="24"/>
          <w:szCs w:val="24"/>
        </w:rPr>
        <w:t>6</w:t>
      </w:r>
      <w:r>
        <w:rPr>
          <w:rFonts w:hint="eastAsia" w:hAnsi="宋体"/>
          <w:color w:val="000000" w:themeColor="text1"/>
          <w:sz w:val="24"/>
          <w:szCs w:val="24"/>
        </w:rPr>
        <w:t>、我方已详细审核竞争性磋商文件，我方知道必须放弃提出含糊不清或误解问题的权利。</w:t>
      </w:r>
    </w:p>
    <w:p>
      <w:pPr>
        <w:pStyle w:val="9"/>
        <w:spacing w:line="440" w:lineRule="exact"/>
        <w:ind w:firstLine="48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、我方承诺满足竞争性磋商文件第六章《南宁市青秀区政府采购合同》中的条款，承担完成合同的责任和义务。</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8、我方同意应贵方要求提供与本磋商有关的任何数据或资料。若贵方需要，我方愿意提供我方作出的一切承诺的证明材料。</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9、我方完全理解贵方不一定接受响应报价最低的磋商供应商为成交供应商的行为。</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提供虚假材料谋取中标、成交的；</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采取不正当手段诋毁、排挤其他供应商的；</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与采购人、其他供应商或者采购代理机构恶意串通的；</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向采购人、采购代理机构行贿或者提供其他不正当利益的；</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在采购过程中与采购人进行协商谈判的；</w:t>
      </w:r>
    </w:p>
    <w:p>
      <w:pPr>
        <w:pStyle w:val="9"/>
        <w:numPr>
          <w:ilvl w:val="0"/>
          <w:numId w:val="12"/>
        </w:numPr>
        <w:spacing w:line="440" w:lineRule="exact"/>
        <w:rPr>
          <w:rFonts w:hAnsi="宋体"/>
          <w:color w:val="000000" w:themeColor="text1"/>
          <w:sz w:val="24"/>
          <w:szCs w:val="24"/>
        </w:rPr>
      </w:pPr>
      <w:r>
        <w:rPr>
          <w:rFonts w:hint="eastAsia" w:hAnsi="宋体"/>
          <w:color w:val="000000" w:themeColor="text1"/>
          <w:sz w:val="24"/>
          <w:szCs w:val="24"/>
        </w:rPr>
        <w:t>拒绝有关部门监督检查或提供虚假情况的。</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地址：</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电话：</w:t>
      </w:r>
      <w:r>
        <w:rPr>
          <w:rFonts w:hAnsi="宋体"/>
          <w:color w:val="000000" w:themeColor="text1"/>
          <w:sz w:val="24"/>
          <w:szCs w:val="24"/>
          <w:u w:val="single"/>
        </w:rPr>
        <w:t xml:space="preserve">                                      </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传真：</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邮政编码：</w:t>
      </w:r>
      <w:r>
        <w:rPr>
          <w:rFonts w:hAnsi="宋体"/>
          <w:color w:val="000000" w:themeColor="text1"/>
          <w:sz w:val="24"/>
          <w:szCs w:val="24"/>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开户名称：</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开户银行：</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银行账号：</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p>
    <w:p>
      <w:pPr>
        <w:pStyle w:val="9"/>
        <w:spacing w:line="360" w:lineRule="auto"/>
        <w:ind w:firstLine="420"/>
        <w:jc w:val="center"/>
        <w:rPr>
          <w:rFonts w:hAnsi="宋体"/>
          <w:b/>
          <w:bCs/>
          <w:color w:val="000000" w:themeColor="text1"/>
        </w:rPr>
      </w:pPr>
      <w:r>
        <w:rPr>
          <w:rFonts w:hAnsi="宋体"/>
          <w:bCs/>
          <w:color w:val="000000" w:themeColor="text1"/>
          <w:sz w:val="24"/>
          <w:szCs w:val="24"/>
        </w:rPr>
        <w:t xml:space="preserve">                                                       </w:t>
      </w:r>
      <w:r>
        <w:rPr>
          <w:rFonts w:hint="eastAsia" w:hAnsi="宋体"/>
          <w:bCs/>
          <w:color w:val="000000" w:themeColor="text1"/>
          <w:sz w:val="24"/>
          <w:szCs w:val="24"/>
        </w:rPr>
        <w:t>年</w:t>
      </w:r>
      <w:r>
        <w:rPr>
          <w:rFonts w:hAnsi="宋体"/>
          <w:bCs/>
          <w:color w:val="000000" w:themeColor="text1"/>
          <w:sz w:val="24"/>
          <w:szCs w:val="24"/>
        </w:rPr>
        <w:t xml:space="preserve">  </w:t>
      </w:r>
      <w:r>
        <w:rPr>
          <w:rFonts w:hint="eastAsia" w:hAnsi="宋体"/>
          <w:bCs/>
          <w:color w:val="000000" w:themeColor="text1"/>
          <w:sz w:val="24"/>
          <w:szCs w:val="24"/>
        </w:rPr>
        <w:t>月</w:t>
      </w:r>
      <w:r>
        <w:rPr>
          <w:rFonts w:hAnsi="宋体"/>
          <w:bCs/>
          <w:color w:val="000000" w:themeColor="text1"/>
          <w:sz w:val="24"/>
          <w:szCs w:val="24"/>
        </w:rPr>
        <w:t xml:space="preserve">    </w:t>
      </w:r>
      <w:r>
        <w:rPr>
          <w:rFonts w:hint="eastAsia" w:hAnsi="宋体"/>
          <w:bCs/>
          <w:color w:val="000000" w:themeColor="text1"/>
          <w:sz w:val="24"/>
          <w:szCs w:val="24"/>
        </w:rPr>
        <w:t>日</w:t>
      </w:r>
    </w:p>
    <w:p>
      <w:pPr>
        <w:pStyle w:val="9"/>
        <w:outlineLvl w:val="1"/>
        <w:rPr>
          <w:rFonts w:hAnsi="宋体"/>
          <w:color w:val="000000" w:themeColor="text1"/>
          <w:u w:val="single"/>
        </w:rPr>
      </w:pPr>
      <w:r>
        <w:rPr>
          <w:rFonts w:hAnsi="宋体"/>
          <w:b/>
          <w:color w:val="000000" w:themeColor="text1"/>
        </w:rPr>
        <w:br w:type="page"/>
      </w:r>
      <w:bookmarkStart w:id="102" w:name="_Toc13059"/>
      <w:bookmarkStart w:id="103" w:name="_Toc930"/>
      <w:bookmarkStart w:id="104" w:name="_Toc8385"/>
      <w:bookmarkStart w:id="105" w:name="_Toc13670"/>
      <w:r>
        <w:rPr>
          <w:rFonts w:hint="eastAsia" w:hAnsi="宋体"/>
          <w:b/>
          <w:color w:val="000000" w:themeColor="text1"/>
        </w:rPr>
        <w:t>格式</w:t>
      </w:r>
      <w:r>
        <w:rPr>
          <w:rFonts w:hAnsi="宋体"/>
          <w:b/>
          <w:color w:val="000000" w:themeColor="text1"/>
        </w:rPr>
        <w:t>2</w:t>
      </w:r>
      <w:r>
        <w:rPr>
          <w:rFonts w:hint="eastAsia" w:hAnsi="宋体"/>
          <w:b/>
          <w:color w:val="000000" w:themeColor="text1"/>
        </w:rPr>
        <w:t>：</w:t>
      </w:r>
      <w:bookmarkEnd w:id="102"/>
      <w:bookmarkEnd w:id="103"/>
      <w:bookmarkEnd w:id="104"/>
      <w:bookmarkEnd w:id="105"/>
    </w:p>
    <w:p>
      <w:pPr>
        <w:pStyle w:val="9"/>
        <w:jc w:val="center"/>
        <w:outlineLvl w:val="2"/>
        <w:rPr>
          <w:rFonts w:hAnsi="宋体"/>
          <w:b/>
          <w:color w:val="000000" w:themeColor="text1"/>
          <w:sz w:val="32"/>
        </w:rPr>
      </w:pPr>
      <w:r>
        <w:rPr>
          <w:rFonts w:hint="eastAsia" w:hAnsi="宋体"/>
          <w:b/>
          <w:color w:val="000000" w:themeColor="text1"/>
          <w:sz w:val="32"/>
        </w:rPr>
        <w:t>响应报价表（格式）</w:t>
      </w:r>
    </w:p>
    <w:p>
      <w:pPr>
        <w:pStyle w:val="9"/>
        <w:jc w:val="center"/>
        <w:rPr>
          <w:rFonts w:hAnsi="宋体"/>
          <w:b/>
          <w:color w:val="000000" w:themeColor="text1"/>
          <w:sz w:val="32"/>
        </w:rPr>
      </w:pPr>
    </w:p>
    <w:tbl>
      <w:tblPr>
        <w:tblStyle w:val="1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序</w:t>
            </w:r>
            <w:r>
              <w:rPr>
                <w:rFonts w:hint="eastAsia" w:hAnsi="宋体"/>
                <w:color w:val="000000" w:themeColor="text1"/>
                <w:spacing w:val="-20"/>
                <w:sz w:val="24"/>
                <w:szCs w:val="24"/>
              </w:rPr>
              <w:t>号</w:t>
            </w:r>
          </w:p>
        </w:tc>
        <w:tc>
          <w:tcPr>
            <w:tcW w:w="210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服务名称</w:t>
            </w:r>
          </w:p>
        </w:tc>
        <w:tc>
          <w:tcPr>
            <w:tcW w:w="252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服务内容</w:t>
            </w:r>
          </w:p>
        </w:tc>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数量</w:t>
            </w:r>
          </w:p>
          <w:p>
            <w:pPr>
              <w:pStyle w:val="9"/>
              <w:jc w:val="center"/>
              <w:rPr>
                <w:rFonts w:hAnsi="宋体"/>
                <w:color w:val="000000" w:themeColor="text1"/>
                <w:spacing w:val="-20"/>
                <w:sz w:val="24"/>
                <w:szCs w:val="24"/>
              </w:rPr>
            </w:pPr>
            <w:r>
              <w:rPr>
                <w:rFonts w:hint="eastAsia" w:hAnsi="宋体"/>
                <w:color w:val="000000" w:themeColor="text1"/>
                <w:spacing w:val="-20"/>
                <w:sz w:val="24"/>
                <w:szCs w:val="24"/>
              </w:rPr>
              <w:t>①</w:t>
            </w:r>
          </w:p>
        </w:tc>
        <w:tc>
          <w:tcPr>
            <w:tcW w:w="115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单价</w:t>
            </w:r>
            <w:r>
              <w:rPr>
                <w:rFonts w:hAnsi="宋体"/>
                <w:color w:val="000000" w:themeColor="text1"/>
                <w:sz w:val="24"/>
                <w:szCs w:val="24"/>
              </w:rPr>
              <w:t>(</w:t>
            </w:r>
            <w:r>
              <w:rPr>
                <w:rFonts w:hint="eastAsia" w:hAnsi="宋体"/>
                <w:color w:val="000000" w:themeColor="text1"/>
                <w:sz w:val="24"/>
                <w:szCs w:val="24"/>
              </w:rPr>
              <w:t>元</w:t>
            </w:r>
            <w:r>
              <w:rPr>
                <w:rFonts w:hAnsi="宋体"/>
                <w:color w:val="000000" w:themeColor="text1"/>
                <w:sz w:val="24"/>
                <w:szCs w:val="24"/>
              </w:rPr>
              <w:t>)</w:t>
            </w:r>
          </w:p>
          <w:p>
            <w:pPr>
              <w:pStyle w:val="9"/>
              <w:jc w:val="center"/>
              <w:rPr>
                <w:rFonts w:hAnsi="宋体"/>
                <w:color w:val="000000" w:themeColor="text1"/>
                <w:sz w:val="24"/>
                <w:szCs w:val="24"/>
              </w:rPr>
            </w:pPr>
            <w:r>
              <w:rPr>
                <w:rFonts w:hint="eastAsia" w:hAnsi="宋体"/>
                <w:color w:val="000000" w:themeColor="text1"/>
                <w:sz w:val="24"/>
                <w:szCs w:val="24"/>
              </w:rPr>
              <w:t>②</w:t>
            </w:r>
          </w:p>
        </w:tc>
        <w:tc>
          <w:tcPr>
            <w:tcW w:w="157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单项合价（元）</w:t>
            </w:r>
          </w:p>
          <w:p>
            <w:pPr>
              <w:pStyle w:val="9"/>
              <w:jc w:val="center"/>
              <w:rPr>
                <w:rFonts w:hAnsi="宋体"/>
                <w:color w:val="000000" w:themeColor="text1"/>
                <w:sz w:val="24"/>
                <w:szCs w:val="24"/>
              </w:rPr>
            </w:pPr>
            <w:r>
              <w:rPr>
                <w:rFonts w:hint="eastAsia" w:hAnsi="宋体"/>
                <w:color w:val="000000" w:themeColor="text1"/>
                <w:sz w:val="24"/>
                <w:szCs w:val="24"/>
              </w:rPr>
              <w:t>③＝①×②</w:t>
            </w:r>
          </w:p>
        </w:tc>
        <w:tc>
          <w:tcPr>
            <w:tcW w:w="1005" w:type="dxa"/>
            <w:vAlign w:val="center"/>
          </w:tcPr>
          <w:p>
            <w:pPr>
              <w:pStyle w:val="9"/>
              <w:jc w:val="center"/>
              <w:rPr>
                <w:rFonts w:hAnsi="宋体"/>
                <w:color w:val="000000" w:themeColor="text1"/>
                <w:sz w:val="24"/>
                <w:szCs w:val="24"/>
              </w:rPr>
            </w:pPr>
            <w:r>
              <w:rPr>
                <w:rFonts w:hint="eastAsia" w:hAnsi="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color w:val="000000" w:themeColor="text1"/>
                <w:sz w:val="24"/>
              </w:rPr>
            </w:pPr>
            <w:r>
              <w:rPr>
                <w:rFonts w:ascii="宋体" w:hAnsi="宋体"/>
                <w:color w:val="000000" w:themeColor="text1"/>
                <w:sz w:val="24"/>
              </w:rPr>
              <w:t>1</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color w:val="000000" w:themeColor="text1"/>
                <w:sz w:val="24"/>
              </w:rPr>
            </w:pPr>
            <w:r>
              <w:rPr>
                <w:rFonts w:ascii="宋体" w:hAnsi="宋体"/>
                <w:color w:val="000000" w:themeColor="text1"/>
                <w:sz w:val="24"/>
              </w:rPr>
              <w:t>2</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color w:val="000000" w:themeColor="text1"/>
                <w:sz w:val="24"/>
              </w:rPr>
            </w:pPr>
            <w:r>
              <w:rPr>
                <w:rFonts w:hint="eastAsia" w:ascii="宋体" w:hAnsi="宋体"/>
                <w:color w:val="000000" w:themeColor="text1"/>
                <w:sz w:val="24"/>
              </w:rPr>
              <w:t>…</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asciiTheme="minorEastAsia" w:hAnsiTheme="minorEastAsia"/>
                <w:color w:val="000000" w:themeColor="text1"/>
                <w:spacing w:val="-6"/>
                <w:sz w:val="24"/>
                <w:szCs w:val="24"/>
              </w:rPr>
            </w:pPr>
            <w:r>
              <w:rPr>
                <w:rFonts w:hAnsi="宋体"/>
                <w:color w:val="000000" w:themeColor="text1"/>
                <w:sz w:val="24"/>
              </w:rPr>
              <w:t>报价合计（包含税费等所有费用）：（大写）人民币</w:t>
            </w:r>
            <w:r>
              <w:rPr>
                <w:rFonts w:hAnsi="宋体"/>
                <w:color w:val="000000" w:themeColor="text1"/>
                <w:sz w:val="24"/>
                <w:u w:val="single"/>
              </w:rPr>
              <w:t xml:space="preserve">   </w:t>
            </w:r>
            <w:r>
              <w:rPr>
                <w:rFonts w:hint="eastAsia" w:hAnsi="宋体"/>
                <w:color w:val="000000" w:themeColor="text1"/>
                <w:sz w:val="24"/>
                <w:u w:val="single"/>
              </w:rPr>
              <w:t xml:space="preserve">   </w:t>
            </w:r>
            <w:r>
              <w:rPr>
                <w:rFonts w:hAnsi="宋体"/>
                <w:color w:val="000000" w:themeColor="text1"/>
                <w:sz w:val="24"/>
              </w:rPr>
              <w:t>（￥</w:t>
            </w:r>
            <w:r>
              <w:rPr>
                <w:rFonts w:hAnsi="宋体"/>
                <w:color w:val="000000" w:themeColor="text1"/>
                <w:sz w:val="24"/>
                <w:u w:val="single"/>
              </w:rPr>
              <w:t xml:space="preserve">      </w:t>
            </w:r>
            <w:r>
              <w:rPr>
                <w:rFonts w:hAnsi="宋体"/>
                <w:color w:val="000000" w:themeColor="text1"/>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spacing w:line="600" w:lineRule="exact"/>
              <w:rPr>
                <w:rFonts w:hAnsi="宋体"/>
                <w:color w:val="000000" w:themeColor="text1"/>
                <w:sz w:val="24"/>
              </w:rPr>
            </w:pPr>
            <w:r>
              <w:rPr>
                <w:rFonts w:hint="eastAsia" w:hAnsi="宋体"/>
                <w:color w:val="000000" w:themeColor="text1"/>
                <w:sz w:val="24"/>
                <w:szCs w:val="24"/>
              </w:rPr>
              <w:t>磋商供应商（盖单位公章）</w:t>
            </w:r>
            <w:r>
              <w:rPr>
                <w:rFonts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hAnsi="宋体"/>
                <w:color w:val="000000" w:themeColor="text1"/>
                <w:sz w:val="24"/>
              </w:rPr>
            </w:pPr>
            <w:r>
              <w:rPr>
                <w:rFonts w:hAnsi="宋体"/>
                <w:color w:val="000000" w:themeColor="text1"/>
                <w:sz w:val="24"/>
              </w:rPr>
              <w:t>法定代表人或其委托代理人（签字或盖章）：</w:t>
            </w:r>
          </w:p>
        </w:tc>
      </w:tr>
    </w:tbl>
    <w:p>
      <w:pPr>
        <w:pStyle w:val="9"/>
        <w:rPr>
          <w:rFonts w:hAnsi="宋体"/>
          <w:color w:val="000000" w:themeColor="text1"/>
          <w:sz w:val="24"/>
          <w:szCs w:val="24"/>
        </w:rPr>
      </w:pPr>
      <w:r>
        <w:rPr>
          <w:rFonts w:hAnsi="宋体"/>
          <w:color w:val="000000" w:themeColor="text1"/>
          <w:sz w:val="24"/>
          <w:szCs w:val="24"/>
        </w:rPr>
        <w:t>注：表格内容均需按要求填写并盖章，不得留空，否则按投标无效处理。</w:t>
      </w:r>
    </w:p>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06" w:name="_Toc3180"/>
      <w:bookmarkStart w:id="107" w:name="_Toc20421"/>
      <w:bookmarkStart w:id="108" w:name="_Toc32121"/>
      <w:bookmarkStart w:id="109" w:name="_Toc5908"/>
      <w:r>
        <w:rPr>
          <w:rFonts w:hint="eastAsia" w:hAnsi="宋体"/>
          <w:b/>
          <w:color w:val="000000" w:themeColor="text1"/>
        </w:rPr>
        <w:t>格式</w:t>
      </w:r>
      <w:r>
        <w:rPr>
          <w:rFonts w:hAnsi="宋体"/>
          <w:b/>
          <w:color w:val="000000" w:themeColor="text1"/>
        </w:rPr>
        <w:t>3</w:t>
      </w:r>
      <w:r>
        <w:rPr>
          <w:rFonts w:hint="eastAsia" w:hAnsi="宋体"/>
          <w:b/>
          <w:color w:val="000000" w:themeColor="text1"/>
        </w:rPr>
        <w:t>：</w:t>
      </w:r>
      <w:bookmarkEnd w:id="106"/>
      <w:bookmarkEnd w:id="107"/>
      <w:bookmarkEnd w:id="108"/>
      <w:bookmarkEnd w:id="109"/>
      <w:r>
        <w:rPr>
          <w:rFonts w:hAnsi="宋体"/>
          <w:b/>
          <w:color w:val="000000" w:themeColor="text1"/>
        </w:rPr>
        <w:t xml:space="preserve"> </w:t>
      </w:r>
    </w:p>
    <w:p>
      <w:pPr>
        <w:pStyle w:val="9"/>
        <w:jc w:val="center"/>
        <w:outlineLvl w:val="2"/>
        <w:rPr>
          <w:rFonts w:hAnsi="宋体"/>
          <w:b/>
          <w:color w:val="000000" w:themeColor="text1"/>
          <w:sz w:val="30"/>
          <w:szCs w:val="30"/>
        </w:rPr>
      </w:pPr>
      <w:r>
        <w:rPr>
          <w:rFonts w:hint="eastAsia" w:hAnsi="宋体"/>
          <w:b/>
          <w:color w:val="000000" w:themeColor="text1"/>
          <w:sz w:val="30"/>
          <w:szCs w:val="30"/>
        </w:rPr>
        <w:t>中小企业声明函（格式）</w:t>
      </w:r>
    </w:p>
    <w:p>
      <w:pPr>
        <w:pStyle w:val="8"/>
        <w:spacing w:line="240" w:lineRule="auto"/>
        <w:ind w:firstLine="0"/>
        <w:rPr>
          <w:rFonts w:hAnsi="宋体"/>
          <w:color w:val="000000" w:themeColor="text1"/>
          <w:sz w:val="24"/>
          <w:szCs w:val="24"/>
        </w:rPr>
      </w:pPr>
      <w:r>
        <w:rPr>
          <w:rFonts w:hint="eastAsia" w:hAnsi="宋体"/>
          <w:color w:val="000000" w:themeColor="text1"/>
          <w:sz w:val="24"/>
          <w:szCs w:val="24"/>
        </w:rPr>
        <w:t>说明：</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、本声明函主要供参加政府采购活动的中小企业填写，非中小企业无需填写。</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、小型、微型企业提供中型企业制造的货物的，视同为中型企业。</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、磋商供应商按《财政部、司法部关于政府采购支持监狱企业发展有关问题的通知》（财库〔</w:t>
      </w:r>
      <w:r>
        <w:rPr>
          <w:rFonts w:hAnsi="宋体"/>
          <w:color w:val="000000" w:themeColor="text1"/>
          <w:sz w:val="24"/>
          <w:szCs w:val="24"/>
        </w:rPr>
        <w:t>2014</w:t>
      </w:r>
      <w:r>
        <w:rPr>
          <w:rFonts w:hint="eastAsia" w:hAnsi="宋体"/>
          <w:color w:val="000000" w:themeColor="text1"/>
          <w:sz w:val="24"/>
          <w:szCs w:val="24"/>
        </w:rPr>
        <w:t>〕</w:t>
      </w:r>
      <w:r>
        <w:rPr>
          <w:rFonts w:hAnsi="宋体"/>
          <w:color w:val="000000" w:themeColor="text1"/>
          <w:sz w:val="24"/>
          <w:szCs w:val="24"/>
        </w:rPr>
        <w:t>68</w:t>
      </w:r>
      <w:r>
        <w:rPr>
          <w:rFonts w:hint="eastAsia" w:hAnsi="宋体"/>
          <w:color w:val="000000" w:themeColor="text1"/>
          <w:sz w:val="24"/>
          <w:szCs w:val="24"/>
        </w:rPr>
        <w:t>号）认定为监狱企业，且提供由省级以上监狱管理局、戒毒管理局（含新疆生产建设兵团）出具的属于监狱企业的证明文件的，视同小型、微型企业。</w:t>
      </w:r>
    </w:p>
    <w:p>
      <w:pPr>
        <w:pStyle w:val="8"/>
        <w:spacing w:line="360" w:lineRule="auto"/>
        <w:ind w:firstLine="464"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本公司郑重声明，根据《政府采购促进中小企业发展暂行办法》（财库〔</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181</w:t>
      </w:r>
      <w:r>
        <w:rPr>
          <w:rFonts w:hint="eastAsia" w:hAnsi="宋体"/>
          <w:color w:val="000000" w:themeColor="text1"/>
          <w:sz w:val="24"/>
          <w:szCs w:val="24"/>
        </w:rPr>
        <w:t>号）的规定，本公司为</w:t>
      </w:r>
      <w:r>
        <w:rPr>
          <w:rFonts w:hAnsi="宋体"/>
          <w:color w:val="000000" w:themeColor="text1"/>
          <w:sz w:val="24"/>
          <w:szCs w:val="24"/>
        </w:rPr>
        <w:t>______</w:t>
      </w:r>
      <w:r>
        <w:rPr>
          <w:rFonts w:hint="eastAsia" w:hAnsi="宋体"/>
          <w:color w:val="000000" w:themeColor="text1"/>
          <w:sz w:val="24"/>
          <w:szCs w:val="24"/>
        </w:rPr>
        <w:t>（请填写：中型、小型、微型）企业。即，本公司同时满足以下条件：</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．根据《工业和信息化部、国家统计局、国家发展和改革委员会、财政部关于印发中小企业划型标准规定的通知》（工信部联企业〔</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300</w:t>
      </w:r>
      <w:r>
        <w:rPr>
          <w:rFonts w:hint="eastAsia" w:hAnsi="宋体"/>
          <w:color w:val="000000" w:themeColor="text1"/>
          <w:sz w:val="24"/>
          <w:szCs w:val="24"/>
        </w:rPr>
        <w:t>号）规定的划分标准，本公司为</w:t>
      </w:r>
      <w:r>
        <w:rPr>
          <w:rFonts w:hAnsi="宋体"/>
          <w:color w:val="000000" w:themeColor="text1"/>
          <w:sz w:val="24"/>
          <w:szCs w:val="24"/>
        </w:rPr>
        <w:t>______</w:t>
      </w:r>
      <w:r>
        <w:rPr>
          <w:rFonts w:hint="eastAsia" w:hAnsi="宋体"/>
          <w:color w:val="000000" w:themeColor="text1"/>
          <w:sz w:val="24"/>
          <w:szCs w:val="24"/>
        </w:rPr>
        <w:t>（请填写：中型、小型、微型）企业。</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．本公司参加</w:t>
      </w:r>
      <w:r>
        <w:rPr>
          <w:rFonts w:hAnsi="宋体"/>
          <w:color w:val="000000" w:themeColor="text1"/>
          <w:sz w:val="24"/>
          <w:szCs w:val="24"/>
        </w:rPr>
        <w:t>______</w:t>
      </w:r>
      <w:r>
        <w:rPr>
          <w:rFonts w:hint="eastAsia" w:hAnsi="宋体"/>
          <w:color w:val="000000" w:themeColor="text1"/>
          <w:sz w:val="24"/>
          <w:szCs w:val="24"/>
        </w:rPr>
        <w:t>单位的</w:t>
      </w:r>
      <w:r>
        <w:rPr>
          <w:rFonts w:hAnsi="宋体"/>
          <w:color w:val="000000" w:themeColor="text1"/>
          <w:sz w:val="24"/>
          <w:szCs w:val="24"/>
        </w:rPr>
        <w:t>______</w:t>
      </w:r>
      <w:r>
        <w:rPr>
          <w:rFonts w:hint="eastAsia" w:hAnsi="宋体"/>
          <w:color w:val="000000" w:themeColor="text1"/>
          <w:sz w:val="24"/>
          <w:szCs w:val="24"/>
        </w:rPr>
        <w:t>项目采购活动提供本企业制造的货物，由本企业承担工程、提供服务，或者提供其他</w:t>
      </w:r>
      <w:r>
        <w:rPr>
          <w:rFonts w:hAnsi="宋体"/>
          <w:color w:val="000000" w:themeColor="text1"/>
          <w:sz w:val="24"/>
          <w:szCs w:val="24"/>
        </w:rPr>
        <w:t>______</w:t>
      </w:r>
      <w:r>
        <w:rPr>
          <w:rFonts w:hint="eastAsia" w:hAnsi="宋体"/>
          <w:color w:val="000000" w:themeColor="text1"/>
          <w:sz w:val="24"/>
          <w:szCs w:val="24"/>
        </w:rPr>
        <w:t>（请填写：中型、小型、微型）企业制造的货物。本条所称货物不包括使用大型企业注册商标的货物。</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本公司对上述声明的真实性负责。如有虚假，将依法承担相应责任。</w:t>
      </w: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600" w:lineRule="exact"/>
        <w:ind w:firstLine="120" w:firstLineChars="50"/>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500" w:lineRule="exact"/>
        <w:rPr>
          <w:rFonts w:hAnsi="宋体"/>
          <w:color w:val="000000" w:themeColor="text1"/>
          <w:sz w:val="24"/>
          <w:szCs w:val="24"/>
        </w:rPr>
      </w:pPr>
    </w:p>
    <w:p>
      <w:pPr>
        <w:pStyle w:val="9"/>
        <w:spacing w:line="500" w:lineRule="exact"/>
        <w:ind w:firstLine="120" w:firstLineChars="50"/>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500" w:lineRule="exact"/>
        <w:rPr>
          <w:rFonts w:hAnsi="宋体"/>
          <w:b/>
          <w:color w:val="000000" w:themeColor="text1"/>
          <w:sz w:val="24"/>
          <w:szCs w:val="24"/>
        </w:rPr>
      </w:pPr>
      <w:r>
        <w:rPr>
          <w:rFonts w:hAnsi="宋体"/>
          <w:b/>
          <w:color w:val="000000" w:themeColor="text1"/>
          <w:sz w:val="24"/>
          <w:szCs w:val="24"/>
        </w:rPr>
        <w:br w:type="page"/>
      </w:r>
    </w:p>
    <w:p>
      <w:pPr>
        <w:spacing w:line="588" w:lineRule="exact"/>
        <w:jc w:val="left"/>
        <w:outlineLvl w:val="1"/>
        <w:rPr>
          <w:rFonts w:hAnsi="宋体"/>
          <w:color w:val="000000" w:themeColor="text1"/>
          <w:sz w:val="24"/>
        </w:rPr>
      </w:pPr>
      <w:bookmarkStart w:id="110" w:name="_Toc28677"/>
      <w:bookmarkStart w:id="111" w:name="_Toc20803"/>
      <w:bookmarkStart w:id="112" w:name="_Toc23384"/>
      <w:bookmarkStart w:id="113" w:name="_Toc18732"/>
      <w:r>
        <w:rPr>
          <w:rFonts w:hint="eastAsia" w:ascii="宋体" w:hAnsi="宋体"/>
          <w:b/>
          <w:color w:val="000000" w:themeColor="text1"/>
          <w:szCs w:val="20"/>
        </w:rPr>
        <w:t>格式</w:t>
      </w:r>
      <w:r>
        <w:rPr>
          <w:rFonts w:ascii="宋体" w:hAnsi="宋体"/>
          <w:b/>
          <w:color w:val="000000" w:themeColor="text1"/>
          <w:szCs w:val="20"/>
        </w:rPr>
        <w:t>4</w:t>
      </w:r>
      <w:r>
        <w:rPr>
          <w:rFonts w:hint="eastAsia" w:ascii="宋体" w:hAnsi="宋体"/>
          <w:b/>
          <w:color w:val="000000" w:themeColor="text1"/>
          <w:szCs w:val="20"/>
        </w:rPr>
        <w:t>：</w:t>
      </w:r>
      <w:bookmarkEnd w:id="110"/>
      <w:bookmarkEnd w:id="111"/>
      <w:bookmarkEnd w:id="112"/>
      <w:bookmarkEnd w:id="113"/>
    </w:p>
    <w:p>
      <w:pPr>
        <w:spacing w:line="588" w:lineRule="exact"/>
        <w:jc w:val="center"/>
        <w:outlineLvl w:val="2"/>
        <w:rPr>
          <w:rFonts w:ascii="宋体"/>
          <w:b/>
          <w:color w:val="000000" w:themeColor="text1"/>
          <w:spacing w:val="6"/>
          <w:sz w:val="32"/>
          <w:szCs w:val="32"/>
        </w:rPr>
      </w:pPr>
      <w:r>
        <w:rPr>
          <w:rFonts w:hint="eastAsia" w:ascii="宋体" w:hAnsi="宋体"/>
          <w:b/>
          <w:color w:val="000000" w:themeColor="text1"/>
          <w:spacing w:val="6"/>
          <w:sz w:val="32"/>
          <w:szCs w:val="32"/>
        </w:rPr>
        <w:t>残疾人福利性单位声明函</w:t>
      </w:r>
    </w:p>
    <w:p>
      <w:pPr>
        <w:spacing w:line="588" w:lineRule="exact"/>
        <w:rPr>
          <w:rFonts w:ascii="宋体"/>
          <w:b/>
          <w:color w:val="000000" w:themeColor="text1"/>
          <w:spacing w:val="6"/>
          <w:sz w:val="30"/>
          <w:szCs w:val="30"/>
        </w:rPr>
      </w:pP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本单位郑重声明，根据《财政部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民政部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中国残疾人联合会关于促进残疾人就业政府采购政策的通知》（财库〔</w:t>
      </w:r>
      <w:r>
        <w:rPr>
          <w:rFonts w:ascii="Times New Roman" w:hAnsi="Times New Roman"/>
          <w:color w:val="000000" w:themeColor="text1"/>
          <w:sz w:val="24"/>
          <w:szCs w:val="24"/>
        </w:rPr>
        <w:t>2017</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141</w:t>
      </w:r>
      <w:r>
        <w:rPr>
          <w:rFonts w:hint="eastAsia" w:ascii="Times New Roman" w:hAnsi="Times New Roman"/>
          <w:color w:val="000000" w:themeColor="text1"/>
          <w:sz w:val="24"/>
          <w:szCs w:val="24"/>
        </w:rPr>
        <w:t>号）的规定，本单位为符合条件的残疾人福利性单位，且本单位参加</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单位的</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项目采购活动提供本单位制造的货物（由本单位承担工程</w:t>
      </w:r>
      <w:r>
        <w:rPr>
          <w:rFonts w:ascii="Times New Roman" w:hAnsi="Times New Roman"/>
          <w:color w:val="000000" w:themeColor="text1"/>
          <w:sz w:val="24"/>
          <w:szCs w:val="24"/>
        </w:rPr>
        <w:t>/</w:t>
      </w:r>
      <w:r>
        <w:rPr>
          <w:rFonts w:hint="eastAsia" w:ascii="Times New Roman" w:hAnsi="Times New Roman"/>
          <w:color w:val="000000" w:themeColor="text1"/>
          <w:sz w:val="24"/>
          <w:szCs w:val="24"/>
        </w:rPr>
        <w:t>提供服务），或者提供其他残疾人福利性单位制造的货物（不包括使用非残疾人福利性单位注册商标的货物）。</w:t>
      </w: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本单位对上述声明的真实性负责。如有虚假，将依法承担相应责任。</w:t>
      </w: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单位名称（盖章）：</w:t>
      </w: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日</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期：</w:t>
      </w: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14" w:name="_Toc6160"/>
      <w:bookmarkStart w:id="115" w:name="_Toc8025"/>
      <w:bookmarkStart w:id="116" w:name="_Toc23094"/>
      <w:bookmarkStart w:id="117" w:name="_Toc30173"/>
      <w:r>
        <w:rPr>
          <w:rFonts w:hint="eastAsia" w:hAnsi="宋体"/>
          <w:b/>
          <w:color w:val="000000" w:themeColor="text1"/>
        </w:rPr>
        <w:t>格式</w:t>
      </w:r>
      <w:r>
        <w:rPr>
          <w:rFonts w:hAnsi="宋体"/>
          <w:b/>
          <w:color w:val="000000" w:themeColor="text1"/>
        </w:rPr>
        <w:t>5</w:t>
      </w:r>
      <w:r>
        <w:rPr>
          <w:rFonts w:hint="eastAsia" w:hAnsi="宋体"/>
          <w:b/>
          <w:color w:val="000000" w:themeColor="text1"/>
        </w:rPr>
        <w:t>：</w:t>
      </w:r>
      <w:bookmarkEnd w:id="114"/>
      <w:bookmarkEnd w:id="115"/>
      <w:bookmarkEnd w:id="116"/>
      <w:bookmarkEnd w:id="117"/>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响应服务技术资料表（格式）</w:t>
      </w:r>
    </w:p>
    <w:p>
      <w:pPr>
        <w:pStyle w:val="9"/>
        <w:ind w:firstLine="210" w:firstLineChars="100"/>
        <w:rPr>
          <w:rFonts w:hAnsi="宋体"/>
          <w:color w:val="000000" w:themeColor="text1"/>
        </w:rPr>
      </w:pPr>
    </w:p>
    <w:p>
      <w:pPr>
        <w:pStyle w:val="9"/>
        <w:spacing w:line="400" w:lineRule="exact"/>
        <w:ind w:firstLine="480" w:firstLineChars="200"/>
        <w:rPr>
          <w:rFonts w:hAnsi="宋体"/>
          <w:color w:val="000000" w:themeColor="text1"/>
          <w:sz w:val="24"/>
          <w:szCs w:val="24"/>
        </w:rPr>
      </w:pPr>
      <w:r>
        <w:rPr>
          <w:rFonts w:hAnsi="宋体"/>
          <w:color w:val="000000" w:themeColor="text1"/>
          <w:sz w:val="24"/>
          <w:szCs w:val="24"/>
        </w:rPr>
        <w:t>请根据所投服务的实际技术参数，逐条对应本项目</w:t>
      </w:r>
      <w:r>
        <w:rPr>
          <w:rFonts w:hint="eastAsia" w:hAnsi="宋体"/>
          <w:color w:val="000000" w:themeColor="text1"/>
          <w:sz w:val="24"/>
          <w:szCs w:val="24"/>
        </w:rPr>
        <w:t>竞争性磋商</w:t>
      </w:r>
      <w:r>
        <w:rPr>
          <w:rFonts w:hAnsi="宋体"/>
          <w:color w:val="000000" w:themeColor="text1"/>
          <w:sz w:val="24"/>
          <w:szCs w:val="24"/>
        </w:rPr>
        <w:t>文件第二章“服务需求一览表”中的服务内容及要求详细填写相应的具体内容。“偏离说明”一栏应当选择“正偏离”、“负偏离”或“无偏离”进行填写</w:t>
      </w:r>
      <w:r>
        <w:rPr>
          <w:rFonts w:hint="eastAsia" w:hAnsi="宋体"/>
          <w:color w:val="000000" w:themeColor="text1"/>
          <w:sz w:val="24"/>
          <w:szCs w:val="24"/>
        </w:rPr>
        <w:t>。</w:t>
      </w:r>
    </w:p>
    <w:p>
      <w:pPr>
        <w:jc w:val="left"/>
        <w:rPr>
          <w:rFonts w:ascii="宋体" w:hAnsi="宋体"/>
          <w:color w:val="000000" w:themeColor="text1"/>
          <w:sz w:val="24"/>
        </w:rPr>
      </w:pP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276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jc w:val="center"/>
              <w:rPr>
                <w:rFonts w:ascii="宋体" w:hAnsi="宋体"/>
                <w:color w:val="000000" w:themeColor="text1"/>
                <w:sz w:val="24"/>
              </w:rPr>
            </w:pPr>
            <w:r>
              <w:rPr>
                <w:rFonts w:ascii="宋体" w:hAnsi="宋体"/>
                <w:color w:val="000000" w:themeColor="text1"/>
                <w:sz w:val="24"/>
              </w:rPr>
              <w:t>项</w:t>
            </w:r>
            <w:r>
              <w:rPr>
                <w:rFonts w:hint="eastAsia" w:ascii="宋体" w:hAnsi="宋体"/>
                <w:color w:val="000000" w:themeColor="text1"/>
                <w:sz w:val="24"/>
              </w:rPr>
              <w:t>号</w:t>
            </w:r>
          </w:p>
        </w:tc>
        <w:tc>
          <w:tcPr>
            <w:tcW w:w="3382" w:type="dxa"/>
            <w:gridSpan w:val="2"/>
            <w:vAlign w:val="center"/>
          </w:tcPr>
          <w:p>
            <w:pPr>
              <w:jc w:val="center"/>
              <w:rPr>
                <w:rFonts w:ascii="宋体"/>
                <w:color w:val="000000" w:themeColor="text1"/>
                <w:sz w:val="24"/>
              </w:rPr>
            </w:pPr>
            <w:r>
              <w:rPr>
                <w:rFonts w:hint="eastAsia" w:ascii="宋体" w:hAnsi="宋体"/>
                <w:color w:val="000000" w:themeColor="text1"/>
                <w:sz w:val="24"/>
              </w:rPr>
              <w:t>竞争性磋商文件需求</w:t>
            </w:r>
          </w:p>
        </w:tc>
        <w:tc>
          <w:tcPr>
            <w:tcW w:w="4105" w:type="dxa"/>
            <w:gridSpan w:val="2"/>
            <w:vAlign w:val="center"/>
          </w:tcPr>
          <w:p>
            <w:pPr>
              <w:jc w:val="center"/>
              <w:rPr>
                <w:rFonts w:ascii="宋体"/>
                <w:color w:val="000000" w:themeColor="text1"/>
                <w:sz w:val="24"/>
              </w:rPr>
            </w:pPr>
            <w:r>
              <w:rPr>
                <w:rFonts w:hint="eastAsia" w:ascii="宋体" w:hAnsi="宋体"/>
                <w:color w:val="000000" w:themeColor="text1"/>
                <w:sz w:val="24"/>
              </w:rPr>
              <w:t>响应文件承诺</w:t>
            </w:r>
          </w:p>
        </w:tc>
        <w:tc>
          <w:tcPr>
            <w:tcW w:w="1417" w:type="dxa"/>
            <w:vMerge w:val="restart"/>
            <w:vAlign w:val="center"/>
          </w:tcPr>
          <w:p>
            <w:pPr>
              <w:jc w:val="center"/>
              <w:rPr>
                <w:rFonts w:ascii="宋体"/>
                <w:color w:val="000000" w:themeColor="text1"/>
                <w:sz w:val="24"/>
              </w:rPr>
            </w:pPr>
            <w:r>
              <w:rPr>
                <w:rFonts w:hint="eastAsia" w:ascii="宋体" w:hAnsi="宋体"/>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pStyle w:val="9"/>
              <w:jc w:val="center"/>
              <w:rPr>
                <w:rFonts w:hAnsi="宋体"/>
                <w:color w:val="000000" w:themeColor="text1"/>
                <w:spacing w:val="-20"/>
                <w:sz w:val="24"/>
                <w:szCs w:val="24"/>
              </w:rPr>
            </w:pPr>
          </w:p>
        </w:tc>
        <w:tc>
          <w:tcPr>
            <w:tcW w:w="1257"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125" w:type="dxa"/>
            <w:vAlign w:val="center"/>
          </w:tcPr>
          <w:p>
            <w:pPr>
              <w:jc w:val="center"/>
              <w:rPr>
                <w:rFonts w:ascii="宋体"/>
                <w:color w:val="000000" w:themeColor="text1"/>
                <w:sz w:val="24"/>
              </w:rPr>
            </w:pPr>
            <w:r>
              <w:rPr>
                <w:rFonts w:hint="eastAsia" w:ascii="宋体" w:hAnsi="宋体"/>
                <w:color w:val="000000" w:themeColor="text1"/>
                <w:sz w:val="24"/>
              </w:rPr>
              <w:t>服务内容及要求</w:t>
            </w:r>
          </w:p>
        </w:tc>
        <w:tc>
          <w:tcPr>
            <w:tcW w:w="1340"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765" w:type="dxa"/>
            <w:vAlign w:val="center"/>
          </w:tcPr>
          <w:p>
            <w:pPr>
              <w:jc w:val="center"/>
              <w:rPr>
                <w:rFonts w:ascii="宋体"/>
                <w:color w:val="000000" w:themeColor="text1"/>
                <w:sz w:val="24"/>
              </w:rPr>
            </w:pPr>
            <w:r>
              <w:rPr>
                <w:rFonts w:hint="eastAsia" w:ascii="宋体" w:hAnsi="宋体"/>
                <w:color w:val="000000" w:themeColor="text1"/>
                <w:sz w:val="24"/>
              </w:rPr>
              <w:t>所提供服务的内容</w:t>
            </w:r>
          </w:p>
        </w:tc>
        <w:tc>
          <w:tcPr>
            <w:tcW w:w="1417" w:type="dxa"/>
            <w:vMerge w:val="continue"/>
            <w:vAlign w:val="center"/>
          </w:tcPr>
          <w:p>
            <w:pPr>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1</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2</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tc>
      </w:tr>
    </w:tbl>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spacing w:line="360" w:lineRule="auto"/>
        <w:rPr>
          <w:rFonts w:hAnsi="宋体"/>
          <w:color w:val="000000" w:themeColor="text1"/>
          <w:sz w:val="24"/>
          <w:szCs w:val="24"/>
        </w:rPr>
      </w:pPr>
      <w:r>
        <w:rPr>
          <w:rFonts w:hAnsi="宋体"/>
          <w:color w:val="000000" w:themeColor="text1"/>
          <w:sz w:val="24"/>
          <w:szCs w:val="24"/>
        </w:rPr>
        <w:t>注：⑴表格内容均需按要求填写并盖章，不得留空，否则按投标无效处理。</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⑵当</w:t>
      </w:r>
      <w:r>
        <w:rPr>
          <w:rFonts w:hint="eastAsia" w:hAnsi="宋体"/>
          <w:color w:val="000000" w:themeColor="text1"/>
          <w:sz w:val="24"/>
          <w:szCs w:val="24"/>
        </w:rPr>
        <w:t>响应文件</w:t>
      </w:r>
      <w:r>
        <w:rPr>
          <w:rFonts w:hAnsi="宋体"/>
          <w:color w:val="000000" w:themeColor="text1"/>
          <w:sz w:val="24"/>
          <w:szCs w:val="24"/>
        </w:rPr>
        <w:t>的服务内容低于招标文件要求时，</w:t>
      </w:r>
      <w:r>
        <w:rPr>
          <w:rFonts w:hint="eastAsia" w:hAnsi="宋体"/>
          <w:color w:val="000000" w:themeColor="text1"/>
          <w:sz w:val="24"/>
          <w:szCs w:val="24"/>
        </w:rPr>
        <w:t>磋商供应商</w:t>
      </w:r>
      <w:r>
        <w:rPr>
          <w:rFonts w:hAnsi="宋体"/>
          <w:color w:val="000000" w:themeColor="text1"/>
          <w:sz w:val="24"/>
          <w:szCs w:val="24"/>
        </w:rPr>
        <w:t>应当如实写明“负偏离”，否则视为虚假应标。</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p>
    <w:p>
      <w:pPr>
        <w:pStyle w:val="9"/>
        <w:spacing w:line="600" w:lineRule="exact"/>
        <w:jc w:val="left"/>
        <w:outlineLvl w:val="1"/>
        <w:rPr>
          <w:rFonts w:hAnsi="宋体"/>
          <w:color w:val="000000" w:themeColor="text1"/>
          <w:u w:val="single"/>
        </w:rPr>
      </w:pPr>
      <w:r>
        <w:rPr>
          <w:rFonts w:hAnsi="宋体"/>
          <w:color w:val="000000" w:themeColor="text1"/>
          <w:sz w:val="24"/>
          <w:szCs w:val="24"/>
          <w:u w:val="single"/>
        </w:rPr>
        <w:br w:type="page"/>
      </w:r>
      <w:bookmarkStart w:id="118" w:name="_Toc6374"/>
      <w:bookmarkStart w:id="119" w:name="_Toc20002"/>
      <w:bookmarkStart w:id="120" w:name="_Toc31451"/>
      <w:r>
        <w:rPr>
          <w:rFonts w:hint="eastAsia" w:hAnsi="宋体"/>
          <w:b/>
          <w:color w:val="000000" w:themeColor="text1"/>
        </w:rPr>
        <w:t>格式</w:t>
      </w:r>
      <w:r>
        <w:rPr>
          <w:rFonts w:hAnsi="宋体"/>
          <w:b/>
          <w:color w:val="000000" w:themeColor="text1"/>
        </w:rPr>
        <w:t>6</w:t>
      </w:r>
      <w:r>
        <w:rPr>
          <w:rFonts w:hint="eastAsia" w:hAnsi="宋体"/>
          <w:b/>
          <w:color w:val="000000" w:themeColor="text1"/>
        </w:rPr>
        <w:t>：</w:t>
      </w:r>
      <w:bookmarkEnd w:id="118"/>
      <w:bookmarkEnd w:id="119"/>
      <w:bookmarkEnd w:id="120"/>
    </w:p>
    <w:p>
      <w:pPr>
        <w:pStyle w:val="9"/>
        <w:spacing w:line="500" w:lineRule="exact"/>
        <w:jc w:val="center"/>
        <w:outlineLvl w:val="2"/>
        <w:rPr>
          <w:rFonts w:hAnsi="宋体"/>
          <w:b/>
          <w:bCs/>
          <w:color w:val="000000" w:themeColor="text1"/>
          <w:sz w:val="32"/>
          <w:szCs w:val="32"/>
        </w:rPr>
      </w:pPr>
      <w:r>
        <w:rPr>
          <w:rFonts w:hint="eastAsia" w:hAnsi="宋体"/>
          <w:b/>
          <w:bCs/>
          <w:color w:val="000000" w:themeColor="text1"/>
          <w:sz w:val="32"/>
          <w:szCs w:val="32"/>
        </w:rPr>
        <w:t>售后服务承诺书（格式）</w:t>
      </w:r>
    </w:p>
    <w:p>
      <w:pPr>
        <w:pStyle w:val="9"/>
        <w:spacing w:line="440" w:lineRule="exact"/>
        <w:ind w:firstLine="475" w:firstLineChars="198"/>
        <w:rPr>
          <w:rFonts w:hAnsi="宋体"/>
          <w:color w:val="000000" w:themeColor="text1"/>
          <w:sz w:val="24"/>
          <w:szCs w:val="24"/>
        </w:rPr>
      </w:pPr>
    </w:p>
    <w:p>
      <w:pPr>
        <w:pStyle w:val="9"/>
        <w:spacing w:line="440" w:lineRule="exact"/>
        <w:ind w:firstLine="475" w:firstLineChars="198"/>
        <w:rPr>
          <w:rFonts w:hAnsi="宋体"/>
          <w:color w:val="000000" w:themeColor="text1"/>
          <w:sz w:val="24"/>
          <w:szCs w:val="24"/>
        </w:rPr>
      </w:pPr>
      <w:r>
        <w:rPr>
          <w:rFonts w:hint="eastAsia" w:hAnsi="宋体"/>
          <w:color w:val="000000" w:themeColor="text1"/>
          <w:sz w:val="24"/>
          <w:szCs w:val="24"/>
        </w:rPr>
        <w:t>由磋商供应商按本项目竞争性磋商文件第二章“服务需求一览表”中商务条款部分的售后服务要求自行填写。</w:t>
      </w:r>
    </w:p>
    <w:p>
      <w:pPr>
        <w:pStyle w:val="9"/>
        <w:spacing w:line="440" w:lineRule="exact"/>
        <w:ind w:firstLine="480" w:firstLineChars="200"/>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600" w:lineRule="exact"/>
        <w:rPr>
          <w:rFonts w:hAnsi="宋体"/>
          <w:color w:val="000000" w:themeColor="text1"/>
          <w:sz w:val="24"/>
          <w:szCs w:val="24"/>
          <w:u w:val="single"/>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600" w:lineRule="exact"/>
        <w:outlineLvl w:val="1"/>
        <w:rPr>
          <w:rFonts w:hAnsi="宋体"/>
          <w:color w:val="000000" w:themeColor="text1"/>
          <w:u w:val="single"/>
        </w:rPr>
      </w:pPr>
      <w:r>
        <w:rPr>
          <w:rFonts w:hAnsi="宋体"/>
          <w:color w:val="000000" w:themeColor="text1"/>
          <w:sz w:val="24"/>
          <w:szCs w:val="24"/>
          <w:u w:val="single"/>
        </w:rPr>
        <w:br w:type="page"/>
      </w:r>
      <w:bookmarkStart w:id="121" w:name="_Toc23732"/>
      <w:bookmarkStart w:id="122" w:name="_Toc28775"/>
      <w:bookmarkStart w:id="123" w:name="_Toc9202"/>
      <w:bookmarkStart w:id="124" w:name="_Toc16697"/>
      <w:r>
        <w:rPr>
          <w:rFonts w:hint="eastAsia" w:hAnsi="宋体"/>
          <w:b/>
          <w:color w:val="000000" w:themeColor="text1"/>
        </w:rPr>
        <w:t>格式</w:t>
      </w:r>
      <w:r>
        <w:rPr>
          <w:rFonts w:hAnsi="宋体"/>
          <w:b/>
          <w:color w:val="000000" w:themeColor="text1"/>
        </w:rPr>
        <w:t>7</w:t>
      </w:r>
      <w:r>
        <w:rPr>
          <w:rFonts w:hint="eastAsia" w:hAnsi="宋体"/>
          <w:b/>
          <w:color w:val="000000" w:themeColor="text1"/>
        </w:rPr>
        <w:t>：</w:t>
      </w:r>
      <w:bookmarkEnd w:id="121"/>
      <w:bookmarkEnd w:id="122"/>
      <w:bookmarkEnd w:id="123"/>
      <w:bookmarkEnd w:id="124"/>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商务条款偏离表（格式）</w:t>
      </w:r>
    </w:p>
    <w:p>
      <w:pPr>
        <w:pStyle w:val="9"/>
        <w:spacing w:line="440" w:lineRule="exact"/>
        <w:ind w:firstLine="420" w:firstLineChars="200"/>
        <w:rPr>
          <w:rFonts w:hAnsi="宋体"/>
          <w:color w:val="000000" w:themeColor="text1"/>
        </w:rPr>
      </w:pPr>
    </w:p>
    <w:p>
      <w:pPr>
        <w:pStyle w:val="9"/>
        <w:spacing w:line="440" w:lineRule="exact"/>
        <w:ind w:firstLine="480" w:firstLineChars="200"/>
        <w:rPr>
          <w:rFonts w:hAnsi="宋体"/>
          <w:b/>
          <w:color w:val="000000" w:themeColor="text1"/>
          <w:sz w:val="24"/>
          <w:szCs w:val="24"/>
        </w:rPr>
      </w:pPr>
      <w:r>
        <w:rPr>
          <w:rFonts w:hint="eastAsia" w:hAnsi="宋体"/>
          <w:color w:val="000000" w:themeColor="text1"/>
          <w:sz w:val="24"/>
          <w:szCs w:val="24"/>
        </w:rPr>
        <w:t>请逐条对应本项目竞争性磋商文件第二章“服务需求一览表”中商务条款的要求，</w:t>
      </w:r>
      <w:r>
        <w:rPr>
          <w:rFonts w:hAnsi="宋体"/>
          <w:color w:val="000000" w:themeColor="text1"/>
          <w:sz w:val="24"/>
          <w:szCs w:val="24"/>
        </w:rPr>
        <w:t>详细填写相应的具体内容。</w:t>
      </w:r>
      <w:r>
        <w:rPr>
          <w:rFonts w:hint="eastAsia" w:hAnsi="宋体"/>
          <w:color w:val="000000" w:themeColor="text1"/>
          <w:sz w:val="24"/>
          <w:szCs w:val="24"/>
        </w:rPr>
        <w:t>“偏离说明”一栏应当选择“正偏离”、“负偏离”或“无偏离”进行填写</w:t>
      </w:r>
      <w:r>
        <w:rPr>
          <w:rFonts w:hint="eastAsia" w:hAnsi="宋体"/>
          <w:b/>
          <w:color w:val="000000" w:themeColor="text1"/>
          <w:sz w:val="24"/>
          <w:szCs w:val="24"/>
        </w:rPr>
        <w:t>。</w:t>
      </w:r>
    </w:p>
    <w:p>
      <w:pPr>
        <w:pStyle w:val="9"/>
        <w:rPr>
          <w:rFonts w:hAnsi="宋体"/>
          <w:color w:val="000000" w:themeColor="text1"/>
          <w:sz w:val="24"/>
          <w:szCs w:val="24"/>
          <w:u w:val="single"/>
        </w:rPr>
      </w:pPr>
    </w:p>
    <w:p>
      <w:pPr>
        <w:pStyle w:val="9"/>
        <w:jc w:val="left"/>
        <w:rPr>
          <w:rFonts w:hAnsi="宋体"/>
          <w:color w:val="000000" w:themeColor="text1"/>
          <w:sz w:val="24"/>
          <w:szCs w:val="24"/>
        </w:rPr>
      </w:pPr>
      <w:r>
        <w:rPr>
          <w:rFonts w:hAnsi="宋体"/>
          <w:color w:val="000000" w:themeColor="text1"/>
          <w:sz w:val="24"/>
          <w:szCs w:val="24"/>
        </w:rPr>
        <w:t xml:space="preserve"> </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45"/>
        <w:gridCol w:w="3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pStyle w:val="9"/>
              <w:jc w:val="center"/>
              <w:rPr>
                <w:rFonts w:hAnsi="宋体"/>
                <w:color w:val="000000" w:themeColor="text1"/>
                <w:sz w:val="24"/>
                <w:szCs w:val="24"/>
              </w:rPr>
            </w:pPr>
            <w:r>
              <w:rPr>
                <w:rFonts w:hint="eastAsia" w:hAnsi="宋体"/>
                <w:color w:val="000000" w:themeColor="text1"/>
                <w:sz w:val="24"/>
                <w:szCs w:val="24"/>
              </w:rPr>
              <w:t>项号</w:t>
            </w:r>
          </w:p>
        </w:tc>
        <w:tc>
          <w:tcPr>
            <w:tcW w:w="3945" w:type="dxa"/>
            <w:vAlign w:val="center"/>
          </w:tcPr>
          <w:p>
            <w:pPr>
              <w:pStyle w:val="9"/>
              <w:jc w:val="center"/>
              <w:rPr>
                <w:rFonts w:hAnsi="宋体"/>
                <w:color w:val="000000" w:themeColor="text1"/>
                <w:sz w:val="24"/>
                <w:szCs w:val="24"/>
              </w:rPr>
            </w:pPr>
            <w:r>
              <w:rPr>
                <w:rFonts w:hint="eastAsia" w:hAnsi="宋体"/>
                <w:color w:val="000000" w:themeColor="text1"/>
                <w:sz w:val="24"/>
                <w:szCs w:val="24"/>
              </w:rPr>
              <w:t>竞争性磋商文件的商务需求</w:t>
            </w:r>
          </w:p>
        </w:tc>
        <w:tc>
          <w:tcPr>
            <w:tcW w:w="3258" w:type="dxa"/>
            <w:vAlign w:val="center"/>
          </w:tcPr>
          <w:p>
            <w:pPr>
              <w:pStyle w:val="9"/>
              <w:jc w:val="center"/>
              <w:rPr>
                <w:rFonts w:hAnsi="宋体"/>
                <w:color w:val="000000" w:themeColor="text1"/>
                <w:sz w:val="24"/>
                <w:szCs w:val="24"/>
              </w:rPr>
            </w:pPr>
            <w:r>
              <w:rPr>
                <w:rFonts w:hint="eastAsia" w:hAnsi="宋体"/>
                <w:color w:val="000000" w:themeColor="text1"/>
                <w:sz w:val="24"/>
                <w:szCs w:val="24"/>
              </w:rPr>
              <w:t>响应文件承诺的商务条款</w:t>
            </w:r>
          </w:p>
        </w:tc>
        <w:tc>
          <w:tcPr>
            <w:tcW w:w="1560" w:type="dxa"/>
            <w:vAlign w:val="center"/>
          </w:tcPr>
          <w:p>
            <w:pPr>
              <w:pStyle w:val="9"/>
              <w:jc w:val="center"/>
              <w:rPr>
                <w:rFonts w:hAnsi="宋体"/>
                <w:color w:val="000000" w:themeColor="text1"/>
                <w:sz w:val="24"/>
                <w:szCs w:val="24"/>
              </w:rPr>
            </w:pPr>
            <w:r>
              <w:rPr>
                <w:rFonts w:hint="eastAsia" w:hAnsi="宋体"/>
                <w:color w:val="000000" w:themeColor="text1"/>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一</w:t>
            </w:r>
          </w:p>
        </w:tc>
        <w:tc>
          <w:tcPr>
            <w:tcW w:w="3945"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3258"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二</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Ansi="宋体"/>
                <w:b/>
                <w:color w:val="000000" w:themeColor="text1"/>
                <w:sz w:val="32"/>
              </w:rPr>
              <w:br w:type="page"/>
            </w:r>
          </w:p>
        </w:tc>
      </w:tr>
    </w:tbl>
    <w:p>
      <w:pPr>
        <w:pStyle w:val="9"/>
        <w:rPr>
          <w:rFonts w:hAnsi="宋体"/>
          <w:color w:val="000000" w:themeColor="text1"/>
          <w:sz w:val="24"/>
          <w:szCs w:val="24"/>
        </w:rPr>
      </w:pPr>
      <w:r>
        <w:rPr>
          <w:rFonts w:hAnsi="宋体"/>
          <w:color w:val="000000" w:themeColor="text1"/>
          <w:sz w:val="24"/>
          <w:szCs w:val="24"/>
        </w:rPr>
        <w:t>......</w:t>
      </w:r>
    </w:p>
    <w:p>
      <w:pPr>
        <w:pStyle w:val="9"/>
        <w:spacing w:line="600" w:lineRule="exact"/>
        <w:rPr>
          <w:rFonts w:hAnsi="宋体"/>
          <w:color w:val="000000" w:themeColor="text1"/>
          <w:sz w:val="24"/>
          <w:szCs w:val="24"/>
        </w:rPr>
      </w:pPr>
    </w:p>
    <w:p>
      <w:pPr>
        <w:pStyle w:val="9"/>
        <w:spacing w:line="600" w:lineRule="exact"/>
        <w:rPr>
          <w:rFonts w:hAnsi="宋体"/>
          <w:color w:val="000000" w:themeColor="text1"/>
          <w:sz w:val="24"/>
          <w:szCs w:val="24"/>
        </w:rPr>
      </w:pPr>
      <w:r>
        <w:rPr>
          <w:rFonts w:hint="eastAsia" w:hAnsi="宋体"/>
          <w:color w:val="000000" w:themeColor="text1"/>
          <w:sz w:val="24"/>
          <w:szCs w:val="24"/>
        </w:rPr>
        <w:t>注：⑴表格内容均需按要求填写并盖章，不得留空，否则按投标无效处理。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⑵响应文件承诺不得直接复制招标文件需求，如果招标文件需求为小于或大于某个数值标准时，招标文件承诺内容应当写明投标货物具体参数或商务响应承诺的具体数值，否则按投标无效处理。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⑶当响应文件的技术参数或商务内容低于招标文件要求时，应当如实写明“负偏离”，否则视为虚假应标。</w:t>
      </w:r>
    </w:p>
    <w:p>
      <w:pPr>
        <w:pStyle w:val="9"/>
        <w:spacing w:line="600" w:lineRule="exact"/>
        <w:rPr>
          <w:rFonts w:hAnsi="宋体"/>
          <w:color w:val="000000" w:themeColor="text1"/>
          <w:sz w:val="24"/>
          <w:szCs w:val="24"/>
          <w:u w:val="single"/>
        </w:rPr>
      </w:pPr>
    </w:p>
    <w:p>
      <w:pPr>
        <w:pStyle w:val="9"/>
        <w:spacing w:line="600" w:lineRule="exact"/>
        <w:rPr>
          <w:rFonts w:hAnsi="宋体"/>
          <w:b/>
          <w:color w:val="000000" w:themeColor="text1"/>
        </w:rPr>
        <w:sectPr>
          <w:pgSz w:w="11906" w:h="16838"/>
          <w:pgMar w:top="1440" w:right="1080" w:bottom="1118" w:left="1080" w:header="720" w:footer="720" w:gutter="0"/>
          <w:cols w:space="720" w:num="1"/>
          <w:docGrid w:type="lines" w:linePitch="331" w:charSpace="0"/>
        </w:sectPr>
      </w:pPr>
    </w:p>
    <w:p>
      <w:pPr>
        <w:pStyle w:val="9"/>
        <w:spacing w:line="600" w:lineRule="exact"/>
        <w:rPr>
          <w:rFonts w:hAnsi="宋体"/>
          <w:color w:val="000000" w:themeColor="text1"/>
          <w:u w:val="single"/>
        </w:rPr>
      </w:pPr>
      <w:r>
        <w:rPr>
          <w:rFonts w:hint="eastAsia" w:hAnsi="宋体"/>
          <w:b/>
          <w:color w:val="000000" w:themeColor="text1"/>
        </w:rPr>
        <w:t>格式</w:t>
      </w:r>
      <w:r>
        <w:rPr>
          <w:rFonts w:hAnsi="宋体"/>
          <w:b/>
          <w:color w:val="000000" w:themeColor="text1"/>
        </w:rPr>
        <w:t>8</w:t>
      </w:r>
      <w:r>
        <w:rPr>
          <w:rFonts w:hint="eastAsia" w:hAnsi="宋体"/>
          <w:b/>
          <w:color w:val="000000" w:themeColor="text1"/>
        </w:rPr>
        <w:t>：</w:t>
      </w:r>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法定代表人授权委托书（格式）</w:t>
      </w:r>
    </w:p>
    <w:p>
      <w:pPr>
        <w:pStyle w:val="9"/>
        <w:spacing w:line="500" w:lineRule="exact"/>
        <w:ind w:firstLine="420" w:firstLineChars="200"/>
        <w:rPr>
          <w:rFonts w:hAnsi="宋体"/>
          <w:color w:val="000000" w:themeColor="text1"/>
          <w:u w:val="single"/>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致：</w:t>
      </w:r>
      <w:r>
        <w:rPr>
          <w:rFonts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本人</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（姓名）系</w:t>
      </w:r>
      <w:r>
        <w:rPr>
          <w:rFonts w:hAnsi="宋体"/>
          <w:color w:val="000000" w:themeColor="text1"/>
          <w:sz w:val="24"/>
          <w:szCs w:val="24"/>
          <w:u w:val="single"/>
        </w:rPr>
        <w:t xml:space="preserve">            </w:t>
      </w:r>
      <w:r>
        <w:rPr>
          <w:rFonts w:hint="eastAsia" w:hAnsi="宋体"/>
          <w:color w:val="000000" w:themeColor="text1"/>
          <w:sz w:val="24"/>
          <w:szCs w:val="24"/>
        </w:rPr>
        <w:t>（磋商供应商名称）的法定代表人，现授权</w:t>
      </w:r>
      <w:r>
        <w:rPr>
          <w:rFonts w:hAnsi="宋体"/>
          <w:color w:val="000000" w:themeColor="text1"/>
          <w:sz w:val="24"/>
          <w:szCs w:val="24"/>
          <w:u w:val="single"/>
        </w:rPr>
        <w:t xml:space="preserve">     </w:t>
      </w:r>
      <w:r>
        <w:rPr>
          <w:rFonts w:hint="eastAsia" w:hAnsi="宋体"/>
          <w:color w:val="000000" w:themeColor="text1"/>
          <w:sz w:val="24"/>
          <w:szCs w:val="24"/>
        </w:rPr>
        <w:t>（姓名和职务）为我方代理人。代理人根据授权，以我方名义签署、澄清、说明、补正、提交、撤回、修改贵方组织的项目</w:t>
      </w:r>
      <w:r>
        <w:rPr>
          <w:rFonts w:hAnsi="宋体"/>
          <w:color w:val="000000" w:themeColor="text1"/>
          <w:sz w:val="24"/>
          <w:szCs w:val="24"/>
          <w:u w:val="single"/>
        </w:rPr>
        <w:t xml:space="preserve">          </w:t>
      </w:r>
      <w:r>
        <w:rPr>
          <w:rFonts w:hint="eastAsia" w:hAnsi="宋体"/>
          <w:color w:val="000000" w:themeColor="text1"/>
          <w:sz w:val="24"/>
          <w:szCs w:val="24"/>
        </w:rPr>
        <w:t>（项目编号：</w:t>
      </w:r>
      <w:r>
        <w:rPr>
          <w:rFonts w:hAnsi="宋体"/>
          <w:color w:val="000000" w:themeColor="text1"/>
          <w:sz w:val="24"/>
          <w:szCs w:val="24"/>
          <w:u w:val="single"/>
        </w:rPr>
        <w:t xml:space="preserve">          </w:t>
      </w:r>
      <w:r>
        <w:rPr>
          <w:rFonts w:hint="eastAsia" w:hAnsi="宋体"/>
          <w:color w:val="000000" w:themeColor="text1"/>
          <w:sz w:val="24"/>
          <w:szCs w:val="24"/>
        </w:rPr>
        <w:t>）的响应文件、签订合同和处理一切有关事宜，其法律后果由我方承担。</w:t>
      </w:r>
    </w:p>
    <w:p>
      <w:pPr>
        <w:pStyle w:val="9"/>
        <w:spacing w:line="360" w:lineRule="auto"/>
        <w:ind w:firstLine="435"/>
        <w:rPr>
          <w:rFonts w:hAnsi="宋体"/>
          <w:color w:val="000000" w:themeColor="text1"/>
          <w:sz w:val="24"/>
          <w:szCs w:val="24"/>
        </w:rPr>
      </w:pPr>
      <w:r>
        <w:rPr>
          <w:rFonts w:hint="eastAsia" w:hAnsi="宋体"/>
          <w:color w:val="000000" w:themeColor="text1"/>
          <w:sz w:val="24"/>
          <w:szCs w:val="24"/>
        </w:rPr>
        <w:t>本授权书于</w:t>
      </w:r>
      <w:r>
        <w:rPr>
          <w:rFonts w:hAnsi="宋体"/>
          <w:color w:val="000000" w:themeColor="text1"/>
          <w:sz w:val="24"/>
          <w:szCs w:val="24"/>
          <w:u w:val="single"/>
        </w:rPr>
        <w:t xml:space="preserve">     </w:t>
      </w:r>
      <w:r>
        <w:rPr>
          <w:rFonts w:hint="eastAsia" w:hAnsi="宋体"/>
          <w:color w:val="000000" w:themeColor="text1"/>
          <w:sz w:val="24"/>
          <w:szCs w:val="24"/>
        </w:rPr>
        <w:t>年</w:t>
      </w:r>
      <w:r>
        <w:rPr>
          <w:rFonts w:hAnsi="宋体"/>
          <w:color w:val="000000" w:themeColor="text1"/>
          <w:sz w:val="24"/>
          <w:szCs w:val="24"/>
          <w:u w:val="single"/>
        </w:rPr>
        <w:t xml:space="preserve">     </w:t>
      </w:r>
      <w:r>
        <w:rPr>
          <w:rFonts w:hint="eastAsia" w:hAnsi="宋体"/>
          <w:color w:val="000000" w:themeColor="text1"/>
          <w:sz w:val="24"/>
          <w:szCs w:val="24"/>
        </w:rPr>
        <w:t>月</w:t>
      </w:r>
      <w:r>
        <w:rPr>
          <w:rFonts w:hAnsi="宋体"/>
          <w:color w:val="000000" w:themeColor="text1"/>
          <w:sz w:val="24"/>
          <w:szCs w:val="24"/>
          <w:u w:val="single"/>
        </w:rPr>
        <w:t xml:space="preserve">     </w:t>
      </w:r>
      <w:r>
        <w:rPr>
          <w:rFonts w:hint="eastAsia" w:hAnsi="宋体"/>
          <w:color w:val="000000" w:themeColor="text1"/>
          <w:sz w:val="24"/>
          <w:szCs w:val="24"/>
        </w:rPr>
        <w:t>日签字生效，委托期限：</w:t>
      </w:r>
      <w:r>
        <w:rPr>
          <w:rFonts w:hAnsi="宋体"/>
          <w:color w:val="000000" w:themeColor="text1"/>
          <w:sz w:val="24"/>
          <w:szCs w:val="24"/>
          <w:u w:val="single"/>
        </w:rPr>
        <w:t xml:space="preserve">     </w:t>
      </w:r>
      <w:r>
        <w:rPr>
          <w:rFonts w:hint="eastAsia" w:hAnsi="宋体"/>
          <w:color w:val="000000" w:themeColor="text1"/>
          <w:sz w:val="24"/>
          <w:szCs w:val="24"/>
        </w:rPr>
        <w:t>。</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代理人无转委托权。</w:t>
      </w:r>
    </w:p>
    <w:p>
      <w:pPr>
        <w:pStyle w:val="9"/>
        <w:spacing w:line="360" w:lineRule="auto"/>
        <w:ind w:firstLine="420"/>
        <w:rPr>
          <w:rFonts w:hAnsi="宋体"/>
          <w:color w:val="000000" w:themeColor="text1"/>
          <w:sz w:val="24"/>
          <w:szCs w:val="24"/>
        </w:rPr>
      </w:pP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Ansi="宋体"/>
          <w:color w:val="000000" w:themeColor="text1"/>
          <w:sz w:val="24"/>
          <w:szCs w:val="24"/>
        </w:rPr>
        <w:t>社会统一信用代码: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委托代理人（签字或盖章）：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委托代理人身份证号码：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jc w:val="right"/>
        <w:rPr>
          <w:rFonts w:hAnsi="宋体"/>
          <w:color w:val="000000" w:themeColor="text1"/>
          <w:sz w:val="24"/>
          <w:szCs w:val="24"/>
          <w:u w:val="single"/>
        </w:rPr>
      </w:pPr>
    </w:p>
    <w:p>
      <w:pPr>
        <w:pStyle w:val="16"/>
        <w:outlineLvl w:val="9"/>
        <w:rPr>
          <w:rFonts w:ascii="宋体"/>
          <w:color w:val="000000" w:themeColor="text1"/>
        </w:rPr>
        <w:sectPr>
          <w:pgSz w:w="11906" w:h="16838"/>
          <w:pgMar w:top="1440" w:right="1080" w:bottom="1118" w:left="1080" w:header="720" w:footer="720" w:gutter="0"/>
          <w:cols w:space="720" w:num="1"/>
          <w:docGrid w:type="lines" w:linePitch="331" w:charSpace="0"/>
        </w:sectPr>
      </w:pPr>
    </w:p>
    <w:p>
      <w:pPr>
        <w:pStyle w:val="9"/>
        <w:spacing w:line="360" w:lineRule="auto"/>
        <w:outlineLvl w:val="1"/>
        <w:rPr>
          <w:rFonts w:hAnsi="宋体"/>
          <w:b/>
          <w:color w:val="000000" w:themeColor="text1"/>
        </w:rPr>
      </w:pPr>
      <w:bookmarkStart w:id="125" w:name="_Toc3746"/>
      <w:bookmarkStart w:id="126" w:name="_Toc8010"/>
      <w:bookmarkStart w:id="127" w:name="_Toc19457"/>
      <w:bookmarkStart w:id="128" w:name="_Toc28533"/>
      <w:r>
        <w:rPr>
          <w:rFonts w:hint="eastAsia" w:hAnsi="宋体"/>
          <w:b/>
          <w:color w:val="000000" w:themeColor="text1"/>
        </w:rPr>
        <w:t>格式</w:t>
      </w:r>
      <w:r>
        <w:rPr>
          <w:rFonts w:hAnsi="宋体"/>
          <w:b/>
          <w:color w:val="000000" w:themeColor="text1"/>
        </w:rPr>
        <w:t>9</w:t>
      </w:r>
      <w:r>
        <w:rPr>
          <w:rFonts w:hint="eastAsia" w:hAnsi="宋体"/>
          <w:b/>
          <w:color w:val="000000" w:themeColor="text1"/>
        </w:rPr>
        <w:t>：</w:t>
      </w:r>
      <w:bookmarkEnd w:id="125"/>
      <w:bookmarkEnd w:id="126"/>
      <w:bookmarkEnd w:id="127"/>
      <w:bookmarkEnd w:id="128"/>
    </w:p>
    <w:p>
      <w:pPr>
        <w:pStyle w:val="9"/>
        <w:jc w:val="center"/>
        <w:outlineLvl w:val="2"/>
        <w:rPr>
          <w:rFonts w:hAnsi="宋体"/>
          <w:b/>
          <w:color w:val="000000" w:themeColor="text1"/>
          <w:sz w:val="30"/>
          <w:szCs w:val="30"/>
        </w:rPr>
      </w:pPr>
      <w:r>
        <w:rPr>
          <w:rFonts w:hint="eastAsia" w:hAnsi="宋体"/>
          <w:b/>
          <w:color w:val="000000" w:themeColor="text1"/>
          <w:sz w:val="30"/>
          <w:szCs w:val="30"/>
        </w:rPr>
        <w:t>信用声明函（格式）</w:t>
      </w:r>
    </w:p>
    <w:p>
      <w:pPr>
        <w:pStyle w:val="9"/>
        <w:jc w:val="center"/>
        <w:rPr>
          <w:rFonts w:hAnsi="宋体" w:cs="宋体"/>
          <w:b/>
          <w:color w:val="000000" w:themeColor="text1"/>
          <w:sz w:val="24"/>
          <w:szCs w:val="24"/>
        </w:rPr>
      </w:pPr>
    </w:p>
    <w:p>
      <w:pPr>
        <w:tabs>
          <w:tab w:val="left" w:pos="7200"/>
        </w:tabs>
        <w:spacing w:line="360" w:lineRule="auto"/>
        <w:rPr>
          <w:rFonts w:ascii="宋体" w:cs="宋体"/>
          <w:color w:val="000000" w:themeColor="text1"/>
          <w:sz w:val="24"/>
        </w:rPr>
      </w:pPr>
      <w:r>
        <w:rPr>
          <w:rFonts w:hint="eastAsia" w:ascii="宋体" w:hAnsi="宋体" w:cs="宋体"/>
          <w:color w:val="000000" w:themeColor="text1"/>
          <w:sz w:val="24"/>
        </w:rPr>
        <w:t>致：</w:t>
      </w:r>
      <w:r>
        <w:rPr>
          <w:rFonts w:ascii="宋体" w:hAnsi="宋体" w:cs="宋体"/>
          <w:color w:val="000000" w:themeColor="text1"/>
          <w:sz w:val="24"/>
          <w:u w:val="single"/>
        </w:rPr>
        <w:t xml:space="preserve">                     </w:t>
      </w:r>
      <w:r>
        <w:rPr>
          <w:rFonts w:hint="eastAsia" w:ascii="宋体" w:hAnsi="宋体" w:cs="宋体"/>
          <w:color w:val="000000" w:themeColor="text1"/>
          <w:sz w:val="24"/>
        </w:rPr>
        <w:t>（采购代理机构名称）</w:t>
      </w:r>
    </w:p>
    <w:p>
      <w:pPr>
        <w:tabs>
          <w:tab w:val="left" w:pos="7200"/>
        </w:tabs>
        <w:spacing w:line="360" w:lineRule="auto"/>
        <w:ind w:firstLine="600" w:firstLineChars="250"/>
        <w:rPr>
          <w:rFonts w:ascii="宋体" w:cs="宋体"/>
          <w:color w:val="000000" w:themeColor="text1"/>
          <w:sz w:val="24"/>
        </w:rPr>
      </w:pP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（供应商名称）系中华人民共和国合法企业,经营地址</w:t>
      </w:r>
      <w:r>
        <w:rPr>
          <w:rFonts w:ascii="宋体" w:hAnsi="宋体" w:cs="宋体"/>
          <w:color w:val="000000" w:themeColor="text1"/>
          <w:sz w:val="24"/>
          <w:u w:val="single"/>
        </w:rPr>
        <w:t xml:space="preserve">                   </w:t>
      </w:r>
      <w:r>
        <w:rPr>
          <w:rFonts w:hint="eastAsia" w:ascii="宋体" w:hAnsi="宋体" w:cs="宋体"/>
          <w:color w:val="000000" w:themeColor="text1"/>
          <w:sz w:val="24"/>
        </w:rPr>
        <w:t>。</w:t>
      </w:r>
    </w:p>
    <w:p>
      <w:pPr>
        <w:tabs>
          <w:tab w:val="left" w:pos="7200"/>
        </w:tabs>
        <w:spacing w:line="360" w:lineRule="auto"/>
        <w:ind w:left="420" w:leftChars="200" w:firstLine="600" w:firstLineChars="250"/>
        <w:rPr>
          <w:rFonts w:ascii="宋体" w:cs="宋体"/>
          <w:color w:val="000000" w:themeColor="text1"/>
          <w:sz w:val="24"/>
        </w:rPr>
      </w:pPr>
      <w:r>
        <w:rPr>
          <w:rFonts w:hint="eastAsia" w:ascii="宋体" w:hAnsi="宋体" w:cs="宋体"/>
          <w:color w:val="000000" w:themeColor="text1"/>
          <w:sz w:val="24"/>
        </w:rPr>
        <w:t>我</w:t>
      </w:r>
      <w:r>
        <w:rPr>
          <w:rFonts w:ascii="宋体" w:hAnsi="宋体" w:cs="宋体"/>
          <w:color w:val="000000" w:themeColor="text1"/>
          <w:sz w:val="24"/>
        </w:rPr>
        <w:t xml:space="preserve"> </w:t>
      </w:r>
      <w:r>
        <w:rPr>
          <w:rFonts w:ascii="宋体" w:hAnsi="宋体" w:cs="宋体"/>
          <w:color w:val="000000" w:themeColor="text1"/>
          <w:sz w:val="24"/>
          <w:u w:val="single"/>
        </w:rPr>
        <w:t xml:space="preserve">       </w:t>
      </w:r>
      <w:r>
        <w:rPr>
          <w:rFonts w:hint="eastAsia" w:ascii="宋体" w:hAnsi="宋体" w:cs="宋体"/>
          <w:color w:val="000000" w:themeColor="text1"/>
          <w:sz w:val="24"/>
        </w:rPr>
        <w:t>（姓名）系</w:t>
      </w: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（供应商名称）的法定代表人，我方愿意参加贵方组织的</w:t>
      </w:r>
      <w:r>
        <w:rPr>
          <w:rFonts w:ascii="宋体" w:hAnsi="宋体" w:cs="宋体"/>
          <w:color w:val="000000" w:themeColor="text1"/>
          <w:sz w:val="24"/>
          <w:u w:val="single"/>
        </w:rPr>
        <w:t xml:space="preserve">         </w:t>
      </w:r>
      <w:r>
        <w:rPr>
          <w:rFonts w:hint="eastAsia" w:ascii="宋体" w:hAnsi="宋体" w:cs="宋体"/>
          <w:color w:val="000000" w:themeColor="text1"/>
          <w:sz w:val="24"/>
        </w:rPr>
        <w:t>项目的本次政府采购活动，为便于贵方公正、择优地确定成交人及采购服务成果和服务，我方就本次政府采购活动有关事项郑重声明如下：</w:t>
      </w:r>
    </w:p>
    <w:p>
      <w:pPr>
        <w:tabs>
          <w:tab w:val="left" w:pos="7200"/>
        </w:tabs>
        <w:spacing w:line="360" w:lineRule="auto"/>
        <w:ind w:firstLine="480" w:firstLineChars="200"/>
        <w:rPr>
          <w:rFonts w:ascii="宋体" w:cs="宋体"/>
          <w:color w:val="000000" w:themeColor="text1"/>
          <w:sz w:val="24"/>
          <w:u w:val="single"/>
        </w:rPr>
      </w:pPr>
      <w:r>
        <w:rPr>
          <w:rFonts w:ascii="宋体" w:hAnsi="宋体" w:cs="宋体"/>
          <w:color w:val="000000" w:themeColor="text1"/>
          <w:sz w:val="24"/>
        </w:rPr>
        <w:t xml:space="preserve">1. </w:t>
      </w:r>
      <w:r>
        <w:rPr>
          <w:rFonts w:hint="eastAsia" w:ascii="宋体" w:hAnsi="宋体" w:cs="宋体"/>
          <w:color w:val="000000" w:themeColor="text1"/>
          <w:sz w:val="24"/>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cs="宋体"/>
          <w:color w:val="000000" w:themeColor="text1"/>
          <w:sz w:val="24"/>
        </w:rPr>
      </w:pPr>
      <w:r>
        <w:rPr>
          <w:rFonts w:ascii="宋体" w:hAnsi="宋体" w:cs="宋体"/>
          <w:color w:val="000000" w:themeColor="text1"/>
          <w:sz w:val="24"/>
        </w:rPr>
        <w:t xml:space="preserve">2. </w:t>
      </w:r>
      <w:r>
        <w:rPr>
          <w:rFonts w:hint="eastAsia" w:ascii="宋体" w:hAnsi="宋体" w:cs="宋体"/>
          <w:color w:val="000000" w:themeColor="text1"/>
          <w:sz w:val="24"/>
        </w:rPr>
        <w:t>以上事项如有虚假或隐瞒，我方愿意承担一切后果，并不再寻求任何旨在减轻或免除法律责任的辩解。</w:t>
      </w:r>
    </w:p>
    <w:p>
      <w:pPr>
        <w:tabs>
          <w:tab w:val="left" w:pos="7200"/>
        </w:tabs>
        <w:spacing w:line="360" w:lineRule="auto"/>
        <w:ind w:firstLine="480" w:firstLineChars="200"/>
        <w:rPr>
          <w:rFonts w:ascii="宋体" w:cs="宋体"/>
          <w:color w:val="000000" w:themeColor="text1"/>
          <w:sz w:val="24"/>
        </w:rPr>
      </w:pPr>
    </w:p>
    <w:p>
      <w:pPr>
        <w:tabs>
          <w:tab w:val="left" w:pos="7200"/>
        </w:tabs>
        <w:spacing w:line="360" w:lineRule="auto"/>
        <w:ind w:firstLine="5040" w:firstLineChars="2100"/>
        <w:rPr>
          <w:rFonts w:ascii="宋体" w:cs="宋体"/>
          <w:color w:val="000000" w:themeColor="text1"/>
          <w:sz w:val="24"/>
          <w:u w:val="single"/>
        </w:rPr>
      </w:pPr>
      <w:r>
        <w:rPr>
          <w:rFonts w:hint="eastAsia" w:ascii="宋体" w:hAnsi="宋体" w:cs="宋体"/>
          <w:color w:val="000000" w:themeColor="text1"/>
          <w:sz w:val="24"/>
        </w:rPr>
        <w:t>法定代表人或委托代理人（签字或盖章）：</w:t>
      </w:r>
      <w:r>
        <w:rPr>
          <w:rFonts w:ascii="宋体" w:hAnsi="宋体" w:cs="宋体"/>
          <w:color w:val="000000" w:themeColor="text1"/>
          <w:sz w:val="24"/>
          <w:u w:val="single"/>
        </w:rPr>
        <w:t xml:space="preserve">        </w:t>
      </w:r>
    </w:p>
    <w:p>
      <w:pPr>
        <w:tabs>
          <w:tab w:val="left" w:pos="7200"/>
        </w:tabs>
        <w:spacing w:line="360" w:lineRule="auto"/>
        <w:ind w:firstLine="4668" w:firstLineChars="1945"/>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供应商（盖章）：</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pPr>
        <w:tabs>
          <w:tab w:val="left" w:pos="7200"/>
        </w:tabs>
        <w:spacing w:line="360" w:lineRule="auto"/>
        <w:ind w:firstLine="955" w:firstLineChars="398"/>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pStyle w:val="16"/>
        <w:outlineLvl w:val="9"/>
        <w:rPr>
          <w:color w:val="000000" w:themeColor="text1"/>
        </w:rPr>
        <w:sectPr>
          <w:pgSz w:w="11906" w:h="16838"/>
          <w:pgMar w:top="1440" w:right="1080" w:bottom="1440" w:left="1080" w:header="720" w:footer="720" w:gutter="0"/>
          <w:cols w:space="720" w:num="1"/>
          <w:docGrid w:type="lines" w:linePitch="331" w:charSpace="0"/>
        </w:sectPr>
      </w:pPr>
    </w:p>
    <w:p>
      <w:pPr>
        <w:pStyle w:val="9"/>
        <w:spacing w:line="360" w:lineRule="auto"/>
        <w:rPr>
          <w:rFonts w:hAnsi="宋体"/>
          <w:b/>
          <w:color w:val="000000" w:themeColor="text1"/>
        </w:rPr>
      </w:pPr>
      <w:r>
        <w:rPr>
          <w:rFonts w:hint="eastAsia" w:hAnsi="宋体"/>
          <w:b/>
          <w:color w:val="000000" w:themeColor="text1"/>
        </w:rPr>
        <w:t>格式10：</w:t>
      </w:r>
    </w:p>
    <w:p>
      <w:pPr>
        <w:pStyle w:val="9"/>
        <w:spacing w:line="360" w:lineRule="auto"/>
        <w:ind w:firstLine="420"/>
        <w:rPr>
          <w:rFonts w:hAnsi="宋体" w:cs="宋体"/>
          <w:color w:val="000000" w:themeColor="text1"/>
          <w:sz w:val="24"/>
          <w:szCs w:val="24"/>
        </w:rPr>
      </w:pPr>
      <w:r>
        <w:rPr>
          <w:rFonts w:hAnsi="宋体" w:cs="宋体"/>
          <w:color w:val="000000" w:themeColor="text1"/>
          <w:sz w:val="24"/>
          <w:szCs w:val="24"/>
        </w:rPr>
        <w:t xml:space="preserve">                               </w:t>
      </w:r>
    </w:p>
    <w:p>
      <w:pPr>
        <w:pStyle w:val="9"/>
        <w:spacing w:line="500" w:lineRule="exact"/>
        <w:jc w:val="center"/>
        <w:rPr>
          <w:rFonts w:hAnsi="宋体" w:cs="宋体"/>
          <w:b/>
          <w:bCs/>
          <w:color w:val="000000" w:themeColor="text1"/>
          <w:sz w:val="30"/>
          <w:szCs w:val="30"/>
        </w:rPr>
      </w:pPr>
      <w:r>
        <w:rPr>
          <w:rFonts w:hint="eastAsia" w:hAnsi="宋体" w:cs="宋体"/>
          <w:b/>
          <w:bCs/>
          <w:color w:val="000000" w:themeColor="text1"/>
          <w:sz w:val="30"/>
          <w:szCs w:val="30"/>
        </w:rPr>
        <w:t>磋商供应商直接控股、管理关系信息表（格式）</w:t>
      </w:r>
    </w:p>
    <w:p>
      <w:pPr>
        <w:snapToGrid w:val="0"/>
        <w:spacing w:before="50" w:afterLines="50"/>
        <w:jc w:val="center"/>
        <w:rPr>
          <w:rFonts w:ascii="宋体" w:hAnsi="宋体"/>
          <w:b/>
          <w:color w:val="000000" w:themeColor="text1"/>
          <w:sz w:val="28"/>
          <w:szCs w:val="28"/>
        </w:rPr>
      </w:pPr>
    </w:p>
    <w:p>
      <w:pPr>
        <w:snapToGrid w:val="0"/>
        <w:spacing w:before="50" w:afterLines="50"/>
        <w:jc w:val="center"/>
        <w:rPr>
          <w:rFonts w:ascii="宋体" w:hAnsi="宋体"/>
          <w:b/>
          <w:color w:val="000000" w:themeColor="text1"/>
          <w:sz w:val="28"/>
          <w:szCs w:val="28"/>
        </w:rPr>
      </w:pPr>
      <w:r>
        <w:rPr>
          <w:rFonts w:hint="eastAsia" w:ascii="宋体" w:hAnsi="宋体"/>
          <w:b/>
          <w:color w:val="000000" w:themeColor="text1"/>
          <w:sz w:val="28"/>
          <w:szCs w:val="28"/>
        </w:rPr>
        <w:t>磋商供应商直接控股股东信息表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000000" w:themeColor="text1"/>
          <w:sz w:val="24"/>
        </w:rPr>
      </w:pPr>
      <w:r>
        <w:rPr>
          <w:rFonts w:hint="eastAsia" w:ascii="宋体" w:hAnsi="宋体"/>
          <w:color w:val="000000" w:themeColor="text1"/>
          <w:sz w:val="24"/>
        </w:rPr>
        <w:t>2.本表所指的控股关系仅限于直接控股关系，不包括间接的控股关系。公司实际控制人与公司之间的关系不属于本表所指的直接控股关系。</w:t>
      </w: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napToGrid w:val="0"/>
        <w:jc w:val="center"/>
        <w:rPr>
          <w:rFonts w:ascii="宋体" w:hAnsi="宋体"/>
          <w:color w:val="000000" w:themeColor="text1"/>
        </w:rPr>
      </w:pPr>
      <w:r>
        <w:rPr>
          <w:rFonts w:ascii="宋体" w:hAnsi="宋体"/>
          <w:b/>
          <w:color w:val="000000" w:themeColor="text1"/>
          <w:sz w:val="28"/>
          <w:szCs w:val="28"/>
        </w:rPr>
        <w:br w:type="page"/>
      </w:r>
      <w:r>
        <w:rPr>
          <w:rFonts w:hint="eastAsia" w:ascii="宋体" w:hAnsi="宋体"/>
          <w:b/>
          <w:color w:val="000000" w:themeColor="text1"/>
          <w:sz w:val="28"/>
          <w:szCs w:val="28"/>
        </w:rPr>
        <w:t>磋商供应商直接管理关系信息表</w:t>
      </w:r>
    </w:p>
    <w:tbl>
      <w:tblPr>
        <w:tblStyle w:val="18"/>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1.管理关系：是指不具有出资持股关系的其他单位之间存在的管理与被管理关系，如一些上下级关系的事业单位和团体组织。</w:t>
      </w:r>
    </w:p>
    <w:p>
      <w:pPr>
        <w:snapToGrid w:val="0"/>
        <w:jc w:val="left"/>
        <w:rPr>
          <w:rFonts w:ascii="宋体" w:hAnsi="宋体"/>
          <w:color w:val="000000" w:themeColor="text1"/>
        </w:rPr>
      </w:pPr>
      <w:r>
        <w:rPr>
          <w:rFonts w:hint="eastAsia" w:ascii="宋体" w:hAnsi="宋体"/>
          <w:color w:val="000000" w:themeColor="text1"/>
          <w:sz w:val="24"/>
        </w:rPr>
        <w:t>2.本表所指的管理关系仅限于直接管理关系，不包括间接的管理关系。</w:t>
      </w: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color w:val="000000" w:themeColor="text1"/>
        </w:rPr>
      </w:pPr>
    </w:p>
    <w:p>
      <w:pPr>
        <w:snapToGrid w:val="0"/>
        <w:jc w:val="left"/>
        <w:rPr>
          <w:color w:val="000000" w:themeColor="text1"/>
        </w:rPr>
      </w:pPr>
    </w:p>
    <w:p>
      <w:pPr>
        <w:snapToGrid w:val="0"/>
        <w:jc w:val="left"/>
        <w:rPr>
          <w:color w:val="000000" w:themeColor="text1"/>
        </w:rPr>
      </w:pPr>
    </w:p>
    <w:p>
      <w:pPr>
        <w:snapToGrid w:val="0"/>
        <w:jc w:val="left"/>
        <w:rPr>
          <w:rFonts w:ascii="宋体" w:hAnsi="宋体"/>
          <w:color w:val="000000" w:themeColor="text1"/>
          <w:szCs w:val="21"/>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pacing w:line="600" w:lineRule="exact"/>
        <w:outlineLvl w:val="0"/>
        <w:rPr>
          <w:color w:val="000000" w:themeColor="text1"/>
        </w:rPr>
      </w:pPr>
    </w:p>
    <w:p>
      <w:pPr>
        <w:pStyle w:val="16"/>
        <w:rPr>
          <w:rFonts w:asciiTheme="majorEastAsia" w:hAnsiTheme="majorEastAsia" w:eastAsiaTheme="majorEastAsia" w:cstheme="majorEastAsia"/>
          <w:color w:val="000000" w:themeColor="text1"/>
        </w:rPr>
        <w:sectPr>
          <w:footerReference r:id="rId11" w:type="default"/>
          <w:pgSz w:w="11906" w:h="16838"/>
          <w:pgMar w:top="1440" w:right="1080" w:bottom="1440" w:left="880" w:header="720" w:footer="720" w:gutter="0"/>
          <w:cols w:space="720" w:num="1"/>
          <w:docGrid w:type="lines" w:linePitch="331" w:charSpace="0"/>
        </w:sectPr>
      </w:pPr>
    </w:p>
    <w:p>
      <w:pPr>
        <w:pStyle w:val="16"/>
        <w:rPr>
          <w:rFonts w:asciiTheme="majorEastAsia" w:hAnsiTheme="majorEastAsia" w:eastAsiaTheme="majorEastAsia" w:cstheme="majorEastAsia"/>
          <w:color w:val="000000" w:themeColor="text1"/>
          <w:u w:val="single"/>
        </w:rPr>
      </w:pPr>
      <w:bookmarkStart w:id="129" w:name="_Toc3353"/>
      <w:bookmarkStart w:id="130" w:name="_Toc7341"/>
      <w:r>
        <w:rPr>
          <w:rFonts w:hint="eastAsia" w:asciiTheme="majorEastAsia" w:hAnsiTheme="majorEastAsia" w:eastAsiaTheme="majorEastAsia" w:cstheme="majorEastAsia"/>
          <w:color w:val="000000" w:themeColor="text1"/>
        </w:rPr>
        <w:t>第六章  合同条款及格式</w:t>
      </w:r>
      <w:bookmarkEnd w:id="66"/>
      <w:bookmarkEnd w:id="97"/>
      <w:bookmarkEnd w:id="129"/>
      <w:bookmarkEnd w:id="130"/>
    </w:p>
    <w:p>
      <w:pPr>
        <w:spacing w:line="360" w:lineRule="auto"/>
        <w:ind w:firstLine="880" w:firstLineChars="200"/>
        <w:rPr>
          <w:rFonts w:asciiTheme="majorEastAsia" w:hAnsiTheme="majorEastAsia" w:eastAsiaTheme="majorEastAsia" w:cstheme="majorEastAsia"/>
          <w:color w:val="000000" w:themeColor="text1"/>
          <w:sz w:val="44"/>
        </w:rPr>
      </w:pPr>
    </w:p>
    <w:p>
      <w:pPr>
        <w:spacing w:line="360" w:lineRule="auto"/>
        <w:jc w:val="center"/>
        <w:rPr>
          <w:rFonts w:asciiTheme="majorEastAsia" w:hAnsiTheme="majorEastAsia" w:eastAsiaTheme="majorEastAsia" w:cstheme="majorEastAsia"/>
          <w:b/>
          <w:bCs/>
          <w:color w:val="000000" w:themeColor="text1"/>
          <w:sz w:val="52"/>
        </w:rPr>
      </w:pPr>
      <w:bookmarkStart w:id="131" w:name="_Toc9791"/>
      <w:r>
        <w:rPr>
          <w:rFonts w:hint="eastAsia" w:asciiTheme="majorEastAsia" w:hAnsiTheme="majorEastAsia" w:eastAsiaTheme="majorEastAsia" w:cstheme="majorEastAsia"/>
          <w:b/>
          <w:bCs/>
          <w:color w:val="000000" w:themeColor="text1"/>
          <w:sz w:val="52"/>
        </w:rPr>
        <w:t>南 宁 市 政 府 采 购</w:t>
      </w:r>
      <w:bookmarkEnd w:id="131"/>
    </w:p>
    <w:p>
      <w:pPr>
        <w:spacing w:line="360" w:lineRule="auto"/>
        <w:ind w:firstLine="420" w:firstLineChars="200"/>
        <w:rPr>
          <w:rFonts w:asciiTheme="majorEastAsia" w:hAnsiTheme="majorEastAsia" w:eastAsiaTheme="majorEastAsia" w:cstheme="majorEastAsia"/>
          <w:color w:val="000000" w:themeColor="text1"/>
        </w:rPr>
      </w:pPr>
    </w:p>
    <w:p>
      <w:pPr>
        <w:spacing w:line="360" w:lineRule="auto"/>
        <w:ind w:firstLine="440" w:firstLineChars="200"/>
        <w:rPr>
          <w:rFonts w:asciiTheme="majorEastAsia" w:hAnsiTheme="majorEastAsia" w:eastAsiaTheme="majorEastAsia" w:cstheme="majorEastAsia"/>
          <w:color w:val="000000" w:themeColor="text1"/>
          <w:sz w:val="22"/>
          <w:szCs w:val="28"/>
        </w:rPr>
      </w:pPr>
    </w:p>
    <w:p>
      <w:pPr>
        <w:jc w:val="center"/>
        <w:rPr>
          <w:rFonts w:asciiTheme="majorEastAsia" w:hAnsiTheme="majorEastAsia" w:eastAsiaTheme="majorEastAsia" w:cstheme="majorEastAsia"/>
          <w:b/>
          <w:color w:val="000000" w:themeColor="text1"/>
          <w:sz w:val="36"/>
          <w:szCs w:val="36"/>
        </w:rPr>
      </w:pPr>
      <w:bookmarkStart w:id="132" w:name="_Toc8939"/>
      <w:r>
        <w:rPr>
          <w:rFonts w:hint="eastAsia" w:asciiTheme="majorEastAsia" w:hAnsiTheme="majorEastAsia" w:eastAsiaTheme="majorEastAsia" w:cstheme="majorEastAsia"/>
          <w:b/>
          <w:bCs/>
          <w:color w:val="000000" w:themeColor="text1"/>
          <w:sz w:val="36"/>
          <w:szCs w:val="36"/>
          <w:u w:val="single"/>
        </w:rPr>
        <w:t>南宁市住房信息系统发布平台升级</w:t>
      </w:r>
      <w:r>
        <w:rPr>
          <w:rFonts w:hint="eastAsia" w:asciiTheme="majorEastAsia" w:hAnsiTheme="majorEastAsia" w:eastAsiaTheme="majorEastAsia" w:cstheme="majorEastAsia"/>
          <w:b/>
          <w:bCs/>
          <w:color w:val="000000" w:themeColor="text1"/>
          <w:sz w:val="36"/>
          <w:szCs w:val="36"/>
        </w:rPr>
        <w:t>合同</w:t>
      </w:r>
      <w:bookmarkEnd w:id="132"/>
    </w:p>
    <w:p>
      <w:pPr>
        <w:spacing w:line="360" w:lineRule="auto"/>
        <w:ind w:firstLine="2570" w:firstLineChars="800"/>
        <w:rPr>
          <w:rFonts w:asciiTheme="majorEastAsia" w:hAnsiTheme="majorEastAsia" w:eastAsiaTheme="majorEastAsia" w:cstheme="majorEastAsia"/>
          <w:b/>
          <w:color w:val="000000" w:themeColor="text1"/>
          <w:sz w:val="32"/>
          <w:szCs w:val="32"/>
        </w:rPr>
      </w:pP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3" w:name="_Toc1355"/>
      <w:r>
        <w:rPr>
          <w:rFonts w:hint="eastAsia" w:asciiTheme="majorEastAsia" w:hAnsiTheme="majorEastAsia" w:eastAsiaTheme="majorEastAsia" w:cstheme="majorEastAsia"/>
          <w:b/>
          <w:color w:val="000000" w:themeColor="text1"/>
          <w:sz w:val="32"/>
          <w:szCs w:val="32"/>
        </w:rPr>
        <w:t>合同类别：</w:t>
      </w:r>
      <w:r>
        <w:rPr>
          <w:rFonts w:hint="eastAsia" w:asciiTheme="majorEastAsia" w:hAnsiTheme="majorEastAsia" w:eastAsiaTheme="majorEastAsia" w:cstheme="majorEastAsia"/>
          <w:b/>
          <w:color w:val="000000" w:themeColor="text1"/>
          <w:sz w:val="32"/>
          <w:szCs w:val="32"/>
          <w:u w:val="single"/>
        </w:rPr>
        <w:t>服务竞争性磋商</w:t>
      </w:r>
      <w:bookmarkEnd w:id="133"/>
      <w:r>
        <w:rPr>
          <w:rFonts w:hint="eastAsia" w:asciiTheme="majorEastAsia" w:hAnsiTheme="majorEastAsia" w:eastAsiaTheme="majorEastAsia" w:cstheme="majorEastAsia"/>
          <w:b/>
          <w:color w:val="000000" w:themeColor="text1"/>
          <w:sz w:val="32"/>
          <w:szCs w:val="32"/>
          <w:u w:val="single"/>
        </w:rPr>
        <w:t xml:space="preserve">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4" w:name="_Toc32558"/>
      <w:r>
        <w:rPr>
          <w:rFonts w:hint="eastAsia" w:asciiTheme="majorEastAsia" w:hAnsiTheme="majorEastAsia" w:eastAsiaTheme="majorEastAsia" w:cstheme="majorEastAsia"/>
          <w:b/>
          <w:color w:val="000000" w:themeColor="text1"/>
          <w:sz w:val="32"/>
          <w:szCs w:val="32"/>
        </w:rPr>
        <w:t>合同编号：</w:t>
      </w:r>
      <w:bookmarkEnd w:id="134"/>
      <w:r>
        <w:rPr>
          <w:rFonts w:hint="eastAsia" w:asciiTheme="majorEastAsia" w:hAnsiTheme="majorEastAsia" w:eastAsiaTheme="majorEastAsia" w:cstheme="majorEastAsia"/>
          <w:b/>
          <w:color w:val="000000" w:themeColor="text1"/>
          <w:sz w:val="32"/>
          <w:szCs w:val="32"/>
          <w:u w:val="single"/>
        </w:rPr>
        <w:t xml:space="preserve">NNZC2020-C3-990367-GXYZ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r>
        <w:rPr>
          <w:rFonts w:hint="eastAsia" w:asciiTheme="majorEastAsia" w:hAnsiTheme="majorEastAsia" w:eastAsiaTheme="majorEastAsia" w:cstheme="majorEastAsia"/>
          <w:b/>
          <w:color w:val="000000" w:themeColor="text1"/>
          <w:sz w:val="32"/>
          <w:szCs w:val="32"/>
        </w:rPr>
        <w:t>采购计划文号：[2020]NCCJB518001/1777-001</w:t>
      </w:r>
    </w:p>
    <w:p>
      <w:pPr>
        <w:ind w:left="2520" w:leftChars="1200"/>
        <w:rPr>
          <w:rFonts w:asciiTheme="majorEastAsia" w:hAnsiTheme="majorEastAsia" w:eastAsiaTheme="majorEastAsia" w:cstheme="majorEastAsia"/>
          <w:b/>
          <w:color w:val="000000" w:themeColor="text1"/>
          <w:sz w:val="32"/>
          <w:szCs w:val="32"/>
          <w:u w:val="single"/>
        </w:rPr>
      </w:pPr>
    </w:p>
    <w:p>
      <w:pPr>
        <w:ind w:firstLine="2605" w:firstLineChars="811"/>
        <w:rPr>
          <w:rFonts w:asciiTheme="majorEastAsia" w:hAnsiTheme="majorEastAsia" w:eastAsiaTheme="majorEastAsia" w:cstheme="majorEastAsia"/>
          <w:b/>
          <w:color w:val="000000" w:themeColor="text1"/>
          <w:sz w:val="32"/>
          <w:szCs w:val="32"/>
          <w:u w:val="single"/>
        </w:rPr>
      </w:pPr>
    </w:p>
    <w:p>
      <w:pPr>
        <w:spacing w:line="360" w:lineRule="auto"/>
        <w:rPr>
          <w:rFonts w:asciiTheme="majorEastAsia" w:hAnsiTheme="majorEastAsia" w:eastAsiaTheme="majorEastAsia" w:cstheme="majorEastAsia"/>
          <w:b/>
          <w:color w:val="000000" w:themeColor="text1"/>
          <w:sz w:val="32"/>
          <w:szCs w:val="32"/>
        </w:rPr>
      </w:pPr>
    </w:p>
    <w:p>
      <w:pPr>
        <w:spacing w:line="360" w:lineRule="auto"/>
        <w:rPr>
          <w:rFonts w:asciiTheme="majorEastAsia" w:hAnsiTheme="majorEastAsia" w:eastAsiaTheme="majorEastAsia" w:cstheme="majorEastAsia"/>
          <w:b/>
          <w:bCs/>
          <w:color w:val="000000" w:themeColor="text1"/>
          <w:sz w:val="36"/>
          <w:szCs w:val="36"/>
        </w:rPr>
      </w:pPr>
    </w:p>
    <w:p>
      <w:pPr>
        <w:pStyle w:val="2"/>
        <w:rPr>
          <w:rFonts w:asciiTheme="majorEastAsia" w:hAnsiTheme="majorEastAsia" w:eastAsiaTheme="majorEastAsia" w:cstheme="majorEastAsia"/>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5" w:name="_Toc32276"/>
      <w:r>
        <w:rPr>
          <w:rFonts w:hint="eastAsia" w:asciiTheme="majorEastAsia" w:hAnsiTheme="majorEastAsia" w:eastAsiaTheme="majorEastAsia" w:cstheme="majorEastAsia"/>
          <w:b/>
          <w:color w:val="000000" w:themeColor="text1"/>
          <w:sz w:val="32"/>
          <w:szCs w:val="32"/>
        </w:rPr>
        <w:t>采购人：</w:t>
      </w:r>
      <w:bookmarkEnd w:id="135"/>
      <w:r>
        <w:rPr>
          <w:rFonts w:hint="eastAsia" w:asciiTheme="majorEastAsia" w:hAnsiTheme="majorEastAsia" w:eastAsiaTheme="majorEastAsia" w:cstheme="majorEastAsia"/>
          <w:b/>
          <w:color w:val="000000" w:themeColor="text1"/>
          <w:sz w:val="32"/>
          <w:szCs w:val="32"/>
          <w:u w:val="single"/>
        </w:rPr>
        <w:t xml:space="preserve">南宁市住房和城乡建设局        </w:t>
      </w:r>
    </w:p>
    <w:p>
      <w:pPr>
        <w:widowControl/>
        <w:tabs>
          <w:tab w:val="left" w:pos="7380"/>
        </w:tabs>
        <w:spacing w:line="360" w:lineRule="auto"/>
        <w:ind w:firstLine="2570" w:firstLineChars="800"/>
        <w:jc w:val="left"/>
        <w:rPr>
          <w:rFonts w:asciiTheme="majorEastAsia" w:hAnsiTheme="majorEastAsia" w:eastAsiaTheme="majorEastAsia" w:cstheme="majorEastAsia"/>
          <w:b/>
          <w:color w:val="000000" w:themeColor="text1"/>
          <w:sz w:val="36"/>
          <w:szCs w:val="36"/>
        </w:rPr>
        <w:sectPr>
          <w:pgSz w:w="11906" w:h="16838"/>
          <w:pgMar w:top="1440" w:right="1080" w:bottom="1440" w:left="880" w:header="720" w:footer="720" w:gutter="0"/>
          <w:cols w:space="720" w:num="1"/>
          <w:docGrid w:type="lines" w:linePitch="331" w:charSpace="0"/>
        </w:sectPr>
      </w:pPr>
      <w:bookmarkStart w:id="136" w:name="_Toc32593"/>
      <w:r>
        <w:rPr>
          <w:rFonts w:hint="eastAsia" w:asciiTheme="majorEastAsia" w:hAnsiTheme="majorEastAsia" w:eastAsiaTheme="majorEastAsia" w:cstheme="majorEastAsia"/>
          <w:b/>
          <w:color w:val="000000" w:themeColor="text1"/>
          <w:sz w:val="32"/>
          <w:szCs w:val="32"/>
        </w:rPr>
        <w:t>成交供应商：</w:t>
      </w:r>
      <w:r>
        <w:rPr>
          <w:rFonts w:hint="eastAsia" w:asciiTheme="majorEastAsia" w:hAnsiTheme="majorEastAsia" w:eastAsiaTheme="majorEastAsia" w:cstheme="majorEastAsia"/>
          <w:b/>
          <w:color w:val="000000" w:themeColor="text1"/>
          <w:sz w:val="32"/>
          <w:szCs w:val="32"/>
          <w:u w:val="single"/>
        </w:rPr>
        <w:t xml:space="preserve">                          </w:t>
      </w:r>
      <w:bookmarkEnd w:id="136"/>
    </w:p>
    <w:p>
      <w:pPr>
        <w:widowControl/>
        <w:jc w:val="center"/>
        <w:rPr>
          <w:rFonts w:asciiTheme="majorEastAsia" w:hAnsiTheme="majorEastAsia" w:eastAsiaTheme="majorEastAsia" w:cstheme="majorEastAsia"/>
          <w:b/>
          <w:color w:val="000000" w:themeColor="text1"/>
          <w:sz w:val="36"/>
          <w:szCs w:val="36"/>
        </w:rPr>
      </w:pPr>
      <w:bookmarkStart w:id="137" w:name="_Toc20957"/>
      <w:r>
        <w:rPr>
          <w:rFonts w:hint="eastAsia" w:asciiTheme="majorEastAsia" w:hAnsiTheme="majorEastAsia" w:eastAsiaTheme="majorEastAsia" w:cstheme="majorEastAsia"/>
          <w:b/>
          <w:color w:val="000000" w:themeColor="text1"/>
          <w:sz w:val="36"/>
          <w:szCs w:val="36"/>
        </w:rPr>
        <w:t>目  录</w:t>
      </w:r>
      <w:bookmarkEnd w:id="137"/>
    </w:p>
    <w:p>
      <w:pPr>
        <w:tabs>
          <w:tab w:val="left" w:pos="1170"/>
        </w:tabs>
        <w:spacing w:line="360" w:lineRule="auto"/>
        <w:ind w:left="359" w:leftChars="171" w:firstLine="198" w:firstLineChars="71"/>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ab/>
      </w:r>
    </w:p>
    <w:p>
      <w:pPr>
        <w:rPr>
          <w:rFonts w:asciiTheme="majorEastAsia" w:hAnsiTheme="majorEastAsia" w:eastAsiaTheme="majorEastAsia" w:cstheme="majorEastAsia"/>
          <w:b/>
          <w:color w:val="000000" w:themeColor="text1"/>
          <w:sz w:val="30"/>
          <w:szCs w:val="30"/>
        </w:rPr>
      </w:pPr>
      <w:bookmarkStart w:id="138" w:name="_Toc3040"/>
      <w:r>
        <w:rPr>
          <w:rFonts w:hint="eastAsia" w:asciiTheme="majorEastAsia" w:hAnsiTheme="majorEastAsia" w:eastAsiaTheme="majorEastAsia" w:cstheme="majorEastAsia"/>
          <w:b/>
          <w:color w:val="000000" w:themeColor="text1"/>
          <w:sz w:val="30"/>
          <w:szCs w:val="30"/>
        </w:rPr>
        <w:t>一、南宁市政府采购合同书</w:t>
      </w:r>
      <w:bookmarkEnd w:id="138"/>
    </w:p>
    <w:p>
      <w:pPr>
        <w:rPr>
          <w:rFonts w:asciiTheme="majorEastAsia" w:hAnsiTheme="majorEastAsia" w:eastAsiaTheme="majorEastAsia" w:cstheme="majorEastAsia"/>
          <w:b/>
          <w:color w:val="000000" w:themeColor="text1"/>
          <w:sz w:val="30"/>
          <w:szCs w:val="30"/>
        </w:rPr>
      </w:pPr>
      <w:bookmarkStart w:id="139" w:name="_Toc27532"/>
      <w:r>
        <w:rPr>
          <w:rFonts w:hint="eastAsia" w:asciiTheme="majorEastAsia" w:hAnsiTheme="majorEastAsia" w:eastAsiaTheme="majorEastAsia" w:cstheme="majorEastAsia"/>
          <w:b/>
          <w:color w:val="000000" w:themeColor="text1"/>
          <w:sz w:val="30"/>
          <w:szCs w:val="30"/>
        </w:rPr>
        <w:t>二、合同附件</w:t>
      </w:r>
      <w:bookmarkEnd w:id="139"/>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成交通知书</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竞争性磋商文件服务需求一览表（见竞争性磋商文件）</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竞争性磋商文件的澄清和修改（如有请提供）</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响应文件报价表（见响应文件）、响应文件最终报价表</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响应文件中的服务技术资料表、商务条款偏离表（见响应文件）</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成交供应商澄清函</w:t>
      </w:r>
      <w:r>
        <w:rPr>
          <w:rFonts w:hint="eastAsia" w:asciiTheme="majorEastAsia" w:hAnsiTheme="majorEastAsia" w:eastAsiaTheme="majorEastAsia" w:cstheme="majorEastAsia"/>
          <w:color w:val="000000" w:themeColor="text1"/>
          <w:sz w:val="28"/>
          <w:szCs w:val="28"/>
        </w:rPr>
        <w:t>（如有请提</w:t>
      </w:r>
      <w:r>
        <w:rPr>
          <w:rFonts w:hint="eastAsia" w:asciiTheme="majorEastAsia" w:hAnsiTheme="majorEastAsia" w:eastAsiaTheme="majorEastAsia" w:cstheme="majorEastAsia"/>
          <w:color w:val="000000" w:themeColor="text1"/>
          <w:sz w:val="30"/>
          <w:szCs w:val="30"/>
        </w:rPr>
        <w:t>供</w:t>
      </w:r>
      <w:r>
        <w:rPr>
          <w:rFonts w:hint="eastAsia" w:asciiTheme="majorEastAsia" w:hAnsiTheme="majorEastAsia" w:eastAsiaTheme="majorEastAsia" w:cstheme="majorEastAsia"/>
          <w:color w:val="000000" w:themeColor="text1"/>
          <w:sz w:val="28"/>
          <w:szCs w:val="28"/>
        </w:rPr>
        <w:t>）</w:t>
      </w:r>
    </w:p>
    <w:p>
      <w:pPr>
        <w:numPr>
          <w:ilvl w:val="0"/>
          <w:numId w:val="13"/>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其他与本合同相关的资料（如有请提供）</w:t>
      </w:r>
    </w:p>
    <w:p>
      <w:pPr>
        <w:spacing w:line="360" w:lineRule="auto"/>
        <w:jc w:val="center"/>
        <w:rPr>
          <w:rFonts w:asciiTheme="majorEastAsia" w:hAnsiTheme="majorEastAsia" w:eastAsiaTheme="majorEastAsia" w:cstheme="majorEastAsia"/>
          <w:b/>
          <w:bCs/>
          <w:color w:val="000000" w:themeColor="text1"/>
          <w:sz w:val="28"/>
        </w:rPr>
      </w:pPr>
    </w:p>
    <w:p>
      <w:pPr>
        <w:spacing w:line="360" w:lineRule="auto"/>
        <w:jc w:val="center"/>
        <w:rPr>
          <w:rFonts w:asciiTheme="majorEastAsia" w:hAnsiTheme="majorEastAsia" w:eastAsiaTheme="majorEastAsia" w:cstheme="majorEastAsia"/>
          <w:b/>
          <w:bCs/>
          <w:color w:val="000000" w:themeColor="text1"/>
          <w:sz w:val="30"/>
          <w:szCs w:val="30"/>
        </w:rPr>
      </w:pPr>
      <w:r>
        <w:rPr>
          <w:rFonts w:hint="eastAsia" w:asciiTheme="majorEastAsia" w:hAnsiTheme="majorEastAsia" w:eastAsiaTheme="majorEastAsia" w:cstheme="majorEastAsia"/>
          <w:bCs/>
          <w:color w:val="000000" w:themeColor="text1"/>
          <w:sz w:val="28"/>
        </w:rPr>
        <w:br w:type="page"/>
      </w:r>
      <w:r>
        <w:rPr>
          <w:rFonts w:hint="eastAsia" w:asciiTheme="majorEastAsia" w:hAnsiTheme="majorEastAsia" w:eastAsiaTheme="majorEastAsia" w:cstheme="majorEastAsia"/>
          <w:b/>
          <w:color w:val="000000" w:themeColor="text1"/>
          <w:sz w:val="30"/>
          <w:szCs w:val="30"/>
        </w:rPr>
        <w:t>南宁市政府采购合同书</w:t>
      </w:r>
    </w:p>
    <w:p>
      <w:pPr>
        <w:pStyle w:val="9"/>
        <w:spacing w:line="360" w:lineRule="auto"/>
        <w:rPr>
          <w:rFonts w:asciiTheme="majorEastAsia" w:hAnsiTheme="majorEastAsia" w:eastAsiaTheme="majorEastAsia" w:cstheme="majorEastAsia"/>
          <w:color w:val="000000" w:themeColor="text1"/>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项目名称：</w:t>
      </w:r>
      <w:r>
        <w:rPr>
          <w:rFonts w:hint="eastAsia" w:asciiTheme="majorEastAsia" w:hAnsiTheme="majorEastAsia" w:eastAsiaTheme="majorEastAsia" w:cstheme="majorEastAsia"/>
          <w:color w:val="000000" w:themeColor="text1"/>
          <w:sz w:val="24"/>
          <w:szCs w:val="24"/>
          <w:u w:val="single"/>
        </w:rPr>
        <w:t>南宁市住房信息系统发布平台升级</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项目编号：</w:t>
      </w:r>
      <w:r>
        <w:rPr>
          <w:rFonts w:hint="eastAsia" w:asciiTheme="majorEastAsia" w:hAnsiTheme="majorEastAsia" w:eastAsiaTheme="majorEastAsia" w:cstheme="majorEastAsia"/>
          <w:color w:val="000000" w:themeColor="text1"/>
          <w:sz w:val="24"/>
          <w:szCs w:val="24"/>
          <w:u w:val="single"/>
        </w:rPr>
        <w:t>NNZC2020-C3-990367-GXYZ</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分标号（有分标时填写）：</w:t>
      </w:r>
      <w:r>
        <w:rPr>
          <w:rFonts w:hint="eastAsia" w:asciiTheme="majorEastAsia" w:hAnsiTheme="majorEastAsia" w:eastAsiaTheme="majorEastAsia" w:cstheme="majorEastAsia"/>
          <w:color w:val="000000" w:themeColor="text1"/>
          <w:sz w:val="24"/>
          <w:szCs w:val="24"/>
          <w:u w:val="single"/>
        </w:rPr>
        <w:t xml:space="preserve"> / </w:t>
      </w:r>
    </w:p>
    <w:p>
      <w:pPr>
        <w:pStyle w:val="9"/>
        <w:spacing w:line="360" w:lineRule="auto"/>
        <w:rPr>
          <w:rFonts w:asciiTheme="majorEastAsia" w:hAnsiTheme="majorEastAsia" w:eastAsiaTheme="majorEastAsia" w:cstheme="majorEastAsia"/>
          <w:color w:val="000000" w:themeColor="text1"/>
          <w:sz w:val="24"/>
          <w:szCs w:val="24"/>
        </w:rPr>
      </w:pPr>
    </w:p>
    <w:p>
      <w:pPr>
        <w:pStyle w:val="9"/>
        <w:tabs>
          <w:tab w:val="left" w:pos="5250"/>
        </w:tabs>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采购人（甲方）：</w:t>
      </w:r>
      <w:r>
        <w:rPr>
          <w:rFonts w:hint="eastAsia" w:asciiTheme="majorEastAsia" w:hAnsiTheme="majorEastAsia" w:eastAsiaTheme="majorEastAsia" w:cstheme="majorEastAsia"/>
          <w:color w:val="000000" w:themeColor="text1"/>
          <w:sz w:val="24"/>
          <w:szCs w:val="24"/>
          <w:u w:val="single"/>
        </w:rPr>
        <w:t xml:space="preserve">南宁市住房和城乡建设局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成交供应商（乙方）：</w:t>
      </w:r>
      <w:r>
        <w:rPr>
          <w:rFonts w:hint="eastAsia" w:asciiTheme="majorEastAsia" w:hAnsiTheme="majorEastAsia" w:eastAsiaTheme="majorEastAsia" w:cstheme="majorEastAsia"/>
          <w:color w:val="000000" w:themeColor="text1"/>
          <w:sz w:val="24"/>
          <w:szCs w:val="24"/>
          <w:u w:val="single"/>
        </w:rPr>
        <w:t xml:space="preserve">               </w:t>
      </w:r>
    </w:p>
    <w:bookmarkEnd w:id="67"/>
    <w:bookmarkEnd w:id="68"/>
    <w:bookmarkEnd w:id="69"/>
    <w:bookmarkEnd w:id="70"/>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根据   年  月  日南宁市政府采购项目的采购结果，甲方接受乙方对本项目的响应，甲、乙双方同意签署本合同（以下简称合同）。</w:t>
      </w:r>
    </w:p>
    <w:p>
      <w:pPr>
        <w:pStyle w:val="9"/>
        <w:spacing w:line="360" w:lineRule="auto"/>
        <w:rPr>
          <w:rFonts w:asciiTheme="majorEastAsia" w:hAnsiTheme="majorEastAsia" w:eastAsiaTheme="majorEastAsia" w:cstheme="majorEastAsia"/>
          <w:b/>
          <w:color w:val="000000" w:themeColor="text1"/>
          <w:sz w:val="24"/>
          <w:szCs w:val="24"/>
        </w:rPr>
      </w:pP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  采购内容</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1.1 服务名称：</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 数量：</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1.2服务内容：</w:t>
      </w:r>
      <w:r>
        <w:rPr>
          <w:rFonts w:hint="eastAsia" w:asciiTheme="majorEastAsia" w:hAnsiTheme="majorEastAsia" w:eastAsiaTheme="majorEastAsia" w:cstheme="majorEastAsia"/>
          <w:color w:val="000000" w:themeColor="text1"/>
          <w:sz w:val="24"/>
          <w:szCs w:val="24"/>
          <w:u w:val="single"/>
        </w:rPr>
        <w:t xml:space="preserve">详见合同附件中响应服务技术资料表及澄清函（响应服务技术资料表与澄清函不一致的以澄清函为准） </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  合同金额</w:t>
      </w:r>
    </w:p>
    <w:p>
      <w:pPr>
        <w:pStyle w:val="9"/>
        <w:spacing w:line="360" w:lineRule="auto"/>
        <w:ind w:left="2"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 本合同金额为（大写）人民币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w:t>
      </w:r>
      <w:r>
        <w:rPr>
          <w:rFonts w:hint="eastAsia" w:asciiTheme="majorEastAsia" w:hAnsiTheme="majorEastAsia" w:eastAsiaTheme="majorEastAsia" w:cstheme="majorEastAsia"/>
          <w:color w:val="000000" w:themeColor="text1"/>
          <w:sz w:val="24"/>
          <w:szCs w:val="24"/>
        </w:rPr>
        <w:t>元）。（详见响应文件最终报价表）</w:t>
      </w:r>
    </w:p>
    <w:p>
      <w:pPr>
        <w:pStyle w:val="9"/>
        <w:tabs>
          <w:tab w:val="left" w:pos="5940"/>
        </w:tabs>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  提交服务成果要求</w:t>
      </w:r>
    </w:p>
    <w:p>
      <w:pPr>
        <w:pStyle w:val="9"/>
        <w:tabs>
          <w:tab w:val="left" w:pos="5220"/>
        </w:tabs>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3.1 提交服务成果时间：</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提交服务成果</w:t>
      </w:r>
      <w:r>
        <w:rPr>
          <w:rFonts w:hint="eastAsia" w:cs="宋体" w:asciiTheme="majorEastAsia" w:hAnsiTheme="majorEastAsia" w:eastAsiaTheme="majorEastAsia"/>
          <w:color w:val="000000" w:themeColor="text1"/>
          <w:sz w:val="24"/>
        </w:rPr>
        <w:t>地点</w:t>
      </w:r>
      <w:r>
        <w:rPr>
          <w:rFonts w:hint="eastAsia" w:asciiTheme="majorEastAsia" w:hAnsiTheme="majorEastAsia" w:eastAsiaTheme="majorEastAsia" w:cstheme="majorEastAsia"/>
          <w:bCs/>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乙方必须按响应文件承诺的服务响应条款向甲方提供服务。</w:t>
      </w:r>
    </w:p>
    <w:p>
      <w:pPr>
        <w:pStyle w:val="9"/>
        <w:spacing w:line="360" w:lineRule="auto"/>
        <w:ind w:left="410" w:hanging="410" w:hangingChars="17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4.  履约保证金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r>
        <w:rPr>
          <w:rFonts w:hint="eastAsia" w:asciiTheme="majorEastAsia" w:hAnsiTheme="majorEastAsia" w:eastAsiaTheme="majorEastAsia" w:cstheme="majorEastAsia"/>
          <w:color w:val="000000" w:themeColor="text1"/>
          <w:sz w:val="24"/>
          <w:szCs w:val="24"/>
        </w:rPr>
        <w:t>本项目不收取履约保证金</w:t>
      </w:r>
      <w:r>
        <w:rPr>
          <w:rFonts w:hint="eastAsia" w:asciiTheme="majorEastAsia" w:hAnsiTheme="majorEastAsia" w:eastAsiaTheme="majorEastAsia" w:cstheme="majorEastAsia"/>
          <w:color w:val="000000" w:themeColor="text1"/>
          <w:szCs w:val="28"/>
        </w:rPr>
        <w:t>。</w:t>
      </w:r>
    </w:p>
    <w:p>
      <w:pPr>
        <w:pStyle w:val="9"/>
        <w:spacing w:line="360" w:lineRule="auto"/>
        <w:ind w:left="412" w:hanging="412" w:hangingChars="171"/>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5.  产权</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5.1 乙方应保证所提供的服务或其任何一部分均不会侵犯任何第三方的专利权、商标权或著作权</w:t>
      </w:r>
      <w:r>
        <w:rPr>
          <w:rFonts w:hint="eastAsia" w:asciiTheme="majorEastAsia" w:hAnsiTheme="majorEastAsia" w:eastAsiaTheme="majorEastAsia" w:cstheme="majorEastAsia"/>
          <w:bCs/>
          <w:color w:val="000000" w:themeColor="text1"/>
          <w:sz w:val="24"/>
          <w:szCs w:val="24"/>
        </w:rPr>
        <w:t>。</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6.  技术资料</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甲方应向乙方提供提交服务成果所必需的有关数据、资料等。</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7.  验收</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7.2 乙方在指定地点提交服务成果后，甲方应在五个工作日内依据竞争性磋商采购文件、乙方的响应文件等组织验收，验收完毕后作出书面验收报告。验收时乙方必须在现场。</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7.3 对复杂的服务，甲方可请国家认可的专业机构参与验收，并由其出具验收报告，相关费用由甲方承担。</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8.  合同款支付</w:t>
      </w:r>
    </w:p>
    <w:p>
      <w:pPr>
        <w:tabs>
          <w:tab w:val="left" w:pos="2101"/>
        </w:tabs>
        <w:spacing w:line="360" w:lineRule="auto"/>
        <w:ind w:firstLine="480" w:firstLineChars="200"/>
        <w:rPr>
          <w:rFonts w:asciiTheme="majorEastAsia" w:hAnsiTheme="majorEastAsia" w:eastAsiaTheme="majorEastAsia" w:cstheme="majorEastAsia"/>
          <w:color w:val="000000" w:themeColor="text1"/>
          <w:sz w:val="24"/>
          <w:u w:val="single"/>
        </w:rPr>
      </w:pPr>
      <w:r>
        <w:rPr>
          <w:rFonts w:hint="eastAsia" w:asciiTheme="majorEastAsia" w:hAnsiTheme="majorEastAsia" w:eastAsiaTheme="majorEastAsia" w:cstheme="majorEastAsia"/>
          <w:bCs/>
          <w:color w:val="000000" w:themeColor="text1"/>
          <w:sz w:val="24"/>
        </w:rPr>
        <w:t>8.1 付款方式：</w:t>
      </w:r>
      <w:r>
        <w:rPr>
          <w:rFonts w:hint="eastAsia" w:asciiTheme="majorEastAsia" w:hAnsiTheme="majorEastAsia" w:eastAsiaTheme="majorEastAsia" w:cstheme="majorEastAsia"/>
          <w:bCs/>
          <w:color w:val="000000" w:themeColor="text1"/>
          <w:sz w:val="24"/>
          <w:u w:val="single"/>
        </w:rPr>
        <w:t xml:space="preserve"> 本项目无预付款，成交供应商完成开发，提交验收材料并通过采购人确认合格后，采购人向成交供应商一次性支付合同全款。</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8.3 政府采购监督管理部门在处理投诉事项期间，可以视具体情况书面通知采购人暂停采购活动</w:t>
      </w:r>
      <w:r>
        <w:rPr>
          <w:rFonts w:hint="eastAsia" w:asciiTheme="majorEastAsia" w:hAnsiTheme="majorEastAsia" w:eastAsiaTheme="majorEastAsia" w:cstheme="majorEastAsia"/>
          <w:bCs/>
          <w:color w:val="000000" w:themeColor="text1"/>
          <w:sz w:val="24"/>
          <w:szCs w:val="24"/>
        </w:rPr>
        <w:t>，并延期支付合同款。</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9.  售后服务要求</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乙方提供服务的质量保证期为：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（自提交服务验收合格之日起计）</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9.2在本合同第9.1项约定的质量保证期内，乙方应对服务出现的问题负责处理解决并承担一切费用。</w:t>
      </w:r>
    </w:p>
    <w:p>
      <w:pPr>
        <w:pStyle w:val="9"/>
        <w:tabs>
          <w:tab w:val="left" w:pos="525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9.5 其他售后服务要求：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10.  违约责任</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10.1甲方无正当理由拒收服务的，甲方向乙方偿付拒收服务费总值的百分之五违约金。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10.2 甲方无故逾期接收和办理服务费支付手续的,甲方应按逾期付款总额每日万分之五向乙方支付违约金。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11.  不可抗力事件处理</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在合同有效期内，任何一方因不可抗力事件导致不能履行合同，则合同履行期可延长，其延长期与不可抗力影响期相同。</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不可抗力事件发生后，应立即通知对方，并寄送有关权威机构出具的证明。</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不可抗力事件延续120天以上，双方应通过友好协商，确定是否继续履行合同。</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12.  诉讼</w:t>
      </w:r>
    </w:p>
    <w:p>
      <w:pPr>
        <w:pStyle w:val="9"/>
        <w:tabs>
          <w:tab w:val="left" w:pos="0"/>
        </w:tabs>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13.  合同生效及其它</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13.1 合同经双方法定代表人或授权委托代理人签字并加盖单位公章后生效。</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13.3 下述合同附件为本合同不可分割的部分并与本合同具有同等效力：</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（1）成交通知书；</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（2）竞争性磋商采购文件服务需求一览表；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（3）竞争性磋商采购文件的澄清和修改；</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（4）响应文件报价表、响应文件最后报价表；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（5）响应文件中的服务技术资料表、商务条款偏离表；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（6）成交供应商澄清函；</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（7）其他与本合同相关的资料。</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13.4 本合同未尽事宜，遵照《中华人民共和国合同法》有关条文执行。</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rPr>
        <w:t>13.5本合同正本一式</w:t>
      </w:r>
      <w:r>
        <w:rPr>
          <w:rFonts w:hint="eastAsia" w:asciiTheme="majorEastAsia" w:hAnsiTheme="majorEastAsia" w:eastAsiaTheme="majorEastAsia" w:cstheme="majorEastAsia"/>
          <w:b/>
          <w:color w:val="000000" w:themeColor="text1"/>
          <w:sz w:val="24"/>
        </w:rPr>
        <w:t>陆份</w:t>
      </w:r>
      <w:r>
        <w:rPr>
          <w:rFonts w:hint="eastAsia" w:asciiTheme="majorEastAsia" w:hAnsiTheme="majorEastAsia" w:eastAsiaTheme="majorEastAsia" w:cstheme="majorEastAsia"/>
          <w:color w:val="000000" w:themeColor="text1"/>
          <w:sz w:val="24"/>
        </w:rPr>
        <w:t>，具有同等法律效力，甲乙双方各执</w:t>
      </w:r>
      <w:r>
        <w:rPr>
          <w:rFonts w:hint="eastAsia" w:asciiTheme="majorEastAsia" w:hAnsiTheme="majorEastAsia" w:eastAsiaTheme="majorEastAsia" w:cstheme="majorEastAsia"/>
          <w:b/>
          <w:color w:val="000000" w:themeColor="text1"/>
          <w:sz w:val="24"/>
        </w:rPr>
        <w:t>叁份</w:t>
      </w:r>
      <w:r>
        <w:rPr>
          <w:rFonts w:hint="eastAsia" w:asciiTheme="majorEastAsia" w:hAnsiTheme="majorEastAsia" w:eastAsiaTheme="majorEastAsia" w:cstheme="majorEastAsia"/>
          <w:color w:val="000000" w:themeColor="text1"/>
          <w:sz w:val="24"/>
        </w:rPr>
        <w:t>；副本</w:t>
      </w:r>
      <w:r>
        <w:rPr>
          <w:rFonts w:hint="eastAsia" w:asciiTheme="majorEastAsia" w:hAnsiTheme="majorEastAsia" w:eastAsiaTheme="majorEastAsia" w:cstheme="majorEastAsia"/>
          <w:b/>
          <w:color w:val="000000" w:themeColor="text1"/>
          <w:sz w:val="24"/>
        </w:rPr>
        <w:t>肆份</w:t>
      </w:r>
      <w:r>
        <w:rPr>
          <w:rFonts w:hint="eastAsia" w:asciiTheme="majorEastAsia" w:hAnsiTheme="majorEastAsia" w:eastAsiaTheme="majorEastAsia" w:cstheme="majorEastAsia"/>
          <w:color w:val="000000" w:themeColor="text1"/>
          <w:sz w:val="24"/>
        </w:rPr>
        <w:t>，甲乙双方各执</w:t>
      </w:r>
      <w:r>
        <w:rPr>
          <w:rFonts w:hint="eastAsia" w:asciiTheme="majorEastAsia" w:hAnsiTheme="majorEastAsia" w:eastAsiaTheme="majorEastAsia" w:cstheme="majorEastAsia"/>
          <w:b/>
          <w:color w:val="000000" w:themeColor="text1"/>
          <w:sz w:val="24"/>
        </w:rPr>
        <w:t>壹份</w:t>
      </w:r>
      <w:r>
        <w:rPr>
          <w:rFonts w:hint="eastAsia" w:asciiTheme="majorEastAsia" w:hAnsiTheme="majorEastAsia" w:eastAsiaTheme="majorEastAsia" w:cstheme="majorEastAsia"/>
          <w:color w:val="000000" w:themeColor="text1"/>
          <w:sz w:val="24"/>
        </w:rPr>
        <w:t>，采购代理</w:t>
      </w:r>
      <w:r>
        <w:rPr>
          <w:rFonts w:hint="eastAsia" w:asciiTheme="majorEastAsia" w:hAnsiTheme="majorEastAsia" w:eastAsiaTheme="majorEastAsia" w:cstheme="majorEastAsia"/>
          <w:b/>
          <w:color w:val="000000" w:themeColor="text1"/>
          <w:sz w:val="24"/>
        </w:rPr>
        <w:t>贰份</w:t>
      </w:r>
      <w:r>
        <w:rPr>
          <w:rFonts w:hint="eastAsia" w:asciiTheme="majorEastAsia" w:hAnsiTheme="majorEastAsia" w:eastAsiaTheme="majorEastAsia" w:cstheme="majorEastAsia"/>
          <w:color w:val="000000" w:themeColor="text1"/>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360" w:lineRule="auto"/>
        <w:rPr>
          <w:rFonts w:asciiTheme="majorEastAsia" w:hAnsiTheme="majorEastAsia" w:eastAsiaTheme="majorEastAsia" w:cstheme="majorEastAsia"/>
          <w:color w:val="000000" w:themeColor="text1"/>
          <w:sz w:val="24"/>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甲方：</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乙方：</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法定代表人：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法定代表人：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委托代理人：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委托代理人：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邮政编码：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邮政编码：</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u w:val="single"/>
        </w:rPr>
      </w:pPr>
      <w:r>
        <w:rPr>
          <w:rFonts w:hint="eastAsia" w:asciiTheme="majorEastAsia" w:hAnsiTheme="majorEastAsia" w:eastAsiaTheme="majorEastAsia" w:cstheme="majorEastAsia"/>
          <w:color w:val="000000" w:themeColor="text1"/>
          <w:sz w:val="24"/>
          <w:szCs w:val="24"/>
        </w:rPr>
        <w:t>统一社会代码：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开户银行：</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开户名称：</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银行账号：</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合同签订地点：广西南宁市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合同签订日期：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年</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日</w:t>
      </w:r>
    </w:p>
    <w:p>
      <w:pPr>
        <w:pStyle w:val="9"/>
        <w:spacing w:line="360" w:lineRule="auto"/>
        <w:rPr>
          <w:rFonts w:asciiTheme="majorEastAsia" w:hAnsiTheme="majorEastAsia" w:eastAsiaTheme="majorEastAsia" w:cstheme="majorEastAsia"/>
          <w:color w:val="000000" w:themeColor="text1"/>
          <w:sz w:val="24"/>
          <w:szCs w:val="24"/>
        </w:rPr>
      </w:pPr>
    </w:p>
    <w:p>
      <w:pPr>
        <w:rPr>
          <w:rFonts w:asciiTheme="majorEastAsia" w:hAnsiTheme="majorEastAsia" w:eastAsiaTheme="majorEastAsia"/>
        </w:rPr>
      </w:pPr>
    </w:p>
    <w:sectPr>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954"/>
    </w:sdtPr>
    <w:sdtContent>
      <w:p>
        <w:pPr>
          <w:pStyle w:val="11"/>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J1bjUAQAAp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rCdW41AEAAKUDAAAOAAAAAAAAAAEAIAAAAB8B&#10;AABkcnMvZTJvRG9jLnhtbFBLBQYAAAAABgAGAFkBAABl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 xml:space="preserve">项目名称：南宁市住房信息系统发布平台升级                                               项目编号：NNZC2020-C3-990367-GXYZ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right"/>
      <w:rPr>
        <w:rFonts w:ascii="宋体" w:hAnsi="宋体"/>
        <w:color w:val="0D0D0D"/>
        <w:szCs w:val="21"/>
      </w:rPr>
    </w:pPr>
    <w:r>
      <w:rPr>
        <w:rFonts w:ascii="宋体" w:cs="宋体"/>
        <w:b/>
        <w:szCs w:val="21"/>
      </w:rPr>
      <w:drawing>
        <wp:inline distT="0" distB="0" distL="114300" distR="114300">
          <wp:extent cx="332740" cy="332740"/>
          <wp:effectExtent l="0" t="0" r="10160" b="10160"/>
          <wp:docPr id="1"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szCs w:val="21"/>
      </w:rPr>
      <w:t>广西邕政采购代理有限公司</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项目名称：南宁市住房信息系统发布平台升级                                               项目编号：NNZC2020-C3-990367-GXYZ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5E583"/>
    <w:multiLevelType w:val="singleLevel"/>
    <w:tmpl w:val="8505E583"/>
    <w:lvl w:ilvl="0" w:tentative="0">
      <w:start w:val="1"/>
      <w:numFmt w:val="decimal"/>
      <w:suff w:val="nothing"/>
      <w:lvlText w:val="%1、"/>
      <w:lvlJc w:val="left"/>
    </w:lvl>
  </w:abstractNum>
  <w:abstractNum w:abstractNumId="1">
    <w:nsid w:val="9A10F8CC"/>
    <w:multiLevelType w:val="singleLevel"/>
    <w:tmpl w:val="9A10F8CC"/>
    <w:lvl w:ilvl="0" w:tentative="0">
      <w:start w:val="2"/>
      <w:numFmt w:val="decimal"/>
      <w:suff w:val="nothing"/>
      <w:lvlText w:val="%1、"/>
      <w:lvlJc w:val="left"/>
    </w:lvl>
  </w:abstractNum>
  <w:abstractNum w:abstractNumId="2">
    <w:nsid w:val="B614C040"/>
    <w:multiLevelType w:val="singleLevel"/>
    <w:tmpl w:val="B614C040"/>
    <w:lvl w:ilvl="0" w:tentative="0">
      <w:start w:val="1"/>
      <w:numFmt w:val="decimal"/>
      <w:suff w:val="nothing"/>
      <w:lvlText w:val="%1、"/>
      <w:lvlJc w:val="left"/>
    </w:lvl>
  </w:abstractNum>
  <w:abstractNum w:abstractNumId="3">
    <w:nsid w:val="D59C5DCA"/>
    <w:multiLevelType w:val="singleLevel"/>
    <w:tmpl w:val="D59C5DCA"/>
    <w:lvl w:ilvl="0" w:tentative="0">
      <w:start w:val="1"/>
      <w:numFmt w:val="decimal"/>
      <w:suff w:val="nothing"/>
      <w:lvlText w:val="%1、"/>
      <w:lvlJc w:val="left"/>
    </w:lvl>
  </w:abstractNum>
  <w:abstractNum w:abstractNumId="4">
    <w:nsid w:val="D84C7F77"/>
    <w:multiLevelType w:val="singleLevel"/>
    <w:tmpl w:val="D84C7F77"/>
    <w:lvl w:ilvl="0" w:tentative="0">
      <w:start w:val="1"/>
      <w:numFmt w:val="decimal"/>
      <w:suff w:val="nothing"/>
      <w:lvlText w:val="%1、"/>
      <w:lvlJc w:val="left"/>
    </w:lvl>
  </w:abstractNum>
  <w:abstractNum w:abstractNumId="5">
    <w:nsid w:val="E2D9D59E"/>
    <w:multiLevelType w:val="singleLevel"/>
    <w:tmpl w:val="E2D9D59E"/>
    <w:lvl w:ilvl="0" w:tentative="0">
      <w:start w:val="4"/>
      <w:numFmt w:val="chineseCounting"/>
      <w:suff w:val="nothing"/>
      <w:lvlText w:val="%1、"/>
      <w:lvlJc w:val="left"/>
      <w:rPr>
        <w:rFonts w:hint="eastAsia"/>
      </w:rPr>
    </w:lvl>
  </w:abstractNum>
  <w:abstractNum w:abstractNumId="6">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0B6157B"/>
    <w:multiLevelType w:val="multilevel"/>
    <w:tmpl w:val="20B6157B"/>
    <w:lvl w:ilvl="0" w:tentative="0">
      <w:start w:val="1"/>
      <w:numFmt w:val="decimal"/>
      <w:lvlText w:val="%1、"/>
      <w:lvlJc w:val="left"/>
      <w:pPr>
        <w:tabs>
          <w:tab w:val="left" w:pos="1778"/>
        </w:tabs>
        <w:ind w:left="1778"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22860427"/>
    <w:multiLevelType w:val="singleLevel"/>
    <w:tmpl w:val="22860427"/>
    <w:lvl w:ilvl="0" w:tentative="0">
      <w:start w:val="1"/>
      <w:numFmt w:val="decimal"/>
      <w:suff w:val="nothing"/>
      <w:lvlText w:val="%1、"/>
      <w:lvlJc w:val="left"/>
    </w:lvl>
  </w:abstractNum>
  <w:abstractNum w:abstractNumId="10">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48ED1196"/>
    <w:multiLevelType w:val="singleLevel"/>
    <w:tmpl w:val="48ED1196"/>
    <w:lvl w:ilvl="0" w:tentative="0">
      <w:start w:val="3"/>
      <w:numFmt w:val="chineseCounting"/>
      <w:suff w:val="nothing"/>
      <w:lvlText w:val="（%1）"/>
      <w:lvlJc w:val="left"/>
      <w:rPr>
        <w:rFonts w:hint="eastAsia"/>
      </w:rPr>
    </w:lvl>
  </w:abstractNum>
  <w:abstractNum w:abstractNumId="12">
    <w:nsid w:val="5A8E795B"/>
    <w:multiLevelType w:val="singleLevel"/>
    <w:tmpl w:val="5A8E795B"/>
    <w:lvl w:ilvl="0" w:tentative="0">
      <w:start w:val="1"/>
      <w:numFmt w:val="decimal"/>
      <w:suff w:val="nothing"/>
      <w:lvlText w:val="%1、"/>
      <w:lvlJc w:val="left"/>
    </w:lvl>
  </w:abstractNum>
  <w:num w:numId="1">
    <w:abstractNumId w:val="6"/>
  </w:num>
  <w:num w:numId="2">
    <w:abstractNumId w:val="5"/>
  </w:num>
  <w:num w:numId="3">
    <w:abstractNumId w:val="3"/>
  </w:num>
  <w:num w:numId="4">
    <w:abstractNumId w:val="12"/>
  </w:num>
  <w:num w:numId="5">
    <w:abstractNumId w:val="11"/>
  </w:num>
  <w:num w:numId="6">
    <w:abstractNumId w:val="2"/>
  </w:num>
  <w:num w:numId="7">
    <w:abstractNumId w:val="4"/>
  </w:num>
  <w:num w:numId="8">
    <w:abstractNumId w:val="9"/>
  </w:num>
  <w:num w:numId="9">
    <w:abstractNumId w:val="0"/>
  </w:num>
  <w:num w:numId="10">
    <w:abstractNumId w:val="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ShHIg41ymw9WsmYOxf9N1AfwejQ=" w:salt="i2yaGKHaaDQKAyJngm9sA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6F739B"/>
    <w:rsid w:val="00024D9F"/>
    <w:rsid w:val="000432F7"/>
    <w:rsid w:val="00053129"/>
    <w:rsid w:val="00085A7C"/>
    <w:rsid w:val="000B32BA"/>
    <w:rsid w:val="001744B0"/>
    <w:rsid w:val="001A6919"/>
    <w:rsid w:val="001B40F2"/>
    <w:rsid w:val="001C01C1"/>
    <w:rsid w:val="00224D50"/>
    <w:rsid w:val="0023052C"/>
    <w:rsid w:val="002C0132"/>
    <w:rsid w:val="003266DA"/>
    <w:rsid w:val="00326F06"/>
    <w:rsid w:val="0034558D"/>
    <w:rsid w:val="00352978"/>
    <w:rsid w:val="00377C36"/>
    <w:rsid w:val="003A4EF0"/>
    <w:rsid w:val="00435D49"/>
    <w:rsid w:val="004C7E68"/>
    <w:rsid w:val="005026EC"/>
    <w:rsid w:val="005051E3"/>
    <w:rsid w:val="006154C5"/>
    <w:rsid w:val="0061637A"/>
    <w:rsid w:val="00680DBA"/>
    <w:rsid w:val="00683547"/>
    <w:rsid w:val="00695049"/>
    <w:rsid w:val="00697F93"/>
    <w:rsid w:val="006C66C2"/>
    <w:rsid w:val="00705517"/>
    <w:rsid w:val="0072386A"/>
    <w:rsid w:val="0077180D"/>
    <w:rsid w:val="00814CEC"/>
    <w:rsid w:val="008920DA"/>
    <w:rsid w:val="008A0DB1"/>
    <w:rsid w:val="008E05BD"/>
    <w:rsid w:val="008E3C20"/>
    <w:rsid w:val="00943EF0"/>
    <w:rsid w:val="00972F9D"/>
    <w:rsid w:val="00984A27"/>
    <w:rsid w:val="009A257B"/>
    <w:rsid w:val="009C0A12"/>
    <w:rsid w:val="009C3C65"/>
    <w:rsid w:val="009D2F88"/>
    <w:rsid w:val="00A07B9C"/>
    <w:rsid w:val="00A210FC"/>
    <w:rsid w:val="00AD3829"/>
    <w:rsid w:val="00AE33B5"/>
    <w:rsid w:val="00B4772D"/>
    <w:rsid w:val="00B56C0D"/>
    <w:rsid w:val="00B705B4"/>
    <w:rsid w:val="00B94FD4"/>
    <w:rsid w:val="00C608C8"/>
    <w:rsid w:val="00C60A4A"/>
    <w:rsid w:val="00C933DC"/>
    <w:rsid w:val="00CC3E7E"/>
    <w:rsid w:val="00CF33EA"/>
    <w:rsid w:val="00D04D12"/>
    <w:rsid w:val="00D21A9C"/>
    <w:rsid w:val="00D30457"/>
    <w:rsid w:val="00D76715"/>
    <w:rsid w:val="00D90B82"/>
    <w:rsid w:val="00DA7796"/>
    <w:rsid w:val="00DC16E1"/>
    <w:rsid w:val="00DF54FF"/>
    <w:rsid w:val="00DF6F2F"/>
    <w:rsid w:val="00E1262B"/>
    <w:rsid w:val="00E561D8"/>
    <w:rsid w:val="00E84001"/>
    <w:rsid w:val="00F91309"/>
    <w:rsid w:val="00F94EE1"/>
    <w:rsid w:val="025D606C"/>
    <w:rsid w:val="0311203F"/>
    <w:rsid w:val="04EE591F"/>
    <w:rsid w:val="058D0A4C"/>
    <w:rsid w:val="05B31345"/>
    <w:rsid w:val="083400AC"/>
    <w:rsid w:val="0A49209C"/>
    <w:rsid w:val="0B5A147D"/>
    <w:rsid w:val="0B79019E"/>
    <w:rsid w:val="0C692369"/>
    <w:rsid w:val="0E225DCA"/>
    <w:rsid w:val="0E35212B"/>
    <w:rsid w:val="0E4A5BFC"/>
    <w:rsid w:val="0EB914D4"/>
    <w:rsid w:val="0EFD26F6"/>
    <w:rsid w:val="0F4B7D2A"/>
    <w:rsid w:val="0F552FFC"/>
    <w:rsid w:val="1182700E"/>
    <w:rsid w:val="119B152C"/>
    <w:rsid w:val="11D84B27"/>
    <w:rsid w:val="13AA14DB"/>
    <w:rsid w:val="14A94DBC"/>
    <w:rsid w:val="152C74D3"/>
    <w:rsid w:val="15327DB4"/>
    <w:rsid w:val="167C1841"/>
    <w:rsid w:val="16AC3696"/>
    <w:rsid w:val="17B40DBB"/>
    <w:rsid w:val="184B73AC"/>
    <w:rsid w:val="192705CF"/>
    <w:rsid w:val="1A0D3202"/>
    <w:rsid w:val="1A193D20"/>
    <w:rsid w:val="1A1D1301"/>
    <w:rsid w:val="1A50195F"/>
    <w:rsid w:val="1AA0222D"/>
    <w:rsid w:val="1C23702D"/>
    <w:rsid w:val="1D425AA9"/>
    <w:rsid w:val="1E075742"/>
    <w:rsid w:val="1E126A42"/>
    <w:rsid w:val="1E542989"/>
    <w:rsid w:val="1F593428"/>
    <w:rsid w:val="1F7908B4"/>
    <w:rsid w:val="221D6206"/>
    <w:rsid w:val="226E4327"/>
    <w:rsid w:val="232C3867"/>
    <w:rsid w:val="244933C0"/>
    <w:rsid w:val="24C03F0A"/>
    <w:rsid w:val="24EC692B"/>
    <w:rsid w:val="25D05A00"/>
    <w:rsid w:val="26A77876"/>
    <w:rsid w:val="27C124AD"/>
    <w:rsid w:val="2A3A7028"/>
    <w:rsid w:val="2BC86AC8"/>
    <w:rsid w:val="2C71603E"/>
    <w:rsid w:val="2CCE18F5"/>
    <w:rsid w:val="2D440B38"/>
    <w:rsid w:val="2D4F4033"/>
    <w:rsid w:val="2D6E59D7"/>
    <w:rsid w:val="2E8C02E1"/>
    <w:rsid w:val="2F5347AF"/>
    <w:rsid w:val="30423579"/>
    <w:rsid w:val="31375325"/>
    <w:rsid w:val="318E11FE"/>
    <w:rsid w:val="31B7446D"/>
    <w:rsid w:val="3200053D"/>
    <w:rsid w:val="32554FAD"/>
    <w:rsid w:val="32D058DD"/>
    <w:rsid w:val="32D83F95"/>
    <w:rsid w:val="333E4947"/>
    <w:rsid w:val="33A27A9E"/>
    <w:rsid w:val="344A1F6B"/>
    <w:rsid w:val="3509018A"/>
    <w:rsid w:val="35241260"/>
    <w:rsid w:val="359308A7"/>
    <w:rsid w:val="35B956BD"/>
    <w:rsid w:val="36323856"/>
    <w:rsid w:val="366F739B"/>
    <w:rsid w:val="369F3368"/>
    <w:rsid w:val="36BB5952"/>
    <w:rsid w:val="37A02E23"/>
    <w:rsid w:val="386A7712"/>
    <w:rsid w:val="38BB46C5"/>
    <w:rsid w:val="398742FD"/>
    <w:rsid w:val="3A27786D"/>
    <w:rsid w:val="3B3218AD"/>
    <w:rsid w:val="3C0C5142"/>
    <w:rsid w:val="3CCB74BB"/>
    <w:rsid w:val="3D566E99"/>
    <w:rsid w:val="3DB17B9B"/>
    <w:rsid w:val="3EE44E28"/>
    <w:rsid w:val="3F3D3996"/>
    <w:rsid w:val="40476D59"/>
    <w:rsid w:val="410E37D9"/>
    <w:rsid w:val="42BD67C5"/>
    <w:rsid w:val="43D16E06"/>
    <w:rsid w:val="44253984"/>
    <w:rsid w:val="44503016"/>
    <w:rsid w:val="44E767D7"/>
    <w:rsid w:val="46DA639E"/>
    <w:rsid w:val="48430B60"/>
    <w:rsid w:val="48976E40"/>
    <w:rsid w:val="48F40B44"/>
    <w:rsid w:val="49800A16"/>
    <w:rsid w:val="49BD214C"/>
    <w:rsid w:val="4A5B4721"/>
    <w:rsid w:val="4B1056C5"/>
    <w:rsid w:val="4CEA2AF0"/>
    <w:rsid w:val="4D0577C0"/>
    <w:rsid w:val="51313C94"/>
    <w:rsid w:val="527346A4"/>
    <w:rsid w:val="52CF34D3"/>
    <w:rsid w:val="52CF55BD"/>
    <w:rsid w:val="535167B0"/>
    <w:rsid w:val="54F14DF9"/>
    <w:rsid w:val="556E23E4"/>
    <w:rsid w:val="568A57DA"/>
    <w:rsid w:val="56A777E0"/>
    <w:rsid w:val="56DD5E95"/>
    <w:rsid w:val="57D50164"/>
    <w:rsid w:val="596C6F4A"/>
    <w:rsid w:val="59EB2798"/>
    <w:rsid w:val="5AA14481"/>
    <w:rsid w:val="5D0B0FC3"/>
    <w:rsid w:val="5D0C3903"/>
    <w:rsid w:val="5D4E044B"/>
    <w:rsid w:val="5EBD36FB"/>
    <w:rsid w:val="5F670F26"/>
    <w:rsid w:val="5F704A31"/>
    <w:rsid w:val="60C92990"/>
    <w:rsid w:val="60E06998"/>
    <w:rsid w:val="60E92C84"/>
    <w:rsid w:val="62360514"/>
    <w:rsid w:val="632A3D26"/>
    <w:rsid w:val="646B69A7"/>
    <w:rsid w:val="676C32FB"/>
    <w:rsid w:val="682334EA"/>
    <w:rsid w:val="68397AB0"/>
    <w:rsid w:val="68706A52"/>
    <w:rsid w:val="68FD661D"/>
    <w:rsid w:val="690E229C"/>
    <w:rsid w:val="699A74A0"/>
    <w:rsid w:val="69B67C51"/>
    <w:rsid w:val="6A346E25"/>
    <w:rsid w:val="6A3B66F7"/>
    <w:rsid w:val="6AE40D9E"/>
    <w:rsid w:val="6BE236CD"/>
    <w:rsid w:val="6D2A5503"/>
    <w:rsid w:val="6D3A06B4"/>
    <w:rsid w:val="6F6B1E53"/>
    <w:rsid w:val="6F883D93"/>
    <w:rsid w:val="6FDA342A"/>
    <w:rsid w:val="70003322"/>
    <w:rsid w:val="70EE4854"/>
    <w:rsid w:val="7112379E"/>
    <w:rsid w:val="713A3D57"/>
    <w:rsid w:val="7241725D"/>
    <w:rsid w:val="72A97EA5"/>
    <w:rsid w:val="74502C29"/>
    <w:rsid w:val="763A02F6"/>
    <w:rsid w:val="76931D5E"/>
    <w:rsid w:val="778340A1"/>
    <w:rsid w:val="77D958CB"/>
    <w:rsid w:val="77DA4C1D"/>
    <w:rsid w:val="78951C87"/>
    <w:rsid w:val="78D0745D"/>
    <w:rsid w:val="78EB44E6"/>
    <w:rsid w:val="79B965A1"/>
    <w:rsid w:val="79EA0736"/>
    <w:rsid w:val="7A51613A"/>
    <w:rsid w:val="7A656099"/>
    <w:rsid w:val="7AA45E39"/>
    <w:rsid w:val="7AC35EB0"/>
    <w:rsid w:val="7D250B17"/>
    <w:rsid w:val="7E126224"/>
    <w:rsid w:val="7ECB34A5"/>
    <w:rsid w:val="7FC5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index 8"/>
    <w:basedOn w:val="1"/>
    <w:next w:val="1"/>
    <w:qFormat/>
    <w:uiPriority w:val="0"/>
    <w:pPr>
      <w:ind w:left="2940"/>
    </w:pPr>
  </w:style>
  <w:style w:type="paragraph" w:styleId="6">
    <w:name w:val="Document Map"/>
    <w:basedOn w:val="1"/>
    <w:link w:val="29"/>
    <w:qFormat/>
    <w:uiPriority w:val="0"/>
    <w:rPr>
      <w:rFonts w:ascii="宋体"/>
      <w:sz w:val="18"/>
      <w:szCs w:val="18"/>
    </w:rPr>
  </w:style>
  <w:style w:type="paragraph" w:styleId="7">
    <w:name w:val="annotation text"/>
    <w:basedOn w:val="1"/>
    <w:link w:val="27"/>
    <w:unhideWhenUsed/>
    <w:qFormat/>
    <w:uiPriority w:val="99"/>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4"/>
    <w:link w:val="30"/>
    <w:qFormat/>
    <w:uiPriority w:val="0"/>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jc w:val="left"/>
      <w:outlineLvl w:val="0"/>
    </w:pPr>
    <w:rPr>
      <w:b/>
      <w:color w:val="000000"/>
      <w:sz w:val="48"/>
      <w:szCs w:val="48"/>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paragraph" w:styleId="17">
    <w:name w:val="annotation subject"/>
    <w:basedOn w:val="7"/>
    <w:next w:val="7"/>
    <w:link w:val="28"/>
    <w:qFormat/>
    <w:uiPriority w:val="0"/>
    <w:rPr>
      <w:b/>
      <w:bCs/>
    </w:rPr>
  </w:style>
  <w:style w:type="character" w:styleId="20">
    <w:name w:val="Emphasis"/>
    <w:qFormat/>
    <w:uiPriority w:val="99"/>
    <w:rPr>
      <w:rFonts w:cs="Times New Roman"/>
    </w:rPr>
  </w:style>
  <w:style w:type="character" w:styleId="21">
    <w:name w:val="Hyperlink"/>
    <w:basedOn w:val="19"/>
    <w:qFormat/>
    <w:uiPriority w:val="99"/>
    <w:rPr>
      <w:color w:val="0000FF"/>
      <w:u w:val="none"/>
    </w:rPr>
  </w:style>
  <w:style w:type="character" w:styleId="22">
    <w:name w:val="annotation reference"/>
    <w:semiHidden/>
    <w:qFormat/>
    <w:uiPriority w:val="99"/>
    <w:rPr>
      <w:sz w:val="21"/>
      <w:szCs w:val="21"/>
    </w:rPr>
  </w:style>
  <w:style w:type="paragraph" w:customStyle="1" w:styleId="23">
    <w:name w:val="正文段"/>
    <w:basedOn w:val="1"/>
    <w:qFormat/>
    <w:uiPriority w:val="99"/>
    <w:pPr>
      <w:widowControl/>
      <w:snapToGrid w:val="0"/>
      <w:spacing w:afterLines="50"/>
      <w:ind w:firstLine="200" w:firstLineChars="200"/>
    </w:pPr>
    <w:rPr>
      <w:kern w:val="0"/>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10"/>
    <w:qFormat/>
    <w:uiPriority w:val="0"/>
    <w:rPr>
      <w:kern w:val="2"/>
      <w:sz w:val="18"/>
      <w:szCs w:val="18"/>
    </w:rPr>
  </w:style>
  <w:style w:type="character" w:customStyle="1" w:styleId="27">
    <w:name w:val="批注文字 Char"/>
    <w:basedOn w:val="19"/>
    <w:link w:val="7"/>
    <w:qFormat/>
    <w:uiPriority w:val="99"/>
    <w:rPr>
      <w:kern w:val="2"/>
      <w:sz w:val="21"/>
      <w:szCs w:val="24"/>
    </w:rPr>
  </w:style>
  <w:style w:type="character" w:customStyle="1" w:styleId="28">
    <w:name w:val="批注主题 Char"/>
    <w:basedOn w:val="27"/>
    <w:link w:val="17"/>
    <w:qFormat/>
    <w:uiPriority w:val="0"/>
  </w:style>
  <w:style w:type="character" w:customStyle="1" w:styleId="29">
    <w:name w:val="文档结构图 Char"/>
    <w:basedOn w:val="19"/>
    <w:link w:val="6"/>
    <w:qFormat/>
    <w:uiPriority w:val="0"/>
    <w:rPr>
      <w:rFonts w:ascii="宋体" w:hAnsi="Times New Roman" w:cs="Times New Roman"/>
      <w:kern w:val="2"/>
      <w:sz w:val="18"/>
      <w:szCs w:val="18"/>
    </w:rPr>
  </w:style>
  <w:style w:type="character" w:customStyle="1" w:styleId="30">
    <w:name w:val="纯文本 Char"/>
    <w:basedOn w:val="19"/>
    <w:link w:val="9"/>
    <w:qFormat/>
    <w:uiPriority w:val="0"/>
    <w:rPr>
      <w:rFonts w:ascii="宋体" w:hAnsi="Courier New"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5752</Words>
  <Characters>32791</Characters>
  <Lines>273</Lines>
  <Paragraphs>76</Paragraphs>
  <TotalTime>1</TotalTime>
  <ScaleCrop>false</ScaleCrop>
  <LinksUpToDate>false</LinksUpToDate>
  <CharactersWithSpaces>38467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2020-09-03T09:02:00Z</dcterms:created>
  <dc:creator>Administrator</dc:creator>
  <cp:lastModifiedBy>Administrator</cp:lastModifiedBy>
  <cp:lastPrinted>2020-09-13T08:46:00Z</cp:lastPrinted>
  <dcterms:modified xsi:type="dcterms:W3CDTF">2020-11-04T09:19:36Z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