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center" w:pos="4950"/>
          <w:tab w:val="right" w:pos="9781"/>
        </w:tabs>
        <w:rPr>
          <w:rFonts w:asciiTheme="majorEastAsia" w:hAnsiTheme="majorEastAsia" w:eastAsiaTheme="majorEastAsia"/>
          <w:color w:val="000000" w:themeColor="text1"/>
          <w:sz w:val="96"/>
          <w:szCs w:val="96"/>
        </w:rPr>
      </w:pPr>
      <w:bookmarkStart w:id="0" w:name="_Toc139967210"/>
      <w:bookmarkStart w:id="1" w:name="_Toc139966426"/>
    </w:p>
    <w:p>
      <w:pPr>
        <w:pStyle w:val="10"/>
        <w:tabs>
          <w:tab w:val="center" w:pos="4950"/>
          <w:tab w:val="right" w:pos="9781"/>
        </w:tabs>
        <w:jc w:val="center"/>
        <w:rPr>
          <w:rFonts w:asciiTheme="majorEastAsia" w:hAnsiTheme="majorEastAsia" w:eastAsiaTheme="majorEastAsia"/>
          <w:b/>
          <w:bCs/>
          <w:color w:val="000000" w:themeColor="text1"/>
          <w:sz w:val="72"/>
          <w:szCs w:val="72"/>
        </w:rPr>
      </w:pPr>
      <w:r>
        <w:rPr>
          <w:rFonts w:hint="eastAsia" w:asciiTheme="majorEastAsia" w:hAnsiTheme="majorEastAsia" w:eastAsiaTheme="majorEastAsia"/>
          <w:color w:val="000000" w:themeColor="text1"/>
          <w:sz w:val="96"/>
          <w:szCs w:val="96"/>
        </w:rPr>
        <w:t>竞争性磋商</w:t>
      </w:r>
      <w:r>
        <w:rPr>
          <w:rFonts w:asciiTheme="majorEastAsia" w:hAnsiTheme="majorEastAsia" w:eastAsiaTheme="majorEastAsia"/>
          <w:color w:val="000000" w:themeColor="text1"/>
          <w:sz w:val="96"/>
          <w:szCs w:val="96"/>
        </w:rPr>
        <w:t>文件</w:t>
      </w:r>
    </w:p>
    <w:p>
      <w:pPr>
        <w:ind w:left="2962" w:leftChars="550" w:hanging="1807" w:hangingChars="500"/>
        <w:rPr>
          <w:rFonts w:cs="宋体" w:asciiTheme="majorEastAsia" w:hAnsiTheme="majorEastAsia" w:eastAsiaTheme="majorEastAsia"/>
          <w:b/>
          <w:bCs/>
          <w:color w:val="000000" w:themeColor="text1"/>
          <w:sz w:val="36"/>
          <w:szCs w:val="36"/>
        </w:rPr>
      </w:pPr>
    </w:p>
    <w:p>
      <w:pPr>
        <w:ind w:left="2962" w:leftChars="550" w:hanging="1807" w:hangingChars="500"/>
        <w:rPr>
          <w:rFonts w:cs="宋体" w:asciiTheme="majorEastAsia" w:hAnsiTheme="majorEastAsia" w:eastAsiaTheme="majorEastAsia"/>
          <w:b/>
          <w:bCs/>
          <w:color w:val="000000" w:themeColor="text1"/>
          <w:sz w:val="36"/>
          <w:szCs w:val="36"/>
        </w:rPr>
      </w:pPr>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项目名称：住房保障信息系统专线租用</w:t>
      </w:r>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项目编号：NNZC2020-C3-990370-GXYZ</w:t>
      </w:r>
      <w:bookmarkStart w:id="129" w:name="_GoBack"/>
      <w:bookmarkEnd w:id="129"/>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采购计划文号：[2020]NCCJB518001/4170-001</w:t>
      </w:r>
    </w:p>
    <w:p>
      <w:pPr>
        <w:rPr>
          <w:rFonts w:cs="宋体" w:asciiTheme="majorEastAsia" w:hAnsiTheme="majorEastAsia" w:eastAsiaTheme="majorEastAsia"/>
          <w:b/>
          <w:bCs/>
          <w:color w:val="000000" w:themeColor="text1"/>
          <w:sz w:val="32"/>
          <w:szCs w:val="32"/>
        </w:rPr>
      </w:pPr>
    </w:p>
    <w:p>
      <w:pPr>
        <w:rPr>
          <w:rFonts w:cs="宋体" w:asciiTheme="majorEastAsia" w:hAnsiTheme="majorEastAsia" w:eastAsiaTheme="majorEastAsia"/>
          <w:b/>
          <w:bCs/>
          <w:color w:val="000000" w:themeColor="text1"/>
          <w:sz w:val="32"/>
          <w:szCs w:val="32"/>
        </w:rPr>
      </w:pPr>
    </w:p>
    <w:p>
      <w:pPr>
        <w:ind w:firstLine="840" w:firstLineChars="400"/>
        <w:rPr>
          <w:rFonts w:cs="宋体" w:asciiTheme="majorEastAsia" w:hAnsiTheme="majorEastAsia" w:eastAsiaTheme="majorEastAsia"/>
          <w:b/>
          <w:bCs/>
          <w:color w:val="000000" w:themeColor="text1"/>
          <w:sz w:val="32"/>
          <w:szCs w:val="32"/>
        </w:rPr>
      </w:pPr>
      <w:r>
        <w:drawing>
          <wp:anchor distT="0" distB="0" distL="114300" distR="114300" simplePos="0" relativeHeight="251670528" behindDoc="1" locked="0" layoutInCell="1" allowOverlap="1">
            <wp:simplePos x="0" y="0"/>
            <wp:positionH relativeFrom="column">
              <wp:posOffset>104775</wp:posOffset>
            </wp:positionH>
            <wp:positionV relativeFrom="paragraph">
              <wp:posOffset>-105410</wp:posOffset>
            </wp:positionV>
            <wp:extent cx="5857875" cy="2905125"/>
            <wp:effectExtent l="0" t="0" r="9525" b="9525"/>
            <wp:wrapTight wrapText="bothSides">
              <wp:wrapPolygon>
                <wp:start x="0" y="0"/>
                <wp:lineTo x="0" y="21529"/>
                <wp:lineTo x="21565" y="21529"/>
                <wp:lineTo x="21565"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857875" cy="2905125"/>
                    </a:xfrm>
                    <a:prstGeom prst="rect">
                      <a:avLst/>
                    </a:prstGeom>
                    <a:noFill/>
                    <a:ln>
                      <a:noFill/>
                    </a:ln>
                  </pic:spPr>
                </pic:pic>
              </a:graphicData>
            </a:graphic>
          </wp:anchor>
        </w:drawing>
      </w:r>
    </w:p>
    <w:p>
      <w:pPr>
        <w:ind w:firstLine="1285" w:firstLineChars="400"/>
        <w:rPr>
          <w:rFonts w:cs="宋体" w:asciiTheme="majorEastAsia" w:hAnsiTheme="majorEastAsia" w:eastAsiaTheme="majorEastAsia"/>
          <w:b/>
          <w:bCs/>
          <w:color w:val="000000" w:themeColor="text1"/>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118" w:left="1080" w:header="720" w:footer="720" w:gutter="0"/>
          <w:cols w:space="720" w:num="1"/>
          <w:titlePg/>
          <w:docGrid w:type="lines" w:linePitch="331" w:charSpace="0"/>
        </w:sectPr>
      </w:pPr>
    </w:p>
    <w:p>
      <w:pPr>
        <w:tabs>
          <w:tab w:val="left" w:pos="2092"/>
          <w:tab w:val="center" w:pos="5174"/>
        </w:tabs>
        <w:spacing w:before="100" w:beforeAutospacing="1" w:after="100" w:afterAutospacing="1" w:line="380" w:lineRule="atLeast"/>
        <w:ind w:firstLine="482"/>
        <w:jc w:val="center"/>
        <w:rPr>
          <w:rFonts w:asciiTheme="majorEastAsia" w:hAnsiTheme="majorEastAsia" w:eastAsiaTheme="majorEastAsia"/>
          <w:b/>
          <w:color w:val="000000" w:themeColor="text1"/>
          <w:sz w:val="36"/>
        </w:rPr>
      </w:pPr>
      <w:r>
        <w:rPr>
          <w:rFonts w:hint="eastAsia" w:asciiTheme="majorEastAsia" w:hAnsiTheme="majorEastAsia" w:eastAsiaTheme="majorEastAsia"/>
          <w:b/>
          <w:color w:val="000000" w:themeColor="text1"/>
          <w:sz w:val="36"/>
        </w:rPr>
        <w:t>通知</w:t>
      </w:r>
    </w:p>
    <w:p>
      <w:pPr>
        <w:spacing w:before="100" w:beforeAutospacing="1" w:after="100" w:afterAutospacing="1" w:line="380" w:lineRule="atLeast"/>
        <w:ind w:firstLine="482"/>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为做好新型冠状病毒肺炎疫情防控工作，根据南宁市财政局《关于做好疫情防控期间政府采购工作有关事项的通知》（南财采〔2020〕12号）要求，现对本项目相关事项通知如下：</w:t>
      </w:r>
    </w:p>
    <w:p>
      <w:pPr>
        <w:widowControl/>
        <w:spacing w:before="100" w:beforeAutospacing="1" w:after="100" w:afterAutospacing="1" w:line="380" w:lineRule="atLeast"/>
        <w:ind w:firstLine="482"/>
        <w:jc w:val="left"/>
        <w:rPr>
          <w:rFonts w:cs="宋体" w:asciiTheme="majorEastAsia" w:hAnsiTheme="majorEastAsia" w:eastAsiaTheme="majorEastAsia"/>
          <w:b/>
          <w:bCs/>
          <w:color w:val="000000" w:themeColor="text1"/>
          <w:kern w:val="0"/>
          <w:sz w:val="24"/>
          <w:u w:val="single"/>
        </w:rPr>
      </w:pPr>
      <w:r>
        <w:rPr>
          <w:rFonts w:hint="eastAsia" w:cs="宋体" w:asciiTheme="majorEastAsia" w:hAnsiTheme="majorEastAsia" w:eastAsiaTheme="majorEastAsia"/>
          <w:color w:val="000000" w:themeColor="text1"/>
          <w:kern w:val="0"/>
          <w:sz w:val="24"/>
        </w:rPr>
        <w:t>一、本项目的响应文件通过</w:t>
      </w:r>
      <w:r>
        <w:rPr>
          <w:rFonts w:hint="eastAsia" w:cs="宋体" w:asciiTheme="majorEastAsia" w:hAnsiTheme="majorEastAsia" w:eastAsiaTheme="majorEastAsia"/>
          <w:b/>
          <w:bCs/>
          <w:color w:val="000000" w:themeColor="text1"/>
          <w:kern w:val="0"/>
          <w:sz w:val="24"/>
          <w:u w:val="single"/>
        </w:rPr>
        <w:t>邮寄快递方式送达。</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一）接收邮寄快递包裹的时间为工作日9：00～17：00。响应文件必须在响应截止时间前送达，且须交由采购代理机构当面签收。采购代理机构签收邮寄包裹的时间即为磋商供货商响应文件的送达时间，逾期送达的响应文件无效，后果由磋商供应商自行承担。</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（二）采购代理机构将在响应截止时间前一个小时（即</w:t>
      </w:r>
      <w:r>
        <w:rPr>
          <w:rFonts w:hint="eastAsia" w:cs="宋体" w:asciiTheme="majorEastAsia" w:hAnsiTheme="majorEastAsia" w:eastAsiaTheme="majorEastAsia"/>
          <w:color w:val="000000" w:themeColor="text1"/>
          <w:kern w:val="0"/>
          <w:sz w:val="24"/>
          <w:lang w:val="en-US" w:eastAsia="zh-CN"/>
        </w:rPr>
        <w:t>12</w:t>
      </w:r>
      <w:r>
        <w:rPr>
          <w:rFonts w:hint="eastAsia" w:cs="宋体" w:asciiTheme="majorEastAsia" w:hAnsiTheme="majorEastAsia" w:eastAsiaTheme="majorEastAsia"/>
          <w:color w:val="000000" w:themeColor="text1"/>
          <w:kern w:val="0"/>
          <w:sz w:val="24"/>
        </w:rPr>
        <w:t>时</w:t>
      </w:r>
      <w:r>
        <w:rPr>
          <w:rFonts w:hint="eastAsia" w:cs="宋体" w:asciiTheme="majorEastAsia" w:hAnsiTheme="majorEastAsia" w:eastAsiaTheme="majorEastAsia"/>
          <w:color w:val="000000" w:themeColor="text1"/>
          <w:kern w:val="0"/>
          <w:sz w:val="24"/>
          <w:lang w:val="en-US" w:eastAsia="zh-CN"/>
        </w:rPr>
        <w:t>00</w:t>
      </w:r>
      <w:r>
        <w:rPr>
          <w:rFonts w:hint="eastAsia" w:cs="宋体" w:asciiTheme="majorEastAsia" w:hAnsiTheme="majorEastAsia" w:eastAsiaTheme="majorEastAsia"/>
          <w:color w:val="000000" w:themeColor="text1"/>
          <w:kern w:val="0"/>
          <w:sz w:val="24"/>
        </w:rPr>
        <w:t>分）统一将收到的响应文件运送至南宁市公共资源交易中心，以确保本项目能在响应截止（开标）时间准时开标。供应商应充分预留响应文件邮寄、送达所需要的时间。为确保疫情防控期间邮寄包裹能及时送达，应选择邮寄运送时间有保障的快递公司寄送响应文件，并尽量在投标截止日期</w:t>
      </w:r>
      <w:r>
        <w:rPr>
          <w:rFonts w:cs="宋体" w:asciiTheme="majorEastAsia" w:hAnsiTheme="majorEastAsia" w:eastAsiaTheme="majorEastAsia"/>
          <w:color w:val="000000" w:themeColor="text1"/>
          <w:kern w:val="0"/>
          <w:sz w:val="24"/>
        </w:rPr>
        <w:t>1</w:t>
      </w:r>
      <w:r>
        <w:rPr>
          <w:rFonts w:hint="eastAsia" w:cs="宋体" w:asciiTheme="majorEastAsia" w:hAnsiTheme="majorEastAsia" w:eastAsiaTheme="majorEastAsia"/>
          <w:color w:val="000000" w:themeColor="text1"/>
          <w:kern w:val="0"/>
          <w:sz w:val="24"/>
        </w:rPr>
        <w:t>日前送达。</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（三）供应商按照采购文件要求装订密封好响应文件后，应使用不透明、防水的邮寄袋或箱子再次包裹已密封的响应文件，</w:t>
      </w:r>
      <w:r>
        <w:rPr>
          <w:rFonts w:hint="eastAsia" w:cs="宋体" w:asciiTheme="majorEastAsia" w:hAnsiTheme="majorEastAsia" w:eastAsiaTheme="majorEastAsia"/>
          <w:b/>
          <w:bCs/>
          <w:color w:val="000000" w:themeColor="text1"/>
          <w:kern w:val="0"/>
          <w:sz w:val="24"/>
          <w:u w:val="single"/>
        </w:rPr>
        <w:t>并在邮寄袋或箱子上粘牢注明项目名称、项目编号、有效的电子邮箱、联系人及联系方式的纸质表格</w:t>
      </w:r>
      <w:r>
        <w:rPr>
          <w:rFonts w:hint="eastAsia" w:cs="宋体" w:asciiTheme="majorEastAsia" w:hAnsiTheme="majorEastAsia" w:eastAsiaTheme="majorEastAsia"/>
          <w:color w:val="000000" w:themeColor="text1"/>
          <w:kern w:val="0"/>
          <w:sz w:val="24"/>
        </w:rPr>
        <w:t>。如因响应文件包裹信息注明不完整或缺失造成响应文件无法辨认属于哪一个项目造成的后果供应商自负。</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（四）响应文件邮寄地址：南宁市青秀区思贤路45号创投中心16A层</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收件人：罗工  联系电话：0771-2442850</w:t>
      </w:r>
    </w:p>
    <w:p>
      <w:pPr>
        <w:widowControl/>
        <w:spacing w:before="100" w:beforeAutospacing="1" w:after="100" w:afterAutospacing="1" w:line="380" w:lineRule="atLeast"/>
        <w:jc w:val="left"/>
        <w:rPr>
          <w:rFonts w:cs="宋体" w:asciiTheme="majorEastAsia" w:hAnsiTheme="majorEastAsia" w:eastAsiaTheme="majorEastAsia"/>
          <w:b/>
          <w:color w:val="000000" w:themeColor="text1"/>
          <w:kern w:val="0"/>
          <w:sz w:val="24"/>
        </w:rPr>
      </w:pPr>
      <w:r>
        <w:rPr>
          <w:rFonts w:hint="eastAsia" w:cs="宋体" w:asciiTheme="majorEastAsia" w:hAnsiTheme="majorEastAsia" w:eastAsiaTheme="majorEastAsia"/>
          <w:b/>
          <w:color w:val="000000" w:themeColor="text1"/>
          <w:kern w:val="0"/>
          <w:sz w:val="24"/>
        </w:rPr>
        <w:t>（五）磋商供应商不参加现场开标活动。</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响应文件拆封及密封性检查：</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截标后，采购代理机构工作人员在南宁市公共资源交易中心工作人员和采购人的见证下拆开响应文件包封，采购人对响应文件密封性进行签字确认。</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二、关于澄清、谈判的有关要求</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（一）为便于采购代理机构或谈判小组在项目评审期间与供应商取得联系，做好评审过程中供应商对响应文件的澄清、说明或者补正，以及谈判等工作，供应商务必做到：</w:t>
      </w:r>
      <w:r>
        <w:rPr>
          <w:rFonts w:hint="eastAsia" w:cs="宋体" w:asciiTheme="majorEastAsia" w:hAnsiTheme="majorEastAsia" w:eastAsiaTheme="majorEastAsia"/>
          <w:b/>
          <w:bCs/>
          <w:color w:val="000000" w:themeColor="text1"/>
          <w:kern w:val="0"/>
          <w:sz w:val="24"/>
          <w:u w:val="single"/>
        </w:rPr>
        <w:t>“第五章响应文件格式”中“响应函（格式）”落款处的“电话”务必填写法定代表人或委托代理人的电话联系方式</w:t>
      </w:r>
      <w:r>
        <w:rPr>
          <w:rFonts w:hint="eastAsia" w:cs="宋体" w:asciiTheme="majorEastAsia" w:hAnsiTheme="majorEastAsia" w:eastAsiaTheme="majorEastAsia"/>
          <w:color w:val="000000" w:themeColor="text1"/>
          <w:kern w:val="0"/>
          <w:sz w:val="24"/>
        </w:rPr>
        <w:t>。</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评审当天供应商务必保持电话畅通。如果评审过程中需要与供应商进行谈判、要求供应商进行报价以及对响应文件作出澄清、说明或者补正的，谈判小组会通知供应商在规定的时间内通过电子邮件、传真等方式提交。</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三）如供应商未按上述要求，致使采购代理机构或谈判小组在项目评审期间无法与供应商取得联系进行谈判的，或因自身原因未能保持电话畅通或未按谈判小组要求提交澄清、说明或者补正的，后果由供应商自行承担。</w:t>
      </w:r>
    </w:p>
    <w:p>
      <w:pPr>
        <w:widowControl/>
        <w:jc w:val="left"/>
        <w:rPr>
          <w:rFonts w:asciiTheme="majorEastAsia" w:hAnsiTheme="majorEastAsia" w:eastAsiaTheme="majorEastAsia"/>
          <w:b/>
          <w:color w:val="000000" w:themeColor="text1"/>
          <w:sz w:val="48"/>
          <w:szCs w:val="48"/>
        </w:rPr>
      </w:pPr>
      <w:r>
        <w:rPr>
          <w:rFonts w:hint="eastAsia" w:cs="宋体" w:asciiTheme="majorEastAsia" w:hAnsiTheme="majorEastAsia" w:eastAsiaTheme="majorEastAsia"/>
          <w:color w:val="000000" w:themeColor="text1"/>
          <w:kern w:val="0"/>
          <w:sz w:val="24"/>
        </w:rPr>
        <w:t>四、请按通知内容执行，采购文件其余内容不变。</w:t>
      </w:r>
    </w:p>
    <w:p>
      <w:pPr>
        <w:pStyle w:val="10"/>
        <w:spacing w:line="560" w:lineRule="exact"/>
        <w:rPr>
          <w:rFonts w:asciiTheme="majorEastAsia" w:hAnsiTheme="majorEastAsia" w:eastAsiaTheme="majorEastAsia"/>
          <w:color w:val="000000" w:themeColor="text1"/>
          <w:sz w:val="24"/>
          <w:szCs w:val="24"/>
        </w:rPr>
      </w:pPr>
    </w:p>
    <w:p>
      <w:pPr>
        <w:pStyle w:val="10"/>
        <w:spacing w:line="560" w:lineRule="exact"/>
        <w:rPr>
          <w:rFonts w:asciiTheme="majorEastAsia" w:hAnsiTheme="majorEastAsia" w:eastAsiaTheme="majorEastAsia"/>
          <w:color w:val="000000" w:themeColor="text1"/>
          <w:sz w:val="24"/>
          <w:szCs w:val="24"/>
        </w:rPr>
      </w:pPr>
    </w:p>
    <w:p>
      <w:pPr>
        <w:pStyle w:val="10"/>
        <w:spacing w:line="560" w:lineRule="exact"/>
        <w:rPr>
          <w:rFonts w:asciiTheme="majorEastAsia" w:hAnsiTheme="majorEastAsia" w:eastAsiaTheme="majorEastAsia"/>
          <w:color w:val="000000" w:themeColor="text1"/>
          <w:sz w:val="24"/>
          <w:szCs w:val="24"/>
        </w:rPr>
      </w:pPr>
    </w:p>
    <w:p>
      <w:pPr>
        <w:pStyle w:val="10"/>
        <w:spacing w:line="560" w:lineRule="exac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采购代理机构：广西邕政采购代理有限公司                                  </w:t>
      </w:r>
    </w:p>
    <w:p>
      <w:pPr>
        <w:widowControl/>
        <w:jc w:val="center"/>
        <w:rPr>
          <w:rFonts w:asciiTheme="majorEastAsia" w:hAnsiTheme="majorEastAsia" w:eastAsiaTheme="majorEastAsia" w:cstheme="majorEastAsia"/>
          <w:b/>
          <w:color w:val="000000" w:themeColor="text1"/>
          <w:sz w:val="48"/>
          <w:szCs w:val="48"/>
        </w:rPr>
        <w:sectPr>
          <w:pgSz w:w="11906" w:h="16838"/>
          <w:pgMar w:top="1440" w:right="1080" w:bottom="1118" w:left="1080" w:header="720" w:footer="720" w:gutter="0"/>
          <w:cols w:space="720" w:num="1"/>
          <w:docGrid w:type="lines" w:linePitch="331" w:charSpace="0"/>
        </w:sectPr>
      </w:pPr>
      <w:r>
        <w:rPr>
          <w:rFonts w:hint="eastAsia" w:asciiTheme="majorEastAsia" w:hAnsiTheme="majorEastAsia" w:eastAsiaTheme="majorEastAsia"/>
          <w:color w:val="000000" w:themeColor="text1"/>
          <w:sz w:val="24"/>
        </w:rPr>
        <w:t xml:space="preserve">          日期：2020年</w:t>
      </w:r>
      <w:r>
        <w:rPr>
          <w:rFonts w:hint="eastAsia" w:asciiTheme="majorEastAsia" w:hAnsiTheme="majorEastAsia" w:eastAsiaTheme="majorEastAsia"/>
          <w:color w:val="000000" w:themeColor="text1"/>
          <w:sz w:val="24"/>
          <w:lang w:val="en-US" w:eastAsia="zh-CN"/>
        </w:rPr>
        <w:t>11</w:t>
      </w:r>
      <w:r>
        <w:rPr>
          <w:rFonts w:hint="eastAsia" w:asciiTheme="majorEastAsia" w:hAnsiTheme="majorEastAsia" w:eastAsiaTheme="majorEastAsia"/>
          <w:color w:val="000000" w:themeColor="text1"/>
          <w:sz w:val="24"/>
        </w:rPr>
        <w:t>月</w:t>
      </w:r>
      <w:r>
        <w:rPr>
          <w:rFonts w:hint="eastAsia" w:asciiTheme="majorEastAsia" w:hAnsiTheme="majorEastAsia" w:eastAsiaTheme="majorEastAsia"/>
          <w:color w:val="000000" w:themeColor="text1"/>
          <w:sz w:val="24"/>
          <w:lang w:val="en-US" w:eastAsia="zh-CN"/>
        </w:rPr>
        <w:t>04</w:t>
      </w:r>
      <w:r>
        <w:rPr>
          <w:rFonts w:hint="eastAsia" w:asciiTheme="majorEastAsia" w:hAnsiTheme="majorEastAsia" w:eastAsiaTheme="majorEastAsia"/>
          <w:color w:val="000000" w:themeColor="text1"/>
          <w:sz w:val="24"/>
        </w:rPr>
        <w:t>日</w:t>
      </w:r>
    </w:p>
    <w:sdt>
      <w:sdtPr>
        <w:rPr>
          <w:rFonts w:asciiTheme="majorEastAsia" w:hAnsiTheme="majorEastAsia" w:eastAsiaTheme="majorEastAsia"/>
        </w:rPr>
        <w:id w:val="147457188"/>
        <w:docPartObj>
          <w:docPartGallery w:val="Table of Contents"/>
          <w:docPartUnique/>
        </w:docPartObj>
      </w:sdtPr>
      <w:sdtEndPr>
        <w:rPr>
          <w:rFonts w:asciiTheme="majorEastAsia" w:hAnsiTheme="majorEastAsia" w:eastAsiaTheme="majorEastAsia" w:cstheme="majorEastAsia"/>
          <w:b/>
          <w:color w:val="000000" w:themeColor="text1"/>
          <w:sz w:val="18"/>
          <w:szCs w:val="21"/>
        </w:rPr>
      </w:sdtEndPr>
      <w:sdtContent>
        <w:p>
          <w:pPr>
            <w:jc w:val="center"/>
            <w:rPr>
              <w:rFonts w:asciiTheme="majorEastAsia" w:hAnsiTheme="majorEastAsia" w:eastAsiaTheme="majorEastAsia"/>
              <w:sz w:val="28"/>
              <w:szCs w:val="28"/>
            </w:rPr>
          </w:pPr>
          <w:bookmarkStart w:id="2" w:name="_Toc485920200"/>
          <w:bookmarkStart w:id="3" w:name="_Toc460253689"/>
          <w:r>
            <w:rPr>
              <w:rFonts w:asciiTheme="majorEastAsia" w:hAnsiTheme="majorEastAsia" w:eastAsiaTheme="majorEastAsia"/>
              <w:b/>
              <w:sz w:val="28"/>
              <w:szCs w:val="28"/>
            </w:rPr>
            <w:t>目录</w:t>
          </w:r>
        </w:p>
        <w:p>
          <w:pPr>
            <w:pStyle w:val="13"/>
            <w:tabs>
              <w:tab w:val="right" w:leader="dot" w:pos="9746"/>
            </w:tabs>
            <w:rPr>
              <w:sz w:val="28"/>
              <w:szCs w:val="28"/>
            </w:rPr>
          </w:pPr>
          <w:r>
            <w:rPr>
              <w:rFonts w:asciiTheme="majorEastAsia" w:hAnsiTheme="majorEastAsia" w:eastAsiaTheme="majorEastAsia" w:cstheme="majorEastAsia"/>
              <w:color w:val="000000" w:themeColor="text1"/>
              <w:sz w:val="18"/>
              <w:szCs w:val="18"/>
              <w:highlight w:val="yellow"/>
            </w:rPr>
            <w:fldChar w:fldCharType="begin"/>
          </w:r>
          <w:r>
            <w:rPr>
              <w:rFonts w:asciiTheme="majorEastAsia" w:hAnsiTheme="majorEastAsia" w:eastAsiaTheme="majorEastAsia" w:cstheme="majorEastAsia"/>
              <w:color w:val="000000" w:themeColor="text1"/>
              <w:sz w:val="18"/>
              <w:szCs w:val="18"/>
              <w:highlight w:val="yellow"/>
            </w:rPr>
            <w:instrText xml:space="preserve">TOC \o "1-2" \h \u </w:instrText>
          </w:r>
          <w:r>
            <w:rPr>
              <w:rFonts w:asciiTheme="majorEastAsia" w:hAnsiTheme="majorEastAsia" w:eastAsiaTheme="majorEastAsia" w:cstheme="majorEastAsia"/>
              <w:color w:val="000000" w:themeColor="text1"/>
              <w:sz w:val="18"/>
              <w:szCs w:val="18"/>
              <w:highlight w:val="yellow"/>
            </w:rPr>
            <w:fldChar w:fldCharType="separate"/>
          </w:r>
          <w:r>
            <w:fldChar w:fldCharType="begin"/>
          </w:r>
          <w:r>
            <w:instrText xml:space="preserve"> HYPERLINK \l "_Toc8504" </w:instrText>
          </w:r>
          <w:r>
            <w:fldChar w:fldCharType="separate"/>
          </w:r>
          <w:r>
            <w:rPr>
              <w:rFonts w:hint="eastAsia" w:cs="宋体" w:asciiTheme="majorEastAsia" w:hAnsiTheme="majorEastAsia" w:eastAsiaTheme="majorEastAsia"/>
              <w:sz w:val="28"/>
              <w:szCs w:val="20"/>
            </w:rPr>
            <w:t>第一章 竞争性磋商公告</w:t>
          </w:r>
          <w:r>
            <w:rPr>
              <w:sz w:val="28"/>
              <w:szCs w:val="28"/>
            </w:rPr>
            <w:tab/>
          </w:r>
          <w:r>
            <w:rPr>
              <w:sz w:val="28"/>
              <w:szCs w:val="28"/>
            </w:rPr>
            <w:fldChar w:fldCharType="begin"/>
          </w:r>
          <w:r>
            <w:rPr>
              <w:sz w:val="28"/>
              <w:szCs w:val="28"/>
            </w:rPr>
            <w:instrText xml:space="preserve"> PAGEREF _Toc8504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"_Toc30530" </w:instrText>
          </w:r>
          <w:r>
            <w:fldChar w:fldCharType="separate"/>
          </w:r>
          <w:r>
            <w:rPr>
              <w:rFonts w:hint="eastAsia" w:asciiTheme="majorEastAsia" w:hAnsiTheme="majorEastAsia" w:eastAsiaTheme="majorEastAsia" w:cstheme="majorEastAsia"/>
              <w:bCs/>
              <w:sz w:val="28"/>
              <w:szCs w:val="22"/>
            </w:rPr>
            <w:t>第二章  服务需求一览表</w:t>
          </w:r>
          <w:r>
            <w:rPr>
              <w:sz w:val="28"/>
              <w:szCs w:val="28"/>
            </w:rPr>
            <w:tab/>
          </w:r>
          <w:r>
            <w:rPr>
              <w:sz w:val="28"/>
              <w:szCs w:val="28"/>
            </w:rPr>
            <w:fldChar w:fldCharType="begin"/>
          </w:r>
          <w:r>
            <w:rPr>
              <w:sz w:val="28"/>
              <w:szCs w:val="28"/>
            </w:rPr>
            <w:instrText xml:space="preserve"> PAGEREF _Toc30530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"_Toc29190" </w:instrText>
          </w:r>
          <w:r>
            <w:fldChar w:fldCharType="separate"/>
          </w:r>
          <w:r>
            <w:rPr>
              <w:rFonts w:hint="eastAsia" w:asciiTheme="majorEastAsia" w:hAnsiTheme="majorEastAsia" w:eastAsiaTheme="majorEastAsia" w:cstheme="majorEastAsia"/>
              <w:sz w:val="28"/>
              <w:szCs w:val="28"/>
            </w:rPr>
            <w:t>第三章  评审方法</w:t>
          </w:r>
          <w:r>
            <w:rPr>
              <w:sz w:val="28"/>
              <w:szCs w:val="28"/>
            </w:rPr>
            <w:tab/>
          </w:r>
          <w:r>
            <w:rPr>
              <w:sz w:val="28"/>
              <w:szCs w:val="28"/>
            </w:rPr>
            <w:fldChar w:fldCharType="begin"/>
          </w:r>
          <w:r>
            <w:rPr>
              <w:sz w:val="28"/>
              <w:szCs w:val="28"/>
            </w:rPr>
            <w:instrText xml:space="preserve"> PAGEREF _Toc29190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"_Toc17008" </w:instrText>
          </w:r>
          <w:r>
            <w:fldChar w:fldCharType="separate"/>
          </w:r>
          <w:r>
            <w:rPr>
              <w:rFonts w:hint="eastAsia" w:asciiTheme="majorEastAsia" w:hAnsiTheme="majorEastAsia" w:eastAsiaTheme="majorEastAsia" w:cstheme="majorEastAsia"/>
              <w:sz w:val="28"/>
              <w:szCs w:val="20"/>
            </w:rPr>
            <w:t>第四章   磋商供应商须知</w:t>
          </w:r>
          <w:r>
            <w:rPr>
              <w:sz w:val="28"/>
              <w:szCs w:val="28"/>
            </w:rPr>
            <w:tab/>
          </w:r>
          <w:r>
            <w:rPr>
              <w:sz w:val="28"/>
              <w:szCs w:val="28"/>
            </w:rPr>
            <w:fldChar w:fldCharType="begin"/>
          </w:r>
          <w:r>
            <w:rPr>
              <w:sz w:val="28"/>
              <w:szCs w:val="28"/>
            </w:rPr>
            <w:instrText xml:space="preserve"> PAGEREF _Toc17008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"_Toc11767" </w:instrText>
          </w:r>
          <w:r>
            <w:fldChar w:fldCharType="separate"/>
          </w:r>
          <w:r>
            <w:rPr>
              <w:rFonts w:hint="eastAsia" w:asciiTheme="majorEastAsia" w:hAnsiTheme="majorEastAsia" w:eastAsiaTheme="majorEastAsia" w:cstheme="majorEastAsia"/>
              <w:sz w:val="28"/>
              <w:szCs w:val="28"/>
            </w:rPr>
            <w:t>一   总则</w:t>
          </w:r>
          <w:r>
            <w:rPr>
              <w:sz w:val="28"/>
              <w:szCs w:val="28"/>
            </w:rPr>
            <w:tab/>
          </w:r>
          <w:r>
            <w:rPr>
              <w:sz w:val="28"/>
              <w:szCs w:val="28"/>
            </w:rPr>
            <w:fldChar w:fldCharType="begin"/>
          </w:r>
          <w:r>
            <w:rPr>
              <w:sz w:val="28"/>
              <w:szCs w:val="28"/>
            </w:rPr>
            <w:instrText xml:space="preserve"> PAGEREF _Toc11767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"_Toc11021" </w:instrText>
          </w:r>
          <w:r>
            <w:fldChar w:fldCharType="separate"/>
          </w:r>
          <w:r>
            <w:rPr>
              <w:rFonts w:hint="eastAsia" w:asciiTheme="majorEastAsia" w:hAnsiTheme="majorEastAsia" w:eastAsiaTheme="majorEastAsia" w:cstheme="majorEastAsia"/>
              <w:sz w:val="28"/>
              <w:szCs w:val="28"/>
            </w:rPr>
            <w:t>二   竞争性磋商采购文件</w:t>
          </w:r>
          <w:r>
            <w:rPr>
              <w:sz w:val="28"/>
              <w:szCs w:val="28"/>
            </w:rPr>
            <w:tab/>
          </w:r>
          <w:r>
            <w:rPr>
              <w:sz w:val="28"/>
              <w:szCs w:val="28"/>
            </w:rPr>
            <w:fldChar w:fldCharType="begin"/>
          </w:r>
          <w:r>
            <w:rPr>
              <w:sz w:val="28"/>
              <w:szCs w:val="28"/>
            </w:rPr>
            <w:instrText xml:space="preserve"> PAGEREF _Toc11021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"_Toc2042" </w:instrText>
          </w:r>
          <w:r>
            <w:fldChar w:fldCharType="separate"/>
          </w:r>
          <w:r>
            <w:rPr>
              <w:rFonts w:hint="eastAsia" w:asciiTheme="majorEastAsia" w:hAnsiTheme="majorEastAsia" w:eastAsiaTheme="majorEastAsia" w:cstheme="majorEastAsia"/>
              <w:sz w:val="28"/>
              <w:szCs w:val="28"/>
            </w:rPr>
            <w:t>三   响应文件</w:t>
          </w:r>
          <w:r>
            <w:rPr>
              <w:sz w:val="28"/>
              <w:szCs w:val="28"/>
            </w:rPr>
            <w:tab/>
          </w:r>
          <w:r>
            <w:rPr>
              <w:sz w:val="28"/>
              <w:szCs w:val="28"/>
            </w:rPr>
            <w:fldChar w:fldCharType="begin"/>
          </w:r>
          <w:r>
            <w:rPr>
              <w:sz w:val="28"/>
              <w:szCs w:val="28"/>
            </w:rPr>
            <w:instrText xml:space="preserve"> PAGEREF _Toc2042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"_Toc31512" </w:instrText>
          </w:r>
          <w:r>
            <w:fldChar w:fldCharType="separate"/>
          </w:r>
          <w:r>
            <w:rPr>
              <w:rFonts w:hint="eastAsia" w:asciiTheme="majorEastAsia" w:hAnsiTheme="majorEastAsia" w:eastAsiaTheme="majorEastAsia" w:cstheme="majorEastAsia"/>
              <w:sz w:val="28"/>
              <w:szCs w:val="28"/>
            </w:rPr>
            <w:t>四   磋商响应</w:t>
          </w:r>
          <w:r>
            <w:rPr>
              <w:sz w:val="28"/>
              <w:szCs w:val="28"/>
            </w:rPr>
            <w:tab/>
          </w:r>
          <w:r>
            <w:rPr>
              <w:sz w:val="28"/>
              <w:szCs w:val="28"/>
            </w:rPr>
            <w:fldChar w:fldCharType="begin"/>
          </w:r>
          <w:r>
            <w:rPr>
              <w:sz w:val="28"/>
              <w:szCs w:val="28"/>
            </w:rPr>
            <w:instrText xml:space="preserve"> PAGEREF _Toc31512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"_Toc12483" </w:instrText>
          </w:r>
          <w:r>
            <w:fldChar w:fldCharType="separate"/>
          </w:r>
          <w:r>
            <w:rPr>
              <w:rFonts w:hint="eastAsia" w:asciiTheme="majorEastAsia" w:hAnsiTheme="majorEastAsia" w:eastAsiaTheme="majorEastAsia" w:cstheme="majorEastAsia"/>
              <w:sz w:val="28"/>
              <w:szCs w:val="28"/>
            </w:rPr>
            <w:t>五   评审与磋商</w:t>
          </w:r>
          <w:r>
            <w:rPr>
              <w:sz w:val="28"/>
              <w:szCs w:val="28"/>
            </w:rPr>
            <w:tab/>
          </w:r>
          <w:r>
            <w:rPr>
              <w:sz w:val="28"/>
              <w:szCs w:val="28"/>
            </w:rPr>
            <w:fldChar w:fldCharType="begin"/>
          </w:r>
          <w:r>
            <w:rPr>
              <w:sz w:val="28"/>
              <w:szCs w:val="28"/>
            </w:rPr>
            <w:instrText xml:space="preserve"> PAGEREF _Toc12483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"_Toc7328" </w:instrText>
          </w:r>
          <w:r>
            <w:fldChar w:fldCharType="separate"/>
          </w:r>
          <w:r>
            <w:rPr>
              <w:rFonts w:hint="eastAsia" w:asciiTheme="majorEastAsia" w:hAnsiTheme="majorEastAsia" w:eastAsiaTheme="majorEastAsia" w:cstheme="majorEastAsia"/>
              <w:sz w:val="28"/>
              <w:szCs w:val="28"/>
            </w:rPr>
            <w:t>六   合同授予</w:t>
          </w:r>
          <w:r>
            <w:rPr>
              <w:sz w:val="28"/>
              <w:szCs w:val="28"/>
            </w:rPr>
            <w:tab/>
          </w:r>
          <w:r>
            <w:rPr>
              <w:sz w:val="28"/>
              <w:szCs w:val="28"/>
            </w:rPr>
            <w:fldChar w:fldCharType="begin"/>
          </w:r>
          <w:r>
            <w:rPr>
              <w:sz w:val="28"/>
              <w:szCs w:val="28"/>
            </w:rPr>
            <w:instrText xml:space="preserve"> PAGEREF _Toc7328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"_Toc17564" </w:instrText>
          </w:r>
          <w:r>
            <w:fldChar w:fldCharType="separate"/>
          </w:r>
          <w:r>
            <w:rPr>
              <w:rFonts w:hint="eastAsia" w:asciiTheme="majorEastAsia" w:hAnsiTheme="majorEastAsia" w:eastAsiaTheme="majorEastAsia" w:cstheme="majorEastAsia"/>
              <w:sz w:val="28"/>
              <w:szCs w:val="28"/>
            </w:rPr>
            <w:t>七   其他事项</w:t>
          </w:r>
          <w:r>
            <w:rPr>
              <w:sz w:val="28"/>
              <w:szCs w:val="28"/>
            </w:rPr>
            <w:tab/>
          </w:r>
          <w:r>
            <w:rPr>
              <w:sz w:val="28"/>
              <w:szCs w:val="28"/>
            </w:rPr>
            <w:fldChar w:fldCharType="begin"/>
          </w:r>
          <w:r>
            <w:rPr>
              <w:sz w:val="28"/>
              <w:szCs w:val="28"/>
            </w:rPr>
            <w:instrText xml:space="preserve"> PAGEREF _Toc17564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"_Toc4957" </w:instrText>
          </w:r>
          <w:r>
            <w:fldChar w:fldCharType="separate"/>
          </w: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响应文件格式</w:t>
          </w:r>
          <w:r>
            <w:rPr>
              <w:sz w:val="28"/>
              <w:szCs w:val="28"/>
            </w:rPr>
            <w:tab/>
          </w:r>
          <w:r>
            <w:rPr>
              <w:sz w:val="28"/>
              <w:szCs w:val="28"/>
            </w:rPr>
            <w:fldChar w:fldCharType="begin"/>
          </w:r>
          <w:r>
            <w:rPr>
              <w:sz w:val="28"/>
              <w:szCs w:val="28"/>
            </w:rPr>
            <w:instrText xml:space="preserve"> PAGEREF _Toc4957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"_Toc26477" </w:instrText>
          </w:r>
          <w:r>
            <w:fldChar w:fldCharType="separate"/>
          </w:r>
          <w:r>
            <w:rPr>
              <w:rFonts w:hint="eastAsia" w:asciiTheme="majorEastAsia" w:hAnsiTheme="majorEastAsia" w:eastAsiaTheme="majorEastAsia" w:cstheme="majorEastAsia"/>
              <w:sz w:val="28"/>
              <w:szCs w:val="28"/>
            </w:rPr>
            <w:t>第六章  合同条款及格式</w:t>
          </w:r>
          <w:r>
            <w:rPr>
              <w:sz w:val="28"/>
              <w:szCs w:val="28"/>
            </w:rPr>
            <w:tab/>
          </w:r>
          <w:r>
            <w:rPr>
              <w:sz w:val="28"/>
              <w:szCs w:val="28"/>
            </w:rPr>
            <w:fldChar w:fldCharType="begin"/>
          </w:r>
          <w:r>
            <w:rPr>
              <w:sz w:val="28"/>
              <w:szCs w:val="28"/>
            </w:rPr>
            <w:instrText xml:space="preserve"> PAGEREF _Toc26477 </w:instrText>
          </w:r>
          <w:r>
            <w:rPr>
              <w:sz w:val="28"/>
              <w:szCs w:val="28"/>
            </w:rPr>
            <w:fldChar w:fldCharType="separate"/>
          </w:r>
          <w:r>
            <w:rPr>
              <w:sz w:val="28"/>
              <w:szCs w:val="28"/>
            </w:rPr>
            <w:t>43</w:t>
          </w:r>
          <w:r>
            <w:rPr>
              <w:sz w:val="28"/>
              <w:szCs w:val="28"/>
            </w:rPr>
            <w:fldChar w:fldCharType="end"/>
          </w:r>
          <w:r>
            <w:rPr>
              <w:sz w:val="28"/>
              <w:szCs w:val="28"/>
            </w:rPr>
            <w:fldChar w:fldCharType="end"/>
          </w:r>
        </w:p>
        <w:p>
          <w:pPr>
            <w:widowControl/>
            <w:jc w:val="left"/>
            <w:rPr>
              <w:rFonts w:asciiTheme="majorEastAsia" w:hAnsiTheme="majorEastAsia" w:eastAsiaTheme="majorEastAsia" w:cstheme="majorEastAsia"/>
              <w:color w:val="000000" w:themeColor="text1"/>
              <w:sz w:val="18"/>
              <w:szCs w:val="21"/>
            </w:rPr>
          </w:pPr>
          <w:r>
            <w:rPr>
              <w:rFonts w:asciiTheme="majorEastAsia" w:hAnsiTheme="majorEastAsia" w:eastAsiaTheme="majorEastAsia" w:cstheme="majorEastAsia"/>
              <w:color w:val="000000" w:themeColor="text1"/>
              <w:sz w:val="18"/>
              <w:szCs w:val="18"/>
              <w:highlight w:val="yellow"/>
            </w:rPr>
            <w:fldChar w:fldCharType="end"/>
          </w:r>
        </w:p>
      </w:sdtContent>
    </w:sdt>
    <w:bookmarkEnd w:id="2"/>
    <w:bookmarkEnd w:id="3"/>
    <w:p>
      <w:pPr>
        <w:rPr>
          <w:rFonts w:cs="宋体" w:asciiTheme="majorEastAsia" w:hAnsiTheme="majorEastAsia" w:eastAsiaTheme="majorEastAsia"/>
          <w:b/>
          <w:color w:val="000000" w:themeColor="text1"/>
          <w:sz w:val="24"/>
        </w:rPr>
      </w:pPr>
      <w:bookmarkStart w:id="4" w:name="_Toc12030"/>
      <w:r>
        <w:rPr>
          <w:rFonts w:hint="eastAsia" w:cs="宋体" w:asciiTheme="majorEastAsia" w:hAnsiTheme="majorEastAsia" w:eastAsiaTheme="majorEastAsia"/>
          <w:b/>
          <w:color w:val="000000" w:themeColor="text1"/>
          <w:sz w:val="24"/>
        </w:rPr>
        <w:br w:type="page"/>
      </w:r>
    </w:p>
    <w:p>
      <w:pPr>
        <w:pStyle w:val="3"/>
        <w:wordWrap w:val="0"/>
        <w:ind w:left="283" w:leftChars="135" w:firstLine="3534" w:firstLineChars="1100"/>
        <w:rPr>
          <w:rFonts w:cs="宋体" w:asciiTheme="majorEastAsia" w:hAnsiTheme="majorEastAsia" w:eastAsiaTheme="majorEastAsia"/>
          <w:b/>
          <w:color w:val="000000" w:themeColor="text1"/>
          <w:sz w:val="32"/>
          <w:szCs w:val="32"/>
        </w:rPr>
      </w:pPr>
      <w:bookmarkStart w:id="5" w:name="_Toc32412"/>
      <w:bookmarkStart w:id="6" w:name="_Toc8504"/>
      <w:r>
        <w:rPr>
          <w:rFonts w:hint="eastAsia" w:cs="宋体" w:asciiTheme="majorEastAsia" w:hAnsiTheme="majorEastAsia" w:eastAsiaTheme="majorEastAsia"/>
          <w:b/>
          <w:color w:val="000000" w:themeColor="text1"/>
          <w:sz w:val="32"/>
          <w:szCs w:val="32"/>
        </w:rPr>
        <w:t>第一章 竞争性磋商公告</w:t>
      </w:r>
      <w:bookmarkEnd w:id="4"/>
      <w:bookmarkEnd w:id="5"/>
      <w:bookmarkEnd w:id="6"/>
    </w:p>
    <w:p>
      <w:pPr>
        <w:pBdr>
          <w:top w:val="single" w:color="auto" w:sz="4" w:space="1"/>
          <w:left w:val="single" w:color="auto" w:sz="4" w:space="4"/>
          <w:bottom w:val="single" w:color="auto" w:sz="4" w:space="1"/>
          <w:right w:val="single" w:color="auto" w:sz="4" w:space="4"/>
        </w:pBdr>
        <w:spacing w:line="46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项目概况：</w:t>
      </w:r>
    </w:p>
    <w:p>
      <w:pPr>
        <w:pBdr>
          <w:top w:val="single" w:color="auto" w:sz="4" w:space="1"/>
          <w:left w:val="single" w:color="auto" w:sz="4" w:space="4"/>
          <w:bottom w:val="single" w:color="auto" w:sz="4" w:space="1"/>
          <w:right w:val="single" w:color="auto" w:sz="4" w:space="4"/>
        </w:pBdr>
        <w:spacing w:line="460" w:lineRule="exact"/>
        <w:ind w:firstLine="720" w:firstLineChars="3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u w:val="single"/>
        </w:rPr>
        <w:t>住房保障信息系统专线租用（项目编号：NNZC2020-C3-990370-GXYZ）</w:t>
      </w:r>
      <w:r>
        <w:rPr>
          <w:rFonts w:hint="eastAsia" w:cs="宋体" w:asciiTheme="majorEastAsia" w:hAnsiTheme="majorEastAsia" w:eastAsiaTheme="majorEastAsia"/>
          <w:color w:val="000000" w:themeColor="text1"/>
          <w:sz w:val="24"/>
        </w:rPr>
        <w:t>采购项目的潜在供应商应在</w:t>
      </w:r>
      <w:r>
        <w:rPr>
          <w:rFonts w:hint="eastAsia" w:cs="宋体" w:asciiTheme="majorEastAsia" w:hAnsiTheme="majorEastAsia" w:eastAsiaTheme="majorEastAsia"/>
          <w:color w:val="000000" w:themeColor="text1"/>
          <w:sz w:val="24"/>
          <w:u w:val="single"/>
        </w:rPr>
        <w:t>南宁市公共资源交易平台(https://www.nnggzy.org.cn/gxnnzbw/)</w:t>
      </w:r>
      <w:r>
        <w:rPr>
          <w:rFonts w:hint="eastAsia" w:cs="宋体" w:asciiTheme="majorEastAsia" w:hAnsiTheme="majorEastAsia" w:eastAsiaTheme="majorEastAsia"/>
          <w:color w:val="000000" w:themeColor="text1"/>
          <w:sz w:val="24"/>
        </w:rPr>
        <w:t>的信息公告处自行下载获取本项目采购文件，并于</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13</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00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（北京时间）前提交响应文件。</w:t>
      </w:r>
    </w:p>
    <w:p>
      <w:pPr>
        <w:widowControl/>
        <w:numPr>
          <w:ilvl w:val="255"/>
          <w:numId w:val="0"/>
        </w:numPr>
        <w:tabs>
          <w:tab w:val="left" w:pos="1021"/>
        </w:tabs>
        <w:spacing w:line="46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一、项目基本情况</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项目编号：NNZC2020-C3-990370-GXYZ</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项目名称：住房保障信息系统专线租用</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采购计划文号：[2020]NCCJB518001/4170-001</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采购方式：竞争性磋商</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预算金额：</w:t>
      </w:r>
      <w:r>
        <w:rPr>
          <w:rFonts w:hint="eastAsia" w:asciiTheme="majorEastAsia" w:hAnsiTheme="majorEastAsia" w:eastAsiaTheme="majorEastAsia" w:cstheme="majorEastAsia"/>
          <w:color w:val="000000" w:themeColor="text1"/>
          <w:sz w:val="24"/>
        </w:rPr>
        <w:t>人民币捌拾捌万伍仟陆佰元整（¥885600.00元）</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最高限价：</w:t>
      </w:r>
      <w:r>
        <w:rPr>
          <w:rFonts w:hint="eastAsia" w:asciiTheme="majorEastAsia" w:hAnsiTheme="majorEastAsia" w:eastAsiaTheme="majorEastAsia" w:cstheme="majorEastAsia"/>
          <w:color w:val="000000" w:themeColor="text1"/>
          <w:sz w:val="24"/>
        </w:rPr>
        <w:t>人民币捌拾捌万伍仟陆佰元整（¥885600.00元）</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采购需求：</w:t>
      </w:r>
    </w:p>
    <w:tbl>
      <w:tblPr>
        <w:tblStyle w:val="18"/>
        <w:tblW w:w="9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169"/>
        <w:gridCol w:w="1120"/>
        <w:gridCol w:w="5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82" w:type="dxa"/>
            <w:tcMar>
              <w:left w:w="0" w:type="dxa"/>
              <w:bottom w:w="0" w:type="dxa"/>
              <w:right w:w="0" w:type="dxa"/>
            </w:tcMar>
            <w:vAlign w:val="center"/>
          </w:tcPr>
          <w:p>
            <w:pPr>
              <w:spacing w:line="460" w:lineRule="exact"/>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项号</w:t>
            </w:r>
          </w:p>
        </w:tc>
        <w:tc>
          <w:tcPr>
            <w:tcW w:w="2169" w:type="dxa"/>
            <w:vAlign w:val="center"/>
          </w:tcPr>
          <w:p>
            <w:pPr>
              <w:spacing w:line="460" w:lineRule="exact"/>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服务名称</w:t>
            </w:r>
          </w:p>
        </w:tc>
        <w:tc>
          <w:tcPr>
            <w:tcW w:w="1120" w:type="dxa"/>
            <w:vAlign w:val="center"/>
          </w:tcPr>
          <w:p>
            <w:pPr>
              <w:spacing w:line="460" w:lineRule="exact"/>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kern w:val="0"/>
                <w:sz w:val="24"/>
              </w:rPr>
              <w:t>数量</w:t>
            </w:r>
          </w:p>
        </w:tc>
        <w:tc>
          <w:tcPr>
            <w:tcW w:w="5506" w:type="dxa"/>
            <w:tcBorders>
              <w:right w:val="single" w:color="auto" w:sz="4" w:space="0"/>
            </w:tcBorders>
            <w:vAlign w:val="center"/>
          </w:tcPr>
          <w:p>
            <w:pPr>
              <w:spacing w:line="460" w:lineRule="exact"/>
              <w:jc w:val="center"/>
              <w:rPr>
                <w:rFonts w:cs="新宋体" w:asciiTheme="majorEastAsia" w:hAnsiTheme="majorEastAsia" w:eastAsiaTheme="majorEastAsia"/>
                <w:bCs/>
                <w:sz w:val="24"/>
              </w:rPr>
            </w:pPr>
            <w:r>
              <w:rPr>
                <w:rFonts w:hint="eastAsia" w:cs="新宋体" w:asciiTheme="majorEastAsia" w:hAnsiTheme="majorEastAsia" w:eastAsiaTheme="majorEastAsia"/>
                <w:bCs/>
                <w:sz w:val="24"/>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trPr>
        <w:tc>
          <w:tcPr>
            <w:tcW w:w="782" w:type="dxa"/>
            <w:vAlign w:val="center"/>
          </w:tcPr>
          <w:p>
            <w:pPr>
              <w:spacing w:line="460" w:lineRule="exact"/>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1</w:t>
            </w:r>
          </w:p>
        </w:tc>
        <w:tc>
          <w:tcPr>
            <w:tcW w:w="2169" w:type="dxa"/>
            <w:vAlign w:val="center"/>
          </w:tcPr>
          <w:p>
            <w:pPr>
              <w:spacing w:line="460" w:lineRule="exact"/>
              <w:rPr>
                <w:rFonts w:cs="新宋体" w:asciiTheme="majorEastAsia" w:hAnsiTheme="majorEastAsia" w:eastAsiaTheme="majorEastAsia"/>
                <w:bCs/>
                <w:color w:val="000000" w:themeColor="text1"/>
                <w:sz w:val="24"/>
              </w:rPr>
            </w:pPr>
            <w:r>
              <w:rPr>
                <w:rFonts w:hint="eastAsia" w:cs="宋体" w:asciiTheme="majorEastAsia" w:hAnsiTheme="majorEastAsia" w:eastAsiaTheme="majorEastAsia"/>
                <w:color w:val="000000" w:themeColor="text1"/>
                <w:sz w:val="24"/>
              </w:rPr>
              <w:t>住房保障信息系统专线租用</w:t>
            </w:r>
          </w:p>
        </w:tc>
        <w:tc>
          <w:tcPr>
            <w:tcW w:w="1120" w:type="dxa"/>
            <w:vAlign w:val="center"/>
          </w:tcPr>
          <w:p>
            <w:pPr>
              <w:spacing w:line="460" w:lineRule="exact"/>
              <w:ind w:firstLine="240" w:firstLineChars="100"/>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1项</w:t>
            </w:r>
          </w:p>
        </w:tc>
        <w:tc>
          <w:tcPr>
            <w:tcW w:w="5506" w:type="dxa"/>
            <w:tcBorders>
              <w:right w:val="single" w:color="auto" w:sz="4" w:space="0"/>
            </w:tcBorders>
            <w:vAlign w:val="center"/>
          </w:tcPr>
          <w:p>
            <w:pPr>
              <w:rPr>
                <w:rFonts w:cs="新宋体" w:asciiTheme="majorEastAsia" w:hAnsiTheme="majorEastAsia" w:eastAsiaTheme="majorEastAsia"/>
                <w:sz w:val="24"/>
              </w:rPr>
            </w:pPr>
            <w:r>
              <w:rPr>
                <w:rFonts w:hint="eastAsia" w:cs="新宋体" w:asciiTheme="majorEastAsia" w:hAnsiTheme="majorEastAsia" w:eastAsiaTheme="majorEastAsia"/>
                <w:sz w:val="24"/>
              </w:rPr>
              <w:t>一、项目概况</w:t>
            </w:r>
          </w:p>
          <w:p>
            <w:pPr>
              <w:rPr>
                <w:rFonts w:cs="新宋体" w:asciiTheme="majorEastAsia" w:hAnsiTheme="majorEastAsia" w:eastAsiaTheme="majorEastAsia"/>
                <w:sz w:val="24"/>
              </w:rPr>
            </w:pPr>
            <w:r>
              <w:rPr>
                <w:rFonts w:hint="eastAsia" w:cs="新宋体" w:asciiTheme="majorEastAsia" w:hAnsiTheme="majorEastAsia" w:eastAsiaTheme="majorEastAsia"/>
                <w:sz w:val="24"/>
              </w:rPr>
              <w:t>根据业务需要，采购人需在南宁市街道办、房管所共82个点到南宁市住房和城乡建设局之间架设多条网络专线，用于多地机房之间网络连接。</w:t>
            </w:r>
          </w:p>
          <w:p>
            <w:pPr>
              <w:rPr>
                <w:rFonts w:cs="新宋体" w:asciiTheme="majorEastAsia" w:hAnsiTheme="majorEastAsia" w:eastAsiaTheme="majorEastAsia"/>
                <w:sz w:val="24"/>
              </w:rPr>
            </w:pPr>
            <w:r>
              <w:rPr>
                <w:rFonts w:hint="eastAsia" w:cs="新宋体" w:asciiTheme="majorEastAsia" w:hAnsiTheme="majorEastAsia" w:eastAsiaTheme="majorEastAsia"/>
                <w:sz w:val="24"/>
              </w:rPr>
              <w:t>二、项目目标</w:t>
            </w:r>
          </w:p>
          <w:p>
            <w:pPr>
              <w:rPr>
                <w:rFonts w:cs="新宋体" w:asciiTheme="majorEastAsia" w:hAnsiTheme="majorEastAsia" w:eastAsiaTheme="majorEastAsia"/>
                <w:sz w:val="24"/>
              </w:rPr>
            </w:pPr>
            <w:r>
              <w:rPr>
                <w:rFonts w:hint="eastAsia" w:cs="新宋体" w:asciiTheme="majorEastAsia" w:hAnsiTheme="majorEastAsia" w:eastAsiaTheme="majorEastAsia"/>
                <w:sz w:val="24"/>
              </w:rPr>
              <w:t>通过租用南宁市街道办、房管所共82个点至南宁市住房和城乡建设局机房的点对点光纤专线，实现系统数据能够互相传递、共享。</w:t>
            </w:r>
          </w:p>
          <w:p>
            <w:pPr>
              <w:rPr>
                <w:rFonts w:cs="新宋体" w:asciiTheme="majorEastAsia" w:hAnsiTheme="majorEastAsia" w:eastAsiaTheme="majorEastAsia"/>
                <w:sz w:val="24"/>
              </w:rPr>
            </w:pPr>
            <w:r>
              <w:rPr>
                <w:rFonts w:hint="eastAsia" w:cs="新宋体" w:asciiTheme="majorEastAsia" w:hAnsiTheme="majorEastAsia" w:eastAsiaTheme="majorEastAsia"/>
                <w:sz w:val="24"/>
              </w:rPr>
              <w:t>......</w:t>
            </w:r>
          </w:p>
        </w:tc>
      </w:tr>
    </w:tbl>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合同履行期限：详见竞争性磋商文件。</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二、申请人的资格要求：</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1、满足《中华人民共和国政府采购法》第二十二条规定；</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2、落实政府采购政策需满足的资格要求：本项目适用政府采购促进中小企业、监狱企业发展、促进残疾人就业等有关政策，具体详见竞争性磋商文件；</w:t>
      </w:r>
    </w:p>
    <w:p>
      <w:pPr>
        <w:numPr>
          <w:ilvl w:val="255"/>
          <w:numId w:val="0"/>
        </w:num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3、本项目的特定资格要求：无</w:t>
      </w:r>
    </w:p>
    <w:p>
      <w:pPr>
        <w:numPr>
          <w:ilvl w:val="255"/>
          <w:numId w:val="0"/>
        </w:num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4、供应商需为国内注册（指按国家有关规定要求注册的）的基础电信运营商或其分支机构（含下属子公司或分公司），或注册经营范围内满足本项目采购服务需求的供应商，或与基础电信运营商（或其分支机构，含下属子公司或分公司）已签订线路租用协议依法能提供本次采购服务的供应商。</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7、不接受联合体响应。</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三、获取采购文件</w:t>
      </w:r>
    </w:p>
    <w:p>
      <w:pPr>
        <w:spacing w:line="460" w:lineRule="exact"/>
        <w:ind w:firstLine="54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时间：</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05</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rPr>
        <w:t>至</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rPr>
        <w:t>，（北京时间，法定节假日除外 ）。</w:t>
      </w:r>
    </w:p>
    <w:p>
      <w:pPr>
        <w:spacing w:line="460" w:lineRule="exact"/>
        <w:ind w:firstLine="54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地点：南宁市公共资源交易平台(https://www.nnggzy.org.cn/gxnnhy)的信息公告处。</w:t>
      </w:r>
    </w:p>
    <w:p>
      <w:pPr>
        <w:pStyle w:val="15"/>
        <w:spacing w:before="75" w:beforeAutospacing="0" w:after="75" w:afterAutospacing="0" w:line="460" w:lineRule="exact"/>
        <w:ind w:firstLine="420"/>
        <w:jc w:val="both"/>
        <w:rPr>
          <w:rFonts w:asciiTheme="majorEastAsia" w:hAnsiTheme="majorEastAsia" w:eastAsiaTheme="majorEastAsia"/>
          <w:color w:val="000000" w:themeColor="text1"/>
          <w:kern w:val="2"/>
          <w:u w:val="single"/>
        </w:rPr>
      </w:pPr>
      <w:r>
        <w:rPr>
          <w:rFonts w:hint="eastAsia" w:asciiTheme="majorEastAsia" w:hAnsiTheme="majorEastAsia" w:eastAsiaTheme="majorEastAsia"/>
          <w:color w:val="000000" w:themeColor="text1"/>
          <w:kern w:val="2"/>
        </w:rPr>
        <w:t>方式：</w:t>
      </w:r>
      <w:r>
        <w:rPr>
          <w:rFonts w:hint="eastAsia" w:asciiTheme="majorEastAsia" w:hAnsiTheme="majorEastAsia" w:eastAsiaTheme="majorEastAsia"/>
          <w:color w:val="000000" w:themeColor="text1"/>
        </w:rPr>
        <w:t>本项目不发放纸质文件，供应商自行在南宁市公共资源交易平台(https://www.nnggzy.org.cn/gxnnhy)的信息公告处下载采购文件。</w:t>
      </w:r>
    </w:p>
    <w:p>
      <w:pPr>
        <w:spacing w:line="460" w:lineRule="exact"/>
        <w:ind w:firstLine="54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售价：0元</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四、响应文件提交</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截止时间：</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13</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00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w:t>
      </w:r>
    </w:p>
    <w:p>
      <w:pPr>
        <w:pStyle w:val="15"/>
        <w:spacing w:before="75" w:beforeAutospacing="0" w:after="75" w:afterAutospacing="0" w:line="460" w:lineRule="exact"/>
        <w:ind w:firstLine="480" w:firstLineChars="200"/>
        <w:jc w:val="both"/>
        <w:rPr>
          <w:rFonts w:asciiTheme="majorEastAsia" w:hAnsiTheme="majorEastAsia" w:eastAsiaTheme="majorEastAsia"/>
          <w:color w:val="000000" w:themeColor="text1"/>
          <w:kern w:val="2"/>
          <w:u w:val="single"/>
        </w:rPr>
      </w:pPr>
      <w:r>
        <w:rPr>
          <w:rFonts w:hint="eastAsia" w:asciiTheme="majorEastAsia" w:hAnsiTheme="majorEastAsia" w:eastAsiaTheme="majorEastAsia"/>
          <w:color w:val="000000" w:themeColor="text1"/>
          <w:kern w:val="2"/>
        </w:rPr>
        <w:t>地点：</w:t>
      </w:r>
      <w:r>
        <w:rPr>
          <w:rFonts w:hint="eastAsia" w:asciiTheme="majorEastAsia" w:hAnsiTheme="majorEastAsia" w:eastAsiaTheme="majorEastAsia"/>
          <w:color w:val="000000" w:themeColor="text1"/>
        </w:rPr>
        <w:t>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000000" w:themeColor="text1"/>
        </w:rPr>
        <w:t>为做好疫情防控工作，本项目的响应文件通过邮寄快递的方式送达，具体要求详见关于响应文件邮寄形式的通知。</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五、开启</w:t>
      </w:r>
    </w:p>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时间：</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13</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00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w:t>
      </w:r>
    </w:p>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地点：南宁市良庆区玉洞大道33号（青少年活动中心旁）市民中心9楼南宁市公共资源交易中心（具体详见9楼电子显示屏场地安排）。</w:t>
      </w:r>
    </w:p>
    <w:p>
      <w:pPr>
        <w:widowControl/>
        <w:numPr>
          <w:ilvl w:val="1"/>
          <w:numId w:val="0"/>
        </w:numPr>
        <w:tabs>
          <w:tab w:val="left" w:pos="1021"/>
        </w:tabs>
        <w:spacing w:line="460" w:lineRule="exact"/>
        <w:ind w:firstLine="480" w:firstLineChars="200"/>
        <w:rPr>
          <w:rFonts w:cs="宋体" w:asciiTheme="majorEastAsia" w:hAnsiTheme="majorEastAsia" w:eastAsiaTheme="majorEastAsia"/>
          <w:bCs/>
          <w:color w:val="000000" w:themeColor="text1"/>
          <w:kern w:val="0"/>
          <w:sz w:val="24"/>
        </w:rPr>
      </w:pPr>
      <w:r>
        <w:rPr>
          <w:rFonts w:hint="eastAsia" w:cs="宋体" w:asciiTheme="majorEastAsia" w:hAnsiTheme="majorEastAsia" w:eastAsiaTheme="majorEastAsia"/>
          <w:color w:val="000000" w:themeColor="text1"/>
          <w:sz w:val="24"/>
        </w:rPr>
        <w:t>六、公告期限：</w:t>
      </w:r>
      <w:r>
        <w:rPr>
          <w:rFonts w:hint="eastAsia" w:cs="宋体" w:asciiTheme="majorEastAsia" w:hAnsiTheme="majorEastAsia" w:eastAsiaTheme="majorEastAsia"/>
          <w:bCs/>
          <w:color w:val="000000" w:themeColor="text1"/>
          <w:kern w:val="0"/>
          <w:sz w:val="24"/>
        </w:rPr>
        <w:t>自本公告发布之日起5个工作日</w:t>
      </w:r>
      <w:r>
        <w:rPr>
          <w:rFonts w:hint="eastAsia" w:cs="宋体" w:asciiTheme="majorEastAsia" w:hAnsiTheme="majorEastAsia" w:eastAsiaTheme="majorEastAsia"/>
          <w:bCs/>
          <w:color w:val="000000" w:themeColor="text1"/>
          <w:sz w:val="24"/>
        </w:rPr>
        <w:t>（2020年</w:t>
      </w:r>
      <w:r>
        <w:rPr>
          <w:rFonts w:hint="eastAsia" w:cs="宋体" w:asciiTheme="majorEastAsia" w:hAnsiTheme="majorEastAsia" w:eastAsiaTheme="majorEastAsia"/>
          <w:bCs/>
          <w:color w:val="000000" w:themeColor="text1"/>
          <w:sz w:val="24"/>
          <w:lang w:val="en-US" w:eastAsia="zh-CN"/>
        </w:rPr>
        <w:t>11</w:t>
      </w:r>
      <w:r>
        <w:rPr>
          <w:rFonts w:hint="eastAsia" w:cs="宋体" w:asciiTheme="majorEastAsia" w:hAnsiTheme="majorEastAsia" w:eastAsiaTheme="majorEastAsia"/>
          <w:bCs/>
          <w:color w:val="000000" w:themeColor="text1"/>
          <w:sz w:val="24"/>
        </w:rPr>
        <w:t>月</w:t>
      </w:r>
      <w:r>
        <w:rPr>
          <w:rFonts w:hint="eastAsia" w:cs="宋体" w:asciiTheme="majorEastAsia" w:hAnsiTheme="majorEastAsia" w:eastAsiaTheme="majorEastAsia"/>
          <w:bCs/>
          <w:color w:val="000000" w:themeColor="text1"/>
          <w:sz w:val="24"/>
          <w:lang w:val="en-US" w:eastAsia="zh-CN"/>
        </w:rPr>
        <w:t>05</w:t>
      </w:r>
      <w:r>
        <w:rPr>
          <w:rFonts w:hint="eastAsia" w:cs="宋体" w:asciiTheme="majorEastAsia" w:hAnsiTheme="majorEastAsia" w:eastAsiaTheme="majorEastAsia"/>
          <w:bCs/>
          <w:color w:val="000000" w:themeColor="text1"/>
          <w:sz w:val="24"/>
        </w:rPr>
        <w:t>日至2020年</w:t>
      </w:r>
      <w:r>
        <w:rPr>
          <w:rFonts w:hint="eastAsia" w:cs="宋体" w:asciiTheme="majorEastAsia" w:hAnsiTheme="majorEastAsia" w:eastAsiaTheme="majorEastAsia"/>
          <w:bCs/>
          <w:color w:val="000000" w:themeColor="text1"/>
          <w:sz w:val="24"/>
          <w:lang w:val="en-US" w:eastAsia="zh-CN"/>
        </w:rPr>
        <w:t>11</w:t>
      </w:r>
      <w:r>
        <w:rPr>
          <w:rFonts w:hint="eastAsia" w:cs="宋体" w:asciiTheme="majorEastAsia" w:hAnsiTheme="majorEastAsia" w:eastAsiaTheme="majorEastAsia"/>
          <w:bCs/>
          <w:color w:val="000000" w:themeColor="text1"/>
          <w:sz w:val="24"/>
        </w:rPr>
        <w:t>月</w:t>
      </w:r>
      <w:r>
        <w:rPr>
          <w:rFonts w:hint="eastAsia" w:cs="宋体" w:asciiTheme="majorEastAsia" w:hAnsiTheme="majorEastAsia" w:eastAsiaTheme="majorEastAsia"/>
          <w:bCs/>
          <w:color w:val="000000" w:themeColor="text1"/>
          <w:sz w:val="24"/>
          <w:lang w:val="en-US" w:eastAsia="zh-CN"/>
        </w:rPr>
        <w:t>11</w:t>
      </w:r>
      <w:r>
        <w:rPr>
          <w:rFonts w:hint="eastAsia" w:cs="宋体" w:asciiTheme="majorEastAsia" w:hAnsiTheme="majorEastAsia" w:eastAsiaTheme="majorEastAsia"/>
          <w:bCs/>
          <w:color w:val="000000" w:themeColor="text1"/>
          <w:sz w:val="24"/>
        </w:rPr>
        <w:t>日结束）</w:t>
      </w:r>
      <w:r>
        <w:rPr>
          <w:rFonts w:hint="eastAsia" w:cs="宋体" w:asciiTheme="majorEastAsia" w:hAnsiTheme="majorEastAsia" w:eastAsiaTheme="majorEastAsia"/>
          <w:bCs/>
          <w:color w:val="000000" w:themeColor="text1"/>
          <w:kern w:val="0"/>
          <w:sz w:val="24"/>
        </w:rPr>
        <w:t>。</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七、其他补充事宜：</w:t>
      </w:r>
    </w:p>
    <w:p>
      <w:pPr>
        <w:widowControl/>
        <w:numPr>
          <w:ilvl w:val="1"/>
          <w:numId w:val="0"/>
        </w:numPr>
        <w:tabs>
          <w:tab w:val="left" w:pos="1021"/>
        </w:tabs>
        <w:adjustRightInd w:val="0"/>
        <w:spacing w:line="460" w:lineRule="exact"/>
        <w:ind w:left="425"/>
        <w:textAlignment w:val="baseline"/>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网上查询地址：</w:t>
      </w:r>
      <w:r>
        <w:fldChar w:fldCharType="begin"/>
      </w:r>
      <w:r>
        <w:instrText xml:space="preserve"> HYPERLINK </w:instrText>
      </w:r>
      <w:r>
        <w:fldChar w:fldCharType="separate"/>
      </w:r>
      <w:r>
        <w:rPr>
          <w:rFonts w:hint="eastAsia" w:cs="宋体" w:asciiTheme="majorEastAsia" w:hAnsiTheme="majorEastAsia" w:eastAsiaTheme="majorEastAsia"/>
          <w:color w:val="000000" w:themeColor="text1"/>
          <w:sz w:val="24"/>
        </w:rPr>
        <w:t>http://zfcg.gxzf.gov.cn/（广西壮族自治区政府采购网），https://www.nnggzy.org.cn/gxnnzbw/（南宁市公共资源交易中心网）</w:t>
      </w:r>
      <w:r>
        <w:rPr>
          <w:rFonts w:hint="eastAsia" w:cs="宋体" w:asciiTheme="majorEastAsia" w:hAnsiTheme="majorEastAsia" w:eastAsiaTheme="majorEastAsia"/>
          <w:color w:val="000000" w:themeColor="text1"/>
          <w:sz w:val="24"/>
        </w:rPr>
        <w:fldChar w:fldCharType="end"/>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八、凡对本次采购提出询问，请按以下方式联系。</w:t>
      </w:r>
    </w:p>
    <w:p>
      <w:pPr>
        <w:widowControl/>
        <w:numPr>
          <w:ilvl w:val="255"/>
          <w:numId w:val="0"/>
        </w:numPr>
        <w:tabs>
          <w:tab w:val="left" w:pos="1021"/>
        </w:tabs>
        <w:spacing w:line="460" w:lineRule="exact"/>
        <w:ind w:left="630" w:leftChars="300"/>
        <w:rPr>
          <w:rFonts w:cs="宋体" w:asciiTheme="majorEastAsia" w:hAnsiTheme="majorEastAsia" w:eastAsiaTheme="majorEastAsia"/>
          <w:color w:val="000000" w:themeColor="text1"/>
          <w:sz w:val="24"/>
        </w:rPr>
      </w:pPr>
      <w:bookmarkStart w:id="7" w:name="_Toc1019"/>
      <w:bookmarkStart w:id="8" w:name="_Toc23955"/>
      <w:r>
        <w:rPr>
          <w:rFonts w:hint="eastAsia" w:cs="宋体" w:asciiTheme="majorEastAsia" w:hAnsiTheme="majorEastAsia" w:eastAsiaTheme="majorEastAsia"/>
          <w:color w:val="000000" w:themeColor="text1"/>
          <w:sz w:val="24"/>
        </w:rPr>
        <w:t>1.采购人信息</w:t>
      </w:r>
      <w:bookmarkEnd w:id="7"/>
      <w:bookmarkEnd w:id="8"/>
    </w:p>
    <w:p>
      <w:pPr>
        <w:spacing w:line="460" w:lineRule="exact"/>
        <w:ind w:left="1079" w:leftChars="371" w:hanging="300" w:hangingChars="125"/>
        <w:jc w:val="lef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名    称：</w:t>
      </w:r>
      <w:r>
        <w:rPr>
          <w:rFonts w:hint="eastAsia" w:cs="宋体" w:asciiTheme="majorEastAsia" w:hAnsiTheme="majorEastAsia" w:eastAsiaTheme="majorEastAsia"/>
          <w:color w:val="000000" w:themeColor="text1"/>
          <w:sz w:val="24"/>
          <w:u w:val="single"/>
        </w:rPr>
        <w:t xml:space="preserve"> 南宁市住房和城乡建设局  </w:t>
      </w:r>
    </w:p>
    <w:p>
      <w:pPr>
        <w:spacing w:line="460" w:lineRule="exact"/>
        <w:ind w:left="1079" w:leftChars="371" w:hanging="300" w:hangingChars="125"/>
        <w:jc w:val="left"/>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    址：</w:t>
      </w:r>
      <w:r>
        <w:rPr>
          <w:rFonts w:hint="eastAsia" w:cs="宋体" w:asciiTheme="majorEastAsia" w:hAnsiTheme="majorEastAsia" w:eastAsiaTheme="majorEastAsia"/>
          <w:color w:val="000000" w:themeColor="text1"/>
          <w:sz w:val="24"/>
          <w:u w:val="single"/>
        </w:rPr>
        <w:t xml:space="preserve"> 南宁市青秀区金湖路59-1号</w:t>
      </w:r>
    </w:p>
    <w:p>
      <w:pPr>
        <w:spacing w:line="460" w:lineRule="exact"/>
        <w:ind w:left="1079" w:leftChars="371" w:hanging="300" w:hangingChars="125"/>
        <w:jc w:val="lef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联系方式：</w:t>
      </w:r>
      <w:r>
        <w:rPr>
          <w:rFonts w:hint="eastAsia" w:cs="宋体" w:asciiTheme="majorEastAsia" w:hAnsiTheme="majorEastAsia" w:eastAsiaTheme="majorEastAsia"/>
          <w:color w:val="000000" w:themeColor="text1"/>
          <w:sz w:val="24"/>
          <w:u w:val="single"/>
        </w:rPr>
        <w:t xml:space="preserve"> 农云浩   0771-5527061 </w:t>
      </w:r>
    </w:p>
    <w:p>
      <w:pPr>
        <w:widowControl/>
        <w:numPr>
          <w:ilvl w:val="255"/>
          <w:numId w:val="0"/>
        </w:numPr>
        <w:tabs>
          <w:tab w:val="left" w:pos="1021"/>
        </w:tabs>
        <w:spacing w:line="460" w:lineRule="exact"/>
        <w:ind w:left="630" w:leftChars="300"/>
        <w:rPr>
          <w:rFonts w:cs="宋体" w:asciiTheme="majorEastAsia" w:hAnsiTheme="majorEastAsia" w:eastAsiaTheme="majorEastAsia"/>
          <w:color w:val="000000" w:themeColor="text1"/>
          <w:sz w:val="24"/>
        </w:rPr>
      </w:pPr>
      <w:bookmarkStart w:id="9" w:name="_Toc8684"/>
      <w:bookmarkStart w:id="10" w:name="_Toc31103"/>
      <w:r>
        <w:rPr>
          <w:rFonts w:hint="eastAsia" w:cs="宋体" w:asciiTheme="majorEastAsia" w:hAnsiTheme="majorEastAsia" w:eastAsiaTheme="majorEastAsia"/>
          <w:color w:val="000000" w:themeColor="text1"/>
          <w:sz w:val="24"/>
        </w:rPr>
        <w:t>2.采购代理机构信息</w:t>
      </w:r>
      <w:bookmarkEnd w:id="9"/>
      <w:bookmarkEnd w:id="10"/>
    </w:p>
    <w:p>
      <w:pPr>
        <w:spacing w:line="460" w:lineRule="exact"/>
        <w:ind w:firstLine="720" w:firstLineChars="3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名    称：</w:t>
      </w:r>
      <w:r>
        <w:rPr>
          <w:rFonts w:hint="eastAsia" w:cs="宋体" w:asciiTheme="majorEastAsia" w:hAnsiTheme="majorEastAsia" w:eastAsiaTheme="majorEastAsia"/>
          <w:color w:val="000000" w:themeColor="text1"/>
          <w:sz w:val="24"/>
          <w:u w:val="single"/>
        </w:rPr>
        <w:t xml:space="preserve"> 广西邕政采购代理有限公司     </w:t>
      </w:r>
    </w:p>
    <w:p>
      <w:pPr>
        <w:spacing w:line="460" w:lineRule="exact"/>
        <w:ind w:firstLine="720" w:firstLineChars="3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地  址：</w:t>
      </w:r>
      <w:r>
        <w:rPr>
          <w:rFonts w:hint="eastAsia" w:cs="宋体" w:asciiTheme="majorEastAsia" w:hAnsiTheme="majorEastAsia" w:eastAsiaTheme="majorEastAsia"/>
          <w:color w:val="000000" w:themeColor="text1"/>
          <w:sz w:val="24"/>
          <w:u w:val="single"/>
        </w:rPr>
        <w:t xml:space="preserve"> 南宁市思贤路45号创投中心16A层</w:t>
      </w:r>
    </w:p>
    <w:p>
      <w:pPr>
        <w:pStyle w:val="23"/>
        <w:spacing w:afterLines="0" w:line="460" w:lineRule="exact"/>
        <w:ind w:firstLine="720" w:firstLineChars="300"/>
        <w:jc w:val="left"/>
        <w:rPr>
          <w:rFonts w:asciiTheme="majorEastAsia" w:hAnsiTheme="majorEastAsia" w:eastAsiaTheme="majorEastAsia" w:cstheme="majorEastAsia"/>
          <w:color w:val="000000" w:themeColor="text1"/>
          <w:szCs w:val="24"/>
        </w:rPr>
      </w:pPr>
      <w:r>
        <w:rPr>
          <w:rFonts w:hint="eastAsia" w:cs="宋体" w:asciiTheme="majorEastAsia" w:hAnsiTheme="majorEastAsia" w:eastAsiaTheme="majorEastAsia"/>
          <w:color w:val="000000" w:themeColor="text1"/>
          <w:kern w:val="2"/>
          <w:szCs w:val="24"/>
        </w:rPr>
        <w:t>联系方式：</w:t>
      </w:r>
      <w:r>
        <w:rPr>
          <w:rFonts w:hint="eastAsia" w:cs="宋体" w:asciiTheme="majorEastAsia" w:hAnsiTheme="majorEastAsia" w:eastAsiaTheme="majorEastAsia"/>
          <w:color w:val="000000" w:themeColor="text1"/>
          <w:kern w:val="2"/>
          <w:szCs w:val="24"/>
          <w:u w:val="single"/>
        </w:rPr>
        <w:t xml:space="preserve"> 蔺工、罗工  0771-2442850     </w:t>
      </w:r>
    </w:p>
    <w:p>
      <w:pPr>
        <w:widowControl/>
        <w:numPr>
          <w:ilvl w:val="255"/>
          <w:numId w:val="0"/>
        </w:numPr>
        <w:tabs>
          <w:tab w:val="left" w:pos="1021"/>
        </w:tabs>
        <w:spacing w:line="460" w:lineRule="exact"/>
        <w:ind w:firstLine="480" w:firstLineChars="200"/>
        <w:rPr>
          <w:rFonts w:cs="宋体" w:asciiTheme="majorEastAsia" w:hAnsiTheme="majorEastAsia" w:eastAsiaTheme="majorEastAsia"/>
          <w:color w:val="000000" w:themeColor="text1"/>
          <w:sz w:val="24"/>
        </w:rPr>
      </w:pPr>
      <w:bookmarkStart w:id="11" w:name="_Toc11360"/>
      <w:bookmarkStart w:id="12" w:name="_Toc20753"/>
      <w:r>
        <w:rPr>
          <w:rFonts w:hint="eastAsia" w:cs="宋体" w:asciiTheme="majorEastAsia" w:hAnsiTheme="majorEastAsia" w:eastAsiaTheme="majorEastAsia"/>
          <w:color w:val="000000" w:themeColor="text1"/>
          <w:sz w:val="24"/>
        </w:rPr>
        <w:t>3.项目联系方式</w:t>
      </w:r>
      <w:bookmarkEnd w:id="11"/>
      <w:bookmarkEnd w:id="12"/>
    </w:p>
    <w:p>
      <w:pPr>
        <w:pStyle w:val="10"/>
        <w:widowControl/>
        <w:spacing w:line="460" w:lineRule="exact"/>
        <w:ind w:firstLine="720" w:firstLineChars="3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项目联系人：</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蔺工、罗工</w:t>
      </w:r>
      <w:r>
        <w:rPr>
          <w:rFonts w:cs="宋体" w:asciiTheme="majorEastAsia" w:hAnsiTheme="majorEastAsia" w:eastAsiaTheme="majorEastAsia"/>
          <w:color w:val="000000" w:themeColor="text1"/>
          <w:sz w:val="24"/>
          <w:szCs w:val="24"/>
          <w:u w:val="single"/>
        </w:rPr>
        <w:t xml:space="preserve">  0771-2442850  </w:t>
      </w:r>
    </w:p>
    <w:p>
      <w:pPr>
        <w:spacing w:line="460" w:lineRule="exact"/>
        <w:ind w:firstLine="720" w:firstLineChars="3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电   话：</w:t>
      </w:r>
      <w:r>
        <w:rPr>
          <w:rFonts w:hint="eastAsia" w:cs="宋体" w:asciiTheme="majorEastAsia" w:hAnsiTheme="majorEastAsia" w:eastAsiaTheme="majorEastAsia"/>
          <w:color w:val="000000" w:themeColor="text1"/>
          <w:sz w:val="24"/>
          <w:u w:val="single"/>
        </w:rPr>
        <w:t xml:space="preserve"> 0771-2442850  </w:t>
      </w:r>
    </w:p>
    <w:p>
      <w:pPr>
        <w:spacing w:line="460" w:lineRule="exact"/>
        <w:ind w:firstLine="480" w:firstLineChars="200"/>
        <w:jc w:val="lef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                                                 </w:t>
      </w: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发布日期：2020年</w:t>
      </w:r>
      <w:r>
        <w:rPr>
          <w:rFonts w:hint="eastAsia" w:asciiTheme="majorEastAsia" w:hAnsiTheme="majorEastAsia" w:eastAsiaTheme="majorEastAsia" w:cstheme="majorEastAsia"/>
          <w:color w:val="000000" w:themeColor="text1"/>
          <w:kern w:val="0"/>
          <w:sz w:val="24"/>
          <w:lang w:val="en-US" w:eastAsia="zh-CN"/>
        </w:rPr>
        <w:t>11</w:t>
      </w:r>
      <w:r>
        <w:rPr>
          <w:rFonts w:hint="eastAsia" w:asciiTheme="majorEastAsia" w:hAnsiTheme="majorEastAsia" w:eastAsiaTheme="majorEastAsia" w:cstheme="majorEastAsia"/>
          <w:color w:val="000000" w:themeColor="text1"/>
          <w:kern w:val="0"/>
          <w:sz w:val="24"/>
        </w:rPr>
        <w:t>月</w:t>
      </w:r>
      <w:r>
        <w:rPr>
          <w:rFonts w:hint="eastAsia" w:asciiTheme="majorEastAsia" w:hAnsiTheme="majorEastAsia" w:eastAsiaTheme="majorEastAsia" w:cstheme="majorEastAsia"/>
          <w:color w:val="000000" w:themeColor="text1"/>
          <w:kern w:val="0"/>
          <w:sz w:val="24"/>
          <w:lang w:val="en-US" w:eastAsia="zh-CN"/>
        </w:rPr>
        <w:t>04</w:t>
      </w:r>
      <w:r>
        <w:rPr>
          <w:rFonts w:hint="eastAsia" w:asciiTheme="majorEastAsia" w:hAnsiTheme="majorEastAsia" w:eastAsiaTheme="majorEastAsia" w:cstheme="majorEastAsia"/>
          <w:color w:val="000000" w:themeColor="text1"/>
          <w:kern w:val="0"/>
          <w:sz w:val="24"/>
        </w:rPr>
        <w:t>日</w:t>
      </w:r>
    </w:p>
    <w:p>
      <w:pPr>
        <w:widowControl/>
        <w:jc w:val="center"/>
        <w:rPr>
          <w:rFonts w:asciiTheme="majorEastAsia" w:hAnsiTheme="majorEastAsia" w:eastAsiaTheme="majorEastAsia" w:cstheme="majorEastAsia"/>
          <w:b/>
          <w:bCs/>
          <w:color w:val="000000" w:themeColor="text1"/>
          <w:sz w:val="32"/>
          <w:szCs w:val="40"/>
        </w:rPr>
        <w:sectPr>
          <w:headerReference r:id="rId9" w:type="default"/>
          <w:footerReference r:id="rId10" w:type="default"/>
          <w:pgSz w:w="11906" w:h="16838"/>
          <w:pgMar w:top="1440" w:right="1080" w:bottom="1118" w:left="1080" w:header="720" w:footer="720" w:gutter="0"/>
          <w:cols w:space="720" w:num="1"/>
          <w:docGrid w:type="lines" w:linePitch="331" w:charSpace="0"/>
        </w:sectPr>
      </w:pPr>
      <w:bookmarkStart w:id="13" w:name="_Toc460253699"/>
      <w:bookmarkStart w:id="14" w:name="_Toc485920201"/>
      <w:bookmarkStart w:id="15" w:name="_Toc213325921"/>
      <w:bookmarkStart w:id="16" w:name="_Toc139966431"/>
      <w:bookmarkStart w:id="17" w:name="_Toc213326412"/>
      <w:bookmarkStart w:id="18" w:name="_Toc139967215"/>
      <w:bookmarkStart w:id="19" w:name="_Toc213206172"/>
    </w:p>
    <w:p>
      <w:pPr>
        <w:widowControl/>
        <w:jc w:val="center"/>
        <w:outlineLvl w:val="0"/>
        <w:rPr>
          <w:rFonts w:asciiTheme="majorEastAsia" w:hAnsiTheme="majorEastAsia" w:eastAsiaTheme="majorEastAsia" w:cstheme="majorEastAsia"/>
          <w:b/>
          <w:bCs/>
          <w:caps/>
          <w:color w:val="000000" w:themeColor="text1"/>
          <w:sz w:val="32"/>
          <w:szCs w:val="40"/>
        </w:rPr>
      </w:pPr>
      <w:bookmarkStart w:id="20" w:name="_Toc15101"/>
      <w:bookmarkStart w:id="21" w:name="_Toc30530"/>
      <w:bookmarkStart w:id="22" w:name="_Toc6237"/>
      <w:r>
        <w:rPr>
          <w:rFonts w:hint="eastAsia" w:asciiTheme="majorEastAsia" w:hAnsiTheme="majorEastAsia" w:eastAsiaTheme="majorEastAsia" w:cstheme="majorEastAsia"/>
          <w:b/>
          <w:bCs/>
          <w:color w:val="000000" w:themeColor="text1"/>
          <w:sz w:val="32"/>
          <w:szCs w:val="40"/>
        </w:rPr>
        <w:t>第二章  服务需求一览表</w:t>
      </w:r>
      <w:bookmarkEnd w:id="13"/>
      <w:bookmarkEnd w:id="14"/>
      <w:bookmarkEnd w:id="20"/>
      <w:bookmarkEnd w:id="21"/>
      <w:bookmarkEnd w:id="22"/>
    </w:p>
    <w:p>
      <w:pPr>
        <w:spacing w:line="360" w:lineRule="auto"/>
        <w:rPr>
          <w:rFonts w:asciiTheme="majorEastAsia" w:hAnsiTheme="majorEastAsia" w:eastAsiaTheme="majorEastAsia" w:cstheme="majorEastAsia"/>
          <w:b/>
          <w:color w:val="000000" w:themeColor="text1"/>
          <w:sz w:val="24"/>
        </w:rPr>
      </w:pPr>
      <w:r>
        <w:rPr>
          <w:rFonts w:hint="eastAsia" w:asciiTheme="majorEastAsia" w:hAnsiTheme="majorEastAsia" w:eastAsiaTheme="majorEastAsia" w:cstheme="majorEastAsia"/>
          <w:b/>
          <w:color w:val="000000" w:themeColor="text1"/>
          <w:sz w:val="24"/>
        </w:rPr>
        <w:t>说明：</w:t>
      </w:r>
    </w:p>
    <w:p>
      <w:pPr>
        <w:spacing w:line="360" w:lineRule="auto"/>
        <w:ind w:firstLine="602" w:firstLineChars="250"/>
        <w:rPr>
          <w:rFonts w:asciiTheme="majorEastAsia" w:hAnsiTheme="majorEastAsia" w:eastAsiaTheme="majorEastAsia" w:cstheme="majorEastAsia"/>
          <w:b/>
          <w:bCs/>
          <w:color w:val="000000" w:themeColor="text1"/>
          <w:sz w:val="24"/>
        </w:rPr>
      </w:pPr>
      <w:r>
        <w:rPr>
          <w:rFonts w:hint="eastAsia" w:asciiTheme="majorEastAsia" w:hAnsiTheme="majorEastAsia" w:eastAsiaTheme="majorEastAsia" w:cstheme="majorEastAsia"/>
          <w:b/>
          <w:bCs/>
          <w:color w:val="000000" w:themeColor="text1"/>
          <w:sz w:val="24"/>
        </w:rPr>
        <w:t>1、本服务需求一览表中标注★号的部分为实质性要求和条件。</w:t>
      </w:r>
    </w:p>
    <w:p>
      <w:pPr>
        <w:spacing w:line="360" w:lineRule="auto"/>
        <w:ind w:firstLine="600" w:firstLineChars="25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2、本服务需求一览表中内容如与第六章“合同条款及格式”相关条款不一致的，以本表为准。</w:t>
      </w:r>
    </w:p>
    <w:p>
      <w:pPr>
        <w:spacing w:line="360" w:lineRule="auto"/>
        <w:ind w:firstLine="602" w:firstLineChars="250"/>
        <w:rPr>
          <w:rFonts w:asciiTheme="majorEastAsia" w:hAnsiTheme="majorEastAsia" w:eastAsiaTheme="majorEastAsia" w:cstheme="majorEastAsia"/>
          <w:b/>
          <w:bCs/>
          <w:color w:val="000000" w:themeColor="text1"/>
          <w:sz w:val="24"/>
        </w:rPr>
      </w:pPr>
      <w:r>
        <w:rPr>
          <w:rFonts w:hint="eastAsia" w:asciiTheme="majorEastAsia" w:hAnsiTheme="majorEastAsia" w:eastAsiaTheme="majorEastAsia" w:cstheme="majorEastAsia"/>
          <w:b/>
          <w:bCs/>
          <w:color w:val="000000" w:themeColor="text1"/>
          <w:sz w:val="24"/>
        </w:rPr>
        <w:t>3、本次服务采购最高限价为：人民币捌拾捌万伍仟陆佰元整（¥885600.00元）</w:t>
      </w:r>
    </w:p>
    <w:bookmarkEnd w:id="15"/>
    <w:bookmarkEnd w:id="16"/>
    <w:bookmarkEnd w:id="17"/>
    <w:bookmarkEnd w:id="18"/>
    <w:bookmarkEnd w:id="19"/>
    <w:tbl>
      <w:tblPr>
        <w:tblStyle w:val="18"/>
        <w:tblW w:w="10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50"/>
        <w:gridCol w:w="937"/>
        <w:gridCol w:w="7212"/>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85" w:hRule="atLeast"/>
        </w:trPr>
        <w:tc>
          <w:tcPr>
            <w:tcW w:w="725" w:type="dxa"/>
            <w:vAlign w:val="center"/>
          </w:tcPr>
          <w:p>
            <w:pPr>
              <w:widowControl/>
              <w:spacing w:line="360" w:lineRule="auto"/>
              <w:ind w:right="-107" w:rightChars="-51"/>
              <w:jc w:val="center"/>
              <w:rPr>
                <w:rFonts w:ascii="新宋体" w:hAnsi="新宋体" w:eastAsia="新宋体" w:cs="新宋体"/>
                <w:b/>
                <w:color w:val="000000" w:themeColor="text1"/>
                <w:kern w:val="0"/>
                <w:sz w:val="24"/>
              </w:rPr>
            </w:pPr>
            <w:bookmarkStart w:id="23" w:name="_Toc485920211"/>
            <w:bookmarkStart w:id="24" w:name="_Toc213326413"/>
            <w:bookmarkStart w:id="25" w:name="_Toc213325922"/>
            <w:bookmarkStart w:id="26" w:name="_Toc139967216"/>
            <w:bookmarkStart w:id="27" w:name="_Toc139966432"/>
            <w:bookmarkStart w:id="28" w:name="_Toc213206173"/>
            <w:bookmarkStart w:id="29" w:name="_Toc460253700"/>
            <w:r>
              <w:rPr>
                <w:rFonts w:hint="eastAsia" w:ascii="新宋体" w:hAnsi="新宋体" w:eastAsia="新宋体" w:cs="新宋体"/>
                <w:b/>
                <w:color w:val="000000" w:themeColor="text1"/>
                <w:kern w:val="0"/>
                <w:sz w:val="24"/>
              </w:rPr>
              <w:t>项号</w:t>
            </w:r>
          </w:p>
        </w:tc>
        <w:tc>
          <w:tcPr>
            <w:tcW w:w="1350" w:type="dxa"/>
            <w:vAlign w:val="center"/>
          </w:tcPr>
          <w:p>
            <w:pPr>
              <w:widowControl/>
              <w:spacing w:line="360" w:lineRule="auto"/>
              <w:jc w:val="center"/>
              <w:rPr>
                <w:rFonts w:ascii="新宋体" w:hAnsi="新宋体" w:eastAsia="新宋体" w:cs="新宋体"/>
                <w:b/>
                <w:color w:val="000000" w:themeColor="text1"/>
                <w:kern w:val="0"/>
                <w:sz w:val="24"/>
              </w:rPr>
            </w:pPr>
            <w:r>
              <w:rPr>
                <w:rFonts w:hint="eastAsia" w:ascii="新宋体" w:hAnsi="新宋体" w:eastAsia="新宋体" w:cs="新宋体"/>
                <w:b/>
                <w:color w:val="000000" w:themeColor="text1"/>
                <w:kern w:val="0"/>
                <w:sz w:val="24"/>
              </w:rPr>
              <w:t>服务名称</w:t>
            </w:r>
          </w:p>
        </w:tc>
        <w:tc>
          <w:tcPr>
            <w:tcW w:w="937" w:type="dxa"/>
            <w:vAlign w:val="center"/>
          </w:tcPr>
          <w:p>
            <w:pPr>
              <w:widowControl/>
              <w:spacing w:line="360" w:lineRule="auto"/>
              <w:jc w:val="center"/>
              <w:rPr>
                <w:rFonts w:ascii="新宋体" w:hAnsi="新宋体" w:eastAsia="新宋体" w:cs="新宋体"/>
                <w:b/>
                <w:color w:val="000000" w:themeColor="text1"/>
                <w:kern w:val="0"/>
                <w:sz w:val="24"/>
              </w:rPr>
            </w:pPr>
            <w:r>
              <w:rPr>
                <w:rFonts w:hint="eastAsia" w:ascii="新宋体" w:hAnsi="新宋体" w:eastAsia="新宋体" w:cs="新宋体"/>
                <w:b/>
                <w:color w:val="000000" w:themeColor="text1"/>
                <w:kern w:val="0"/>
                <w:sz w:val="24"/>
              </w:rPr>
              <w:t>数量</w:t>
            </w:r>
          </w:p>
        </w:tc>
        <w:tc>
          <w:tcPr>
            <w:tcW w:w="7212" w:type="dxa"/>
            <w:vAlign w:val="center"/>
          </w:tcPr>
          <w:p>
            <w:pPr>
              <w:widowControl/>
              <w:spacing w:line="360" w:lineRule="auto"/>
              <w:jc w:val="center"/>
              <w:rPr>
                <w:rFonts w:ascii="新宋体" w:hAnsi="新宋体" w:eastAsia="新宋体" w:cs="新宋体"/>
                <w:b/>
                <w:color w:val="000000" w:themeColor="text1"/>
                <w:kern w:val="0"/>
                <w:sz w:val="24"/>
              </w:rPr>
            </w:pPr>
            <w:r>
              <w:rPr>
                <w:rFonts w:hint="eastAsia" w:ascii="新宋体" w:hAnsi="新宋体" w:eastAsia="新宋体" w:cs="新宋体"/>
                <w:b/>
                <w:color w:val="000000" w:themeColor="text1"/>
                <w:kern w:val="0"/>
                <w:sz w:val="24"/>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0" w:hRule="atLeast"/>
        </w:trPr>
        <w:tc>
          <w:tcPr>
            <w:tcW w:w="725" w:type="dxa"/>
            <w:vAlign w:val="center"/>
          </w:tcPr>
          <w:p>
            <w:pPr>
              <w:spacing w:line="360" w:lineRule="auto"/>
              <w:jc w:val="center"/>
              <w:rPr>
                <w:rFonts w:ascii="新宋体" w:hAnsi="新宋体" w:eastAsia="新宋体" w:cs="新宋体"/>
                <w:color w:val="000000" w:themeColor="text1"/>
                <w:kern w:val="0"/>
                <w:sz w:val="24"/>
              </w:rPr>
            </w:pPr>
            <w:r>
              <w:rPr>
                <w:rFonts w:hint="eastAsia" w:ascii="新宋体" w:hAnsi="新宋体" w:eastAsia="新宋体" w:cs="新宋体"/>
                <w:bCs/>
                <w:color w:val="000000" w:themeColor="text1"/>
                <w:sz w:val="24"/>
              </w:rPr>
              <w:t>1</w:t>
            </w:r>
          </w:p>
        </w:tc>
        <w:tc>
          <w:tcPr>
            <w:tcW w:w="1350" w:type="dxa"/>
            <w:vAlign w:val="center"/>
          </w:tcPr>
          <w:p>
            <w:pPr>
              <w:spacing w:line="360" w:lineRule="auto"/>
              <w:rPr>
                <w:rFonts w:ascii="新宋体" w:hAnsi="新宋体" w:eastAsia="新宋体" w:cs="新宋体"/>
                <w:color w:val="000000" w:themeColor="text1"/>
                <w:kern w:val="0"/>
                <w:sz w:val="24"/>
              </w:rPr>
            </w:pPr>
            <w:r>
              <w:rPr>
                <w:rFonts w:hint="eastAsia" w:ascii="新宋体" w:hAnsi="新宋体" w:eastAsia="新宋体" w:cs="新宋体"/>
                <w:color w:val="000000" w:themeColor="text1"/>
                <w:sz w:val="24"/>
              </w:rPr>
              <w:t>住房保障信息系统专线租用</w:t>
            </w:r>
          </w:p>
        </w:tc>
        <w:tc>
          <w:tcPr>
            <w:tcW w:w="937" w:type="dxa"/>
            <w:vAlign w:val="center"/>
          </w:tcPr>
          <w:p>
            <w:pPr>
              <w:spacing w:line="360" w:lineRule="auto"/>
              <w:jc w:val="center"/>
              <w:rPr>
                <w:rFonts w:ascii="新宋体" w:hAnsi="新宋体" w:eastAsia="新宋体" w:cs="新宋体"/>
                <w:color w:val="000000" w:themeColor="text1"/>
                <w:kern w:val="0"/>
                <w:sz w:val="24"/>
              </w:rPr>
            </w:pPr>
            <w:r>
              <w:rPr>
                <w:rFonts w:hint="eastAsia" w:ascii="新宋体" w:hAnsi="新宋体" w:eastAsia="新宋体" w:cs="新宋体"/>
                <w:sz w:val="24"/>
              </w:rPr>
              <w:t>1项</w:t>
            </w:r>
          </w:p>
        </w:tc>
        <w:tc>
          <w:tcPr>
            <w:tcW w:w="7212" w:type="dxa"/>
            <w:vAlign w:val="center"/>
          </w:tcPr>
          <w:p>
            <w:pPr>
              <w:spacing w:line="360" w:lineRule="auto"/>
              <w:rPr>
                <w:rFonts w:ascii="新宋体" w:hAnsi="新宋体" w:eastAsia="新宋体" w:cs="新宋体"/>
                <w:sz w:val="24"/>
              </w:rPr>
            </w:pPr>
            <w:r>
              <w:rPr>
                <w:rFonts w:hint="eastAsia" w:ascii="新宋体" w:hAnsi="新宋体" w:eastAsia="新宋体" w:cs="新宋体"/>
                <w:sz w:val="24"/>
              </w:rPr>
              <w:t>一、项目概况</w:t>
            </w:r>
          </w:p>
          <w:p>
            <w:pPr>
              <w:spacing w:line="360" w:lineRule="auto"/>
              <w:rPr>
                <w:rFonts w:ascii="新宋体" w:hAnsi="新宋体" w:eastAsia="新宋体" w:cs="新宋体"/>
                <w:sz w:val="24"/>
              </w:rPr>
            </w:pPr>
            <w:r>
              <w:rPr>
                <w:rFonts w:hint="eastAsia" w:ascii="新宋体" w:hAnsi="新宋体" w:eastAsia="新宋体" w:cs="新宋体"/>
                <w:sz w:val="24"/>
              </w:rPr>
              <w:t>根据业务需要，采购人需在南宁市街道办、房管所共82个点到南宁市住房和城乡建设局之间架设多条网络专线，用于多地机房之间网络连接。</w:t>
            </w:r>
          </w:p>
          <w:p>
            <w:pPr>
              <w:spacing w:line="360" w:lineRule="auto"/>
              <w:rPr>
                <w:rFonts w:ascii="新宋体" w:hAnsi="新宋体" w:eastAsia="新宋体" w:cs="新宋体"/>
                <w:sz w:val="24"/>
              </w:rPr>
            </w:pPr>
            <w:r>
              <w:rPr>
                <w:rFonts w:hint="eastAsia" w:ascii="新宋体" w:hAnsi="新宋体" w:eastAsia="新宋体" w:cs="新宋体"/>
                <w:sz w:val="24"/>
              </w:rPr>
              <w:t>二、项目目标</w:t>
            </w:r>
          </w:p>
          <w:p>
            <w:pPr>
              <w:spacing w:line="360" w:lineRule="auto"/>
              <w:rPr>
                <w:rFonts w:ascii="新宋体" w:hAnsi="新宋体" w:eastAsia="新宋体" w:cs="新宋体"/>
                <w:sz w:val="24"/>
              </w:rPr>
            </w:pPr>
            <w:r>
              <w:rPr>
                <w:rFonts w:hint="eastAsia" w:ascii="新宋体" w:hAnsi="新宋体" w:eastAsia="新宋体" w:cs="新宋体"/>
                <w:sz w:val="24"/>
              </w:rPr>
              <w:t>通过租用南宁市街道办、房管所共82个点至南宁市住房和城乡建设局机房的点对点光纤专线，实现系统数据能够互相传递、共享。</w:t>
            </w:r>
          </w:p>
          <w:p>
            <w:pPr>
              <w:spacing w:line="360" w:lineRule="auto"/>
              <w:rPr>
                <w:rFonts w:ascii="新宋体" w:hAnsi="新宋体" w:eastAsia="新宋体" w:cs="新宋体"/>
                <w:sz w:val="24"/>
              </w:rPr>
            </w:pPr>
            <w:r>
              <w:rPr>
                <w:rFonts w:hint="eastAsia" w:ascii="新宋体" w:hAnsi="新宋体" w:eastAsia="新宋体" w:cs="新宋体"/>
                <w:sz w:val="24"/>
              </w:rPr>
              <w:t>三、服务范围</w:t>
            </w:r>
          </w:p>
          <w:p>
            <w:pPr>
              <w:spacing w:line="360" w:lineRule="auto"/>
              <w:rPr>
                <w:rFonts w:ascii="新宋体" w:hAnsi="新宋体" w:eastAsia="新宋体" w:cs="新宋体"/>
                <w:sz w:val="24"/>
              </w:rPr>
            </w:pPr>
            <w:r>
              <w:rPr>
                <w:rFonts w:hint="eastAsia" w:ascii="新宋体" w:hAnsi="新宋体" w:eastAsia="新宋体" w:cs="新宋体"/>
                <w:sz w:val="24"/>
              </w:rPr>
              <w:t>点对点专线涉及的南宁市街道办、房管所等共82个点、南宁市住房和城乡建设局机房及相关的信息系统。</w:t>
            </w:r>
          </w:p>
          <w:p>
            <w:pPr>
              <w:spacing w:line="360" w:lineRule="auto"/>
              <w:rPr>
                <w:rFonts w:ascii="新宋体" w:hAnsi="新宋体" w:eastAsia="新宋体" w:cs="新宋体"/>
                <w:sz w:val="24"/>
              </w:rPr>
            </w:pPr>
            <w:r>
              <w:rPr>
                <w:rFonts w:hint="eastAsia" w:ascii="新宋体" w:hAnsi="新宋体" w:eastAsia="新宋体" w:cs="新宋体"/>
                <w:sz w:val="24"/>
              </w:rPr>
              <w:t>四、服务内容及要求</w:t>
            </w:r>
          </w:p>
          <w:p>
            <w:pPr>
              <w:spacing w:line="360" w:lineRule="auto"/>
              <w:rPr>
                <w:rFonts w:ascii="新宋体" w:hAnsi="新宋体" w:eastAsia="新宋体" w:cs="新宋体"/>
                <w:sz w:val="24"/>
              </w:rPr>
            </w:pPr>
            <w:r>
              <w:rPr>
                <w:rFonts w:hint="eastAsia" w:ascii="新宋体" w:hAnsi="新宋体" w:eastAsia="新宋体" w:cs="新宋体"/>
                <w:sz w:val="24"/>
              </w:rPr>
              <w:t>★1、提供≥8M带宽的点对点光纤专线接入。</w:t>
            </w:r>
          </w:p>
          <w:p>
            <w:pPr>
              <w:spacing w:line="360" w:lineRule="auto"/>
              <w:rPr>
                <w:rFonts w:ascii="新宋体" w:hAnsi="新宋体" w:eastAsia="新宋体" w:cs="新宋体"/>
                <w:sz w:val="24"/>
              </w:rPr>
            </w:pPr>
            <w:r>
              <w:rPr>
                <w:rFonts w:hint="eastAsia" w:ascii="新宋体" w:hAnsi="新宋体" w:eastAsia="新宋体" w:cs="新宋体"/>
                <w:b/>
                <w:sz w:val="24"/>
              </w:rPr>
              <w:t>★</w:t>
            </w:r>
            <w:r>
              <w:rPr>
                <w:rFonts w:hint="eastAsia" w:ascii="新宋体" w:hAnsi="新宋体" w:eastAsia="新宋体" w:cs="新宋体"/>
                <w:sz w:val="24"/>
              </w:rPr>
              <w:t xml:space="preserve">2、地点：南宁市街道办、房管所共82个点（详细地址由采购方指定，线路铺设由中标方自行勘探）接到南宁市住房和城乡建设局。 </w:t>
            </w:r>
          </w:p>
          <w:p>
            <w:pPr>
              <w:spacing w:line="360" w:lineRule="auto"/>
              <w:rPr>
                <w:rFonts w:ascii="新宋体" w:hAnsi="新宋体" w:eastAsia="新宋体" w:cs="新宋体"/>
                <w:sz w:val="24"/>
              </w:rPr>
            </w:pPr>
            <w:r>
              <w:rPr>
                <w:rFonts w:hint="eastAsia" w:ascii="新宋体" w:hAnsi="新宋体" w:eastAsia="新宋体" w:cs="新宋体"/>
                <w:sz w:val="24"/>
              </w:rPr>
              <w:t>3、由中标方后续有偿承担南宁市住房和城乡建设局智慧楼宇改造光纤改造迁移过程中所需设备及光纤铺设改造。此外，后续智慧楼宇5G信号覆盖及其相关改造升级需配合南宁市住房和城乡建设局免费给出解决方案建议。</w:t>
            </w:r>
          </w:p>
          <w:p>
            <w:pPr>
              <w:spacing w:line="360" w:lineRule="auto"/>
              <w:rPr>
                <w:rFonts w:ascii="新宋体" w:hAnsi="新宋体" w:eastAsia="新宋体" w:cs="新宋体"/>
                <w:sz w:val="24"/>
              </w:rPr>
            </w:pPr>
            <w:r>
              <w:rPr>
                <w:rFonts w:hint="eastAsia" w:ascii="新宋体" w:hAnsi="新宋体" w:eastAsia="新宋体" w:cs="新宋体"/>
                <w:sz w:val="24"/>
              </w:rPr>
              <w:t>4、传输接入层至骨干层均为自愈网状保护，传输设备具有全网网管监控功能，并实行7*24小时实时监控。传输接入层至骨干层均为自愈环保护；</w:t>
            </w:r>
          </w:p>
          <w:p>
            <w:pPr>
              <w:spacing w:line="360" w:lineRule="auto"/>
              <w:rPr>
                <w:rFonts w:ascii="新宋体" w:hAnsi="新宋体" w:eastAsia="新宋体" w:cs="新宋体"/>
                <w:sz w:val="24"/>
              </w:rPr>
            </w:pPr>
            <w:r>
              <w:rPr>
                <w:rFonts w:hint="eastAsia" w:ascii="新宋体" w:hAnsi="新宋体" w:eastAsia="新宋体" w:cs="新宋体"/>
                <w:sz w:val="24"/>
              </w:rPr>
              <w:t>5、数字电路与互联网（公网）物理隔离；</w:t>
            </w:r>
          </w:p>
          <w:p>
            <w:pPr>
              <w:spacing w:line="360" w:lineRule="auto"/>
              <w:rPr>
                <w:rFonts w:ascii="新宋体" w:hAnsi="新宋体" w:eastAsia="新宋体" w:cs="新宋体"/>
                <w:sz w:val="24"/>
              </w:rPr>
            </w:pPr>
            <w:r>
              <w:rPr>
                <w:rFonts w:hint="eastAsia" w:ascii="新宋体" w:hAnsi="新宋体" w:eastAsia="新宋体" w:cs="新宋体"/>
                <w:sz w:val="24"/>
              </w:rPr>
              <w:t>6、接口类型：可提供RJ45接口类型；</w:t>
            </w:r>
          </w:p>
          <w:p>
            <w:pPr>
              <w:spacing w:line="360" w:lineRule="auto"/>
              <w:rPr>
                <w:rFonts w:ascii="新宋体" w:hAnsi="新宋体" w:eastAsia="新宋体" w:cs="新宋体"/>
                <w:sz w:val="24"/>
              </w:rPr>
            </w:pPr>
            <w:r>
              <w:rPr>
                <w:rFonts w:hint="eastAsia" w:ascii="新宋体" w:hAnsi="新宋体" w:eastAsia="新宋体" w:cs="新宋体"/>
                <w:sz w:val="24"/>
              </w:rPr>
              <w:t>★7、专线接入方式：采用GPON、SDH、MSTP、PTN或更先进的网络技术进行组网。</w:t>
            </w:r>
          </w:p>
          <w:p>
            <w:pPr>
              <w:spacing w:line="360" w:lineRule="auto"/>
              <w:rPr>
                <w:rFonts w:ascii="新宋体" w:hAnsi="新宋体" w:eastAsia="新宋体" w:cs="新宋体"/>
                <w:sz w:val="24"/>
              </w:rPr>
            </w:pPr>
            <w:r>
              <w:rPr>
                <w:rFonts w:hint="eastAsia" w:ascii="新宋体" w:hAnsi="新宋体" w:eastAsia="新宋体" w:cs="新宋体"/>
                <w:sz w:val="24"/>
              </w:rPr>
              <w:t>8、各接入单位的专线要求具备网络扩容平滑升级能力和可扩展性。</w:t>
            </w:r>
          </w:p>
          <w:p>
            <w:pPr>
              <w:spacing w:line="360" w:lineRule="auto"/>
              <w:rPr>
                <w:rFonts w:ascii="新宋体" w:hAnsi="新宋体" w:eastAsia="新宋体" w:cs="新宋体"/>
                <w:sz w:val="24"/>
              </w:rPr>
            </w:pPr>
            <w:r>
              <w:rPr>
                <w:rFonts w:hint="eastAsia" w:ascii="新宋体" w:hAnsi="新宋体" w:eastAsia="新宋体" w:cs="新宋体"/>
                <w:sz w:val="24"/>
              </w:rPr>
              <w:t>9、线路延时：终端网络接入ping测1M报文时间小于10毫秒。</w:t>
            </w:r>
          </w:p>
          <w:p>
            <w:pPr>
              <w:spacing w:line="360" w:lineRule="auto"/>
              <w:rPr>
                <w:rFonts w:ascii="新宋体" w:hAnsi="新宋体" w:eastAsia="新宋体" w:cs="新宋体"/>
                <w:sz w:val="24"/>
              </w:rPr>
            </w:pPr>
            <w:r>
              <w:rPr>
                <w:rFonts w:hint="eastAsia" w:ascii="新宋体" w:hAnsi="新宋体" w:eastAsia="新宋体" w:cs="新宋体"/>
                <w:sz w:val="24"/>
              </w:rPr>
              <w:t>10、线路丢帧率：小于0.5%，且不允许出现连续丢包。</w:t>
            </w:r>
          </w:p>
          <w:p>
            <w:pPr>
              <w:spacing w:line="360" w:lineRule="auto"/>
              <w:rPr>
                <w:rFonts w:ascii="新宋体" w:hAnsi="新宋体" w:eastAsia="新宋体" w:cs="新宋体"/>
                <w:sz w:val="24"/>
              </w:rPr>
            </w:pPr>
            <w:r>
              <w:rPr>
                <w:rFonts w:hint="eastAsia" w:ascii="新宋体" w:hAnsi="新宋体" w:eastAsia="新宋体" w:cs="新宋体"/>
                <w:sz w:val="24"/>
              </w:rPr>
              <w:t>11、每个季度网络进行一次巡检，检查网络设备和主干光缆的运行情况，提交巡检报告。</w:t>
            </w:r>
          </w:p>
          <w:p>
            <w:pPr>
              <w:spacing w:line="360" w:lineRule="auto"/>
              <w:rPr>
                <w:rFonts w:ascii="新宋体" w:hAnsi="新宋体" w:eastAsia="新宋体" w:cs="新宋体"/>
                <w:sz w:val="24"/>
              </w:rPr>
            </w:pPr>
            <w:r>
              <w:rPr>
                <w:rFonts w:hint="eastAsia" w:ascii="新宋体" w:hAnsi="新宋体" w:eastAsia="新宋体" w:cs="新宋体"/>
                <w:sz w:val="24"/>
              </w:rPr>
              <w:t>12、当采购人网络需要扩展或升级时，负责免费提供相应解决方案等技术支持。</w:t>
            </w:r>
          </w:p>
          <w:p>
            <w:pPr>
              <w:spacing w:line="360" w:lineRule="auto"/>
              <w:rPr>
                <w:rFonts w:ascii="新宋体" w:hAnsi="新宋体" w:eastAsia="新宋体" w:cs="新宋体"/>
                <w:sz w:val="24"/>
              </w:rPr>
            </w:pPr>
            <w:r>
              <w:rPr>
                <w:rFonts w:hint="eastAsia" w:ascii="新宋体" w:hAnsi="新宋体" w:eastAsia="新宋体" w:cs="新宋体"/>
                <w:sz w:val="24"/>
              </w:rPr>
              <w:t>★13、租用时间：交付使用开始12个月。</w:t>
            </w:r>
          </w:p>
          <w:p>
            <w:pPr>
              <w:spacing w:line="360" w:lineRule="auto"/>
              <w:rPr>
                <w:rFonts w:ascii="新宋体" w:hAnsi="新宋体" w:eastAsia="新宋体" w:cs="新宋体"/>
                <w:sz w:val="24"/>
              </w:rPr>
            </w:pPr>
            <w:r>
              <w:rPr>
                <w:rFonts w:hint="eastAsia" w:ascii="新宋体" w:hAnsi="新宋体" w:eastAsia="新宋体" w:cs="新宋体"/>
                <w:sz w:val="24"/>
              </w:rPr>
              <w:t>★14、采购方不提供任何接入设备，需要增加接入设备，均由中标方自行负责。</w:t>
            </w:r>
          </w:p>
          <w:p>
            <w:pPr>
              <w:tabs>
                <w:tab w:val="left" w:pos="720"/>
              </w:tabs>
              <w:spacing w:line="360" w:lineRule="auto"/>
              <w:rPr>
                <w:rFonts w:ascii="新宋体" w:hAnsi="新宋体" w:eastAsia="新宋体" w:cs="新宋体"/>
                <w:color w:val="000000" w:themeColor="text1"/>
                <w:kern w:val="0"/>
                <w:sz w:val="24"/>
              </w:rPr>
            </w:pPr>
            <w:r>
              <w:rPr>
                <w:rFonts w:hint="eastAsia" w:ascii="新宋体" w:hAnsi="新宋体" w:eastAsia="新宋体" w:cs="新宋体"/>
                <w:sz w:val="24"/>
              </w:rPr>
              <w:t>★15、合同期内，每个接入点提供一次免费迁移的服务。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012" w:type="dxa"/>
            <w:gridSpan w:val="3"/>
            <w:vAlign w:val="center"/>
          </w:tcPr>
          <w:p>
            <w:pPr>
              <w:spacing w:line="360" w:lineRule="auto"/>
              <w:jc w:val="center"/>
              <w:rPr>
                <w:rFonts w:ascii="新宋体" w:hAnsi="新宋体" w:eastAsia="新宋体" w:cs="新宋体"/>
                <w:color w:val="000000" w:themeColor="text1"/>
                <w:sz w:val="24"/>
              </w:rPr>
            </w:pPr>
            <w:r>
              <w:rPr>
                <w:rFonts w:hint="eastAsia" w:ascii="新宋体" w:hAnsi="新宋体" w:eastAsia="新宋体" w:cs="新宋体"/>
                <w:b/>
                <w:color w:val="000000" w:themeColor="text1"/>
                <w:sz w:val="24"/>
              </w:rPr>
              <w:t>分项最高限价合计（元）</w:t>
            </w:r>
          </w:p>
        </w:tc>
        <w:tc>
          <w:tcPr>
            <w:tcW w:w="7252" w:type="dxa"/>
            <w:gridSpan w:val="2"/>
            <w:vAlign w:val="center"/>
          </w:tcPr>
          <w:p>
            <w:pPr>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￥885600.00元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5" w:type="dxa"/>
            <w:vAlign w:val="center"/>
          </w:tcPr>
          <w:p>
            <w:pPr>
              <w:spacing w:line="360" w:lineRule="auto"/>
              <w:jc w:val="center"/>
              <w:rPr>
                <w:rFonts w:ascii="新宋体" w:hAnsi="新宋体" w:eastAsia="新宋体" w:cs="新宋体"/>
                <w:b/>
                <w:color w:val="000000" w:themeColor="text1"/>
                <w:sz w:val="24"/>
              </w:rPr>
            </w:pPr>
            <w:r>
              <w:rPr>
                <w:rFonts w:hint="eastAsia" w:ascii="新宋体" w:hAnsi="新宋体" w:eastAsia="新宋体" w:cs="新宋体"/>
                <w:b/>
                <w:color w:val="000000" w:themeColor="text1"/>
                <w:sz w:val="24"/>
              </w:rPr>
              <w:t>商 务</w:t>
            </w:r>
          </w:p>
          <w:p>
            <w:pPr>
              <w:spacing w:line="360" w:lineRule="auto"/>
              <w:jc w:val="center"/>
              <w:rPr>
                <w:rFonts w:ascii="新宋体" w:hAnsi="新宋体" w:eastAsia="新宋体" w:cs="新宋体"/>
                <w:b/>
                <w:bCs/>
                <w:color w:val="000000" w:themeColor="text1"/>
                <w:sz w:val="24"/>
              </w:rPr>
            </w:pPr>
            <w:r>
              <w:rPr>
                <w:rFonts w:hint="eastAsia" w:ascii="新宋体" w:hAnsi="新宋体" w:eastAsia="新宋体" w:cs="新宋体"/>
                <w:b/>
                <w:color w:val="000000" w:themeColor="text1"/>
                <w:sz w:val="24"/>
              </w:rPr>
              <w:t>条 款</w:t>
            </w:r>
          </w:p>
        </w:tc>
        <w:tc>
          <w:tcPr>
            <w:tcW w:w="9539" w:type="dxa"/>
            <w:gridSpan w:val="4"/>
          </w:tcPr>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一、合同签订期：自成交通知书发出之日起 7个工作日内。</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 xml:space="preserve">★二、提交服务成果时间：自合同签订之日起5个工作日内。   </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 xml:space="preserve">三、提交服务成果地点：南宁市（采购人指定地点）。      </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四、售后服务要求：</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★1、质量保证期 1 年（自提交服务成果并验收合格之日起计）。</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2、处理问题响应时间：售后服务电话响应时间要求7*24小时，现场响应时间要求不超过2小时，问题解决时间要求不超过1个工作日；</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3、服务人员要求：服务人员相对固定，提供本项目主管人员、运维技术人员名单及联系方式。</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4、服务配套设备要求：服务期间对网络线路进行维护测试所需要使用的工具及软件由成交供应商自备，不能要求采购人另行采购或提供。</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5、此次采购为三年期采购的第一阶段，服务期1年（自提交服务成果并验收合格之日起计），成交供应商需保证交付线路的不间断性及可延续性，需保证有能力对后续第二阶段采购继续提供线路服务。</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★5、入场服务要求：</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(1)在服务期限内，成交供应商应严格遵守《中华人民共和国电信条例》，维护双方权益，应按工信部颁布的《电信服务标准》的电路质量要求，保证采购人租用线路畅通及安全使用；</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(2) 成交供应商须提供针对本项目为采购人服务的客户经理及维护人员的联系电话；</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(3)成交供应商所提供的线路及设缆应有清晰明确、符合相关规范的身份标识、设备及线路标签，标识标签上应清楚标注故障应急响应的联系电话。</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6、验收要求：</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成交供应商提供的网络租用服务，正常稳定运行7个工作日以上，经双方现场测试，满足采购人线路技术参数要求并经采购人签字确认，才能通过验收。</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7、培训要求：</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免费提供完善的操作培训或技术培训方案，免费现场培训技术员2名以上,保证熟练掌握全部功能为止。</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8、安全与保密要求：</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成交供应商必须提供详细的技术方案、项目实施方案、保密承诺等，并提供售后服务承诺书及售后服务机构及联系人名单，制定专门的客户技术支持经理。</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五、其他要求：</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★1、报价必须含以下部分，包括：</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（1）租用服务的价格；</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（2）必要的保险费用和各项税金；</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 xml:space="preserve">（3）其他：运输、装卸、安装、迁移、调试、培训、技术支持、售后服务、更新升级等费用。 </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★2、付款方式：本项目无预付款，成交供应商所提交的服务经采购人书面验收合格后，一次性支付合同款。</w:t>
            </w:r>
          </w:p>
          <w:p>
            <w:pPr>
              <w:widowControl/>
              <w:spacing w:line="360" w:lineRule="auto"/>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★3、对磋商供应商的要求：响应时提供售后服务承诺书、维护服务方案，在当地有专人实施电路的售后服务，提供售后服务机构及联系人名单，列明详细地址及联系方式，并提出维护能力的有利证明。</w:t>
            </w:r>
          </w:p>
        </w:tc>
      </w:tr>
      <w:bookmarkEnd w:id="23"/>
    </w:tbl>
    <w:p>
      <w:pPr>
        <w:pStyle w:val="8"/>
        <w:rPr>
          <w:rFonts w:asciiTheme="majorEastAsia" w:hAnsiTheme="majorEastAsia" w:eastAsiaTheme="majorEastAsia"/>
          <w:color w:val="000000" w:themeColor="text1"/>
        </w:rPr>
        <w:sectPr>
          <w:pgSz w:w="11906" w:h="16838"/>
          <w:pgMar w:top="1440" w:right="1080" w:bottom="1118" w:left="1080" w:header="720" w:footer="720" w:gutter="0"/>
          <w:cols w:space="720" w:num="1"/>
          <w:docGrid w:type="lines" w:linePitch="331" w:charSpace="0"/>
        </w:sectPr>
      </w:pPr>
    </w:p>
    <w:p>
      <w:pPr>
        <w:widowControl/>
        <w:jc w:val="center"/>
        <w:outlineLvl w:val="0"/>
        <w:rPr>
          <w:rFonts w:asciiTheme="majorEastAsia" w:hAnsiTheme="majorEastAsia" w:eastAsiaTheme="majorEastAsia" w:cstheme="majorEastAsia"/>
          <w:color w:val="000000" w:themeColor="text1"/>
        </w:rPr>
      </w:pPr>
      <w:bookmarkStart w:id="30" w:name="_Toc10048"/>
      <w:bookmarkStart w:id="31" w:name="_Toc508092927"/>
      <w:bookmarkStart w:id="32" w:name="_Toc13451"/>
      <w:bookmarkStart w:id="33" w:name="_Toc2911"/>
      <w:bookmarkStart w:id="34" w:name="_Toc29190"/>
      <w:r>
        <w:rPr>
          <w:rFonts w:hint="eastAsia" w:asciiTheme="majorEastAsia" w:hAnsiTheme="majorEastAsia" w:eastAsiaTheme="majorEastAsia" w:cstheme="majorEastAsia"/>
          <w:b/>
          <w:color w:val="000000" w:themeColor="text1"/>
          <w:sz w:val="36"/>
        </w:rPr>
        <w:t>第三章  评审方法</w:t>
      </w:r>
      <w:bookmarkEnd w:id="30"/>
      <w:bookmarkEnd w:id="31"/>
      <w:bookmarkEnd w:id="32"/>
      <w:bookmarkEnd w:id="33"/>
      <w:bookmarkEnd w:id="34"/>
    </w:p>
    <w:p>
      <w:pPr>
        <w:pStyle w:val="10"/>
        <w:spacing w:line="324" w:lineRule="auto"/>
        <w:jc w:val="center"/>
        <w:rPr>
          <w:rFonts w:asciiTheme="majorEastAsia" w:hAnsiTheme="majorEastAsia" w:eastAsiaTheme="majorEastAsia"/>
          <w:b/>
          <w:color w:val="000000" w:themeColor="text1"/>
          <w:sz w:val="36"/>
        </w:rPr>
      </w:pPr>
      <w:r>
        <w:rPr>
          <w:rFonts w:asciiTheme="majorEastAsia" w:hAnsiTheme="majorEastAsia" w:eastAsiaTheme="majorEastAsia"/>
          <w:b/>
          <w:color w:val="000000" w:themeColor="text1"/>
          <w:sz w:val="30"/>
          <w:szCs w:val="30"/>
        </w:rPr>
        <w:t>综合评分法</w:t>
      </w:r>
    </w:p>
    <w:p>
      <w:pPr>
        <w:spacing w:line="324" w:lineRule="auto"/>
        <w:ind w:firstLine="480" w:firstLineChars="200"/>
        <w:rPr>
          <w:rFonts w:cs="宋体"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eastAsia" w:cs="宋体" w:asciiTheme="majorEastAsia" w:hAnsiTheme="majorEastAsia" w:eastAsiaTheme="majorEastAsia"/>
          <w:color w:val="000000" w:themeColor="text1"/>
          <w:sz w:val="24"/>
        </w:rPr>
        <w:t>一）磋商小组以采购文件为依据，对响应文件进行评审，对磋商供应商的响应报价、技术文件、商务文件等三部分内容按百分制打分，其中价格20分；技术50分；商务30分。（对于带有主观因素的评分，由磋商小组在打分前确定方案档次标准后，对各磋商供应商技术文件各部分的优劣程度应由各评委独立进行评价、打分。）</w:t>
      </w:r>
    </w:p>
    <w:p>
      <w:pPr>
        <w:spacing w:line="324" w:lineRule="auto"/>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（二）评分细则：（按四舍五入取至百分位）</w:t>
      </w:r>
    </w:p>
    <w:p>
      <w:pPr>
        <w:spacing w:line="324" w:lineRule="auto"/>
        <w:ind w:firstLine="482" w:firstLineChars="200"/>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1、价格分………………………………………………………………………………20分</w:t>
      </w:r>
    </w:p>
    <w:p>
      <w:pPr>
        <w:pStyle w:val="10"/>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对于非专门面向中小企业的项目，对小型和微型企业产品的价格给予10%的价格扣除，扣除后的价格为评标价，即评标价＝响应报价×（1-10%）；（以磋商供应商按第五章“响应文件格式”要求提供的《报价表》和《中小企业声明函》为评分依据）</w:t>
      </w:r>
    </w:p>
    <w:p>
      <w:pPr>
        <w:pStyle w:val="10"/>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响应报价×（1-2%）；（以磋商供应商按第五章“响应文件格式”要求提供的《报价表》、《中小企业声明函》和《联合体协议书》为评分依据）</w:t>
      </w:r>
    </w:p>
    <w:p>
      <w:pPr>
        <w:pStyle w:val="10"/>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响应产品提供企业按《关于政府采购支持监狱企业发展有关问题的通知》(财库[2014]68号)认定为监狱企业的，在政府采购活动中，监狱企业视同小型、微型企业。（以磋商供应商按第五章“响应文件格式”要求提供的《报价表》和由省级以上监狱管理局、戒毒管理局(含新疆生产建设兵团)出具的属于监狱企业的证明文件为评分依据。</w:t>
      </w:r>
    </w:p>
    <w:p>
      <w:pPr>
        <w:pStyle w:val="10"/>
        <w:spacing w:line="324" w:lineRule="auto"/>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（4）投标产品提供企业按《关于促进残疾人就业政府采购政策的通知》(财库〔2017〕141号)认定为残疾人福利性单位的，在政府采购活动中，残疾人福利性单位视同小型、微型企业。</w:t>
      </w:r>
      <w:r>
        <w:rPr>
          <w:rFonts w:hint="eastAsia" w:asciiTheme="majorEastAsia" w:hAnsiTheme="majorEastAsia" w:eastAsiaTheme="majorEastAsia" w:cstheme="majorEastAsia"/>
          <w:color w:val="000000" w:themeColor="text1"/>
          <w:sz w:val="24"/>
          <w:szCs w:val="24"/>
        </w:rPr>
        <w:t>残疾人福利性单位参加政府采购活动时，应当提供该通知规定的《残疾人福利性单位声明函》，并对声明的真实性负责。声明函应随成交结果同时公告，接受社会监督。</w:t>
      </w:r>
      <w:r>
        <w:rPr>
          <w:rFonts w:asciiTheme="majorEastAsia" w:hAnsiTheme="majorEastAsia" w:eastAsiaTheme="majorEastAsia" w:cstheme="majorEastAsia"/>
          <w:color w:val="000000" w:themeColor="text1"/>
          <w:sz w:val="24"/>
          <w:szCs w:val="24"/>
        </w:rPr>
        <w:t>（以磋商供应商按第五章“投标文件格式”要求提供的《报价表》和《残疾人福利性单位声明函》为评分依据）</w:t>
      </w:r>
      <w:r>
        <w:rPr>
          <w:rFonts w:hint="eastAsia" w:asciiTheme="majorEastAsia" w:hAnsiTheme="majorEastAsia" w:eastAsiaTheme="majorEastAsia" w:cstheme="majorEastAsia"/>
          <w:color w:val="000000" w:themeColor="text1"/>
          <w:sz w:val="24"/>
          <w:szCs w:val="24"/>
        </w:rPr>
        <w:t>。</w:t>
      </w:r>
    </w:p>
    <w:p>
      <w:pPr>
        <w:pStyle w:val="10"/>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（5）除上述情况外，评标价＝响应报价；</w:t>
      </w:r>
    </w:p>
    <w:p>
      <w:pPr>
        <w:spacing w:line="324" w:lineRule="auto"/>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（6）价格分计算公式：</w:t>
      </w:r>
    </w:p>
    <w:p>
      <w:pPr>
        <w:pStyle w:val="9"/>
        <w:spacing w:line="324" w:lineRule="auto"/>
        <w:ind w:firstLine="3840" w:firstLineChars="16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pacing w:val="0"/>
          <w:sz w:val="24"/>
          <w:szCs w:val="24"/>
        </w:rPr>
        <w:t>磋商供应商最低评</w:t>
      </w:r>
      <w:r>
        <w:rPr>
          <w:rFonts w:hint="eastAsia" w:asciiTheme="majorEastAsia" w:hAnsiTheme="majorEastAsia" w:eastAsiaTheme="majorEastAsia" w:cstheme="majorEastAsia"/>
          <w:color w:val="000000" w:themeColor="text1"/>
          <w:sz w:val="24"/>
          <w:szCs w:val="24"/>
        </w:rPr>
        <w:t>标价金额</w:t>
      </w:r>
    </w:p>
    <w:p>
      <w:pPr>
        <w:pStyle w:val="9"/>
        <w:spacing w:line="324" w:lineRule="auto"/>
        <w:ind w:firstLine="1200" w:firstLineChars="5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pacing w:val="0"/>
          <w:sz w:val="24"/>
          <w:szCs w:val="24"/>
        </w:rPr>
        <w:pict>
          <v:line id="_x0000_s1026" o:spid="_x0000_s1026" o:spt="20" style="position:absolute;left:0pt;margin-left:199.5pt;margin-top:12.7pt;height:0pt;width:131.55pt;z-index:251660288;mso-width-relative:page;mso-height-relative:page;" coordsize="21600,21600" o:gfxdata="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vrC&#10;PNcAAAAJAQAADwAAAAAAAAABACAAAAAiAAAAZHJzL2Rvd25yZXYueG1sUEsBAhQAFAAAAAgAh07i&#10;QAie7UbqAQAAuAMAAA4AAAAAAAAAAQAgAAAAJgEAAGRycy9lMm9Eb2MueG1sUEsFBgAAAAAGAAYA&#10;WQEAAIIFAAAAAA==&#10;">
            <v:path arrowok="t"/>
            <v:fill focussize="0,0"/>
            <v:stroke/>
            <v:imagedata o:title=""/>
            <o:lock v:ext="edit"/>
          </v:line>
        </w:pict>
      </w:r>
      <w:r>
        <w:rPr>
          <w:rFonts w:hint="eastAsia" w:asciiTheme="majorEastAsia" w:hAnsiTheme="majorEastAsia" w:eastAsiaTheme="majorEastAsia" w:cstheme="majorEastAsia"/>
          <w:color w:val="000000" w:themeColor="text1"/>
          <w:spacing w:val="0"/>
          <w:sz w:val="24"/>
          <w:szCs w:val="24"/>
        </w:rPr>
        <w:t>某磋商供应商价格</w:t>
      </w:r>
      <w:r>
        <w:rPr>
          <w:rFonts w:hint="eastAsia" w:asciiTheme="majorEastAsia" w:hAnsiTheme="majorEastAsia" w:eastAsiaTheme="majorEastAsia" w:cstheme="majorEastAsia"/>
          <w:color w:val="000000" w:themeColor="text1"/>
          <w:sz w:val="24"/>
          <w:szCs w:val="24"/>
        </w:rPr>
        <w:t>分 ＝                             × 20分</w:t>
      </w:r>
    </w:p>
    <w:p>
      <w:pPr>
        <w:pStyle w:val="9"/>
        <w:spacing w:line="324" w:lineRule="auto"/>
        <w:ind w:firstLine="464" w:firstLineChars="200"/>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sz w:val="24"/>
          <w:szCs w:val="24"/>
        </w:rPr>
        <w:t xml:space="preserve">                   　          </w:t>
      </w:r>
      <w:r>
        <w:rPr>
          <w:rFonts w:hint="eastAsia" w:asciiTheme="majorEastAsia" w:hAnsiTheme="majorEastAsia" w:eastAsiaTheme="majorEastAsia" w:cstheme="majorEastAsia"/>
          <w:color w:val="000000" w:themeColor="text1"/>
          <w:spacing w:val="0"/>
          <w:sz w:val="24"/>
          <w:szCs w:val="24"/>
        </w:rPr>
        <w:t>某磋商供应商评标</w:t>
      </w:r>
      <w:r>
        <w:rPr>
          <w:rFonts w:hint="eastAsia" w:asciiTheme="majorEastAsia" w:hAnsiTheme="majorEastAsia" w:eastAsiaTheme="majorEastAsia" w:cstheme="majorEastAsia"/>
          <w:color w:val="000000" w:themeColor="text1"/>
          <w:sz w:val="24"/>
          <w:szCs w:val="24"/>
        </w:rPr>
        <w:t>价金额</w:t>
      </w:r>
    </w:p>
    <w:p>
      <w:pPr>
        <w:spacing w:line="351" w:lineRule="auto"/>
        <w:ind w:firstLine="482" w:firstLineChars="200"/>
      </w:pPr>
      <w:r>
        <w:rPr>
          <w:rFonts w:hint="eastAsia" w:ascii="新宋体" w:hAnsi="新宋体" w:eastAsia="新宋体" w:cs="新宋体"/>
          <w:b/>
          <w:sz w:val="24"/>
        </w:rPr>
        <w:t>2、技术分………………………………………………………………………………50分</w:t>
      </w:r>
    </w:p>
    <w:p>
      <w:pPr>
        <w:spacing w:line="351" w:lineRule="auto"/>
        <w:ind w:firstLine="480" w:firstLineChars="200"/>
        <w:rPr>
          <w:rFonts w:ascii="宋体" w:hAnsi="宋体" w:cs="宋体"/>
          <w:sz w:val="24"/>
        </w:rPr>
      </w:pPr>
      <w:r>
        <w:rPr>
          <w:rFonts w:hint="eastAsia" w:ascii="宋体" w:hAnsi="宋体" w:cs="宋体"/>
          <w:sz w:val="24"/>
        </w:rPr>
        <w:t>（本项评分由磋商小组各评审专家独立定档进行打分）</w:t>
      </w:r>
    </w:p>
    <w:p>
      <w:pPr>
        <w:spacing w:line="351" w:lineRule="auto"/>
        <w:ind w:firstLine="482" w:firstLineChars="200"/>
        <w:rPr>
          <w:rFonts w:ascii="宋体" w:hAnsi="宋体" w:cs="宋体"/>
          <w:b/>
          <w:bCs/>
          <w:sz w:val="24"/>
        </w:rPr>
      </w:pPr>
      <w:r>
        <w:rPr>
          <w:rFonts w:hint="eastAsia" w:ascii="宋体" w:hAnsi="宋体" w:cs="宋体"/>
          <w:b/>
          <w:bCs/>
          <w:sz w:val="24"/>
        </w:rPr>
        <w:t>（1）技术方案分（满分30分，不提供方案或不满足一档不得分。）</w:t>
      </w:r>
    </w:p>
    <w:p>
      <w:pPr>
        <w:spacing w:line="384" w:lineRule="auto"/>
        <w:ind w:firstLine="480" w:firstLineChars="200"/>
        <w:rPr>
          <w:rFonts w:ascii="宋体" w:hAnsi="宋体" w:cs="宋体"/>
          <w:color w:val="000000"/>
          <w:sz w:val="24"/>
        </w:rPr>
      </w:pPr>
      <w:r>
        <w:rPr>
          <w:rFonts w:hint="eastAsia" w:ascii="宋体" w:hAnsi="宋体" w:cs="宋体"/>
          <w:sz w:val="24"/>
        </w:rPr>
        <w:t>一档（10分）：</w:t>
      </w:r>
      <w:r>
        <w:rPr>
          <w:rFonts w:hint="eastAsia" w:ascii="宋体" w:hAnsi="宋体" w:cs="宋体"/>
          <w:color w:val="000000"/>
          <w:sz w:val="24"/>
        </w:rPr>
        <w:t>技术参数全部满足采购文件要求，采用基于分组复用、动态寻址方式等网络技术进行组网，可应对采购人突发的带宽增长需求，说明组网结构及所用主要网络设备的，进入一档。</w:t>
      </w:r>
    </w:p>
    <w:p>
      <w:pPr>
        <w:spacing w:line="360" w:lineRule="auto"/>
        <w:ind w:firstLine="480" w:firstLineChars="200"/>
        <w:rPr>
          <w:rFonts w:ascii="宋体" w:hAnsi="宋体" w:cs="宋体"/>
          <w:color w:val="000000"/>
          <w:sz w:val="24"/>
        </w:rPr>
      </w:pPr>
      <w:r>
        <w:rPr>
          <w:rFonts w:hint="eastAsia" w:ascii="宋体" w:hAnsi="宋体" w:cs="宋体"/>
          <w:sz w:val="24"/>
        </w:rPr>
        <w:t>二档（20分）：</w:t>
      </w:r>
      <w:r>
        <w:rPr>
          <w:rFonts w:hint="eastAsia" w:ascii="宋体" w:hAnsi="宋体" w:cs="宋体"/>
          <w:color w:val="000000"/>
          <w:sz w:val="24"/>
        </w:rPr>
        <w:t>技术参数全部满足采购文件要求，为保证系统的与原网络的兼容性，采用基于分组复用、静态寻址方式等网络技术进行组网(提供本地网络现网网管系统的主拓扑截图，并加盖磋商供应商公章)，可应对采购人突发的带宽增长需求，</w:t>
      </w:r>
      <w:r>
        <w:rPr>
          <w:rFonts w:hint="eastAsia" w:ascii="宋体" w:hAnsi="宋体" w:cs="宋体"/>
          <w:sz w:val="24"/>
        </w:rPr>
        <w:t>所建设的网络对各网元具有网管监控功能，可实区域总流量及环流量报表、基于环的端口利用率报表、对设备单板性能及及激光器光功率性能有质量报表、可生成客户流量趋势及环带宽利用率趋势报表（提供现网网管界面截图，并由磋商供应商盖章），</w:t>
      </w:r>
      <w:r>
        <w:rPr>
          <w:rFonts w:hint="eastAsia" w:ascii="宋体" w:hAnsi="宋体" w:cs="宋体"/>
          <w:color w:val="000000"/>
          <w:sz w:val="24"/>
        </w:rPr>
        <w:t>说明组网结构及所用主要网络设备的（提供主要网络设备入网许可证复印件，并加盖磋商供应商公章）的，进入二档。</w:t>
      </w:r>
    </w:p>
    <w:p>
      <w:pPr>
        <w:spacing w:line="360" w:lineRule="auto"/>
        <w:ind w:firstLine="480" w:firstLineChars="200"/>
        <w:rPr>
          <w:rFonts w:ascii="宋体" w:hAnsi="宋体" w:cs="宋体"/>
          <w:sz w:val="24"/>
        </w:rPr>
      </w:pPr>
      <w:r>
        <w:rPr>
          <w:rFonts w:hint="eastAsia" w:ascii="宋体" w:hAnsi="宋体" w:cs="宋体"/>
          <w:sz w:val="24"/>
        </w:rPr>
        <w:t>三档（30分）：</w:t>
      </w:r>
      <w:r>
        <w:rPr>
          <w:rFonts w:hint="eastAsia" w:ascii="宋体" w:hAnsi="宋体" w:cs="宋体"/>
          <w:color w:val="000000"/>
          <w:sz w:val="24"/>
        </w:rPr>
        <w:t>技术参数全部满足采购文件要求，为保证系统的与原网络的兼容性，采用基于分组复用、静态寻址方式等网络技术进行组网(提供本地</w:t>
      </w:r>
      <w:r>
        <w:rPr>
          <w:rFonts w:hint="eastAsia" w:ascii="宋体" w:hAnsi="宋体" w:cs="宋体"/>
          <w:sz w:val="24"/>
        </w:rPr>
        <w:t>网络现网网管系统的主拓扑截图，并加盖磋商供应商公章)，可应对采购人突发的带宽增长需求，所建设的网络对各网元具有网管监控功能，可实区域总流量及环流量报表、基于环的端口利用率报表、对设备单板性能及及激光器光功率性能有质量报表、可生成客户流量趋势及环带宽利用率趋势报表（提供现网网管界面截图，并由磋商供应商盖章），可对网络QOS能力进行灵活管控，可设置CAR策略模板，CIR(峰值带宽)、CAR（保证带宽）带宽粒度达64Kpbs(提供本地网络现网网管系统的新建CAR策略模板截图，并加盖磋商供应商公章)，</w:t>
      </w:r>
      <w:r>
        <w:rPr>
          <w:rFonts w:hint="eastAsia" w:ascii="宋体" w:hAnsi="宋体" w:cs="宋体"/>
          <w:bCs/>
          <w:sz w:val="24"/>
        </w:rPr>
        <w:t>具备在本地大规模使用分组复用网络技术组网的能力(提供本地网络现网网管系统的网元截图不低于10000个)，</w:t>
      </w:r>
      <w:r>
        <w:rPr>
          <w:rFonts w:hint="eastAsia" w:ascii="宋体" w:hAnsi="宋体" w:cs="宋体"/>
          <w:sz w:val="24"/>
        </w:rPr>
        <w:t>说明组网结构及所用主要网络设备的（提供</w:t>
      </w:r>
      <w:r>
        <w:rPr>
          <w:rFonts w:hint="eastAsia" w:ascii="宋体" w:hAnsi="宋体" w:cs="宋体"/>
          <w:color w:val="000000"/>
          <w:sz w:val="24"/>
        </w:rPr>
        <w:t>PTN</w:t>
      </w:r>
      <w:r>
        <w:rPr>
          <w:rFonts w:hint="eastAsia" w:ascii="宋体" w:hAnsi="宋体" w:cs="宋体"/>
          <w:sz w:val="24"/>
        </w:rPr>
        <w:t>主要网络设备入网许可证复印件，并加盖磋商供应商公章），同时所建设网络具备平滑扩容至大颗粒业务调度的功能，支持CES业务、L3VPN业务（静态、动态）、L2VPN业务（含E-Line/E-LAN/E-TREE）等多种业务模型的原理和实现方式。（对上述各功能需提供设备产品手册截图，并由磋商供应商盖章）的，进入三档。</w:t>
      </w:r>
    </w:p>
    <w:p>
      <w:pPr>
        <w:spacing w:line="360" w:lineRule="auto"/>
        <w:ind w:firstLine="482" w:firstLineChars="200"/>
        <w:rPr>
          <w:rFonts w:ascii="宋体" w:hAnsi="宋体" w:cs="宋体"/>
          <w:color w:val="FF0000"/>
          <w:sz w:val="24"/>
          <w:lang w:val="zh-CN"/>
        </w:rPr>
      </w:pPr>
      <w:r>
        <w:rPr>
          <w:rFonts w:hint="eastAsia" w:ascii="宋体" w:hAnsi="宋体" w:cs="宋体"/>
          <w:b/>
          <w:bCs/>
          <w:sz w:val="24"/>
          <w:lang w:val="zh-CN"/>
        </w:rPr>
        <w:t>（2）项目施工进度与实施方案分（满分20分，不提供或不满足一档不得分。）</w:t>
      </w:r>
    </w:p>
    <w:p>
      <w:pPr>
        <w:spacing w:line="360" w:lineRule="auto"/>
        <w:ind w:firstLine="480" w:firstLineChars="200"/>
        <w:rPr>
          <w:rFonts w:ascii="宋体" w:hAnsi="宋体" w:cs="宋体"/>
          <w:sz w:val="24"/>
        </w:rPr>
      </w:pPr>
      <w:r>
        <w:rPr>
          <w:rFonts w:hint="eastAsia" w:ascii="宋体" w:hAnsi="宋体" w:cs="宋体"/>
          <w:sz w:val="24"/>
        </w:rPr>
        <w:t>第一档（7分）评定范围：</w:t>
      </w:r>
      <w:r>
        <w:rPr>
          <w:rFonts w:hint="eastAsia" w:ascii="宋体" w:hAnsi="宋体" w:cs="宋体"/>
          <w:bCs/>
          <w:sz w:val="24"/>
        </w:rPr>
        <w:t>实施方案能说明各个阶段工作安排，有人员安排及施工进度的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第二档（14分）评定范围：</w:t>
      </w:r>
      <w:r>
        <w:rPr>
          <w:rFonts w:hint="eastAsia" w:ascii="宋体" w:hAnsi="宋体" w:cs="宋体"/>
          <w:bCs/>
          <w:sz w:val="24"/>
        </w:rPr>
        <w:t>实施方案形成项目管理文档计划，有项目管理组织机构图，能说明各个阶段工作安排，有人员安排及施工进度，有工程实施安全保障措施、工程进度图并有赶工措施、工程质量保证措施、项目风险管理措施的。</w:t>
      </w:r>
      <w:r>
        <w:rPr>
          <w:rFonts w:hint="eastAsia" w:ascii="宋体" w:hAnsi="宋体" w:cs="宋体"/>
          <w:sz w:val="24"/>
        </w:rPr>
        <w:t>能够提前2个日历日完成专线开通的（提供按时开通交付承诺函）。</w:t>
      </w:r>
    </w:p>
    <w:p>
      <w:pPr>
        <w:spacing w:line="360" w:lineRule="auto"/>
        <w:ind w:firstLine="480" w:firstLineChars="200"/>
        <w:rPr>
          <w:rFonts w:ascii="宋体" w:hAnsi="宋体" w:cs="宋体"/>
          <w:sz w:val="24"/>
        </w:rPr>
      </w:pPr>
      <w:r>
        <w:rPr>
          <w:rFonts w:hint="eastAsia" w:ascii="宋体" w:hAnsi="宋体" w:cs="宋体"/>
          <w:sz w:val="24"/>
        </w:rPr>
        <w:t>第三档（20分）评定范围：</w:t>
      </w:r>
      <w:r>
        <w:rPr>
          <w:rFonts w:hint="eastAsia" w:ascii="宋体" w:hAnsi="宋体" w:cs="宋体"/>
          <w:bCs/>
          <w:sz w:val="24"/>
        </w:rPr>
        <w:t>实施方案形成项目管理文档计划，有项目管理组织机构图，能说明各个阶段工作安排，有人员安排及施工进度，有工程实施安全保障措施、工程进度图并有赶工措施、工程质量保证措施、项目风险管理措施、文明施工管理措施，能提供系统联调及验收方案</w:t>
      </w:r>
      <w:r>
        <w:rPr>
          <w:rFonts w:hint="eastAsia" w:ascii="宋体" w:hAnsi="宋体" w:cs="宋体"/>
          <w:sz w:val="24"/>
        </w:rPr>
        <w:t>，并提前4个日历日完成专线开通的（提供按时开通交付承诺函）。</w:t>
      </w:r>
    </w:p>
    <w:p>
      <w:pPr>
        <w:spacing w:line="360" w:lineRule="auto"/>
        <w:ind w:firstLine="482" w:firstLineChars="200"/>
        <w:rPr>
          <w:rFonts w:ascii="宋体" w:hAnsi="宋体" w:cs="宋体"/>
          <w:b/>
          <w:bCs/>
          <w:color w:val="FF0000"/>
          <w:sz w:val="24"/>
        </w:rPr>
      </w:pPr>
      <w:r>
        <w:rPr>
          <w:rFonts w:hint="eastAsia" w:ascii="宋体" w:hAnsi="宋体" w:cs="宋体"/>
          <w:b/>
          <w:bCs/>
          <w:sz w:val="24"/>
        </w:rPr>
        <w:t>3、商务分………………………………………………………………………………30分</w:t>
      </w:r>
    </w:p>
    <w:p>
      <w:pPr>
        <w:pStyle w:val="10"/>
        <w:spacing w:line="360" w:lineRule="auto"/>
        <w:ind w:firstLine="480" w:firstLineChars="200"/>
        <w:rPr>
          <w:rFonts w:hAnsi="宋体" w:cs="宋体"/>
          <w:sz w:val="24"/>
          <w:szCs w:val="24"/>
        </w:rPr>
      </w:pPr>
      <w:r>
        <w:rPr>
          <w:rFonts w:hint="eastAsia" w:hAnsi="宋体" w:cs="宋体"/>
          <w:sz w:val="24"/>
          <w:szCs w:val="24"/>
        </w:rPr>
        <w:t>（1）磋商供应商2017年以来同类业绩分（以中标通知书或合同复印件为准），每项得1分，满分4分。</w:t>
      </w:r>
    </w:p>
    <w:p>
      <w:pPr>
        <w:pStyle w:val="10"/>
        <w:spacing w:line="360" w:lineRule="auto"/>
        <w:ind w:firstLine="480" w:firstLineChars="200"/>
        <w:rPr>
          <w:rFonts w:hAnsi="宋体" w:cs="宋体"/>
          <w:sz w:val="24"/>
          <w:szCs w:val="24"/>
        </w:rPr>
      </w:pPr>
      <w:r>
        <w:rPr>
          <w:rFonts w:hint="eastAsia" w:hAnsi="宋体" w:cs="宋体"/>
          <w:sz w:val="24"/>
          <w:szCs w:val="24"/>
          <w:lang w:val="zh-CN"/>
        </w:rPr>
        <w:t>（2）</w:t>
      </w:r>
      <w:r>
        <w:rPr>
          <w:rFonts w:hint="eastAsia" w:hAnsi="宋体" w:cs="宋体"/>
          <w:sz w:val="24"/>
          <w:szCs w:val="24"/>
        </w:rPr>
        <w:t>磋商供应商</w:t>
      </w:r>
      <w:r>
        <w:rPr>
          <w:rFonts w:hint="eastAsia" w:hAnsi="宋体" w:cs="宋体"/>
          <w:bCs/>
          <w:color w:val="000000"/>
          <w:sz w:val="24"/>
          <w:szCs w:val="24"/>
        </w:rPr>
        <w:t>通过ISO9001质量管理体系认证（提供认证证书复印件，并加盖磋商供应商公章），得2分，满分2分。</w:t>
      </w:r>
    </w:p>
    <w:p>
      <w:pPr>
        <w:pStyle w:val="10"/>
        <w:spacing w:line="360" w:lineRule="auto"/>
        <w:ind w:firstLine="480" w:firstLineChars="200"/>
        <w:rPr>
          <w:rFonts w:hAnsi="宋体" w:cs="宋体"/>
          <w:sz w:val="24"/>
          <w:szCs w:val="24"/>
        </w:rPr>
      </w:pPr>
      <w:r>
        <w:rPr>
          <w:rFonts w:hint="eastAsia" w:hAnsi="宋体" w:cs="宋体"/>
          <w:sz w:val="24"/>
          <w:szCs w:val="24"/>
        </w:rPr>
        <w:t>（3）磋商供应商或磋商供应商上级机构2016年以来获得省级科学进步特等奖的，得2分；获得国家级科学进步特等奖的，得4分（投标文件提供证书并加盖磋商供应商公章），满分4分。</w:t>
      </w:r>
    </w:p>
    <w:p>
      <w:pPr>
        <w:pStyle w:val="10"/>
        <w:spacing w:line="360" w:lineRule="auto"/>
        <w:ind w:firstLine="480" w:firstLineChars="200"/>
        <w:rPr>
          <w:rFonts w:hAnsi="宋体" w:cs="宋体"/>
          <w:color w:val="000000" w:themeColor="text1"/>
          <w:sz w:val="24"/>
          <w:szCs w:val="24"/>
          <w:lang w:val="zh-CN"/>
        </w:rPr>
      </w:pPr>
      <w:r>
        <w:rPr>
          <w:rFonts w:hint="eastAsia" w:hAnsi="宋体" w:cs="宋体"/>
          <w:sz w:val="24"/>
          <w:szCs w:val="24"/>
          <w:lang w:val="zh-CN"/>
        </w:rPr>
        <w:t>（4）磋商供应商近年来连续两年广西区内基础电信企业总体满意度指数均在75.00分以上的（提供广西壮族自治区通信管理局官网截图，并加盖磋商供应商公章），得2分，满分2</w:t>
      </w:r>
      <w:r>
        <w:rPr>
          <w:rFonts w:hint="eastAsia" w:hAnsi="宋体" w:cs="宋体"/>
          <w:color w:val="000000" w:themeColor="text1"/>
          <w:sz w:val="24"/>
          <w:szCs w:val="24"/>
          <w:lang w:val="zh-CN"/>
        </w:rPr>
        <w:t>分。</w:t>
      </w:r>
    </w:p>
    <w:p>
      <w:pPr>
        <w:pStyle w:val="10"/>
        <w:spacing w:line="360" w:lineRule="auto"/>
        <w:ind w:firstLine="480" w:firstLineChars="200"/>
        <w:rPr>
          <w:rFonts w:hint="eastAsia" w:hAnsi="宋体" w:cs="宋体"/>
          <w:color w:val="000000" w:themeColor="text1"/>
          <w:sz w:val="24"/>
          <w:szCs w:val="24"/>
          <w:lang w:val="zh-CN"/>
        </w:rPr>
      </w:pPr>
      <w:r>
        <w:rPr>
          <w:rFonts w:hint="eastAsia" w:hAnsi="宋体" w:cs="宋体"/>
          <w:color w:val="000000" w:themeColor="text1"/>
          <w:sz w:val="24"/>
          <w:szCs w:val="24"/>
          <w:lang w:val="zh-CN"/>
        </w:rPr>
        <w:t>（5）投标人201</w:t>
      </w:r>
      <w:r>
        <w:rPr>
          <w:rFonts w:hint="eastAsia" w:hAnsi="宋体" w:cs="宋体"/>
          <w:color w:val="000000" w:themeColor="text1"/>
          <w:sz w:val="24"/>
          <w:szCs w:val="24"/>
          <w:lang w:val="en-US" w:eastAsia="zh-CN"/>
        </w:rPr>
        <w:t>7</w:t>
      </w:r>
      <w:r>
        <w:rPr>
          <w:rFonts w:hint="eastAsia" w:hAnsi="宋体" w:cs="宋体"/>
          <w:color w:val="000000" w:themeColor="text1"/>
          <w:sz w:val="24"/>
          <w:szCs w:val="24"/>
          <w:lang w:val="zh-CN"/>
        </w:rPr>
        <w:t>年以来入围过广西服务企业30强的，得1分；入围过广西服务企业10强的，得2分；（投标文件提供广西企业与企业家联合会官网截图，并加盖投标人公章）。满分2分。</w:t>
      </w:r>
    </w:p>
    <w:p>
      <w:pPr>
        <w:pStyle w:val="10"/>
        <w:spacing w:line="360" w:lineRule="auto"/>
        <w:ind w:firstLine="480" w:firstLineChars="200"/>
        <w:rPr>
          <w:rFonts w:hAnsi="宋体" w:cs="宋体"/>
          <w:sz w:val="24"/>
          <w:szCs w:val="24"/>
        </w:rPr>
      </w:pPr>
      <w:r>
        <w:rPr>
          <w:rFonts w:hint="eastAsia" w:hAnsi="宋体" w:cs="宋体"/>
          <w:color w:val="000000" w:themeColor="text1"/>
          <w:sz w:val="24"/>
          <w:szCs w:val="24"/>
        </w:rPr>
        <w:t>（6）为确保网络传输</w:t>
      </w:r>
      <w:r>
        <w:rPr>
          <w:rFonts w:hint="eastAsia" w:hAnsi="宋体" w:cs="宋体"/>
          <w:sz w:val="24"/>
          <w:szCs w:val="24"/>
        </w:rPr>
        <w:t>的可靠性和安全性，磋商供应商用于承载本项目网络设备的IDC机房具备信息系统安全三级保护证明，得2分，满分2分（提供等级保护备案表和备案证明）。</w:t>
      </w:r>
    </w:p>
    <w:p>
      <w:pPr>
        <w:pStyle w:val="10"/>
        <w:spacing w:line="360" w:lineRule="auto"/>
        <w:ind w:firstLine="480" w:firstLineChars="200"/>
        <w:rPr>
          <w:rFonts w:hAnsi="宋体" w:cs="宋体"/>
          <w:sz w:val="24"/>
          <w:szCs w:val="24"/>
        </w:rPr>
      </w:pPr>
      <w:r>
        <w:rPr>
          <w:rFonts w:hint="eastAsia" w:hAnsi="宋体" w:cs="宋体"/>
          <w:sz w:val="24"/>
          <w:szCs w:val="24"/>
        </w:rPr>
        <w:t>（7）磋商供应商拟投入本项目的主要技术管理人员中同时具有“信息系统项目管理师”及“EXIN EPI CDCE 数据中心专家”证书的，每人得1分，满分2分。（</w:t>
      </w:r>
      <w:r>
        <w:rPr>
          <w:rFonts w:hint="eastAsia" w:hAnsi="宋体" w:cs="宋体"/>
          <w:sz w:val="24"/>
        </w:rPr>
        <w:t>需提交响应截止时间前连续</w:t>
      </w:r>
      <w:r>
        <w:rPr>
          <w:rFonts w:hint="eastAsia" w:hAnsi="宋体" w:cs="Courier New"/>
          <w:bCs/>
          <w:sz w:val="24"/>
        </w:rPr>
        <w:t>三个月的社保缴纳证明复印件</w:t>
      </w:r>
      <w:r>
        <w:rPr>
          <w:rFonts w:hint="eastAsia" w:hAnsi="宋体" w:cs="宋体"/>
          <w:sz w:val="24"/>
          <w:szCs w:val="24"/>
        </w:rPr>
        <w:t>）</w:t>
      </w:r>
    </w:p>
    <w:p>
      <w:pPr>
        <w:pStyle w:val="10"/>
        <w:spacing w:line="360" w:lineRule="auto"/>
        <w:ind w:firstLine="480" w:firstLineChars="200"/>
        <w:rPr>
          <w:rFonts w:hAnsi="宋体" w:cs="宋体"/>
          <w:sz w:val="24"/>
          <w:szCs w:val="24"/>
        </w:rPr>
      </w:pPr>
      <w:r>
        <w:rPr>
          <w:rFonts w:hint="eastAsia" w:hAnsi="宋体" w:cs="宋体"/>
          <w:sz w:val="24"/>
          <w:szCs w:val="24"/>
        </w:rPr>
        <w:t>（8）售后服务分（满分12分，不提供或不满足一档不得分。）</w:t>
      </w:r>
    </w:p>
    <w:p>
      <w:pPr>
        <w:pStyle w:val="10"/>
        <w:spacing w:line="360" w:lineRule="auto"/>
        <w:ind w:firstLine="480" w:firstLineChars="200"/>
        <w:rPr>
          <w:rFonts w:hAnsi="宋体" w:cs="宋体"/>
          <w:sz w:val="24"/>
          <w:szCs w:val="24"/>
        </w:rPr>
      </w:pPr>
      <w:r>
        <w:rPr>
          <w:rFonts w:hint="eastAsia" w:hAnsi="宋体" w:cs="宋体"/>
          <w:sz w:val="24"/>
          <w:szCs w:val="24"/>
        </w:rPr>
        <w:t>①一档（4分）评定范围为：满足采购文件售后服务要求，提供有服务方案，方案包含有项目售后维护和应急保障方案，且方案可行的定为一档；</w:t>
      </w:r>
    </w:p>
    <w:p>
      <w:pPr>
        <w:pStyle w:val="10"/>
        <w:spacing w:line="360" w:lineRule="auto"/>
        <w:ind w:firstLine="480" w:firstLineChars="200"/>
        <w:rPr>
          <w:rFonts w:hAnsi="宋体" w:cs="宋体"/>
          <w:sz w:val="24"/>
          <w:szCs w:val="24"/>
        </w:rPr>
      </w:pPr>
      <w:r>
        <w:rPr>
          <w:rFonts w:hint="eastAsia" w:hAnsi="宋体" w:cs="宋体"/>
          <w:sz w:val="24"/>
          <w:szCs w:val="24"/>
        </w:rPr>
        <w:t>②二挡（8分）评定范围为：满足招标文件售后服务要求，提供故障处理流程、维护保障流程及组织架构的，有免费服务电话，磋商供应商能快速响应故障，</w:t>
      </w:r>
      <w:r>
        <w:rPr>
          <w:rFonts w:hAnsi="宋体" w:cs="宋体"/>
          <w:sz w:val="24"/>
          <w:szCs w:val="24"/>
        </w:rPr>
        <w:t>提供中标后能确保</w:t>
      </w:r>
      <w:r>
        <w:rPr>
          <w:rFonts w:hint="eastAsia" w:hAnsi="宋体" w:cs="宋体"/>
          <w:sz w:val="24"/>
          <w:szCs w:val="24"/>
        </w:rPr>
        <w:t>在南宁市各城区、县、镇共设立有不低于55家自有服务机构</w:t>
      </w:r>
      <w:r>
        <w:rPr>
          <w:rFonts w:hAnsi="宋体" w:cs="宋体"/>
          <w:sz w:val="24"/>
          <w:szCs w:val="24"/>
        </w:rPr>
        <w:t>的承诺函（采购人有权在合同期间随时抽查上述情况，若发现与投标承诺函不符，则按虚假应标处理）</w:t>
      </w:r>
      <w:r>
        <w:rPr>
          <w:rFonts w:hint="eastAsia" w:hAnsi="宋体" w:cs="宋体"/>
          <w:sz w:val="24"/>
          <w:szCs w:val="24"/>
        </w:rPr>
        <w:t>，故障时有替代产品且有备件库；</w:t>
      </w:r>
    </w:p>
    <w:p>
      <w:pPr>
        <w:spacing w:line="360" w:lineRule="auto"/>
        <w:ind w:firstLine="480" w:firstLineChars="200"/>
        <w:rPr>
          <w:rFonts w:ascii="宋体" w:hAnsi="宋体" w:cs="宋体"/>
          <w:sz w:val="24"/>
        </w:rPr>
      </w:pPr>
      <w:r>
        <w:rPr>
          <w:rFonts w:hint="eastAsia" w:ascii="宋体" w:hAnsi="宋体" w:cs="宋体"/>
          <w:sz w:val="24"/>
        </w:rPr>
        <w:t>③三挡（12分）评定范围为：</w:t>
      </w:r>
      <w:r>
        <w:rPr>
          <w:rFonts w:hint="eastAsia" w:ascii="宋体" w:hAnsi="宋体" w:cs="宋体"/>
          <w:sz w:val="24"/>
          <w:lang w:val="zh-CN"/>
        </w:rPr>
        <w:t>满足招标文件售后服务要求，提供故障处理流程、维护</w:t>
      </w:r>
      <w:r>
        <w:rPr>
          <w:rFonts w:hint="eastAsia" w:ascii="宋体" w:hAnsi="宋体" w:cs="宋体"/>
          <w:sz w:val="24"/>
        </w:rPr>
        <w:t>保障流程及组织架构的，有免费服务电话，磋商供应商能快速响应故障，</w:t>
      </w:r>
      <w:r>
        <w:rPr>
          <w:rFonts w:ascii="宋体" w:hAnsi="宋体" w:cs="宋体"/>
          <w:sz w:val="24"/>
        </w:rPr>
        <w:t>提供中标后能确保</w:t>
      </w:r>
      <w:r>
        <w:rPr>
          <w:rFonts w:hint="eastAsia" w:ascii="宋体" w:hAnsi="宋体" w:cs="宋体"/>
          <w:sz w:val="24"/>
        </w:rPr>
        <w:t>在南宁市各城区、县、镇共设立有不低于55家自有服务机构</w:t>
      </w:r>
      <w:r>
        <w:rPr>
          <w:rFonts w:ascii="宋体" w:hAnsi="宋体" w:cs="宋体"/>
          <w:sz w:val="24"/>
        </w:rPr>
        <w:t>的承诺函（采购人有权在合同期间随时抽查上述情况，若发现与投标承诺函不符，则按虚假应标处理）</w:t>
      </w:r>
      <w:r>
        <w:rPr>
          <w:rFonts w:hint="eastAsia" w:ascii="宋体" w:hAnsi="宋体" w:cs="宋体"/>
          <w:sz w:val="24"/>
        </w:rPr>
        <w:t>，故障时有替代产品且有备件库的，售后服务承诺、售后服务流程内容详细、具体、可行性高，提供有针对性服务措施，对项目有保障。</w:t>
      </w:r>
    </w:p>
    <w:p>
      <w:pPr>
        <w:pStyle w:val="10"/>
        <w:spacing w:line="351" w:lineRule="auto"/>
        <w:ind w:firstLine="480" w:firstLineChars="200"/>
      </w:pPr>
      <w:r>
        <w:rPr>
          <w:rFonts w:hint="eastAsia" w:hAnsi="宋体" w:cs="宋体"/>
          <w:sz w:val="24"/>
          <w:szCs w:val="24"/>
        </w:rPr>
        <w:t>（9）诚信分：</w:t>
      </w:r>
      <w:r>
        <w:rPr>
          <w:rFonts w:hint="eastAsia" w:hAnsi="宋体" w:cs="宋体"/>
          <w:bCs/>
          <w:sz w:val="24"/>
          <w:szCs w:val="24"/>
        </w:rPr>
        <w:t>磋商供应商</w:t>
      </w:r>
      <w:r>
        <w:rPr>
          <w:rFonts w:hint="eastAsia" w:hAnsi="宋体" w:cs="宋体"/>
          <w:sz w:val="24"/>
          <w:szCs w:val="24"/>
        </w:rPr>
        <w:t>在截标日前1年内在政府采购活动中存在违约违规情形的（以财政部门出具的书面材料为评分依据），每次扣除3分，最高扣分6分扣完为止。</w:t>
      </w:r>
    </w:p>
    <w:p>
      <w:pPr>
        <w:spacing w:line="351" w:lineRule="auto"/>
        <w:ind w:firstLine="480" w:firstLineChars="200"/>
        <w:rPr>
          <w:rFonts w:ascii="新宋体" w:hAnsi="新宋体" w:eastAsia="新宋体" w:cs="新宋体"/>
          <w:sz w:val="24"/>
        </w:rPr>
      </w:pPr>
      <w:r>
        <w:rPr>
          <w:rFonts w:hint="eastAsia" w:ascii="新宋体" w:hAnsi="新宋体" w:eastAsia="新宋体" w:cs="新宋体"/>
          <w:sz w:val="24"/>
        </w:rPr>
        <w:t>（四）总得分＝1＋2＋3</w:t>
      </w:r>
    </w:p>
    <w:p>
      <w:pPr>
        <w:spacing w:line="351" w:lineRule="auto"/>
        <w:jc w:val="left"/>
        <w:rPr>
          <w:rFonts w:asciiTheme="majorEastAsia" w:hAnsiTheme="majorEastAsia" w:eastAsiaTheme="majorEastAsia" w:cstheme="majorEastAsia"/>
          <w:b/>
          <w:color w:val="000000" w:themeColor="text1"/>
          <w:sz w:val="24"/>
        </w:rPr>
      </w:pPr>
      <w:r>
        <w:rPr>
          <w:rFonts w:hint="eastAsia" w:asciiTheme="majorEastAsia" w:hAnsiTheme="majorEastAsia" w:eastAsiaTheme="majorEastAsia" w:cstheme="majorEastAsia"/>
          <w:b/>
          <w:color w:val="000000" w:themeColor="text1"/>
          <w:sz w:val="24"/>
        </w:rPr>
        <w:t>（四）成交候选供应商推荐原则</w:t>
      </w:r>
    </w:p>
    <w:bookmarkEnd w:id="0"/>
    <w:bookmarkEnd w:id="1"/>
    <w:bookmarkEnd w:id="24"/>
    <w:bookmarkEnd w:id="25"/>
    <w:bookmarkEnd w:id="26"/>
    <w:bookmarkEnd w:id="27"/>
    <w:bookmarkEnd w:id="28"/>
    <w:bookmarkEnd w:id="29"/>
    <w:p>
      <w:pPr>
        <w:spacing w:line="351" w:lineRule="auto"/>
        <w:ind w:firstLine="480" w:firstLineChars="200"/>
        <w:rPr>
          <w:rFonts w:cs="宋体" w:asciiTheme="majorEastAsia" w:hAnsiTheme="majorEastAsia" w:eastAsiaTheme="majorEastAsia"/>
          <w:color w:val="000000" w:themeColor="text1"/>
          <w:kern w:val="0"/>
          <w:sz w:val="24"/>
        </w:rPr>
      </w:pPr>
      <w:bookmarkStart w:id="35" w:name="_Toc213206174"/>
      <w:bookmarkStart w:id="36" w:name="_Toc485920212"/>
      <w:bookmarkStart w:id="37" w:name="_Toc213326414"/>
      <w:bookmarkStart w:id="38" w:name="_Toc460253701"/>
      <w:bookmarkStart w:id="39" w:name="_Toc213325923"/>
      <w:r>
        <w:rPr>
          <w:rFonts w:asciiTheme="majorEastAsia" w:hAnsiTheme="majorEastAsia" w:eastAsiaTheme="majorEastAsia"/>
          <w:color w:val="000000" w:themeColor="text1"/>
          <w:sz w:val="24"/>
        </w:rPr>
        <w:t>1</w:t>
      </w:r>
      <w:r>
        <w:rPr>
          <w:rFonts w:hint="eastAsia" w:asciiTheme="majorEastAsia" w:hAnsiTheme="majorEastAsia" w:eastAsiaTheme="majorEastAsia"/>
          <w:color w:val="000000" w:themeColor="text1"/>
          <w:sz w:val="24"/>
        </w:rPr>
        <w:t>、</w:t>
      </w:r>
      <w:r>
        <w:rPr>
          <w:rFonts w:hint="eastAsia" w:cs="宋体" w:asciiTheme="majorEastAsia" w:hAnsiTheme="majorEastAsia" w:eastAsiaTheme="majorEastAsia"/>
          <w:color w:val="000000" w:themeColor="text1"/>
          <w:kern w:val="0"/>
          <w:sz w:val="24"/>
        </w:rPr>
        <w:t>磋商小组将按总得分由高到低排列成交候选供</w:t>
      </w:r>
      <w:r>
        <w:rPr>
          <w:rFonts w:hint="eastAsia" w:asciiTheme="majorEastAsia" w:hAnsiTheme="majorEastAsia" w:eastAsiaTheme="majorEastAsia"/>
          <w:color w:val="000000" w:themeColor="text1"/>
          <w:sz w:val="24"/>
        </w:rPr>
        <w:t>应商顺序（</w:t>
      </w:r>
      <w:r>
        <w:rPr>
          <w:rFonts w:asciiTheme="majorEastAsia" w:hAnsiTheme="majorEastAsia" w:eastAsiaTheme="majorEastAsia"/>
          <w:color w:val="000000" w:themeColor="text1"/>
          <w:sz w:val="24"/>
        </w:rPr>
        <w:t>评标价相同时，依次按节能环保产品优先、技术指标高优先、质量保证期长优先、故障响应时间短优先的顺序排列</w:t>
      </w:r>
      <w:r>
        <w:rPr>
          <w:rFonts w:hint="eastAsia" w:asciiTheme="majorEastAsia" w:hAnsiTheme="majorEastAsia" w:eastAsiaTheme="majorEastAsia"/>
          <w:color w:val="000000" w:themeColor="text1"/>
          <w:sz w:val="24"/>
        </w:rPr>
        <w:t>；前述指标均相同时，由磋商小组各成员对供应商当场投票表决，得票多者优先；按前述程序仍无法确定供应商排名顺序的，由磋商小组抽签决定），并依照次序确定成交供</w:t>
      </w:r>
      <w:r>
        <w:rPr>
          <w:rFonts w:hint="eastAsia" w:cs="宋体" w:asciiTheme="majorEastAsia" w:hAnsiTheme="majorEastAsia" w:eastAsiaTheme="majorEastAsia"/>
          <w:color w:val="000000" w:themeColor="text1"/>
          <w:kern w:val="0"/>
          <w:sz w:val="24"/>
        </w:rPr>
        <w:t>应商。</w:t>
      </w:r>
    </w:p>
    <w:p>
      <w:pPr>
        <w:spacing w:line="351" w:lineRule="auto"/>
        <w:ind w:firstLine="480" w:firstLineChars="200"/>
        <w:rPr>
          <w:rFonts w:cs="宋体" w:asciiTheme="majorEastAsia" w:hAnsiTheme="majorEastAsia" w:eastAsiaTheme="majorEastAsia"/>
          <w:color w:val="000000" w:themeColor="text1"/>
          <w:sz w:val="24"/>
          <w:szCs w:val="22"/>
        </w:rPr>
      </w:pPr>
      <w:r>
        <w:rPr>
          <w:rFonts w:hint="eastAsia" w:cs="宋体" w:asciiTheme="majorEastAsia" w:hAnsiTheme="majorEastAsia" w:eastAsiaTheme="majorEastAsia"/>
          <w:color w:val="000000" w:themeColor="text1"/>
          <w:sz w:val="24"/>
          <w:szCs w:val="22"/>
        </w:rPr>
        <w:t>2、根据《财政部关于政府采购竞争性磋商采购方式管理暂行办法有关问题的补充通知》（财库【2015】124号）规定：采用竞争性磋商采购方式的政府购买服务项目或政府和社会资本合作项目，在采购过程中符合要求的供应商只有2家的，其采购活动可以继续进行。</w:t>
      </w:r>
    </w:p>
    <w:p>
      <w:pPr>
        <w:spacing w:line="351" w:lineRule="auto"/>
        <w:ind w:firstLine="480" w:firstLineChars="200"/>
        <w:rPr>
          <w:rFonts w:cs="宋体" w:asciiTheme="majorEastAsia" w:hAnsiTheme="majorEastAsia" w:eastAsiaTheme="majorEastAsia"/>
          <w:color w:val="000000" w:themeColor="text1"/>
          <w:sz w:val="24"/>
          <w:szCs w:val="22"/>
        </w:rPr>
      </w:pPr>
      <w:r>
        <w:rPr>
          <w:rFonts w:hint="eastAsia" w:cs="宋体" w:asciiTheme="majorEastAsia" w:hAnsiTheme="majorEastAsia" w:eastAsiaTheme="majorEastAsia"/>
          <w:color w:val="000000" w:themeColor="text1"/>
          <w:sz w:val="24"/>
          <w:szCs w:val="22"/>
        </w:rPr>
        <w:t>3、根据《政府采购竞争性磋商采购方式管理暂行办法》（财库【2014】214号）规定并结合《政府采购货物和服务招标投标管理办法》南财采【2019】36号文的要求：采用竞争性磋商采购方式的市场竞争不充分的科研项目或需要扶持科技成果转化项目，在符合专业条件的供应商或者对招标文件作实质响应的供应商不少三家前提下，且提交最后报价的供应商有2家的，其采购活动可以继续进行。</w:t>
      </w:r>
    </w:p>
    <w:p>
      <w:pPr>
        <w:spacing w:line="351" w:lineRule="auto"/>
        <w:ind w:firstLine="482" w:firstLineChars="200"/>
        <w:rPr>
          <w:rFonts w:asciiTheme="majorEastAsia" w:hAnsiTheme="majorEastAsia" w:eastAsiaTheme="majorEastAsia"/>
          <w:color w:val="000000" w:themeColor="text1"/>
          <w:sz w:val="24"/>
        </w:rPr>
      </w:pPr>
      <w:r>
        <w:rPr>
          <w:rFonts w:hint="eastAsia" w:asciiTheme="majorEastAsia" w:hAnsiTheme="majorEastAsia" w:eastAsiaTheme="majorEastAsia"/>
          <w:b/>
          <w:bCs/>
          <w:color w:val="000000" w:themeColor="text1"/>
          <w:sz w:val="24"/>
        </w:rPr>
        <w:t>4、磋</w:t>
      </w:r>
      <w:r>
        <w:rPr>
          <w:rFonts w:hint="eastAsia" w:asciiTheme="majorEastAsia" w:hAnsiTheme="majorEastAsia" w:eastAsiaTheme="majorEastAsia"/>
          <w:b/>
          <w:color w:val="000000" w:themeColor="text1"/>
          <w:sz w:val="24"/>
        </w:rPr>
        <w:t>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应商以低于成本报价响应，其响应无效。</w:t>
      </w:r>
    </w:p>
    <w:p>
      <w:pPr>
        <w:jc w:val="center"/>
        <w:rPr>
          <w:rFonts w:asciiTheme="majorEastAsia" w:hAnsiTheme="majorEastAsia" w:eastAsiaTheme="majorEastAsia" w:cstheme="majorEastAsia"/>
          <w:b/>
          <w:color w:val="000000" w:themeColor="text1"/>
          <w:sz w:val="32"/>
          <w:szCs w:val="32"/>
        </w:rPr>
      </w:pPr>
    </w:p>
    <w:p>
      <w:pPr>
        <w:pStyle w:val="3"/>
        <w:sectPr>
          <w:pgSz w:w="11906" w:h="16838"/>
          <w:pgMar w:top="1440" w:right="1080" w:bottom="1440" w:left="1080" w:header="720" w:footer="720" w:gutter="0"/>
          <w:cols w:space="720" w:num="1"/>
          <w:docGrid w:type="lines" w:linePitch="331" w:charSpace="0"/>
        </w:sectPr>
      </w:pPr>
    </w:p>
    <w:p>
      <w:pPr>
        <w:pStyle w:val="3"/>
        <w:jc w:val="center"/>
        <w:rPr>
          <w:rFonts w:asciiTheme="majorEastAsia" w:hAnsiTheme="majorEastAsia" w:eastAsiaTheme="majorEastAsia" w:cstheme="majorEastAsia"/>
          <w:b/>
          <w:bCs/>
          <w:color w:val="000000" w:themeColor="text1"/>
          <w:sz w:val="32"/>
          <w:szCs w:val="32"/>
        </w:rPr>
      </w:pPr>
      <w:bookmarkStart w:id="40" w:name="_Toc24864"/>
      <w:bookmarkStart w:id="41" w:name="_Toc6053"/>
      <w:bookmarkStart w:id="42" w:name="_Toc17008"/>
      <w:r>
        <w:rPr>
          <w:rFonts w:hint="eastAsia" w:asciiTheme="majorEastAsia" w:hAnsiTheme="majorEastAsia" w:eastAsiaTheme="majorEastAsia" w:cstheme="majorEastAsia"/>
          <w:b/>
          <w:color w:val="000000" w:themeColor="text1"/>
          <w:sz w:val="32"/>
          <w:szCs w:val="32"/>
        </w:rPr>
        <w:t>第四章   磋商供应商须知</w:t>
      </w:r>
      <w:bookmarkEnd w:id="35"/>
      <w:bookmarkEnd w:id="36"/>
      <w:bookmarkEnd w:id="37"/>
      <w:bookmarkEnd w:id="38"/>
      <w:bookmarkEnd w:id="39"/>
      <w:bookmarkEnd w:id="40"/>
      <w:bookmarkEnd w:id="41"/>
      <w:bookmarkEnd w:id="42"/>
      <w:bookmarkStart w:id="43" w:name="_Toc213326415"/>
    </w:p>
    <w:bookmarkEnd w:id="43"/>
    <w:p>
      <w:pPr>
        <w:pStyle w:val="10"/>
        <w:spacing w:line="360" w:lineRule="auto"/>
        <w:ind w:firstLine="482" w:firstLineChars="200"/>
        <w:jc w:val="left"/>
        <w:rPr>
          <w:rFonts w:asciiTheme="majorEastAsia" w:hAnsiTheme="majorEastAsia" w:eastAsiaTheme="majorEastAsia" w:cstheme="majorEastAsia"/>
          <w:b/>
          <w:color w:val="000000" w:themeColor="text1"/>
          <w:sz w:val="24"/>
          <w:szCs w:val="24"/>
        </w:rPr>
      </w:pPr>
      <w:bookmarkStart w:id="44" w:name="_Toc460253702"/>
      <w:r>
        <w:rPr>
          <w:rFonts w:hint="eastAsia" w:asciiTheme="majorEastAsia" w:hAnsiTheme="majorEastAsia" w:eastAsiaTheme="majorEastAsia" w:cstheme="majorEastAsia"/>
          <w:b/>
          <w:color w:val="000000" w:themeColor="text1"/>
          <w:sz w:val="24"/>
          <w:szCs w:val="24"/>
        </w:rPr>
        <w:t>本表是关于本次采购项目的具体资料，是对后列条款的具体补充和修改。所有与本次采购有关的事宜，以本表规定的为准。</w:t>
      </w:r>
      <w:bookmarkEnd w:id="44"/>
    </w:p>
    <w:tbl>
      <w:tblPr>
        <w:tblStyle w:val="18"/>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264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条款号</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条款名称</w:t>
            </w:r>
          </w:p>
        </w:tc>
        <w:tc>
          <w:tcPr>
            <w:tcW w:w="6459" w:type="dxa"/>
            <w:vAlign w:val="center"/>
          </w:tcPr>
          <w:p>
            <w:pPr>
              <w:pStyle w:val="10"/>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1.1</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采购人</w:t>
            </w:r>
          </w:p>
        </w:tc>
        <w:tc>
          <w:tcPr>
            <w:tcW w:w="6459" w:type="dxa"/>
            <w:vAlign w:val="center"/>
          </w:tcPr>
          <w:p>
            <w:pPr>
              <w:pStyle w:val="10"/>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名称：南宁市住房和城乡建设局</w:t>
            </w:r>
          </w:p>
          <w:p>
            <w:pPr>
              <w:pStyle w:val="10"/>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地址：南宁市嘉宾路1号市政府大楼10楼 </w:t>
            </w:r>
          </w:p>
          <w:p>
            <w:pPr>
              <w:pStyle w:val="10"/>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联系人： 农云浩  </w:t>
            </w:r>
          </w:p>
          <w:p>
            <w:pPr>
              <w:pStyle w:val="10"/>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联系电话：0771-5527061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1.2</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采购代理机构</w:t>
            </w:r>
          </w:p>
        </w:tc>
        <w:tc>
          <w:tcPr>
            <w:tcW w:w="6459" w:type="dxa"/>
            <w:vAlign w:val="center"/>
          </w:tcPr>
          <w:p>
            <w:pPr>
              <w:pStyle w:val="10"/>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名称：广西邕政采购代理有限公司</w:t>
            </w:r>
          </w:p>
          <w:p>
            <w:pPr>
              <w:pStyle w:val="10"/>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地址：南宁市青秀区思贤路45号创投中心16A层  </w:t>
            </w:r>
          </w:p>
          <w:p>
            <w:pPr>
              <w:pStyle w:val="10"/>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项目联系人：蔺工、罗工</w:t>
            </w:r>
          </w:p>
          <w:p>
            <w:pPr>
              <w:pStyle w:val="10"/>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1.3</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项目名称</w:t>
            </w:r>
          </w:p>
        </w:tc>
        <w:tc>
          <w:tcPr>
            <w:tcW w:w="6459" w:type="dxa"/>
            <w:vAlign w:val="center"/>
          </w:tcPr>
          <w:p>
            <w:pPr>
              <w:pStyle w:val="10"/>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rPr>
              <w:t>住房保障信息系统专线租用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1.4</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项目编号</w:t>
            </w:r>
          </w:p>
        </w:tc>
        <w:tc>
          <w:tcPr>
            <w:tcW w:w="6459" w:type="dxa"/>
            <w:vAlign w:val="center"/>
          </w:tcPr>
          <w:p>
            <w:pPr>
              <w:pStyle w:val="10"/>
              <w:snapToGrid w:val="0"/>
              <w:spacing w:afterLines="50"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NNZC2020-C3-990370-GXYZ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采购预算</w:t>
            </w:r>
          </w:p>
        </w:tc>
        <w:tc>
          <w:tcPr>
            <w:tcW w:w="6459" w:type="dxa"/>
            <w:vAlign w:val="center"/>
          </w:tcPr>
          <w:p>
            <w:pPr>
              <w:pStyle w:val="10"/>
              <w:spacing w:line="440" w:lineRule="exac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人民币捌拾捌万伍仟陆佰元整（¥885600.00元）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1.7</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获取招标文件的方式</w:t>
            </w:r>
          </w:p>
        </w:tc>
        <w:tc>
          <w:tcPr>
            <w:tcW w:w="6459" w:type="dxa"/>
            <w:vAlign w:val="center"/>
          </w:tcPr>
          <w:p>
            <w:pPr>
              <w:pStyle w:val="10"/>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1、本项目不发放纸质文件，磋商供应商自行在南宁市公共资源交易平台(https://www.nnggzy.org.cn/gxnnzbw/)的信息公告处下载采购文件。</w:t>
            </w:r>
          </w:p>
          <w:p>
            <w:pPr>
              <w:pStyle w:val="10"/>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2、采购文件每套售价0元。</w:t>
            </w:r>
          </w:p>
          <w:p>
            <w:pPr>
              <w:pStyle w:val="10"/>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3、本项目竞争性磋商公告期限为公告发布之日起5个工作日（2020年</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lang w:val="en-US" w:eastAsia="zh-CN"/>
              </w:rPr>
              <w:t>05</w:t>
            </w:r>
            <w:r>
              <w:rPr>
                <w:rFonts w:hint="eastAsia" w:asciiTheme="majorEastAsia" w:hAnsiTheme="majorEastAsia" w:eastAsiaTheme="majorEastAsia" w:cstheme="majorEastAsia"/>
                <w:color w:val="000000" w:themeColor="text1"/>
                <w:sz w:val="24"/>
                <w:szCs w:val="24"/>
              </w:rPr>
              <w:t>日至2020年</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0"/>
              <w:spacing w:line="440" w:lineRule="exact"/>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w:t>
            </w:r>
          </w:p>
        </w:tc>
        <w:tc>
          <w:tcPr>
            <w:tcW w:w="2640" w:type="dxa"/>
            <w:vAlign w:val="center"/>
          </w:tcPr>
          <w:p>
            <w:pPr>
              <w:pStyle w:val="10"/>
              <w:spacing w:line="440" w:lineRule="exact"/>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预留采购份额</w:t>
            </w:r>
          </w:p>
        </w:tc>
        <w:tc>
          <w:tcPr>
            <w:tcW w:w="6459" w:type="dxa"/>
            <w:vAlign w:val="center"/>
          </w:tcPr>
          <w:p>
            <w:pPr>
              <w:snapToGrid w:val="0"/>
              <w:spacing w:line="440" w:lineRule="exac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3.2</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磋商供应商应具备的资格条件</w:t>
            </w:r>
          </w:p>
        </w:tc>
        <w:tc>
          <w:tcPr>
            <w:tcW w:w="6459" w:type="dxa"/>
            <w:vAlign w:val="center"/>
          </w:tcPr>
          <w:p>
            <w:pPr>
              <w:spacing w:line="50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1、满足《中华人民共和国政府采购法》第二十二条规定；</w:t>
            </w:r>
          </w:p>
          <w:p>
            <w:pPr>
              <w:spacing w:line="50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2、落实政府采购政策需满足的资格要求：本项目适用政府采购促进中小企业、监狱企业发展、促进残疾人就业等有关政策，具体详见竞争性磋商文件；</w:t>
            </w:r>
          </w:p>
          <w:p>
            <w:pPr>
              <w:spacing w:line="50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3、本项目的特定资格要求：无</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4、供应商需为国内注册（指按国家有关规定要求注册的）的基础电信运营商或其分支机构（含下属子公司或分公司），或注册经营范围内满足本项目采购服务需求的供应商，或与基础电信运营商（或其分支机构，含下属子公司或分公司）已签订线路租用协议依法能提供本次采购服务的供应商。</w:t>
            </w:r>
          </w:p>
          <w:p>
            <w:pPr>
              <w:spacing w:line="50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sz w:val="24"/>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3.3</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是否接受联合体</w:t>
            </w:r>
          </w:p>
        </w:tc>
        <w:tc>
          <w:tcPr>
            <w:tcW w:w="6459" w:type="dxa"/>
            <w:vAlign w:val="center"/>
          </w:tcPr>
          <w:p>
            <w:pPr>
              <w:pStyle w:val="10"/>
              <w:tabs>
                <w:tab w:val="right" w:pos="6461"/>
              </w:tabs>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4.1</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质疑受理</w:t>
            </w:r>
          </w:p>
        </w:tc>
        <w:tc>
          <w:tcPr>
            <w:tcW w:w="6459" w:type="dxa"/>
            <w:vAlign w:val="center"/>
          </w:tcPr>
          <w:p>
            <w:pPr>
              <w:pStyle w:val="10"/>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质疑书的提交地点：广西邕政采购代理有限公司（南宁市思贤路45号创投中心16A层）</w:t>
            </w:r>
          </w:p>
          <w:p>
            <w:pPr>
              <w:pStyle w:val="10"/>
              <w:spacing w:line="44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质疑受理电话：0771-2442850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8.8</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响应文件份数</w:t>
            </w:r>
          </w:p>
        </w:tc>
        <w:tc>
          <w:tcPr>
            <w:tcW w:w="6459" w:type="dxa"/>
            <w:vAlign w:val="center"/>
          </w:tcPr>
          <w:p>
            <w:pPr>
              <w:pStyle w:val="10"/>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首次报价文件：正本1份，副本4份</w:t>
            </w:r>
          </w:p>
          <w:p>
            <w:pPr>
              <w:pStyle w:val="10"/>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商务文件：正本1份，副本4份</w:t>
            </w:r>
          </w:p>
          <w:p>
            <w:pPr>
              <w:pStyle w:val="10"/>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技术文件：正本1份，副本4份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11.4</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采购代理服务费</w:t>
            </w:r>
          </w:p>
        </w:tc>
        <w:tc>
          <w:tcPr>
            <w:tcW w:w="6459" w:type="dxa"/>
            <w:vAlign w:val="center"/>
          </w:tcPr>
          <w:p>
            <w:pPr>
              <w:pStyle w:val="10"/>
              <w:spacing w:line="440" w:lineRule="exact"/>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本项目代理服务费按国家发展计划委员会《招标代理服务费管理暂行办法》（计价格</w:t>
            </w:r>
            <w:r>
              <w:rPr>
                <w:rFonts w:cs="宋体" w:asciiTheme="majorEastAsia" w:hAnsiTheme="majorEastAsia" w:eastAsiaTheme="majorEastAsia"/>
                <w:color w:val="000000" w:themeColor="text1"/>
                <w:sz w:val="24"/>
                <w:szCs w:val="24"/>
              </w:rPr>
              <w:t>[2002]1980</w:t>
            </w:r>
            <w:r>
              <w:rPr>
                <w:rFonts w:hint="eastAsia" w:cs="宋体" w:asciiTheme="majorEastAsia" w:hAnsiTheme="majorEastAsia" w:eastAsiaTheme="majorEastAsia"/>
                <w:color w:val="000000" w:themeColor="text1"/>
                <w:sz w:val="24"/>
                <w:szCs w:val="24"/>
              </w:rPr>
              <w:t>号）收费标准下浮10%计取。由成交单位在领</w:t>
            </w:r>
            <w:r>
              <w:rPr>
                <w:rFonts w:hint="eastAsia" w:cs="宋体" w:asciiTheme="majorEastAsia" w:hAnsiTheme="majorEastAsia" w:eastAsiaTheme="majorEastAsia"/>
                <w:color w:val="000000" w:themeColor="text1"/>
                <w:kern w:val="0"/>
                <w:sz w:val="24"/>
              </w:rPr>
              <w:t>成交</w:t>
            </w:r>
            <w:r>
              <w:rPr>
                <w:rFonts w:hint="eastAsia" w:cs="宋体" w:asciiTheme="majorEastAsia" w:hAnsiTheme="majorEastAsia" w:eastAsiaTheme="majorEastAsia"/>
                <w:color w:val="000000" w:themeColor="text1"/>
                <w:sz w:val="24"/>
                <w:szCs w:val="24"/>
              </w:rPr>
              <w:t>通知书时一次性支付采购代理服务费。</w:t>
            </w:r>
            <w:r>
              <w:rPr>
                <w:rFonts w:cs="宋体" w:asciiTheme="majorEastAsia" w:hAnsiTheme="majorEastAsia" w:eastAsiaTheme="majorEastAsia"/>
                <w:color w:val="000000" w:themeColor="text1"/>
                <w:sz w:val="24"/>
                <w:szCs w:val="24"/>
              </w:rPr>
              <w:t xml:space="preserve"> </w:t>
            </w:r>
          </w:p>
          <w:tbl>
            <w:tblPr>
              <w:tblStyle w:val="18"/>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0"/>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某</w:t>
                  </w:r>
                  <w:r>
                    <w:rPr>
                      <w:rFonts w:hint="eastAsia" w:cs="宋体" w:asciiTheme="majorEastAsia" w:hAnsiTheme="majorEastAsia" w:eastAsiaTheme="majorEastAsia"/>
                      <w:color w:val="000000" w:themeColor="text1"/>
                      <w:kern w:val="0"/>
                      <w:sz w:val="24"/>
                    </w:rPr>
                    <w:t>成交</w:t>
                  </w:r>
                  <w:r>
                    <w:rPr>
                      <w:rFonts w:asciiTheme="majorEastAsia" w:hAnsiTheme="majorEastAsia" w:eastAsiaTheme="majorEastAsia"/>
                      <w:color w:val="000000" w:themeColor="text1"/>
                      <w:sz w:val="24"/>
                      <w:szCs w:val="24"/>
                    </w:rPr>
                    <w:t>金额（万元）</w:t>
                  </w:r>
                </w:p>
              </w:tc>
              <w:tc>
                <w:tcPr>
                  <w:tcW w:w="1560" w:type="dxa"/>
                  <w:vAlign w:val="center"/>
                </w:tcPr>
                <w:p>
                  <w:pPr>
                    <w:pStyle w:val="10"/>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0"/>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100以下</w:t>
                  </w:r>
                </w:p>
              </w:tc>
              <w:tc>
                <w:tcPr>
                  <w:tcW w:w="1560" w:type="dxa"/>
                </w:tcPr>
                <w:p>
                  <w:pPr>
                    <w:pStyle w:val="10"/>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0"/>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100-500</w:t>
                  </w:r>
                </w:p>
              </w:tc>
              <w:tc>
                <w:tcPr>
                  <w:tcW w:w="1560" w:type="dxa"/>
                </w:tcPr>
                <w:p>
                  <w:pPr>
                    <w:pStyle w:val="10"/>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0"/>
                    <w:spacing w:line="44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500-1000</w:t>
                  </w:r>
                </w:p>
              </w:tc>
              <w:tc>
                <w:tcPr>
                  <w:tcW w:w="1560" w:type="dxa"/>
                </w:tcPr>
                <w:p>
                  <w:pPr>
                    <w:pStyle w:val="10"/>
                    <w:spacing w:line="44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0.45%</w:t>
                  </w:r>
                </w:p>
              </w:tc>
            </w:tr>
          </w:tbl>
          <w:p>
            <w:pPr>
              <w:pStyle w:val="10"/>
              <w:spacing w:line="440" w:lineRule="exact"/>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注：招标代理服务费按差额定率累进法计算。</w:t>
            </w:r>
          </w:p>
          <w:p>
            <w:pPr>
              <w:pStyle w:val="10"/>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开户名称：广西邕政采购代理有限公司</w:t>
            </w:r>
          </w:p>
          <w:p>
            <w:pPr>
              <w:pStyle w:val="10"/>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开户银行：交通银行南宁东葛西支行</w:t>
            </w:r>
          </w:p>
          <w:p>
            <w:pPr>
              <w:pStyle w:val="10"/>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账号：</w:t>
            </w:r>
            <w:r>
              <w:rPr>
                <w:rFonts w:asciiTheme="majorEastAsia" w:hAnsiTheme="majorEastAsia" w:eastAsiaTheme="majorEastAsia" w:cstheme="majorEastAsia"/>
                <w:color w:val="000000" w:themeColor="text1"/>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12.1</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响应有效期</w:t>
            </w:r>
          </w:p>
        </w:tc>
        <w:tc>
          <w:tcPr>
            <w:tcW w:w="6459" w:type="dxa"/>
            <w:vAlign w:val="center"/>
          </w:tcPr>
          <w:p>
            <w:pPr>
              <w:pStyle w:val="10"/>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自提交响应文件截止时间起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13.1</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磋商保证金金额</w:t>
            </w:r>
          </w:p>
        </w:tc>
        <w:tc>
          <w:tcPr>
            <w:tcW w:w="6459" w:type="dxa"/>
            <w:vAlign w:val="center"/>
          </w:tcPr>
          <w:p>
            <w:pPr>
              <w:pStyle w:val="10"/>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本项目不收取</w:t>
            </w:r>
            <w:r>
              <w:rPr>
                <w:rFonts w:hint="eastAsia" w:asciiTheme="majorEastAsia" w:hAnsiTheme="majorEastAsia" w:eastAsiaTheme="majorEastAsia" w:cstheme="majorEastAsia"/>
                <w:bCs/>
                <w:color w:val="000000" w:themeColor="text1"/>
                <w:sz w:val="24"/>
                <w:szCs w:val="24"/>
              </w:rPr>
              <w:t>磋商</w:t>
            </w:r>
            <w:r>
              <w:rPr>
                <w:rFonts w:hint="eastAsia" w:asciiTheme="majorEastAsia" w:hAnsiTheme="majorEastAsia" w:eastAsiaTheme="majorEastAsia" w:cstheme="majorEastAsia"/>
                <w:color w:val="000000" w:themeColor="text1"/>
                <w:sz w:val="24"/>
                <w:szCs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15.1</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提交响应文件截止时间</w:t>
            </w:r>
          </w:p>
        </w:tc>
        <w:tc>
          <w:tcPr>
            <w:tcW w:w="6459" w:type="dxa"/>
            <w:vAlign w:val="center"/>
          </w:tcPr>
          <w:p>
            <w:pPr>
              <w:pStyle w:val="10"/>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2020年</w:t>
            </w:r>
            <w:r>
              <w:rPr>
                <w:rFonts w:hint="eastAsia" w:asciiTheme="majorEastAsia" w:hAnsiTheme="majorEastAsia" w:eastAsiaTheme="majorEastAsia" w:cstheme="majorEastAsia"/>
                <w:color w:val="000000" w:themeColor="text1"/>
                <w:kern w:val="0"/>
                <w:sz w:val="24"/>
                <w:szCs w:val="24"/>
                <w:lang w:val="en-US" w:eastAsia="zh-CN"/>
              </w:rPr>
              <w:t>11</w:t>
            </w:r>
            <w:r>
              <w:rPr>
                <w:rFonts w:hint="eastAsia" w:asciiTheme="majorEastAsia" w:hAnsiTheme="majorEastAsia" w:eastAsiaTheme="majorEastAsia" w:cstheme="majorEastAsia"/>
                <w:color w:val="000000" w:themeColor="text1"/>
                <w:kern w:val="0"/>
                <w:sz w:val="24"/>
                <w:szCs w:val="24"/>
              </w:rPr>
              <w:t>月</w:t>
            </w:r>
            <w:r>
              <w:rPr>
                <w:rFonts w:hint="eastAsia" w:asciiTheme="majorEastAsia" w:hAnsiTheme="majorEastAsia" w:eastAsiaTheme="majorEastAsia" w:cstheme="majorEastAsia"/>
                <w:color w:val="000000" w:themeColor="text1"/>
                <w:kern w:val="0"/>
                <w:sz w:val="24"/>
                <w:szCs w:val="24"/>
                <w:lang w:val="en-US" w:eastAsia="zh-CN"/>
              </w:rPr>
              <w:t>16</w:t>
            </w:r>
            <w:r>
              <w:rPr>
                <w:rFonts w:hint="eastAsia" w:asciiTheme="majorEastAsia" w:hAnsiTheme="majorEastAsia" w:eastAsiaTheme="majorEastAsia" w:cstheme="majorEastAsia"/>
                <w:color w:val="000000" w:themeColor="text1"/>
                <w:kern w:val="0"/>
                <w:sz w:val="24"/>
                <w:szCs w:val="24"/>
              </w:rPr>
              <w:t>日</w:t>
            </w:r>
            <w:r>
              <w:rPr>
                <w:rFonts w:hint="eastAsia" w:asciiTheme="majorEastAsia" w:hAnsiTheme="majorEastAsia" w:eastAsiaTheme="majorEastAsia" w:cstheme="majorEastAsia"/>
                <w:color w:val="000000" w:themeColor="text1"/>
                <w:kern w:val="0"/>
                <w:sz w:val="24"/>
                <w:szCs w:val="24"/>
                <w:lang w:val="en-US" w:eastAsia="zh-CN"/>
              </w:rPr>
              <w:t>13</w:t>
            </w:r>
            <w:r>
              <w:rPr>
                <w:rFonts w:hint="eastAsia" w:asciiTheme="majorEastAsia" w:hAnsiTheme="majorEastAsia" w:eastAsiaTheme="majorEastAsia" w:cstheme="majorEastAsia"/>
                <w:color w:val="000000" w:themeColor="text1"/>
                <w:kern w:val="0"/>
                <w:sz w:val="24"/>
                <w:szCs w:val="24"/>
              </w:rPr>
              <w:t>点</w:t>
            </w:r>
            <w:r>
              <w:rPr>
                <w:rFonts w:hint="eastAsia" w:asciiTheme="majorEastAsia" w:hAnsiTheme="majorEastAsia" w:eastAsiaTheme="majorEastAsia" w:cstheme="majorEastAsia"/>
                <w:color w:val="000000" w:themeColor="text1"/>
                <w:kern w:val="0"/>
                <w:sz w:val="24"/>
                <w:szCs w:val="24"/>
                <w:lang w:val="en-US" w:eastAsia="zh-CN"/>
              </w:rPr>
              <w:t>00</w:t>
            </w:r>
            <w:r>
              <w:rPr>
                <w:rFonts w:hint="eastAsia" w:asciiTheme="majorEastAsia" w:hAnsiTheme="majorEastAsia" w:eastAsiaTheme="majorEastAsia" w:cstheme="majorEastAsia"/>
                <w:color w:val="000000" w:themeColor="text1"/>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15.2</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提交响应文件地点</w:t>
            </w:r>
          </w:p>
        </w:tc>
        <w:tc>
          <w:tcPr>
            <w:tcW w:w="6459" w:type="dxa"/>
            <w:vAlign w:val="center"/>
          </w:tcPr>
          <w:p>
            <w:pPr>
              <w:pStyle w:val="10"/>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南宁市良庆区玉洞大道33号（青少年活动中心旁）市民中心9楼南宁市公共资源交易中心（具体详见9楼电子显示屏场地安排）</w:t>
            </w:r>
            <w:r>
              <w:rPr>
                <w:rFonts w:hint="eastAsia" w:asciiTheme="majorEastAsia" w:hAnsiTheme="majorEastAsia" w:eastAsiaTheme="majorEastAsia" w:cstheme="majorEastAsia"/>
                <w:color w:val="000000" w:themeColor="text1"/>
                <w:kern w:val="0"/>
                <w:sz w:val="24"/>
              </w:rPr>
              <w:t>，</w:t>
            </w:r>
            <w:r>
              <w:rPr>
                <w:rFonts w:hint="eastAsia" w:asciiTheme="majorEastAsia" w:hAnsiTheme="majorEastAsia" w:eastAsiaTheme="majorEastAsia"/>
                <w:color w:val="000000" w:themeColor="text1"/>
                <w:sz w:val="24"/>
                <w:szCs w:val="24"/>
              </w:rPr>
              <w:t>为做好疫情防控工作，本项目的</w:t>
            </w:r>
            <w:r>
              <w:rPr>
                <w:rFonts w:hint="eastAsia" w:cs="宋体" w:asciiTheme="majorEastAsia" w:hAnsiTheme="majorEastAsia" w:eastAsiaTheme="majorEastAsia"/>
                <w:color w:val="000000" w:themeColor="text1"/>
                <w:kern w:val="0"/>
                <w:sz w:val="24"/>
              </w:rPr>
              <w:t>响应</w:t>
            </w:r>
            <w:r>
              <w:rPr>
                <w:rFonts w:hint="eastAsia" w:asciiTheme="majorEastAsia" w:hAnsiTheme="majorEastAsia" w:eastAsiaTheme="majorEastAsia"/>
                <w:color w:val="000000" w:themeColor="text1"/>
                <w:sz w:val="24"/>
                <w:szCs w:val="24"/>
              </w:rPr>
              <w:t>文件通过邮寄快递的方式送达，具体要求详见采购文件</w:t>
            </w:r>
            <w:r>
              <w:rPr>
                <w:rFonts w:hint="eastAsia" w:asciiTheme="majorEastAsia" w:hAnsiTheme="majorEastAsia" w:eastAsiaTheme="majorEastAsia" w:cstheme="maj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17.4.8（1）</w:t>
            </w:r>
          </w:p>
        </w:tc>
        <w:tc>
          <w:tcPr>
            <w:tcW w:w="2640" w:type="dxa"/>
            <w:vAlign w:val="center"/>
          </w:tcPr>
          <w:p>
            <w:pPr>
              <w:pStyle w:val="10"/>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磋商地点</w:t>
            </w:r>
          </w:p>
        </w:tc>
        <w:tc>
          <w:tcPr>
            <w:tcW w:w="6459" w:type="dxa"/>
            <w:vAlign w:val="center"/>
          </w:tcPr>
          <w:p>
            <w:pPr>
              <w:pStyle w:val="10"/>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与递交响应文件地点相同。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1361" w:type="dxa"/>
            <w:vAlign w:val="center"/>
          </w:tcPr>
          <w:p>
            <w:pPr>
              <w:pStyle w:val="10"/>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30</w:t>
            </w:r>
          </w:p>
        </w:tc>
        <w:tc>
          <w:tcPr>
            <w:tcW w:w="2640" w:type="dxa"/>
            <w:vAlign w:val="center"/>
          </w:tcPr>
          <w:p>
            <w:pPr>
              <w:pStyle w:val="10"/>
              <w:snapToGrid w:val="0"/>
              <w:spacing w:afterLines="50" w:line="440" w:lineRule="exact"/>
              <w:jc w:val="left"/>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sz w:val="24"/>
                <w:szCs w:val="24"/>
              </w:rPr>
              <w:t>需要补充的其他内容</w:t>
            </w:r>
          </w:p>
        </w:tc>
        <w:tc>
          <w:tcPr>
            <w:tcW w:w="6459" w:type="dxa"/>
            <w:vAlign w:val="center"/>
          </w:tcPr>
          <w:p>
            <w:pPr>
              <w:pStyle w:val="10"/>
              <w:snapToGrid w:val="0"/>
              <w:spacing w:afterLines="50" w:line="440" w:lineRule="exact"/>
              <w:jc w:val="left"/>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color w:val="000000" w:themeColor="text1"/>
                <w:sz w:val="24"/>
                <w:szCs w:val="24"/>
              </w:rPr>
              <w:t>注：为帮助中小微企业解决资金周转或融资困难问题，南宁市政府采购试行政府采购信用融资制度，为中小企业参与政府采购活动提供金融服务。磋商供应商可凭政府采购合同申请政府采购信用融资，具体办理要求与办理方式，详见南宁市公共资源交易中心网‘政府采购信用融资’专栏。</w:t>
            </w:r>
          </w:p>
        </w:tc>
      </w:tr>
    </w:tbl>
    <w:p>
      <w:pPr>
        <w:pStyle w:val="16"/>
        <w:outlineLvl w:val="9"/>
        <w:rPr>
          <w:rFonts w:asciiTheme="majorEastAsia" w:hAnsiTheme="majorEastAsia" w:eastAsiaTheme="majorEastAsia" w:cstheme="majorEastAsia"/>
          <w:color w:val="000000" w:themeColor="text1"/>
        </w:rPr>
        <w:sectPr>
          <w:pgSz w:w="11906" w:h="16838"/>
          <w:pgMar w:top="1440" w:right="1080" w:bottom="1118" w:left="1080" w:header="720" w:footer="720" w:gutter="0"/>
          <w:cols w:space="720" w:num="1"/>
          <w:docGrid w:type="lines" w:linePitch="331" w:charSpace="0"/>
        </w:sectPr>
      </w:pPr>
      <w:bookmarkStart w:id="45" w:name="_Toc213326416"/>
      <w:bookmarkStart w:id="46" w:name="_Toc460253703"/>
      <w:bookmarkStart w:id="47" w:name="_Toc485920213"/>
    </w:p>
    <w:p>
      <w:pPr>
        <w:pStyle w:val="16"/>
        <w:outlineLvl w:val="1"/>
        <w:rPr>
          <w:rFonts w:asciiTheme="majorEastAsia" w:hAnsiTheme="majorEastAsia" w:eastAsiaTheme="majorEastAsia" w:cstheme="majorEastAsia"/>
          <w:color w:val="000000" w:themeColor="text1"/>
        </w:rPr>
      </w:pPr>
      <w:bookmarkStart w:id="48" w:name="_Toc24501"/>
      <w:bookmarkStart w:id="49" w:name="_Toc13597"/>
      <w:bookmarkStart w:id="50" w:name="_Toc11767"/>
      <w:r>
        <w:rPr>
          <w:rFonts w:hint="eastAsia" w:asciiTheme="majorEastAsia" w:hAnsiTheme="majorEastAsia" w:eastAsiaTheme="majorEastAsia" w:cstheme="majorEastAsia"/>
          <w:color w:val="000000" w:themeColor="text1"/>
        </w:rPr>
        <w:t>一   总则</w:t>
      </w:r>
      <w:bookmarkEnd w:id="45"/>
      <w:bookmarkEnd w:id="46"/>
      <w:bookmarkEnd w:id="47"/>
      <w:bookmarkEnd w:id="48"/>
      <w:bookmarkEnd w:id="49"/>
      <w:bookmarkEnd w:id="50"/>
    </w:p>
    <w:p>
      <w:pPr>
        <w:pStyle w:val="10"/>
        <w:spacing w:line="440" w:lineRule="exact"/>
        <w:ind w:left="1"/>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  项目概况</w:t>
      </w:r>
    </w:p>
    <w:p>
      <w:pPr>
        <w:pStyle w:val="10"/>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1.1  采购人：见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10"/>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1.2  采购代理机构：见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10"/>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1.3  项目名称：</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10"/>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1.4  项目编号：</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10"/>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1.5  采购预算：见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10"/>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1.6  资金来源：政府财政性资金。</w:t>
      </w:r>
    </w:p>
    <w:p>
      <w:pPr>
        <w:pStyle w:val="10"/>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1.7  </w:t>
      </w:r>
      <w:r>
        <w:rPr>
          <w:rFonts w:hint="eastAsia" w:asciiTheme="majorEastAsia" w:hAnsiTheme="majorEastAsia" w:eastAsiaTheme="majorEastAsia" w:cstheme="majorEastAsia"/>
          <w:color w:val="000000" w:themeColor="text1"/>
          <w:sz w:val="24"/>
          <w:szCs w:val="24"/>
        </w:rPr>
        <w:t>获取竞争性磋商文件的方式：</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10"/>
        <w:spacing w:line="440" w:lineRule="exact"/>
        <w:ind w:left="2"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  预留采购份额：见磋商供应商须知前附表。</w:t>
      </w:r>
    </w:p>
    <w:p>
      <w:pPr>
        <w:pStyle w:val="10"/>
        <w:spacing w:line="440" w:lineRule="exact"/>
        <w:ind w:firstLine="480" w:firstLineChars="200"/>
        <w:jc w:val="left"/>
        <w:rPr>
          <w:rFonts w:asciiTheme="majorEastAsia" w:hAnsiTheme="majorEastAsia" w:eastAsiaTheme="majorEastAsia" w:cstheme="majorEastAsia"/>
          <w:bCs/>
          <w:color w:val="000000" w:themeColor="text1"/>
          <w:sz w:val="24"/>
          <w:szCs w:val="24"/>
        </w:rPr>
      </w:pPr>
    </w:p>
    <w:p>
      <w:pPr>
        <w:pStyle w:val="10"/>
        <w:spacing w:line="440" w:lineRule="exact"/>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  政府采购信息发布媒体：</w:t>
      </w:r>
    </w:p>
    <w:p>
      <w:pPr>
        <w:snapToGrid w:val="0"/>
        <w:spacing w:line="500" w:lineRule="exact"/>
        <w:ind w:firstLine="480" w:firstLineChars="200"/>
        <w:rPr>
          <w:rFonts w:asciiTheme="majorEastAsia" w:hAnsiTheme="majorEastAsia" w:eastAsiaTheme="majorEastAsia" w:cstheme="majorEastAsia"/>
          <w:bCs/>
          <w:color w:val="000000" w:themeColor="text1"/>
          <w:sz w:val="24"/>
        </w:rPr>
      </w:pPr>
      <w:r>
        <w:rPr>
          <w:rFonts w:hint="eastAsia" w:asciiTheme="majorEastAsia" w:hAnsiTheme="majorEastAsia" w:eastAsiaTheme="majorEastAsia" w:cstheme="majorEastAsia"/>
          <w:bCs/>
          <w:color w:val="000000" w:themeColor="text1"/>
          <w:sz w:val="24"/>
        </w:rPr>
        <w:t>2.1  与本项目相关的政府采购业务信息（包括竞争性磋商公告、成交公告及其更正事项等）将在以下媒体上发布：广西壮族自治区政府采购网、南宁公共资源交易中心网上发布。</w:t>
      </w:r>
    </w:p>
    <w:p>
      <w:pPr>
        <w:snapToGrid w:val="0"/>
        <w:spacing w:line="5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2.2  本项目竞争性磋商公告期限为公告发布之日起5个工作日。</w:t>
      </w:r>
    </w:p>
    <w:p>
      <w:pPr>
        <w:pStyle w:val="10"/>
        <w:spacing w:line="440" w:lineRule="exact"/>
        <w:ind w:left="242" w:hanging="242" w:hangingChars="101"/>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 </w:t>
      </w:r>
      <w:r>
        <w:rPr>
          <w:rFonts w:hint="eastAsia" w:asciiTheme="majorEastAsia" w:hAnsiTheme="majorEastAsia" w:eastAsiaTheme="majorEastAsia" w:cstheme="majorEastAsia"/>
          <w:color w:val="000000" w:themeColor="text1"/>
          <w:sz w:val="24"/>
          <w:szCs w:val="24"/>
        </w:rPr>
        <w:t>磋商供应商的</w:t>
      </w:r>
      <w:r>
        <w:rPr>
          <w:rFonts w:hint="eastAsia" w:asciiTheme="majorEastAsia" w:hAnsiTheme="majorEastAsia" w:eastAsiaTheme="majorEastAsia" w:cstheme="majorEastAsia"/>
          <w:bCs/>
          <w:color w:val="000000" w:themeColor="text1"/>
          <w:sz w:val="24"/>
          <w:szCs w:val="24"/>
        </w:rPr>
        <w:t>资格要求：</w:t>
      </w:r>
    </w:p>
    <w:p>
      <w:pPr>
        <w:pStyle w:val="10"/>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3.1  </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color w:val="000000" w:themeColor="text1"/>
          <w:sz w:val="24"/>
        </w:rPr>
        <w:t>供应商未被列入失信被执行人、重大税收违法案件当事人名单、政府采购严重违法失信行为记录名单，且应符合《中华人民共和国政府采购法》第二十二条规定的资格条件</w:t>
      </w:r>
      <w:r>
        <w:rPr>
          <w:rFonts w:hint="eastAsia" w:asciiTheme="majorEastAsia" w:hAnsiTheme="majorEastAsia" w:eastAsiaTheme="majorEastAsia" w:cstheme="majorEastAsia"/>
          <w:bCs/>
          <w:color w:val="000000" w:themeColor="text1"/>
          <w:sz w:val="24"/>
          <w:szCs w:val="24"/>
        </w:rPr>
        <w:t>。</w:t>
      </w:r>
    </w:p>
    <w:p>
      <w:pPr>
        <w:pStyle w:val="10"/>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3.2  针对本项目，</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应具备的特定条件：见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10"/>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3.3  </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须知前附表规定接受联合体磋商的，两个以上</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供应商可以组成一个</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联合体，</w:t>
      </w:r>
      <w:r>
        <w:rPr>
          <w:rFonts w:hint="eastAsia" w:asciiTheme="majorEastAsia" w:hAnsiTheme="majorEastAsia" w:eastAsiaTheme="majorEastAsia" w:cstheme="majorEastAsia"/>
          <w:color w:val="000000" w:themeColor="text1"/>
          <w:sz w:val="24"/>
          <w:szCs w:val="24"/>
        </w:rPr>
        <w:t>以一个磋商供应商的身份共同参加磋商</w:t>
      </w:r>
      <w:r>
        <w:rPr>
          <w:rFonts w:hint="eastAsia" w:asciiTheme="majorEastAsia" w:hAnsiTheme="majorEastAsia" w:eastAsiaTheme="majorEastAsia" w:cstheme="majorEastAsia"/>
          <w:bCs/>
          <w:color w:val="000000" w:themeColor="text1"/>
          <w:sz w:val="24"/>
          <w:szCs w:val="24"/>
        </w:rPr>
        <w:t>。以联合体形式参加磋商的，联合体各方均应当符合本章第3.1项的要求，联合体各方中至少应当有一方符合本章第3.2项的要求。由同一专业的组成的联合体，按照资质等级较低的确定资质等级。联合体各方不得再以自己名义单独或组成新的联合体参加同一项目同一分项磋商。</w:t>
      </w:r>
    </w:p>
    <w:p>
      <w:pPr>
        <w:pStyle w:val="10"/>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3.4  </w:t>
      </w:r>
      <w:r>
        <w:rPr>
          <w:rFonts w:hint="eastAsia" w:asciiTheme="majorEastAsia" w:hAnsiTheme="majorEastAsia" w:eastAsiaTheme="majorEastAsia" w:cstheme="majorEastAsia"/>
          <w:color w:val="000000" w:themeColor="text1"/>
          <w:sz w:val="24"/>
          <w:szCs w:val="24"/>
        </w:rPr>
        <w:t xml:space="preserve">磋商供应商不得直接或间接地与为本次采购的项目内容进行设计、编制规范和其他文件的咨询公司、采购人、采购代理机构或其附属机构有任何关联。 </w:t>
      </w:r>
    </w:p>
    <w:p>
      <w:pPr>
        <w:pStyle w:val="10"/>
        <w:spacing w:line="360" w:lineRule="auto"/>
        <w:ind w:left="242" w:hanging="242" w:hangingChars="101"/>
        <w:jc w:val="left"/>
        <w:rPr>
          <w:rFonts w:cs="宋体" w:asciiTheme="majorEastAsia" w:hAnsiTheme="majorEastAsia" w:eastAsiaTheme="majorEastAsia"/>
          <w:bCs/>
          <w:sz w:val="24"/>
        </w:rPr>
      </w:pPr>
      <w:r>
        <w:rPr>
          <w:rFonts w:cs="宋体" w:asciiTheme="majorEastAsia" w:hAnsiTheme="majorEastAsia" w:eastAsiaTheme="majorEastAsia"/>
          <w:bCs/>
          <w:sz w:val="24"/>
        </w:rPr>
        <w:t>4.质疑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 xml:space="preserve">4.1  </w:t>
      </w:r>
      <w:r>
        <w:rPr>
          <w:rFonts w:asciiTheme="majorEastAsia" w:hAnsiTheme="majorEastAsia" w:eastAsiaTheme="majorEastAsia"/>
          <w:sz w:val="24"/>
        </w:rPr>
        <w:t>投标人</w:t>
      </w:r>
      <w:r>
        <w:rPr>
          <w:rFonts w:hint="eastAsia" w:asciiTheme="majorEastAsia" w:hAnsiTheme="majorEastAsia" w:eastAsiaTheme="majorEastAsia"/>
          <w:bCs/>
          <w:sz w:val="24"/>
        </w:rPr>
        <w:t>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4.2提出质疑</w:t>
      </w:r>
      <w:r>
        <w:rPr>
          <w:rFonts w:hint="eastAsia" w:ascii="宋体" w:hAnsi="宋体"/>
          <w:bCs/>
          <w:sz w:val="24"/>
        </w:rPr>
        <w:t>的</w:t>
      </w:r>
      <w:r>
        <w:rPr>
          <w:rFonts w:asciiTheme="majorEastAsia" w:hAnsiTheme="majorEastAsia" w:eastAsiaTheme="majorEastAsia"/>
          <w:sz w:val="24"/>
        </w:rPr>
        <w:t>投标人</w:t>
      </w:r>
      <w:r>
        <w:rPr>
          <w:rFonts w:hint="eastAsia" w:ascii="宋体" w:hAnsi="宋体"/>
          <w:bCs/>
          <w:sz w:val="24"/>
        </w:rPr>
        <w:t>应</w:t>
      </w:r>
      <w:r>
        <w:rPr>
          <w:rFonts w:hint="eastAsia" w:asciiTheme="majorEastAsia" w:hAnsiTheme="majorEastAsia" w:eastAsiaTheme="majorEastAsia"/>
          <w:bCs/>
          <w:sz w:val="24"/>
        </w:rPr>
        <w:t>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Style w:val="21"/>
          <w:rFonts w:hint="eastAsia" w:asciiTheme="majorEastAsia" w:hAnsiTheme="majorEastAsia" w:eastAsiaTheme="majorEastAsia"/>
          <w:bCs/>
          <w:color w:val="auto"/>
          <w:sz w:val="24"/>
        </w:rPr>
        <w:t>财政部发布《政府采购供应商质疑函范本》</w:t>
      </w:r>
      <w:r>
        <w:rPr>
          <w:rStyle w:val="21"/>
          <w:rFonts w:hint="eastAsia" w:asciiTheme="majorEastAsia" w:hAnsiTheme="majorEastAsia" w:eastAsiaTheme="majorEastAsia"/>
          <w:bCs/>
          <w:color w:val="auto"/>
          <w:sz w:val="24"/>
        </w:rPr>
        <w:fldChar w:fldCharType="end"/>
      </w:r>
      <w:r>
        <w:rPr>
          <w:rFonts w:hint="eastAsia" w:asciiTheme="majorEastAsia" w:hAnsiTheme="majorEastAsia" w:eastAsiaTheme="majorEastAsia"/>
          <w:bCs/>
          <w:sz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4.3供应商质疑实行实名制，其质疑应当有具体的质疑事项及事实根据，质疑应当坚持依法依规、诚实信用原则，不得进行虚假、恶意质疑。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4.4供应商提交质疑应当提交质疑函和必要的证明材料，质疑函应当包括下列内容：</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（1）供应商的姓名或者名称、地址、邮编、联系人及联系电话；</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（2）质疑项目的名称、编号；</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（3）具体、明确的质疑事项和质疑事项相关的请求；</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（4）事实依据；</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（5）必要的法律依据；</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（6）提起质疑的日期；</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4.6  质疑供应商提起质疑应当符合下列条件：</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（2）质疑函内容符合本章第4.4项的规定；</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（3）在质疑有效期限内提起质疑；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（4）属于所质疑的采购人或采购人委托的采购代理机构组织的采购活动；</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 xml:space="preserve">（5）同一质疑事项未经采购人或采购人委托的采购代理机构质疑处理； </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（6）供应商对同一采购程序环节的质疑应当在质疑有效期内一次性提出；</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（7）供应商提交质疑应当提交必要的证明材料，证明材料应以合法手段取得；</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（8）财政部门规定的其他条件。</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4.7  采购人或采购人委托的采购代理机构自受理质疑之日起七个工作日内，对质疑事项作出答复，并以书面形式通知质疑供应商及其他有关供应商。</w:t>
      </w:r>
    </w:p>
    <w:p>
      <w:pPr>
        <w:pStyle w:val="10"/>
        <w:spacing w:line="440" w:lineRule="exact"/>
        <w:ind w:left="542" w:leftChars="201" w:hanging="120" w:hangingChars="50"/>
        <w:jc w:val="left"/>
        <w:rPr>
          <w:rFonts w:asciiTheme="majorEastAsia" w:hAnsiTheme="majorEastAsia" w:eastAsiaTheme="majorEastAsia" w:cstheme="majorEastAsia"/>
          <w:bCs/>
          <w:color w:val="000000" w:themeColor="text1"/>
          <w:sz w:val="24"/>
          <w:szCs w:val="24"/>
        </w:rPr>
      </w:pPr>
      <w:r>
        <w:rPr>
          <w:rFonts w:asciiTheme="majorEastAsia" w:hAnsiTheme="majorEastAsia" w:eastAsiaTheme="majorEastAsia" w:cstheme="majorEastAsia"/>
          <w:bCs/>
          <w:color w:val="000000" w:themeColor="text1"/>
          <w:sz w:val="24"/>
          <w:szCs w:val="24"/>
        </w:rPr>
        <w:t xml:space="preserve">5.  </w:t>
      </w:r>
      <w:r>
        <w:rPr>
          <w:rFonts w:hint="eastAsia" w:asciiTheme="majorEastAsia" w:hAnsiTheme="majorEastAsia" w:eastAsiaTheme="majorEastAsia" w:cstheme="majorEastAsia"/>
          <w:bCs/>
          <w:color w:val="000000" w:themeColor="text1"/>
          <w:sz w:val="24"/>
          <w:szCs w:val="24"/>
        </w:rPr>
        <w:t>投诉</w:t>
      </w:r>
    </w:p>
    <w:p>
      <w:pPr>
        <w:pStyle w:val="10"/>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asciiTheme="majorEastAsia" w:hAnsiTheme="majorEastAsia" w:eastAsiaTheme="majorEastAsia" w:cstheme="majorEastAsia"/>
          <w:bCs/>
          <w:color w:val="000000" w:themeColor="text1"/>
          <w:sz w:val="24"/>
          <w:szCs w:val="24"/>
        </w:rPr>
        <w:t xml:space="preserve">5.1  </w:t>
      </w:r>
      <w:r>
        <w:rPr>
          <w:rFonts w:hint="eastAsia" w:asciiTheme="majorEastAsia" w:hAnsiTheme="majorEastAsia" w:eastAsiaTheme="majorEastAsia" w:cstheme="majorEastAsia"/>
          <w:bCs/>
          <w:color w:val="000000" w:themeColor="text1"/>
          <w:sz w:val="24"/>
          <w:szCs w:val="24"/>
        </w:rPr>
        <w:t>供应商认为采购文件、采购过程、成交结果使自己的合法权益受到损害的，应当首先依法向采购人或采购人委托的</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提出质疑。对采购人、</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的答复不满意，或者采购人、</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未在规定期限内做出答复的，供应商可以在答复期满后十五个工作日内向</w:t>
      </w:r>
      <w:r>
        <w:rPr>
          <w:rFonts w:hint="eastAsia" w:asciiTheme="majorEastAsia" w:hAnsiTheme="majorEastAsia" w:eastAsiaTheme="majorEastAsia" w:cstheme="majorEastAsia"/>
          <w:color w:val="000000" w:themeColor="text1"/>
          <w:sz w:val="24"/>
          <w:szCs w:val="24"/>
        </w:rPr>
        <w:t>南宁市政府采购监督管理部门</w:t>
      </w:r>
      <w:r>
        <w:rPr>
          <w:rFonts w:hint="eastAsia" w:asciiTheme="majorEastAsia" w:hAnsiTheme="majorEastAsia" w:eastAsiaTheme="majorEastAsia" w:cstheme="majorEastAsia"/>
          <w:bCs/>
          <w:color w:val="000000" w:themeColor="text1"/>
          <w:sz w:val="24"/>
          <w:szCs w:val="24"/>
        </w:rPr>
        <w:t>提起投诉。</w:t>
      </w:r>
    </w:p>
    <w:p>
      <w:pPr>
        <w:pStyle w:val="10"/>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5.2  </w:t>
      </w:r>
      <w:r>
        <w:rPr>
          <w:rFonts w:hint="eastAsia" w:asciiTheme="majorEastAsia" w:hAnsiTheme="majorEastAsia" w:eastAsiaTheme="majorEastAsia" w:cstheme="majorEastAsia"/>
          <w:color w:val="000000" w:themeColor="text1"/>
          <w:sz w:val="24"/>
          <w:szCs w:val="24"/>
        </w:rPr>
        <w:t>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0"/>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 xml:space="preserve">1）投诉人和被投诉人的名称、地址、电话等； </w:t>
      </w:r>
    </w:p>
    <w:p>
      <w:pPr>
        <w:pStyle w:val="10"/>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2）具体的投诉事项及事实依据；</w:t>
      </w:r>
    </w:p>
    <w:p>
      <w:pPr>
        <w:pStyle w:val="10"/>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 xml:space="preserve">3）质疑和质疑答复情况及相关证明材料； </w:t>
      </w:r>
    </w:p>
    <w:p>
      <w:pPr>
        <w:pStyle w:val="10"/>
        <w:tabs>
          <w:tab w:val="right" w:pos="9638"/>
        </w:tabs>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4）提起投诉的日期。</w:t>
      </w:r>
    </w:p>
    <w:p>
      <w:pPr>
        <w:pStyle w:val="10"/>
        <w:tabs>
          <w:tab w:val="right" w:pos="9638"/>
        </w:tabs>
        <w:spacing w:line="440" w:lineRule="exact"/>
        <w:ind w:left="2" w:firstLine="477" w:firstLineChars="199"/>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5）附件材料：营业执照副本内页复印件（要求证件有效清晰和企业年度报告公示材料；近期三个月依法缴纳税收和在职职工社会保障资金证明材料（复印件，原件备查）。</w:t>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 xml:space="preserve">    投诉书应当署名。投诉人为法人或者其他组织的，应当由法定代表人或者主要负责人签字盖章并加盖公章。</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5.3  </w:t>
      </w:r>
      <w:r>
        <w:rPr>
          <w:rFonts w:hint="eastAsia" w:asciiTheme="majorEastAsia" w:hAnsiTheme="majorEastAsia" w:eastAsiaTheme="majorEastAsia" w:cstheme="majorEastAsia"/>
          <w:color w:val="000000" w:themeColor="text1"/>
          <w:sz w:val="24"/>
          <w:szCs w:val="24"/>
        </w:rPr>
        <w:t>投诉人可以委托代理人办理投诉事务。代理人办理投诉事务时，除提交投诉书外，还应当提交投诉人的授权委托书，授权委托书应当载明委托代理的具体权限和事项。</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5.4  </w:t>
      </w:r>
      <w:r>
        <w:rPr>
          <w:rFonts w:hint="eastAsia" w:asciiTheme="majorEastAsia" w:hAnsiTheme="majorEastAsia" w:eastAsiaTheme="majorEastAsia" w:cstheme="majorEastAsia"/>
          <w:color w:val="000000" w:themeColor="text1"/>
          <w:sz w:val="24"/>
          <w:szCs w:val="24"/>
        </w:rPr>
        <w:t>投诉人提起投诉应当符合下列条件：</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1）投诉人是参与所投诉政府采购活动的供应商；</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2）提起投诉前已依法进行质疑；</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3）投诉书内容符合本章第5.2项的规定；</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4）在投诉有效期限内提起投诉；</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5）属于南宁市政府采购监督管理部门管辖；</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6）同一投诉事项未经南宁市政府采购监督管理部门投诉处理；</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7）国务院财政部门规定的其他条件。</w:t>
      </w:r>
    </w:p>
    <w:p>
      <w:pPr>
        <w:spacing w:line="440" w:lineRule="exact"/>
        <w:ind w:firstLine="480" w:firstLineChars="200"/>
        <w:rPr>
          <w:rFonts w:asciiTheme="majorEastAsia" w:hAnsiTheme="majorEastAsia" w:eastAsiaTheme="majorEastAsia" w:cstheme="majorEastAsia"/>
          <w:color w:val="000000" w:themeColor="text1"/>
          <w:sz w:val="24"/>
        </w:rPr>
      </w:pPr>
      <w:r>
        <w:rPr>
          <w:rFonts w:asciiTheme="majorEastAsia" w:hAnsiTheme="majorEastAsia" w:eastAsiaTheme="majorEastAsia" w:cstheme="majorEastAsia"/>
          <w:color w:val="000000" w:themeColor="text1"/>
          <w:sz w:val="24"/>
        </w:rPr>
        <w:t xml:space="preserve">5.5  </w:t>
      </w:r>
      <w:r>
        <w:rPr>
          <w:rFonts w:hint="eastAsia" w:asciiTheme="majorEastAsia" w:hAnsiTheme="majorEastAsia" w:eastAsiaTheme="majorEastAsia" w:cstheme="majorEastAsia"/>
          <w:color w:val="000000" w:themeColor="text1"/>
          <w:sz w:val="24"/>
        </w:rPr>
        <w:t>南宁市政府采购监督管理部门自受理投诉之日起三十个工作日内，对投诉事项作出处理决定，并以书面形式通知投诉人、被投诉人及其他与投诉处理结果有利害关系的政府采购当事人。</w:t>
      </w:r>
    </w:p>
    <w:p>
      <w:pPr>
        <w:spacing w:line="440" w:lineRule="exact"/>
        <w:ind w:firstLine="480" w:firstLineChars="200"/>
        <w:rPr>
          <w:rFonts w:asciiTheme="majorEastAsia" w:hAnsiTheme="majorEastAsia" w:eastAsiaTheme="majorEastAsia" w:cstheme="majorEastAsia"/>
          <w:color w:val="000000" w:themeColor="text1"/>
          <w:sz w:val="24"/>
        </w:rPr>
      </w:pPr>
      <w:r>
        <w:rPr>
          <w:rFonts w:asciiTheme="majorEastAsia" w:hAnsiTheme="majorEastAsia" w:eastAsiaTheme="majorEastAsia" w:cstheme="majorEastAsia"/>
          <w:color w:val="000000" w:themeColor="text1"/>
          <w:sz w:val="24"/>
        </w:rPr>
        <w:t xml:space="preserve">5.6  </w:t>
      </w:r>
      <w:r>
        <w:rPr>
          <w:rFonts w:hint="eastAsia" w:asciiTheme="majorEastAsia" w:hAnsiTheme="majorEastAsia" w:eastAsiaTheme="majorEastAsia" w:cstheme="majorEastAsia"/>
          <w:color w:val="000000" w:themeColor="text1"/>
          <w:sz w:val="24"/>
        </w:rPr>
        <w:t>南宁市政府采购监督管理部门在处理投诉事项期间，可以视具体情况暂停采购活动。</w:t>
      </w:r>
    </w:p>
    <w:p>
      <w:pPr>
        <w:pStyle w:val="16"/>
        <w:outlineLvl w:val="1"/>
        <w:rPr>
          <w:rFonts w:asciiTheme="majorEastAsia" w:hAnsiTheme="majorEastAsia" w:eastAsiaTheme="majorEastAsia" w:cstheme="majorEastAsia"/>
          <w:color w:val="000000" w:themeColor="text1"/>
        </w:rPr>
      </w:pPr>
      <w:bookmarkStart w:id="51" w:name="_Toc485920214"/>
      <w:bookmarkStart w:id="52" w:name="_Toc460253705"/>
      <w:bookmarkStart w:id="53" w:name="_Toc32743"/>
      <w:bookmarkStart w:id="54" w:name="_Toc11021"/>
      <w:bookmarkStart w:id="55" w:name="_Toc213326417"/>
      <w:bookmarkStart w:id="56" w:name="_Toc9777"/>
      <w:r>
        <w:rPr>
          <w:rFonts w:hint="eastAsia" w:asciiTheme="majorEastAsia" w:hAnsiTheme="majorEastAsia" w:eastAsiaTheme="majorEastAsia" w:cstheme="majorEastAsia"/>
          <w:color w:val="000000" w:themeColor="text1"/>
        </w:rPr>
        <w:t>二   竞争性磋商采购文件</w:t>
      </w:r>
      <w:bookmarkEnd w:id="51"/>
      <w:bookmarkEnd w:id="52"/>
      <w:bookmarkEnd w:id="53"/>
      <w:bookmarkEnd w:id="54"/>
      <w:bookmarkEnd w:id="55"/>
      <w:bookmarkEnd w:id="56"/>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6.  竞争性磋商采购文件的组成</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6.1  本</w:t>
      </w:r>
      <w:r>
        <w:rPr>
          <w:rFonts w:hint="eastAsia" w:asciiTheme="majorEastAsia" w:hAnsiTheme="majorEastAsia" w:eastAsiaTheme="majorEastAsia" w:cstheme="majorEastAsia"/>
          <w:bCs/>
          <w:color w:val="000000" w:themeColor="text1"/>
          <w:sz w:val="24"/>
          <w:szCs w:val="24"/>
        </w:rPr>
        <w:t>竞争性磋商采购文件</w:t>
      </w:r>
      <w:r>
        <w:rPr>
          <w:rFonts w:hint="eastAsia" w:asciiTheme="majorEastAsia" w:hAnsiTheme="majorEastAsia" w:eastAsiaTheme="majorEastAsia" w:cstheme="majorEastAsia"/>
          <w:color w:val="000000" w:themeColor="text1"/>
          <w:sz w:val="24"/>
          <w:szCs w:val="24"/>
        </w:rPr>
        <w:t>包括六个章节，各章的内容如下：</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第一章  竞争性磋商公告</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第二章  服务需求一览表</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第三章  评审方法</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第四章  磋商供应商须知</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第五章  响应文件格式</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第六章  合同草案条款及格式</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6.2  根据本章第7.1项的规定对竞争性磋商文件所做的澄清、修改，构成竞争性磋商文件的组成部分。当竞争性磋商文件与澄清和修改的同一内容的表述不一致时，以最后发出的书面文件为准。</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7.  竞争性</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采购文件的澄清和修改</w:t>
      </w:r>
    </w:p>
    <w:p>
      <w:pPr>
        <w:pStyle w:val="10"/>
        <w:spacing w:line="440" w:lineRule="exact"/>
        <w:ind w:left="2" w:leftChars="1"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7.1　提交首次响应文件截止之日前，采购人、采购代理机构或者磋商小组可以对已发出的磋商文件进行必要的澄清或者修改。澄清或者修改的内容可能影响响应文件编制的，采购人、采购代理机构应当在提交首次响应文件截止时间至少5日前；不足5日的，采购人、采购代理机构应当顺延提交首次响应文件截止时间。同时，采购代理机构在本章第2.1项规定的政府采购信息发布媒体上发布更正公告，</w:t>
      </w:r>
      <w:r>
        <w:rPr>
          <w:rFonts w:hint="eastAsia" w:asciiTheme="majorEastAsia" w:hAnsiTheme="majorEastAsia" w:eastAsiaTheme="majorEastAsia" w:cstheme="majorEastAsia"/>
          <w:b/>
          <w:color w:val="000000" w:themeColor="text1"/>
          <w:sz w:val="24"/>
          <w:szCs w:val="24"/>
        </w:rPr>
        <w:t>请磋商供应商随时关注网站动态，代理机构将不再另行电话通知。</w:t>
      </w:r>
    </w:p>
    <w:p>
      <w:pPr>
        <w:pStyle w:val="10"/>
        <w:spacing w:line="440" w:lineRule="exact"/>
        <w:ind w:left="2" w:leftChars="1"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7.2采购人和采购代理机构可以视采购具体情况，变更递交响应文件截止时间，但应当在递交响应文件截止之日前，采购代理机构在本章第2.1项规定的政府采购信息发布媒体上发布更正公告，</w:t>
      </w:r>
      <w:r>
        <w:rPr>
          <w:rFonts w:hint="eastAsia" w:asciiTheme="majorEastAsia" w:hAnsiTheme="majorEastAsia" w:eastAsiaTheme="majorEastAsia" w:cstheme="majorEastAsia"/>
          <w:b/>
          <w:color w:val="000000" w:themeColor="text1"/>
          <w:sz w:val="24"/>
          <w:szCs w:val="24"/>
        </w:rPr>
        <w:t>请磋商供应商随时关注网站动态，代理机构将不再另行电话通知。</w:t>
      </w:r>
    </w:p>
    <w:p>
      <w:pPr>
        <w:pStyle w:val="16"/>
        <w:outlineLvl w:val="1"/>
        <w:rPr>
          <w:rFonts w:asciiTheme="majorEastAsia" w:hAnsiTheme="majorEastAsia" w:eastAsiaTheme="majorEastAsia" w:cstheme="majorEastAsia"/>
          <w:color w:val="000000" w:themeColor="text1"/>
        </w:rPr>
      </w:pPr>
      <w:bookmarkStart w:id="57" w:name="_Toc460253706"/>
      <w:bookmarkStart w:id="58" w:name="_Toc30256"/>
      <w:bookmarkStart w:id="59" w:name="_Toc4272"/>
      <w:bookmarkStart w:id="60" w:name="_Toc2042"/>
      <w:bookmarkStart w:id="61" w:name="_Toc485920215"/>
      <w:bookmarkStart w:id="62" w:name="_Toc213326418"/>
      <w:r>
        <w:rPr>
          <w:rFonts w:hint="eastAsia" w:asciiTheme="majorEastAsia" w:hAnsiTheme="majorEastAsia" w:eastAsiaTheme="majorEastAsia" w:cstheme="majorEastAsia"/>
          <w:color w:val="000000" w:themeColor="text1"/>
        </w:rPr>
        <w:t>三   响应文件</w:t>
      </w:r>
      <w:bookmarkEnd w:id="57"/>
      <w:bookmarkEnd w:id="58"/>
      <w:bookmarkEnd w:id="59"/>
      <w:bookmarkEnd w:id="60"/>
      <w:bookmarkEnd w:id="61"/>
      <w:bookmarkEnd w:id="62"/>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8.  响应文件的编制</w:t>
      </w:r>
    </w:p>
    <w:p>
      <w:pPr>
        <w:pStyle w:val="10"/>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8.1 磋商供应商应仔细阅读竞争性磋商文件，在充分了解采购的内容、技术参数要求和商务条款以及实质性要求和条件后，编写响应文件。</w:t>
      </w:r>
    </w:p>
    <w:p>
      <w:pPr>
        <w:pStyle w:val="10"/>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8.2  对竞争性磋商文件的实质性要求和条件作出响应是指磋商供应商必须对竞争性磋商文件中标注为实质性要求和条件的技术参数要求、商务条款及其它内容</w:t>
      </w:r>
      <w:r>
        <w:rPr>
          <w:rFonts w:hint="eastAsia" w:asciiTheme="majorEastAsia" w:hAnsiTheme="majorEastAsia" w:eastAsiaTheme="majorEastAsia" w:cstheme="majorEastAsia"/>
          <w:b/>
          <w:color w:val="000000" w:themeColor="text1"/>
          <w:sz w:val="24"/>
          <w:szCs w:val="24"/>
        </w:rPr>
        <w:t>作出满足或者优于原要求和条件的承诺</w:t>
      </w:r>
      <w:r>
        <w:rPr>
          <w:rFonts w:hint="eastAsia" w:asciiTheme="majorEastAsia" w:hAnsiTheme="majorEastAsia" w:eastAsiaTheme="majorEastAsia" w:cstheme="majorEastAsia"/>
          <w:color w:val="000000" w:themeColor="text1"/>
          <w:sz w:val="24"/>
          <w:szCs w:val="24"/>
        </w:rPr>
        <w:t>。</w:t>
      </w:r>
    </w:p>
    <w:p>
      <w:pPr>
        <w:pStyle w:val="10"/>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8.3  竞争性磋商文件中标注★号的内容为实质性要求和条件。</w:t>
      </w:r>
    </w:p>
    <w:p>
      <w:pPr>
        <w:pStyle w:val="10"/>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8.4  响应文件应用不褪色的材料书写或打印，保证其清楚、工整，相关材料的复印件应清晰可辨认。响应文件字迹潦草、表达不清、模糊无法辨认而导致非唯一理解是磋商供应商的风险，很可能导致该响应无效。</w:t>
      </w:r>
    </w:p>
    <w:p>
      <w:pPr>
        <w:pStyle w:val="10"/>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8.5  第五章“响应文件格式”中规定了响应文件格式的，应按相应格式要求编写。</w:t>
      </w:r>
    </w:p>
    <w:p>
      <w:pPr>
        <w:pStyle w:val="10"/>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8.6  响应文件应由磋商供应商的法定代表人或其委托代理人在凡规定签章处逐一签字或盖章并加盖单位公章。响应文件应尽量避免涂改、行间插字或删除。如果出现上述情况，改动之处应加盖单位公章或由磋商供应商的法定代表人或其委托代理人签字或盖章确认。</w:t>
      </w:r>
    </w:p>
    <w:p>
      <w:pPr>
        <w:pStyle w:val="10"/>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8.7  响应文件应编制目录，且页码清晰准确。</w:t>
      </w:r>
    </w:p>
    <w:p>
      <w:pPr>
        <w:pStyle w:val="10"/>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8.8  响应文件的正本和副本应分别装订成册，封面上应清楚地标记“正本”或“副本”字样，并标明项目名称、项目编号、磋商供应商名称等内容。副本可以采用正本的复印件，当副本和正本不一致时，以正本为准。磋商供应商应准备首次报价文件正本、技术文件正本、商务文件正本各一份，副本份数见磋商供应商须知前附表。</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9.  响应文件语言文字及计量单位</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9.1  磋商供应商的响应文件以及磋商供应商与采购人、采购代理机构就有关磋商的所有往来函电统一使用中文（特别规定除外）。磋商供应商随响应文件或往来函电所提交的相关证明材料等可以使用其他语言，但必须同时提供由专业翻译机构出具的或经公证的中文译文，否则视同未提供该项证明材料。</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9.2  对不同文字文本响应文件的解释发生异议的，以中文文本为准。</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9.3  响应文件使用的计量单位除竞争性磋商文件中有特殊规定外，一律使用中华人民共和国法定计量单位。</w:t>
      </w:r>
    </w:p>
    <w:p>
      <w:pPr>
        <w:pStyle w:val="10"/>
        <w:spacing w:line="440" w:lineRule="exact"/>
        <w:rPr>
          <w:rFonts w:asciiTheme="majorEastAsia" w:hAnsiTheme="majorEastAsia" w:eastAsiaTheme="majorEastAsia" w:cstheme="majorEastAsia"/>
          <w:bCs/>
          <w:color w:val="000000" w:themeColor="text1"/>
          <w:sz w:val="24"/>
          <w:szCs w:val="24"/>
        </w:rPr>
      </w:pPr>
      <w:bookmarkStart w:id="63" w:name="_Toc485920221"/>
      <w:bookmarkStart w:id="64" w:name="_Toc460253715"/>
      <w:bookmarkStart w:id="65" w:name="_Toc213326424"/>
      <w:bookmarkStart w:id="66" w:name="_Toc213206176"/>
      <w:bookmarkStart w:id="67" w:name="_Toc213325925"/>
      <w:r>
        <w:rPr>
          <w:rFonts w:hint="eastAsia" w:asciiTheme="majorEastAsia" w:hAnsiTheme="majorEastAsia" w:eastAsiaTheme="majorEastAsia" w:cstheme="majorEastAsia"/>
          <w:bCs/>
          <w:color w:val="000000" w:themeColor="text1"/>
          <w:sz w:val="24"/>
          <w:szCs w:val="24"/>
        </w:rPr>
        <w:t>10.  响应文件的组成</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  磋商供应商需编制的响应文件包括首次报价文件、技术文件和商务文件三部分，磋商供应商应按下列说明编写和提交。应提交的有关文件如未特别注明为原件的，可提交复印件。</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10.1.1  首次报价文件，包括：</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（1）响应函：按第五章“响应文件格式”提供的“响应函（格式）”的要求填写；</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（2）响应报价表：按第五章“响应文件格式”提供的“响应报价表（格式）”的要求填写。</w:t>
      </w:r>
    </w:p>
    <w:p>
      <w:pPr>
        <w:pStyle w:val="10"/>
        <w:spacing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（3）中小企业声明函：按第五章“响应文件格式”提供的“中小企业声明函（格式）”的要求填写。</w:t>
      </w:r>
    </w:p>
    <w:p>
      <w:pPr>
        <w:pStyle w:val="10"/>
        <w:spacing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（4）残疾人福利性单位声明函：按第五章“响应文件格式”提供的“残疾人福利性单位声明函（格式）”的要求填写；</w:t>
      </w:r>
    </w:p>
    <w:p>
      <w:pPr>
        <w:pStyle w:val="10"/>
        <w:spacing w:after="165"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（5）监狱企业证明：提供由省级以上监狱管理局、戒毒管理局（含新疆生产建设兵团）出具的属于监狱企业的证明文件。</w:t>
      </w:r>
    </w:p>
    <w:p>
      <w:pPr>
        <w:pStyle w:val="10"/>
        <w:spacing w:line="440" w:lineRule="exact"/>
        <w:ind w:firstLine="482" w:firstLineChars="20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color w:val="000000" w:themeColor="text1"/>
          <w:sz w:val="24"/>
          <w:szCs w:val="24"/>
        </w:rPr>
        <w:t>其中，报价文件组成要求的第（1）～（2）项必须提交；第（3）～（5）项如有请提交。</w:t>
      </w:r>
      <w:r>
        <w:rPr>
          <w:rFonts w:hint="eastAsia" w:asciiTheme="majorEastAsia" w:hAnsiTheme="majorEastAsia" w:eastAsiaTheme="majorEastAsia" w:cstheme="majorEastAsia"/>
          <w:color w:val="000000" w:themeColor="text1"/>
          <w:sz w:val="24"/>
          <w:szCs w:val="24"/>
        </w:rPr>
        <w:t>10.1.2  技术文件，包括：</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（1）响应服务技术资料表：按第五章“响应文件格式”提供的“响应服务技术资料表（格式）”的要求填写；</w:t>
      </w:r>
    </w:p>
    <w:p>
      <w:pPr>
        <w:pStyle w:val="10"/>
        <w:spacing w:line="440" w:lineRule="exact"/>
        <w:ind w:firstLine="42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color w:val="000000" w:themeColor="text1"/>
          <w:sz w:val="24"/>
          <w:szCs w:val="24"/>
        </w:rPr>
        <w:t>（2）其它：针对所提供服务的主要技术指标方案等的详细说明，等等。</w:t>
      </w:r>
    </w:p>
    <w:p>
      <w:pPr>
        <w:pStyle w:val="10"/>
        <w:spacing w:line="440" w:lineRule="exact"/>
        <w:ind w:firstLine="42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color w:val="000000" w:themeColor="text1"/>
          <w:sz w:val="24"/>
          <w:szCs w:val="24"/>
        </w:rPr>
        <w:t>技术文件中的第（1）项必须提交；第（2）项如有请提交。</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10.1.3  商务文件，包括：</w:t>
      </w:r>
    </w:p>
    <w:p>
      <w:pPr>
        <w:pStyle w:val="10"/>
        <w:spacing w:line="440" w:lineRule="exact"/>
        <w:ind w:firstLine="480" w:firstLineChars="20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1</w:t>
      </w:r>
      <w:r>
        <w:rPr>
          <w:rFonts w:hint="eastAsia" w:hAnsi="宋体"/>
          <w:color w:val="000000" w:themeColor="text1"/>
          <w:sz w:val="24"/>
          <w:szCs w:val="24"/>
        </w:rPr>
        <w:t>）供应商资格文件：</w:t>
      </w:r>
    </w:p>
    <w:p>
      <w:pPr>
        <w:pStyle w:val="10"/>
        <w:spacing w:line="440" w:lineRule="exact"/>
        <w:ind w:firstLine="420"/>
        <w:rPr>
          <w:rFonts w:hAnsi="宋体"/>
          <w:color w:val="000000" w:themeColor="text1"/>
          <w:sz w:val="24"/>
          <w:szCs w:val="24"/>
        </w:rPr>
      </w:pPr>
      <w:r>
        <w:rPr>
          <w:rFonts w:hint="eastAsia" w:hAnsi="宋体"/>
          <w:color w:val="000000" w:themeColor="text1"/>
          <w:sz w:val="24"/>
          <w:szCs w:val="24"/>
        </w:rPr>
        <w:t>①信用声明函。按第五章“响应文件格式”提供的“信用声明函（格式）”的要求填写。对列入失信被执行人、重大税收违法案件当事人名单、政府采购严重违法失信行为记录名单的供应商，将被拒绝参与本项目政府采购活动。</w:t>
      </w:r>
    </w:p>
    <w:p>
      <w:pPr>
        <w:pStyle w:val="10"/>
        <w:spacing w:line="440" w:lineRule="exact"/>
        <w:ind w:firstLine="420"/>
        <w:rPr>
          <w:rFonts w:hAnsi="宋体"/>
          <w:color w:val="000000" w:themeColor="text1"/>
          <w:sz w:val="24"/>
          <w:szCs w:val="24"/>
        </w:rPr>
      </w:pPr>
      <w:r>
        <w:rPr>
          <w:rFonts w:hint="eastAsia" w:hAnsi="宋体"/>
          <w:color w:val="000000" w:themeColor="text1"/>
          <w:sz w:val="24"/>
          <w:szCs w:val="24"/>
        </w:rPr>
        <w:t>②根据本章第</w:t>
      </w:r>
      <w:r>
        <w:rPr>
          <w:rFonts w:hAnsi="宋体"/>
          <w:color w:val="000000" w:themeColor="text1"/>
          <w:sz w:val="24"/>
          <w:szCs w:val="24"/>
        </w:rPr>
        <w:t>3.2</w:t>
      </w:r>
      <w:r>
        <w:rPr>
          <w:rFonts w:hint="eastAsia" w:hAnsi="宋体"/>
          <w:color w:val="000000" w:themeColor="text1"/>
          <w:sz w:val="24"/>
          <w:szCs w:val="24"/>
        </w:rPr>
        <w:t>项规定的磋商供应商应具备的特定条件提供，包括营业执照副本内页或事业单位法人证书复印件（磋商供应商如为企业的，要求证件有效并清晰反映企业法人经营范围）和磋商供应商资格的其他证明文件复印件；</w:t>
      </w:r>
    </w:p>
    <w:p>
      <w:pPr>
        <w:pStyle w:val="10"/>
        <w:spacing w:line="440" w:lineRule="exact"/>
        <w:ind w:firstLine="420"/>
        <w:rPr>
          <w:rFonts w:hAnsi="宋体"/>
          <w:color w:val="000000" w:themeColor="text1"/>
          <w:sz w:val="24"/>
          <w:szCs w:val="24"/>
        </w:rPr>
      </w:pPr>
      <w:r>
        <w:rPr>
          <w:rFonts w:hint="eastAsia" w:asciiTheme="minorEastAsia" w:hAnsiTheme="minorEastAsia" w:eastAsiaTheme="minorEastAsia"/>
          <w:color w:val="000000" w:themeColor="text1"/>
          <w:sz w:val="24"/>
          <w:szCs w:val="24"/>
        </w:rPr>
        <w:t>③磋商供应商直接控股、管理关系信息表，按第五章“响应文件格式”提供的“磋商供应商直接控股、管理关系信息表（格式）”的要求填写；</w:t>
      </w:r>
    </w:p>
    <w:p>
      <w:pPr>
        <w:pStyle w:val="10"/>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2</w:t>
      </w:r>
      <w:r>
        <w:rPr>
          <w:rFonts w:hint="eastAsia" w:hAnsi="宋体"/>
          <w:color w:val="000000" w:themeColor="text1"/>
          <w:sz w:val="24"/>
          <w:szCs w:val="24"/>
        </w:rPr>
        <w:t>）法定代表人身份证明复印件：如使用第二代身份证应提交正、反面复印件，如法定代表人非中国国籍应提交护照复印件，要求证件有效并与营业执照中的法定代表人相符；</w:t>
      </w:r>
      <w:r>
        <w:rPr>
          <w:rFonts w:hAnsi="宋体"/>
          <w:color w:val="000000" w:themeColor="text1"/>
          <w:sz w:val="24"/>
          <w:szCs w:val="24"/>
        </w:rPr>
        <w:t xml:space="preserve"> </w:t>
      </w:r>
    </w:p>
    <w:p>
      <w:pPr>
        <w:pStyle w:val="10"/>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3</w:t>
      </w:r>
      <w:r>
        <w:rPr>
          <w:rFonts w:hint="eastAsia" w:hAnsi="宋体"/>
          <w:color w:val="000000" w:themeColor="text1"/>
          <w:sz w:val="24"/>
          <w:szCs w:val="24"/>
        </w:rPr>
        <w:t>）售后服务承诺书：按第五章“响应文件格式”提供的“售后服务承诺书（格式）”</w:t>
      </w:r>
      <w:r>
        <w:rPr>
          <w:rFonts w:hAnsi="宋体"/>
          <w:color w:val="000000" w:themeColor="text1"/>
          <w:sz w:val="24"/>
          <w:szCs w:val="24"/>
        </w:rPr>
        <w:t xml:space="preserve"> </w:t>
      </w:r>
      <w:r>
        <w:rPr>
          <w:rFonts w:hint="eastAsia" w:hAnsi="宋体"/>
          <w:color w:val="000000" w:themeColor="text1"/>
          <w:sz w:val="24"/>
          <w:szCs w:val="24"/>
        </w:rPr>
        <w:t>的要求填写；</w:t>
      </w:r>
    </w:p>
    <w:p>
      <w:pPr>
        <w:pStyle w:val="10"/>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4</w:t>
      </w:r>
      <w:r>
        <w:rPr>
          <w:rFonts w:hint="eastAsia" w:hAnsi="宋体"/>
          <w:color w:val="000000" w:themeColor="text1"/>
          <w:sz w:val="24"/>
          <w:szCs w:val="24"/>
        </w:rPr>
        <w:t>）商务条款偏离表：按第五章“响应文件格式”提供的“商务条款偏离表（格式）”</w:t>
      </w:r>
      <w:r>
        <w:rPr>
          <w:rFonts w:hAnsi="宋体"/>
          <w:color w:val="000000" w:themeColor="text1"/>
          <w:sz w:val="24"/>
          <w:szCs w:val="24"/>
        </w:rPr>
        <w:t xml:space="preserve"> </w:t>
      </w:r>
      <w:r>
        <w:rPr>
          <w:rFonts w:hint="eastAsia" w:hAnsi="宋体"/>
          <w:color w:val="000000" w:themeColor="text1"/>
          <w:sz w:val="24"/>
          <w:szCs w:val="24"/>
        </w:rPr>
        <w:t>的要求填写；</w:t>
      </w:r>
    </w:p>
    <w:p>
      <w:pPr>
        <w:pStyle w:val="10"/>
        <w:spacing w:line="440" w:lineRule="exact"/>
        <w:ind w:firstLine="420"/>
        <w:rPr>
          <w:rFonts w:hAnsi="宋体"/>
          <w:color w:val="000000" w:themeColor="text1"/>
          <w:sz w:val="24"/>
          <w:szCs w:val="24"/>
        </w:rPr>
      </w:pPr>
      <w:r>
        <w:rPr>
          <w:rFonts w:hint="eastAsia" w:hAnsi="宋体"/>
          <w:color w:val="000000" w:themeColor="text1"/>
          <w:sz w:val="24"/>
          <w:szCs w:val="24"/>
        </w:rPr>
        <w:t>（5）磋商供应商半年内连续三个月依法缴纳社保费的凭证复印件（如社保部门开具的证明、收款收据等，或银行缴款凭证、回单等，如为非社保部门开具的凭证或回单的，应清晰反映：缴款单位名称、社保单位名称、保险名称、缴款金额等内容）。无缴费记录的，应提供由供应商所在地社保部门出具的《依法缴纳或依法免缴社保费证明》（复印件，格式自拟）；</w:t>
      </w:r>
    </w:p>
    <w:p>
      <w:pPr>
        <w:pStyle w:val="10"/>
        <w:spacing w:line="440" w:lineRule="exact"/>
        <w:ind w:firstLine="420"/>
        <w:rPr>
          <w:rFonts w:hAnsi="宋体"/>
          <w:color w:val="000000" w:themeColor="text1"/>
          <w:sz w:val="24"/>
          <w:szCs w:val="24"/>
        </w:rPr>
      </w:pPr>
      <w:r>
        <w:rPr>
          <w:rFonts w:hint="eastAsia" w:hAnsi="宋体"/>
          <w:color w:val="000000" w:themeColor="text1"/>
          <w:sz w:val="24"/>
          <w:szCs w:val="24"/>
        </w:rPr>
        <w:t>（6）法定代表人授权委托书：按第五章“响应文件格式”提供的“法定代表人授权委托书（格式）”的要求填写；</w:t>
      </w:r>
    </w:p>
    <w:p>
      <w:pPr>
        <w:pStyle w:val="10"/>
        <w:spacing w:line="440" w:lineRule="exact"/>
        <w:ind w:firstLine="420"/>
        <w:rPr>
          <w:rFonts w:hAnsi="宋体"/>
          <w:color w:val="000000" w:themeColor="text1"/>
          <w:sz w:val="24"/>
          <w:szCs w:val="24"/>
        </w:rPr>
      </w:pPr>
      <w:r>
        <w:rPr>
          <w:rFonts w:hint="eastAsia" w:hAnsi="宋体"/>
          <w:color w:val="000000" w:themeColor="text1"/>
          <w:sz w:val="24"/>
          <w:szCs w:val="24"/>
        </w:rPr>
        <w:t>（7）委托代理人身份证明复印件：如使用第二代身份证应提交正、反面复印件，如委托代理人非中国国籍应提交护照复印件，要求证件有效并与法定代表人授权委托书中的委托代理人相符；</w:t>
      </w:r>
    </w:p>
    <w:p>
      <w:pPr>
        <w:pStyle w:val="10"/>
        <w:spacing w:line="440" w:lineRule="exact"/>
        <w:ind w:firstLine="420"/>
        <w:rPr>
          <w:rFonts w:hAnsi="宋体"/>
          <w:color w:val="000000" w:themeColor="text1"/>
          <w:sz w:val="24"/>
          <w:szCs w:val="24"/>
        </w:rPr>
      </w:pPr>
      <w:r>
        <w:rPr>
          <w:rFonts w:hint="eastAsia" w:hAnsi="宋体"/>
          <w:color w:val="000000" w:themeColor="text1"/>
          <w:sz w:val="24"/>
          <w:szCs w:val="24"/>
        </w:rPr>
        <w:t>（8）财务会计报表复印件：磋商供应商近三年的经会计师事务所或审计机构审计的财务会计报表，包括资产负债表、现金流量表、利润表、财务情况说明书和审计报告；</w:t>
      </w:r>
    </w:p>
    <w:p>
      <w:pPr>
        <w:pStyle w:val="10"/>
        <w:spacing w:line="440" w:lineRule="exact"/>
        <w:ind w:firstLine="420"/>
        <w:rPr>
          <w:rFonts w:hAnsi="宋体"/>
          <w:color w:val="000000" w:themeColor="text1"/>
          <w:sz w:val="24"/>
          <w:szCs w:val="24"/>
        </w:rPr>
      </w:pPr>
      <w:r>
        <w:rPr>
          <w:rFonts w:hint="eastAsia" w:hAnsi="宋体"/>
          <w:color w:val="000000" w:themeColor="text1"/>
          <w:sz w:val="24"/>
          <w:szCs w:val="24"/>
        </w:rPr>
        <w:t>（9）其它：磋商供应商通过国家或国际认证资格证书复印件、银行出具的磋商供应商资信证明或信用等级证明复印件、磋商供应商近三年同类服务的实际业绩证明（附成交通知书复印件或合同复印件）、服务近三年的质量获奖荣誉证书复印件、环保体系认证证书复印件、磋商供应商近三年发生的诉讼及仲裁情况说明（附法院或仲裁机构作出的判决、裁决等有关法律文书复印件），等等。</w:t>
      </w:r>
    </w:p>
    <w:p>
      <w:pPr>
        <w:pStyle w:val="10"/>
        <w:spacing w:line="440" w:lineRule="exact"/>
        <w:ind w:firstLine="420"/>
        <w:rPr>
          <w:rFonts w:hAnsi="宋体"/>
          <w:color w:val="000000" w:themeColor="text1"/>
          <w:sz w:val="24"/>
          <w:szCs w:val="24"/>
        </w:rPr>
      </w:pPr>
      <w:r>
        <w:rPr>
          <w:rFonts w:hint="eastAsia" w:hAnsi="宋体"/>
          <w:b/>
          <w:color w:val="000000" w:themeColor="text1"/>
          <w:sz w:val="24"/>
          <w:szCs w:val="24"/>
        </w:rPr>
        <w:t>商务文件中的第（1）～（5）项必须提交；第（6）、（7）项在委托代理时必须提交；第（8）（9）项如有请提交。</w:t>
      </w:r>
    </w:p>
    <w:p>
      <w:pPr>
        <w:pStyle w:val="10"/>
        <w:spacing w:line="440" w:lineRule="exact"/>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10.2  磋商供应商应按上述顺序将首次报价文件、技术文件和商务文件</w:t>
      </w:r>
      <w:r>
        <w:rPr>
          <w:rFonts w:hint="eastAsia" w:asciiTheme="majorEastAsia" w:hAnsiTheme="majorEastAsia" w:eastAsiaTheme="majorEastAsia" w:cstheme="majorEastAsia"/>
          <w:b/>
          <w:color w:val="000000" w:themeColor="text1"/>
          <w:sz w:val="24"/>
          <w:szCs w:val="24"/>
        </w:rPr>
        <w:t>分别装订成册</w:t>
      </w:r>
      <w:r>
        <w:rPr>
          <w:rFonts w:hint="eastAsia" w:asciiTheme="majorEastAsia" w:hAnsiTheme="majorEastAsia" w:eastAsiaTheme="majorEastAsia" w:cstheme="majorEastAsia"/>
          <w:color w:val="000000" w:themeColor="text1"/>
          <w:sz w:val="24"/>
          <w:szCs w:val="24"/>
        </w:rPr>
        <w:t>。</w:t>
      </w:r>
      <w:r>
        <w:rPr>
          <w:rFonts w:hint="eastAsia" w:asciiTheme="majorEastAsia" w:hAnsiTheme="majorEastAsia" w:eastAsiaTheme="majorEastAsia" w:cstheme="majorEastAsia"/>
          <w:b/>
          <w:color w:val="000000" w:themeColor="text1"/>
          <w:sz w:val="24"/>
          <w:szCs w:val="24"/>
        </w:rPr>
        <w:t>特别注意响应报价不得出现在技术文件和商务文件中。</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11.  响应文件报价</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11.1  磋商供应商应以人民币报价。</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11.2  磋商供应商可就第二章“服务需求一览表”中的</w:t>
      </w:r>
      <w:r>
        <w:rPr>
          <w:rFonts w:hint="eastAsia" w:asciiTheme="majorEastAsia" w:hAnsiTheme="majorEastAsia" w:eastAsiaTheme="majorEastAsia" w:cstheme="majorEastAsia"/>
          <w:b/>
          <w:color w:val="000000" w:themeColor="text1"/>
          <w:sz w:val="24"/>
          <w:szCs w:val="24"/>
        </w:rPr>
        <w:t>某一个分项内容报出完整且唯一报价，也可就某几个或所有分项内容分别报出完整且唯一报价。</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11.3  响应报价为在采购人指定地点提交服务成果所需的全部费用，其组成部分详见第二章“服务需求一览表”。采购人不再向成交供应商支付其响应报价之外的任何费用。</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11.4  本项目的采购代理服务费按物价部门核准的收费标准执行，见磋商供应商须知前附表。</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11.5  不论磋商结果如何，磋商供应商均应自行承担与编制和提交响应文件有关的全部费用。</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12.  响应有效期</w:t>
      </w:r>
    </w:p>
    <w:p>
      <w:pPr>
        <w:pStyle w:val="10"/>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12.1  在磋商供应商须知前附表规定的响应有效期内，磋商供应商不得要求撤销或修改其响应文件。</w:t>
      </w:r>
    </w:p>
    <w:p>
      <w:pPr>
        <w:pStyle w:val="10"/>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12.2  在特殊情况下，采购人或采购代理机构可与磋商供应商协商延长响应有效期，这种要求与答复均应使用书面形式。磋商供应商同意延长的，应相应延长其磋商有效期，但不得要求或被允许修改或撤销其响应文件；磋商供应商拒绝延长的，其响应失效。</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13.  </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保证金</w:t>
      </w:r>
    </w:p>
    <w:p>
      <w:pPr>
        <w:pStyle w:val="10"/>
        <w:spacing w:line="500" w:lineRule="exact"/>
        <w:ind w:left="2" w:leftChars="1" w:firstLine="477" w:firstLineChars="199"/>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本项目不收取磋商保证金。</w:t>
      </w:r>
    </w:p>
    <w:p>
      <w:pPr>
        <w:pStyle w:val="16"/>
        <w:outlineLvl w:val="1"/>
        <w:rPr>
          <w:rFonts w:asciiTheme="majorEastAsia" w:hAnsiTheme="majorEastAsia" w:eastAsiaTheme="majorEastAsia" w:cstheme="majorEastAsia"/>
          <w:color w:val="000000" w:themeColor="text1"/>
        </w:rPr>
      </w:pPr>
      <w:bookmarkStart w:id="68" w:name="_Toc213326419"/>
      <w:bookmarkStart w:id="69" w:name="_Toc31512"/>
      <w:bookmarkStart w:id="70" w:name="_Toc23921"/>
      <w:bookmarkStart w:id="71" w:name="_Toc31394"/>
      <w:bookmarkStart w:id="72" w:name="_Toc495334413"/>
      <w:bookmarkStart w:id="73" w:name="_Toc213326420"/>
      <w:r>
        <w:rPr>
          <w:rFonts w:hint="eastAsia" w:asciiTheme="majorEastAsia" w:hAnsiTheme="majorEastAsia" w:eastAsiaTheme="majorEastAsia" w:cstheme="majorEastAsia"/>
          <w:color w:val="000000" w:themeColor="text1"/>
        </w:rPr>
        <w:t xml:space="preserve">四   </w:t>
      </w:r>
      <w:bookmarkEnd w:id="68"/>
      <w:r>
        <w:rPr>
          <w:rFonts w:hint="eastAsia" w:asciiTheme="majorEastAsia" w:hAnsiTheme="majorEastAsia" w:eastAsiaTheme="majorEastAsia" w:cstheme="majorEastAsia"/>
          <w:color w:val="000000" w:themeColor="text1"/>
        </w:rPr>
        <w:t>磋商响应</w:t>
      </w:r>
      <w:bookmarkEnd w:id="69"/>
      <w:bookmarkEnd w:id="70"/>
      <w:bookmarkEnd w:id="71"/>
      <w:bookmarkEnd w:id="72"/>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14.  </w:t>
      </w:r>
      <w:r>
        <w:rPr>
          <w:rFonts w:hint="eastAsia" w:asciiTheme="majorEastAsia" w:hAnsiTheme="majorEastAsia" w:eastAsiaTheme="majorEastAsia" w:cstheme="majorEastAsia"/>
          <w:color w:val="000000" w:themeColor="text1"/>
          <w:sz w:val="24"/>
          <w:szCs w:val="24"/>
        </w:rPr>
        <w:t>响应</w:t>
      </w:r>
      <w:r>
        <w:rPr>
          <w:rFonts w:hint="eastAsia" w:asciiTheme="majorEastAsia" w:hAnsiTheme="majorEastAsia" w:eastAsiaTheme="majorEastAsia" w:cstheme="majorEastAsia"/>
          <w:bCs/>
          <w:color w:val="000000" w:themeColor="text1"/>
          <w:sz w:val="24"/>
          <w:szCs w:val="24"/>
        </w:rPr>
        <w:t>文件的密封</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14.1  磋商供应商应将响应文件进行密封包装，并在包装面上加盖单位公章。</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15.  响应文件的提交</w:t>
      </w:r>
    </w:p>
    <w:p>
      <w:pPr>
        <w:pStyle w:val="10"/>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15.1 磋商供应商提交响应文件截止时间：见磋商供应商须知前附表。</w:t>
      </w:r>
    </w:p>
    <w:p>
      <w:pPr>
        <w:pStyle w:val="10"/>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15.2 磋商供应商提交响应文件地点：见磋商供应商须知前附表。</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15.3 磋商供应商提交响应文件时，应自行检查其响应文件的密封性。</w:t>
      </w:r>
    </w:p>
    <w:p>
      <w:pPr>
        <w:pStyle w:val="10"/>
        <w:spacing w:line="440" w:lineRule="exact"/>
        <w:jc w:val="center"/>
        <w:rPr>
          <w:rFonts w:asciiTheme="majorEastAsia" w:hAnsiTheme="majorEastAsia" w:eastAsiaTheme="majorEastAsia" w:cstheme="majorEastAsia"/>
          <w:color w:val="000000" w:themeColor="text1"/>
        </w:rPr>
      </w:pPr>
    </w:p>
    <w:bookmarkEnd w:id="73"/>
    <w:p>
      <w:pPr>
        <w:pStyle w:val="16"/>
        <w:outlineLvl w:val="1"/>
        <w:rPr>
          <w:rFonts w:asciiTheme="majorEastAsia" w:hAnsiTheme="majorEastAsia" w:eastAsiaTheme="majorEastAsia" w:cstheme="majorEastAsia"/>
          <w:color w:val="000000" w:themeColor="text1"/>
        </w:rPr>
      </w:pPr>
      <w:bookmarkStart w:id="74" w:name="_Toc495334414"/>
      <w:bookmarkStart w:id="75" w:name="_Toc22170"/>
      <w:bookmarkStart w:id="76" w:name="_Toc12483"/>
      <w:bookmarkStart w:id="77" w:name="_Toc7972"/>
      <w:r>
        <w:rPr>
          <w:rFonts w:hint="eastAsia" w:asciiTheme="majorEastAsia" w:hAnsiTheme="majorEastAsia" w:eastAsiaTheme="majorEastAsia" w:cstheme="majorEastAsia"/>
          <w:color w:val="000000" w:themeColor="text1"/>
        </w:rPr>
        <w:t>五   评审与磋商</w:t>
      </w:r>
      <w:bookmarkEnd w:id="74"/>
      <w:bookmarkEnd w:id="75"/>
      <w:bookmarkEnd w:id="76"/>
      <w:bookmarkEnd w:id="77"/>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16.  </w:t>
      </w:r>
      <w:r>
        <w:rPr>
          <w:rFonts w:hint="eastAsia" w:asciiTheme="majorEastAsia" w:hAnsiTheme="majorEastAsia" w:eastAsiaTheme="majorEastAsia" w:cstheme="majorEastAsia"/>
          <w:color w:val="000000" w:themeColor="text1"/>
          <w:sz w:val="24"/>
          <w:szCs w:val="24"/>
        </w:rPr>
        <w:t>响应文件</w:t>
      </w:r>
      <w:r>
        <w:rPr>
          <w:rFonts w:hint="eastAsia" w:asciiTheme="majorEastAsia" w:hAnsiTheme="majorEastAsia" w:eastAsiaTheme="majorEastAsia" w:cstheme="majorEastAsia"/>
          <w:bCs/>
          <w:color w:val="000000" w:themeColor="text1"/>
          <w:sz w:val="24"/>
          <w:szCs w:val="24"/>
        </w:rPr>
        <w:t>截止</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16.1  磋商供应商的法定代表人或其委托代理人应在提交响应文件截止时间前到达响应文件递交响应文件。如未按时递交，由此产生的后果由磋商供应商自行负责。</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16.1.1 截标后由采购人或采购代理机构对磋商供应商进行信用查询。</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查询渠道：“信用中国”网站（www.creditchina.gov.cn）、中国政府采购网（www.ccgp.gov.cn） </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查询截止时点：响应截止时间   </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查询记录和证据留存方式：在查询网站中直接打印查询记录，打印材料作为评审资料保存。</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17.  评审与磋商</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17.1  成立磋商小组：评审与磋商活动由依法组建的磋商小组负责。磋商小组由采购人代表和有关技术、经济等方面的专家组成。采购人或采购代理机构根据本项目的特点，从同级或上一级财政部门设立的政府采购评审专家库中，通过随机方式抽取专家。</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17.2  评审原则：评审活动遵循公平、公正、科学和择优的原则。</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17.3  评审方法：磋商小组按照磋商供应商须知前附表和第三章“评审方法”规定的方法、评审因素和标准对响应文件进行评审。在评审中，不得改变第三章“评审办法”规定的方法、评审因素和标准；第三章“评审办法”没有规定的方法、评审因素和标准，不作为评审依据。</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  </w:t>
      </w:r>
      <w:r>
        <w:rPr>
          <w:rFonts w:hint="eastAsia" w:asciiTheme="majorEastAsia" w:hAnsiTheme="majorEastAsia" w:eastAsiaTheme="majorEastAsia" w:cstheme="majorEastAsia"/>
          <w:bCs/>
          <w:color w:val="000000" w:themeColor="text1"/>
          <w:sz w:val="24"/>
          <w:szCs w:val="24"/>
        </w:rPr>
        <w:t>评审程序：</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17.4.1  </w:t>
      </w:r>
      <w:r>
        <w:rPr>
          <w:rFonts w:hint="eastAsia" w:asciiTheme="majorEastAsia" w:hAnsiTheme="majorEastAsia" w:eastAsiaTheme="majorEastAsia" w:cstheme="majorEastAsia"/>
          <w:bCs/>
          <w:color w:val="000000" w:themeColor="text1"/>
          <w:sz w:val="24"/>
          <w:szCs w:val="24"/>
        </w:rPr>
        <w:t>采购代理机构项目负责人宣读评审会场纪律要求，集中管理通讯工具，询问在场人员是否申请回避。</w:t>
      </w:r>
    </w:p>
    <w:p>
      <w:pPr>
        <w:pStyle w:val="10"/>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17.4.2  </w:t>
      </w:r>
      <w:r>
        <w:rPr>
          <w:rFonts w:hint="eastAsia" w:asciiTheme="majorEastAsia" w:hAnsiTheme="majorEastAsia" w:eastAsiaTheme="majorEastAsia" w:cstheme="majorEastAsia"/>
          <w:bCs/>
          <w:color w:val="000000" w:themeColor="text1"/>
          <w:sz w:val="24"/>
          <w:szCs w:val="24"/>
        </w:rPr>
        <w:t>采购代理机构项目负责人介绍项目概况及</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小组组成情况（但不得发表影响评审的倾向性、歧视性言论），推选</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小组组长（原则上采购人不得担任</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小组组长）。</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17.4.3  </w:t>
      </w:r>
      <w:r>
        <w:rPr>
          <w:rFonts w:hint="eastAsia" w:asciiTheme="majorEastAsia" w:hAnsiTheme="majorEastAsia" w:eastAsiaTheme="majorEastAsia" w:cstheme="majorEastAsia"/>
          <w:color w:val="000000" w:themeColor="text1"/>
          <w:sz w:val="24"/>
          <w:szCs w:val="24"/>
        </w:rPr>
        <w:t>磋商小组在响应文件拆封前对响应文件做密封性检查，并签字确认。</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17.4.4  响应文件初审：初审分为资格性检查和符合性检查。</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（1）资格性检查：依据法律法规和采购文件的规定，对响应文件中的资格证明等进行审查，以确定磋商供应商是否具备响应的资格。</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（2）符合性检查：依据采购文件的规定，从响应文件的有效性、完整性和对响应文件的响应程度进行审查，以确定是否对响应文件的实质性要求和条件作出响应。</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(1)有下列情形之一的视为磋商供应商相互串通，响应文件将被视为无效。</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①不同磋商供应商的响应文件由同一单位或者个人编制；</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2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②</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不同磋商供应商委托同一单位或者个人办理磋商事宜；</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3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③</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不同的磋商供应商的响应文件载明的项目管理员为同一个人；</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4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④</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不同磋商供应商的响应文件异常一致或报价呈规律性差异；</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5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⑤</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不同磋商供应商的响应文件相互混装；</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（2）关联供应商不得参加同一合同项下政府采购活动，否则磋商文件将被视为无效</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①单位负责人为同一人或者存在直接控股、管理关系的不同的供应商，不得参加同一合同项下的政府采购活动;</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②生产厂商授权给供应商后自己不得参加同一合同项下的政府采购活动；生产厂商对同一品牌同一型号的货物，仅能委托一个代理商参加响应。</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17.4.5  澄清有关问题。对响应文件中含义不明确、同类问题表述不一致或者有明显文字和计算错误的内容，磋商小组可以书面形式（应当由磋商小组专家签字）要求磋商供应商作出必要的澄清、说明或者纠正。磋商供应商的澄清、说明或者纠正应当采用书面形式，由法定代表人或其委托代理人签字或盖章确认，且不得超出响应文件的范围或者改变响应文件的实质性内容。该澄清、说明或者纠正是响应文件的组成部分。</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17.4.6  制定磋商文件。磋商小组根据采购项目以及磋商供应商的实际情况制定磋商文件。磋商文件应当明确磋商程序、磋商内容、合同草案的条款以及评定成交的标准等事项。</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17.4.7  确定邀请参加磋商的供应商名单。磋商小组将所有通过资格性审查的供应商确定为邀请参加磋商的供应商，并向其提供磋商文件。</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17.4.8  磋商。</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（1）磋商小组将在磋商供应商须知前附表规定的地点与各磋商供应商进行每轮磋商。</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（2）磋商内容包括：响应报价、技术参数要求和商务条款、合同草案条款，其中磋商供应商资格条件除外。</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磋商小组所有成员集中与单一供应商分别进行磋商。在磋商中，磋商的任何一方不得透露与磋商有关的其他供应商的技术资料、价格和其他信息。对磋商文件做出的实质性变动（采购需求中的技术、服务要求以及合同草案条款）是磋商文件的有效组成部分，磋商小组应当及时以书面形式通知所有参加磋商的供应商。</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磋商供应商的法定代表人或其委托代理人以及技术人员必须参加每轮磋商。磋商供应商的法定代表人凭法定代表人资格证明书和本人身份证原件参加磋商，其委托代理人凭授权委托书和本人身份证原件参加磋商。磋商供应商未按时到达评审会场参加磋商或未能出示上述证件的，视为放弃响应。</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磋商小组与磋商供应商进行磋商的内容，磋商供应商除当场答复外，还应作出书面应答。书面应答文件必须由磋商供应商的法定代表人或其委托代理人签字（签章）或盖公章，按要求进行封装并在磋商文件规定的时间前提交至磋商小组，否则视为放弃响应。</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（6）未实质性响应磋商文件的响应文件按无效响应处理，磋商小组应当告知提交响应文件的供应商。</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磋商小组与磋商供应商可进行多轮磋商，磋商供应商的最后一次应答文件及最终报价应单独封装提交至磋商小组。在对商务、技术及其他内容的比较和评价结束前，磋商小组不能接触、比较和评价响应报价。最终报价在磋商小组完成商务、技术及其他内容的评审后才能拆封。</w:t>
      </w:r>
    </w:p>
    <w:p>
      <w:pPr>
        <w:pStyle w:val="10"/>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rPr>
        <w:t>（8）磋商供应商的应答文件经磋商小组代表确认后，变动竞争性磋商文件或响应文件中相应</w:t>
      </w:r>
      <w:r>
        <w:rPr>
          <w:rFonts w:hint="eastAsia" w:asciiTheme="majorEastAsia" w:hAnsiTheme="majorEastAsia" w:eastAsiaTheme="majorEastAsia" w:cstheme="majorEastAsia"/>
          <w:sz w:val="24"/>
          <w:szCs w:val="24"/>
        </w:rPr>
        <w:t>的内容，并构成响应文件的组成部分和评审的依据。如成交，则作为合同的组成部分。</w:t>
      </w:r>
    </w:p>
    <w:p>
      <w:pPr>
        <w:pStyle w:val="10"/>
        <w:spacing w:line="440" w:lineRule="exact"/>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17.4.9磋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供应商以低于成本报价响应，其响应无效。</w:t>
      </w:r>
    </w:p>
    <w:p>
      <w:pPr>
        <w:pStyle w:val="10"/>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17.4.10  按顺序排列成交候选供应商，并编写评审报告。</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17.4.11  采购代理机构对评审过程和评分、评审结论进行核对和复核，如有错漏，请磋商小组进行校正，按校正后的结果确定成交供应商。</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17.5  评审过程的保密。评审在严格保密的情况下进行，任何单位和个人不得非法干预、影响评审办法的确定，以及评审过程和结果。磋商小组成员和参与评审的有关工作人员不得透露对响应文件的评审和比较、成交候选人的推荐情况以及与评审有关的其他情况。</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18.  响应文件的修正</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18.1  如果出现计算或表达上的错误，修正的原则如下：</w:t>
      </w:r>
    </w:p>
    <w:p>
      <w:pPr>
        <w:pStyle w:val="10"/>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（1）响应文件中响应函内容与响应报价表内容不一致的，以响应报价表为准；</w:t>
      </w:r>
    </w:p>
    <w:p>
      <w:pPr>
        <w:pStyle w:val="10"/>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（2）响应文件的大写金额和小写金额不一致的，以大写金额为准；</w:t>
      </w:r>
    </w:p>
    <w:p>
      <w:pPr>
        <w:pStyle w:val="10"/>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（3）总价金额与按单价汇总金额不一致的，以单价金额计算结果为准；</w:t>
      </w:r>
    </w:p>
    <w:p>
      <w:pPr>
        <w:pStyle w:val="10"/>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（4）单价金额小数点有明显错位的，应以总价为准，并修改单价。</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18.2  按上述修正原则修正后的响应报价经磋商供应商书面确认后对磋商供应商具有约束力。如果磋商供应商不接受修正后的响应报价，则其响应文件无效。</w:t>
      </w:r>
    </w:p>
    <w:p>
      <w:pPr>
        <w:pStyle w:val="10"/>
        <w:spacing w:line="440" w:lineRule="exact"/>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19.  拒绝接收</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19.1  磋商供应商未在本章第15.1项规定的时间之前将响应文件送达至本章第15.2项指定地点的，采购代理机构应当拒绝接收该磋商供应商的响应文件。</w:t>
      </w:r>
    </w:p>
    <w:p>
      <w:pPr>
        <w:pStyle w:val="10"/>
        <w:spacing w:line="440" w:lineRule="exact"/>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20. 无效响应</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★属下列情形之一的，供应商的响应无效：</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（1）供应商不具备本章第3项规定的供应商资格要求的；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（2）响应文件未按本章第8.8项的规定标识或未按规定的正、副本数量递交的； </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（3）响应文件未按本章第10.1项的规定编写和提交的（包括缺少应提交的文件或格式不符合第五章“响应文件格式”的要求）；</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（4）响应文件不符合本章第10.2项规定的；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（5）响应报价不符合本章第11项规定的或超过采购预算的</w:t>
      </w:r>
      <w:r>
        <w:rPr>
          <w:rFonts w:cs="宋体" w:asciiTheme="majorEastAsia" w:hAnsiTheme="majorEastAsia" w:eastAsiaTheme="majorEastAsia"/>
          <w:sz w:val="24"/>
          <w:szCs w:val="24"/>
        </w:rPr>
        <w:t>或超过最高限价的</w:t>
      </w:r>
      <w:r>
        <w:rPr>
          <w:rFonts w:hint="eastAsia" w:asciiTheme="majorEastAsia" w:hAnsiTheme="majorEastAsia" w:eastAsiaTheme="majorEastAsia" w:cstheme="majorEastAsia"/>
          <w:color w:val="000000" w:themeColor="text1"/>
          <w:sz w:val="24"/>
          <w:szCs w:val="24"/>
        </w:rPr>
        <w:t>或磋商小组认定低于成本报价的；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（6）响应文件不符合本章第14项规定的；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（7）供应商出现本章第17.4.4项所述的响应文件将被视为无效的情形的；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（8）供应商出现本章第18.2项所述情形的；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（9）响应文件未对竞争性磋商文件提出的要求和条件作出实质性响应的；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（10）磋商小组认为响应文件存在严重负偏离的；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（11）响应文件附有采购需求以外的条件使磋商小组认为不能接受的；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（12）供应商在响应过程中提供虚假材料的。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（13）响应文件含有违反国家法律、法规的内容。</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供应商响应无效的，磋商小组应当告知有关供应商。 </w:t>
      </w:r>
    </w:p>
    <w:p>
      <w:pPr>
        <w:pStyle w:val="10"/>
        <w:spacing w:line="440" w:lineRule="exact"/>
        <w:ind w:firstLine="420"/>
        <w:rPr>
          <w:rFonts w:asciiTheme="majorEastAsia" w:hAnsiTheme="majorEastAsia" w:eastAsiaTheme="majorEastAsia" w:cstheme="majorEastAsia"/>
          <w:color w:val="000000" w:themeColor="text1"/>
          <w:sz w:val="24"/>
          <w:szCs w:val="24"/>
        </w:rPr>
      </w:pPr>
    </w:p>
    <w:p>
      <w:pPr>
        <w:pStyle w:val="10"/>
        <w:spacing w:line="440" w:lineRule="exact"/>
        <w:rPr>
          <w:rFonts w:asciiTheme="majorEastAsia" w:hAnsiTheme="majorEastAsia" w:eastAsiaTheme="majorEastAsia" w:cstheme="majorEastAsia"/>
          <w:color w:val="000000" w:themeColor="text1"/>
          <w:sz w:val="24"/>
          <w:szCs w:val="24"/>
        </w:rPr>
      </w:pPr>
      <w:bookmarkStart w:id="78" w:name="_Toc213326421"/>
      <w:bookmarkStart w:id="79" w:name="_Toc495334415"/>
      <w:r>
        <w:rPr>
          <w:rFonts w:hint="eastAsia" w:asciiTheme="majorEastAsia" w:hAnsiTheme="majorEastAsia" w:eastAsiaTheme="majorEastAsia" w:cstheme="majorEastAsia"/>
          <w:color w:val="000000" w:themeColor="text1"/>
          <w:sz w:val="24"/>
          <w:szCs w:val="24"/>
        </w:rPr>
        <w:t>21. 废标</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21.1  在采购过程中，出现下列情形之一的，予以废标：</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（1）采用竞争性磋商采购方式的政府购买服务项目或政府和社会资本合作项目对竞争性磋商文件作实质响应的供应商不足2家的；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（2）采用竞争性磋商采购方式的市场竞争不充分的科研项目或需要扶持科技成果转化项目对竞争性磋商文件作实质响应的供应商不足3家的；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（3）出现影响采购公正的违法、违规行为的；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（4）磋商供应商的报价均超过了采购预算，采购人不能支付的；</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（5）因重大变故，采购任务取消的。</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21.2  废标后，采购代理机构将在本章第2项规定的政府采购信息发布媒体上公告废标理由，不再另行通知。</w:t>
      </w:r>
    </w:p>
    <w:p>
      <w:pPr>
        <w:pStyle w:val="16"/>
        <w:outlineLvl w:val="1"/>
        <w:rPr>
          <w:rFonts w:asciiTheme="majorEastAsia" w:hAnsiTheme="majorEastAsia" w:eastAsiaTheme="majorEastAsia" w:cstheme="majorEastAsia"/>
          <w:color w:val="000000" w:themeColor="text1"/>
          <w:sz w:val="30"/>
          <w:szCs w:val="30"/>
        </w:rPr>
      </w:pPr>
      <w:bookmarkStart w:id="80" w:name="_Toc26939"/>
      <w:bookmarkStart w:id="81" w:name="_Toc15380"/>
      <w:bookmarkStart w:id="82" w:name="_Toc7328"/>
      <w:r>
        <w:rPr>
          <w:rFonts w:hint="eastAsia" w:asciiTheme="majorEastAsia" w:hAnsiTheme="majorEastAsia" w:eastAsiaTheme="majorEastAsia" w:cstheme="majorEastAsia"/>
          <w:color w:val="000000" w:themeColor="text1"/>
        </w:rPr>
        <w:t>六   合同授予</w:t>
      </w:r>
      <w:bookmarkEnd w:id="78"/>
      <w:bookmarkEnd w:id="79"/>
      <w:bookmarkEnd w:id="80"/>
      <w:bookmarkEnd w:id="81"/>
      <w:bookmarkEnd w:id="82"/>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22.  成交供应商的确定</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磋商小组按第三章“评审方法”的规定排列成交候选供应商顺序，并依照次序确定成交方。</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23.  成交公告及成交通知书</w:t>
      </w:r>
    </w:p>
    <w:p>
      <w:pPr>
        <w:pStyle w:val="10"/>
        <w:spacing w:line="440" w:lineRule="exact"/>
        <w:ind w:firstLine="36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szCs w:val="24"/>
        </w:rPr>
        <w:t>23.1采购代理机构应当自成交人确认之日起2个工作日内，在</w:t>
      </w:r>
      <w:r>
        <w:rPr>
          <w:rFonts w:hint="eastAsia" w:asciiTheme="majorEastAsia" w:hAnsiTheme="majorEastAsia" w:eastAsiaTheme="majorEastAsia" w:cstheme="majorEastAsia"/>
          <w:color w:val="000000" w:themeColor="text1"/>
          <w:sz w:val="24"/>
        </w:rPr>
        <w:t>本章第2.1项规定的政府采购信息发布媒体上公示成交结果，成交公告期限为1个工作日，在公告成交结果的同时，采购代理机构应当向成交人发出成交通知书。</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23.2  成交通知书对采购人和成交供应商具有同等法律效力。成交通知书发出后，采购人改变成交结果，或者成交供应商放弃成交，应当承担相应的法律责任。</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24.  响应文件的退回</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24.1  采购人及采购代理机构无义务向未成交供应商退回响应文件。</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25.   签订合同</w:t>
      </w:r>
    </w:p>
    <w:p>
      <w:pPr>
        <w:pStyle w:val="10"/>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25.1  采购人和成交供应商应当在第二章“服务需求一览表”中商务条款要求载明的合同签订期内，根据竞争性磋商文件、成交供应商的响应文件及有关澄清承诺书的要求按第六章“合同条款及格式”订立书面合同。</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25.2  发出成交通知书后，采购人无正当理由拒签合同的，给成交供应商造成损失的，应当赔偿损失。</w:t>
      </w:r>
    </w:p>
    <w:p>
      <w:pPr>
        <w:widowControl/>
        <w:spacing w:before="100" w:beforeAutospacing="1" w:after="100" w:afterAutospacing="1" w:line="450" w:lineRule="atLeast"/>
        <w:ind w:firstLine="480" w:firstLineChars="200"/>
        <w:jc w:val="lef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25.3  成交供应商拒绝与采购人签订合同的，</w:t>
      </w:r>
      <w:r>
        <w:rPr>
          <w:rFonts w:hint="eastAsia" w:asciiTheme="majorEastAsia" w:hAnsiTheme="majorEastAsia" w:eastAsiaTheme="majorEastAsia" w:cstheme="majorEastAsia"/>
          <w:color w:val="000000" w:themeColor="text1"/>
          <w:sz w:val="24"/>
        </w:rPr>
        <w:t>经政府采购监督管理部门同意，</w:t>
      </w:r>
      <w:r>
        <w:rPr>
          <w:rFonts w:hint="eastAsia" w:asciiTheme="majorEastAsia" w:hAnsiTheme="majorEastAsia" w:eastAsiaTheme="majorEastAsia" w:cstheme="majorEastAsia"/>
          <w:color w:val="000000" w:themeColor="text1"/>
          <w:kern w:val="0"/>
          <w:sz w:val="24"/>
        </w:rPr>
        <w:t>采购人可以按照评审报告推荐的成交候选人名单排序，确定下一候选人为成交供应商，也可以重新开展政府采购活动。</w:t>
      </w:r>
    </w:p>
    <w:p>
      <w:pPr>
        <w:pStyle w:val="10"/>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25.4  成交供应商因不可抗力或者自身原因不能履行政府采购合同的，采购人可以与排位在成交供应商之后第一位的成交候选供应商签订政府采购合同，以此类推。</w:t>
      </w:r>
    </w:p>
    <w:p>
      <w:pPr>
        <w:pStyle w:val="10"/>
        <w:spacing w:line="440" w:lineRule="exact"/>
        <w:rPr>
          <w:rFonts w:asciiTheme="majorEastAsia" w:hAnsiTheme="majorEastAsia" w:eastAsiaTheme="majorEastAsia" w:cstheme="majorEastAsia"/>
          <w:bCs/>
          <w:color w:val="000000" w:themeColor="text1"/>
          <w:sz w:val="24"/>
          <w:szCs w:val="24"/>
        </w:rPr>
      </w:pPr>
      <w:bookmarkStart w:id="83" w:name="_Toc213326423"/>
      <w:bookmarkStart w:id="84" w:name="_Toc213206175"/>
      <w:bookmarkStart w:id="85" w:name="_Toc213325924"/>
      <w:r>
        <w:rPr>
          <w:rFonts w:hint="eastAsia" w:asciiTheme="majorEastAsia" w:hAnsiTheme="majorEastAsia" w:eastAsiaTheme="majorEastAsia" w:cstheme="majorEastAsia"/>
          <w:bCs/>
          <w:color w:val="000000" w:themeColor="text1"/>
          <w:sz w:val="24"/>
          <w:szCs w:val="24"/>
        </w:rPr>
        <w:t>26.  履约保证金及质量保证金</w:t>
      </w:r>
    </w:p>
    <w:p>
      <w:pPr>
        <w:pStyle w:val="10"/>
        <w:spacing w:line="440" w:lineRule="exact"/>
        <w:ind w:firstLine="360" w:firstLineChars="150"/>
        <w:jc w:val="left"/>
        <w:rPr>
          <w:rFonts w:asciiTheme="majorEastAsia" w:hAnsiTheme="majorEastAsia" w:eastAsiaTheme="majorEastAsia" w:cstheme="majorEastAsia"/>
          <w:color w:val="000000" w:themeColor="text1"/>
          <w:szCs w:val="28"/>
        </w:rPr>
      </w:pPr>
      <w:bookmarkStart w:id="86" w:name="_Toc213326422"/>
      <w:bookmarkStart w:id="87" w:name="_Toc495334416"/>
      <w:r>
        <w:rPr>
          <w:rFonts w:hint="eastAsia" w:asciiTheme="majorEastAsia" w:hAnsiTheme="majorEastAsia" w:eastAsiaTheme="majorEastAsia" w:cstheme="majorEastAsia"/>
          <w:color w:val="000000" w:themeColor="text1"/>
          <w:sz w:val="24"/>
          <w:szCs w:val="24"/>
        </w:rPr>
        <w:t>本项目不收取履约保证金及质量保证金</w:t>
      </w:r>
      <w:r>
        <w:rPr>
          <w:rFonts w:hint="eastAsia" w:asciiTheme="majorEastAsia" w:hAnsiTheme="majorEastAsia" w:eastAsiaTheme="majorEastAsia" w:cstheme="majorEastAsia"/>
          <w:color w:val="000000" w:themeColor="text1"/>
          <w:szCs w:val="28"/>
        </w:rPr>
        <w:t>。</w:t>
      </w:r>
    </w:p>
    <w:p>
      <w:pPr>
        <w:pStyle w:val="10"/>
        <w:spacing w:line="440" w:lineRule="exact"/>
        <w:jc w:val="center"/>
        <w:rPr>
          <w:rFonts w:asciiTheme="majorEastAsia" w:hAnsiTheme="majorEastAsia" w:eastAsiaTheme="majorEastAsia" w:cstheme="majorEastAsia"/>
          <w:color w:val="000000" w:themeColor="text1"/>
        </w:rPr>
      </w:pPr>
    </w:p>
    <w:p>
      <w:pPr>
        <w:pStyle w:val="16"/>
        <w:outlineLvl w:val="1"/>
        <w:rPr>
          <w:rFonts w:asciiTheme="majorEastAsia" w:hAnsiTheme="majorEastAsia" w:eastAsiaTheme="majorEastAsia" w:cstheme="majorEastAsia"/>
          <w:color w:val="000000" w:themeColor="text1"/>
        </w:rPr>
      </w:pPr>
      <w:bookmarkStart w:id="88" w:name="_Toc8678"/>
      <w:bookmarkStart w:id="89" w:name="_Toc17564"/>
      <w:bookmarkStart w:id="90" w:name="_Toc9686"/>
      <w:r>
        <w:rPr>
          <w:rFonts w:hint="eastAsia" w:asciiTheme="majorEastAsia" w:hAnsiTheme="majorEastAsia" w:eastAsiaTheme="majorEastAsia" w:cstheme="majorEastAsia"/>
          <w:color w:val="000000" w:themeColor="text1"/>
        </w:rPr>
        <w:t>七   其他事项</w:t>
      </w:r>
      <w:bookmarkEnd w:id="86"/>
      <w:bookmarkEnd w:id="87"/>
      <w:bookmarkEnd w:id="88"/>
      <w:bookmarkEnd w:id="89"/>
      <w:bookmarkEnd w:id="90"/>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27.  解释权</w:t>
      </w:r>
    </w:p>
    <w:p>
      <w:pPr>
        <w:pStyle w:val="10"/>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27.1  本竞争性磋商采购文件根据《中华人民共和国政府采购法》、《中华人民共和国政府采购法实施条例》、《政府采购竞争性磋商采购方式管理暂行办法》（财库〔2014〕214号）及相关法律法规编制，解释权属采购代理机构。</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28.  其他</w:t>
      </w:r>
    </w:p>
    <w:p>
      <w:pPr>
        <w:pStyle w:val="10"/>
        <w:spacing w:line="440" w:lineRule="exact"/>
        <w:ind w:firstLine="600" w:firstLineChars="25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只要磋商供应商参与响应并递交响应文件即视为已经理解并毫无保留地同意了本竞争性磋商文件的所有条文。</w:t>
      </w:r>
    </w:p>
    <w:p>
      <w:pPr>
        <w:pStyle w:val="10"/>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29.   响应文件的退回</w:t>
      </w:r>
    </w:p>
    <w:p>
      <w:pPr>
        <w:pStyle w:val="10"/>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所有响应文件均不予退回。</w:t>
      </w:r>
    </w:p>
    <w:p>
      <w:pPr>
        <w:pStyle w:val="10"/>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30.  需要补充的其他内容</w:t>
      </w:r>
    </w:p>
    <w:p>
      <w:pPr>
        <w:pStyle w:val="10"/>
        <w:spacing w:line="440" w:lineRule="exact"/>
        <w:ind w:firstLine="600" w:firstLineChars="25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需要补充的其他内容：见磋商供应商须知前附表。</w:t>
      </w:r>
    </w:p>
    <w:p>
      <w:pPr>
        <w:pStyle w:val="16"/>
        <w:rPr>
          <w:rFonts w:ascii="宋体"/>
          <w:color w:val="000000" w:themeColor="text1"/>
        </w:rPr>
      </w:pPr>
      <w:r>
        <w:rPr>
          <w:rFonts w:hint="eastAsia" w:asciiTheme="majorEastAsia" w:hAnsiTheme="majorEastAsia" w:eastAsiaTheme="majorEastAsia" w:cstheme="majorEastAsia"/>
          <w:color w:val="000000" w:themeColor="text1"/>
        </w:rPr>
        <w:br w:type="page"/>
      </w:r>
      <w:bookmarkEnd w:id="83"/>
      <w:bookmarkEnd w:id="84"/>
      <w:bookmarkEnd w:id="85"/>
      <w:bookmarkStart w:id="91" w:name="_Toc18164"/>
      <w:bookmarkStart w:id="92" w:name="_Toc14764"/>
      <w:bookmarkStart w:id="93" w:name="_Toc4957"/>
      <w:bookmarkStart w:id="94" w:name="_Toc18802"/>
      <w:r>
        <w:rPr>
          <w:rFonts w:hint="eastAsia" w:ascii="宋体" w:hAnsi="宋体"/>
          <w:color w:val="000000" w:themeColor="text1"/>
        </w:rPr>
        <w:t>第五章</w:t>
      </w:r>
      <w:r>
        <w:rPr>
          <w:rFonts w:ascii="宋体" w:hAnsi="宋体"/>
          <w:color w:val="000000" w:themeColor="text1"/>
        </w:rPr>
        <w:t xml:space="preserve">  </w:t>
      </w:r>
      <w:r>
        <w:rPr>
          <w:rFonts w:hint="eastAsia" w:ascii="宋体" w:hAnsi="宋体"/>
          <w:color w:val="000000" w:themeColor="text1"/>
        </w:rPr>
        <w:t>响应文件格式</w:t>
      </w:r>
      <w:bookmarkEnd w:id="91"/>
      <w:bookmarkEnd w:id="92"/>
      <w:bookmarkEnd w:id="93"/>
    </w:p>
    <w:p>
      <w:pPr>
        <w:pStyle w:val="10"/>
        <w:spacing w:line="500" w:lineRule="exact"/>
        <w:outlineLvl w:val="1"/>
        <w:rPr>
          <w:rFonts w:hAnsi="宋体"/>
          <w:b/>
          <w:color w:val="000000" w:themeColor="text1"/>
        </w:rPr>
      </w:pPr>
      <w:bookmarkStart w:id="95" w:name="_Toc12985"/>
      <w:bookmarkStart w:id="96" w:name="_Toc30227"/>
      <w:bookmarkStart w:id="97" w:name="_Toc30378"/>
      <w:r>
        <w:rPr>
          <w:rFonts w:hint="eastAsia" w:hAnsi="宋体"/>
          <w:b/>
          <w:color w:val="000000" w:themeColor="text1"/>
        </w:rPr>
        <w:t>格式</w:t>
      </w:r>
      <w:r>
        <w:rPr>
          <w:rFonts w:hAnsi="宋体"/>
          <w:b/>
          <w:color w:val="000000" w:themeColor="text1"/>
        </w:rPr>
        <w:t>1</w:t>
      </w:r>
      <w:r>
        <w:rPr>
          <w:rFonts w:hint="eastAsia" w:hAnsi="宋体"/>
          <w:b/>
          <w:color w:val="000000" w:themeColor="text1"/>
        </w:rPr>
        <w:t>：</w:t>
      </w:r>
      <w:bookmarkEnd w:id="95"/>
      <w:bookmarkEnd w:id="96"/>
      <w:bookmarkEnd w:id="97"/>
    </w:p>
    <w:p>
      <w:pPr>
        <w:pStyle w:val="10"/>
        <w:spacing w:line="500" w:lineRule="exact"/>
        <w:jc w:val="center"/>
        <w:rPr>
          <w:rFonts w:hAnsi="宋体"/>
          <w:b/>
          <w:bCs/>
          <w:color w:val="000000" w:themeColor="text1"/>
          <w:sz w:val="30"/>
          <w:szCs w:val="30"/>
        </w:rPr>
      </w:pPr>
      <w:r>
        <w:rPr>
          <w:rFonts w:hint="eastAsia" w:hAnsi="宋体"/>
          <w:b/>
          <w:bCs/>
          <w:color w:val="000000" w:themeColor="text1"/>
          <w:sz w:val="30"/>
          <w:szCs w:val="30"/>
        </w:rPr>
        <w:t>响应函（格式）</w:t>
      </w:r>
    </w:p>
    <w:p>
      <w:pPr>
        <w:pStyle w:val="10"/>
        <w:spacing w:line="500" w:lineRule="exact"/>
        <w:rPr>
          <w:rFonts w:hAnsi="宋体"/>
          <w:color w:val="000000" w:themeColor="text1"/>
          <w:sz w:val="32"/>
        </w:rPr>
      </w:pPr>
    </w:p>
    <w:p>
      <w:pPr>
        <w:pStyle w:val="10"/>
        <w:spacing w:line="440" w:lineRule="exact"/>
        <w:rPr>
          <w:rFonts w:hAnsi="宋体"/>
          <w:color w:val="000000" w:themeColor="text1"/>
          <w:sz w:val="24"/>
          <w:szCs w:val="24"/>
        </w:rPr>
      </w:pPr>
      <w:r>
        <w:rPr>
          <w:rFonts w:hint="eastAsia" w:hAnsi="宋体"/>
          <w:color w:val="000000" w:themeColor="text1"/>
          <w:sz w:val="24"/>
          <w:szCs w:val="24"/>
        </w:rPr>
        <w:t>致：</w:t>
      </w:r>
      <w:r>
        <w:rPr>
          <w:rFonts w:hint="eastAsia" w:hAnsi="宋体"/>
          <w:color w:val="000000" w:themeColor="text1"/>
          <w:sz w:val="24"/>
          <w:szCs w:val="24"/>
          <w:u w:val="single"/>
        </w:rPr>
        <w:t xml:space="preserve">                 </w:t>
      </w:r>
      <w:r>
        <w:rPr>
          <w:rFonts w:hint="eastAsia" w:hAnsi="宋体"/>
          <w:color w:val="000000" w:themeColor="text1"/>
          <w:sz w:val="24"/>
          <w:szCs w:val="24"/>
        </w:rPr>
        <w:t>（采购代理机构名称）</w:t>
      </w:r>
    </w:p>
    <w:p>
      <w:pPr>
        <w:pStyle w:val="10"/>
        <w:spacing w:line="440" w:lineRule="exact"/>
        <w:ind w:firstLine="480" w:firstLineChars="200"/>
        <w:rPr>
          <w:rFonts w:hAnsi="宋体"/>
          <w:color w:val="000000" w:themeColor="text1"/>
          <w:sz w:val="24"/>
          <w:szCs w:val="24"/>
        </w:rPr>
      </w:pPr>
    </w:p>
    <w:p>
      <w:pPr>
        <w:pStyle w:val="10"/>
        <w:spacing w:line="440" w:lineRule="exact"/>
        <w:ind w:firstLine="480" w:firstLineChars="200"/>
        <w:rPr>
          <w:rFonts w:hAnsi="宋体"/>
          <w:color w:val="000000" w:themeColor="text1"/>
          <w:sz w:val="24"/>
          <w:szCs w:val="24"/>
        </w:rPr>
      </w:pPr>
      <w:r>
        <w:rPr>
          <w:rFonts w:hint="eastAsia" w:hAnsi="宋体"/>
          <w:color w:val="000000" w:themeColor="text1"/>
          <w:sz w:val="24"/>
          <w:szCs w:val="24"/>
        </w:rPr>
        <w:t>我方已仔细阅读了贵方组织的</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int="eastAsia" w:hAnsi="宋体"/>
          <w:color w:val="000000" w:themeColor="text1"/>
          <w:sz w:val="24"/>
          <w:szCs w:val="24"/>
        </w:rPr>
        <w:t>项目（项目编号：</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int="eastAsia" w:hAnsi="宋体"/>
          <w:color w:val="000000" w:themeColor="text1"/>
          <w:sz w:val="24"/>
          <w:szCs w:val="24"/>
        </w:rPr>
        <w:t>）的竞争性磋商文件的全部内容，现正式提交下述响应文件参加贵方组织的本次政府采购活动：</w:t>
      </w:r>
      <w:r>
        <w:rPr>
          <w:rFonts w:hAnsi="宋体"/>
          <w:color w:val="000000" w:themeColor="text1"/>
          <w:sz w:val="24"/>
          <w:szCs w:val="24"/>
        </w:rPr>
        <w:t xml:space="preserve"> </w:t>
      </w:r>
    </w:p>
    <w:p>
      <w:pPr>
        <w:pStyle w:val="10"/>
        <w:spacing w:line="440" w:lineRule="exact"/>
        <w:ind w:firstLine="480" w:firstLineChars="200"/>
        <w:rPr>
          <w:rFonts w:hAnsi="宋体"/>
          <w:color w:val="000000" w:themeColor="text1"/>
          <w:sz w:val="24"/>
          <w:szCs w:val="24"/>
        </w:rPr>
      </w:pPr>
      <w:r>
        <w:rPr>
          <w:rFonts w:hint="eastAsia" w:hAnsi="宋体"/>
          <w:color w:val="000000" w:themeColor="text1"/>
          <w:sz w:val="24"/>
          <w:szCs w:val="24"/>
        </w:rPr>
        <w:t>一、首次报价文件正本一份，副本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10.1.1</w:t>
      </w:r>
      <w:r>
        <w:rPr>
          <w:rFonts w:hint="eastAsia" w:hAnsi="宋体"/>
          <w:color w:val="000000" w:themeColor="text1"/>
          <w:sz w:val="24"/>
          <w:szCs w:val="24"/>
        </w:rPr>
        <w:t>项要求提交的全部文件）；</w:t>
      </w:r>
    </w:p>
    <w:p>
      <w:pPr>
        <w:pStyle w:val="10"/>
        <w:spacing w:line="440" w:lineRule="exact"/>
        <w:ind w:firstLine="480" w:firstLineChars="200"/>
        <w:rPr>
          <w:rFonts w:hAnsi="宋体"/>
          <w:color w:val="000000" w:themeColor="text1"/>
          <w:sz w:val="24"/>
          <w:szCs w:val="24"/>
        </w:rPr>
      </w:pPr>
      <w:r>
        <w:rPr>
          <w:rFonts w:hint="eastAsia" w:hAnsi="宋体"/>
          <w:color w:val="000000" w:themeColor="text1"/>
          <w:sz w:val="24"/>
          <w:szCs w:val="24"/>
        </w:rPr>
        <w:t>二、技术文件正本一份，副本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10.1.2</w:t>
      </w:r>
      <w:r>
        <w:rPr>
          <w:rFonts w:hint="eastAsia" w:hAnsi="宋体"/>
          <w:color w:val="000000" w:themeColor="text1"/>
          <w:sz w:val="24"/>
          <w:szCs w:val="24"/>
        </w:rPr>
        <w:t>项要求提交的全部文件）；</w:t>
      </w:r>
    </w:p>
    <w:p>
      <w:pPr>
        <w:pStyle w:val="10"/>
        <w:spacing w:line="440" w:lineRule="exact"/>
        <w:ind w:firstLine="480" w:firstLineChars="200"/>
        <w:rPr>
          <w:rFonts w:hAnsi="宋体"/>
          <w:color w:val="000000" w:themeColor="text1"/>
          <w:sz w:val="24"/>
          <w:szCs w:val="24"/>
        </w:rPr>
      </w:pPr>
      <w:r>
        <w:rPr>
          <w:rFonts w:hint="eastAsia" w:hAnsi="宋体"/>
          <w:color w:val="000000" w:themeColor="text1"/>
          <w:sz w:val="24"/>
          <w:szCs w:val="24"/>
        </w:rPr>
        <w:t>三、商务文件正本一份，副本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10.1.3</w:t>
      </w:r>
      <w:r>
        <w:rPr>
          <w:rFonts w:hint="eastAsia" w:hAnsi="宋体"/>
          <w:color w:val="000000" w:themeColor="text1"/>
          <w:sz w:val="24"/>
          <w:szCs w:val="24"/>
        </w:rPr>
        <w:t>项要求提交的全部文件）。</w:t>
      </w:r>
    </w:p>
    <w:p>
      <w:pPr>
        <w:pStyle w:val="10"/>
        <w:spacing w:line="440" w:lineRule="exact"/>
        <w:ind w:firstLine="482"/>
        <w:rPr>
          <w:rFonts w:hAnsi="宋体"/>
          <w:color w:val="000000" w:themeColor="text1"/>
          <w:sz w:val="24"/>
          <w:szCs w:val="24"/>
        </w:rPr>
      </w:pPr>
      <w:r>
        <w:rPr>
          <w:rFonts w:hint="eastAsia" w:hAnsi="宋体"/>
          <w:color w:val="000000" w:themeColor="text1"/>
          <w:sz w:val="24"/>
          <w:szCs w:val="24"/>
        </w:rPr>
        <w:t>据此函，签字人兹宣布：</w:t>
      </w:r>
    </w:p>
    <w:p>
      <w:pPr>
        <w:pStyle w:val="10"/>
        <w:spacing w:line="440" w:lineRule="exact"/>
        <w:ind w:firstLine="482"/>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、我方愿意以（大写）人民币</w:t>
      </w:r>
      <w:r>
        <w:rPr>
          <w:rFonts w:hAnsi="宋体"/>
          <w:color w:val="000000" w:themeColor="text1"/>
          <w:sz w:val="24"/>
          <w:szCs w:val="24"/>
        </w:rPr>
        <w:t xml:space="preserve"> </w:t>
      </w:r>
      <w:r>
        <w:rPr>
          <w:rFonts w:hAnsi="宋体"/>
          <w:color w:val="000000" w:themeColor="text1"/>
          <w:sz w:val="24"/>
          <w:szCs w:val="24"/>
          <w:u w:val="single"/>
        </w:rPr>
        <w:t xml:space="preserve">       </w:t>
      </w:r>
      <w:r>
        <w:rPr>
          <w:rFonts w:hint="eastAsia" w:hAnsi="宋体"/>
          <w:color w:val="000000" w:themeColor="text1"/>
          <w:sz w:val="24"/>
          <w:szCs w:val="24"/>
        </w:rPr>
        <w:t>（￥</w:t>
      </w:r>
      <w:r>
        <w:rPr>
          <w:rFonts w:hAnsi="宋体"/>
          <w:color w:val="000000" w:themeColor="text1"/>
          <w:sz w:val="24"/>
          <w:szCs w:val="24"/>
          <w:u w:val="single"/>
        </w:rPr>
        <w:t xml:space="preserve">     </w:t>
      </w:r>
      <w:r>
        <w:rPr>
          <w:rFonts w:hint="eastAsia" w:hAnsi="宋体"/>
          <w:color w:val="000000" w:themeColor="text1"/>
          <w:sz w:val="24"/>
          <w:szCs w:val="24"/>
        </w:rPr>
        <w:t>元</w:t>
      </w:r>
      <w:r>
        <w:rPr>
          <w:rFonts w:hAnsi="宋体"/>
          <w:color w:val="000000" w:themeColor="text1"/>
          <w:sz w:val="24"/>
          <w:szCs w:val="24"/>
        </w:rPr>
        <w:t>)</w:t>
      </w:r>
      <w:r>
        <w:rPr>
          <w:rFonts w:hint="eastAsia" w:hAnsi="宋体"/>
          <w:color w:val="000000" w:themeColor="text1"/>
          <w:sz w:val="24"/>
          <w:szCs w:val="24"/>
        </w:rPr>
        <w:t>的响应总报价，</w:t>
      </w:r>
      <w:r>
        <w:rPr>
          <w:rFonts w:hint="eastAsia" w:cs="新宋体" w:asciiTheme="majorEastAsia" w:hAnsiTheme="majorEastAsia" w:eastAsiaTheme="majorEastAsia"/>
          <w:color w:val="000000" w:themeColor="text1"/>
          <w:sz w:val="24"/>
        </w:rPr>
        <w:t>提交服务成果时间：</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Ansi="宋体"/>
          <w:color w:val="000000" w:themeColor="text1"/>
          <w:sz w:val="24"/>
          <w:szCs w:val="24"/>
        </w:rPr>
        <w:t xml:space="preserve"> </w:t>
      </w:r>
      <w:r>
        <w:rPr>
          <w:rFonts w:hint="eastAsia" w:hAnsi="宋体"/>
          <w:color w:val="000000" w:themeColor="text1"/>
          <w:sz w:val="24"/>
          <w:szCs w:val="24"/>
        </w:rPr>
        <w:t>，提供本项目竞争性磋商文件第二章“服务需求一览表”中相应的采购内容。</w:t>
      </w:r>
    </w:p>
    <w:p>
      <w:pPr>
        <w:pStyle w:val="10"/>
        <w:spacing w:line="440" w:lineRule="exact"/>
        <w:ind w:firstLine="482"/>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、我方同意自本项目竞争性磋商文件“磋商供应商须知”第</w:t>
      </w:r>
      <w:r>
        <w:rPr>
          <w:rFonts w:hAnsi="宋体"/>
          <w:color w:val="000000" w:themeColor="text1"/>
          <w:sz w:val="24"/>
          <w:szCs w:val="24"/>
        </w:rPr>
        <w:t>15.1</w:t>
      </w:r>
      <w:r>
        <w:rPr>
          <w:rFonts w:hint="eastAsia" w:hAnsi="宋体"/>
          <w:color w:val="000000" w:themeColor="text1"/>
          <w:sz w:val="24"/>
          <w:szCs w:val="24"/>
        </w:rPr>
        <w:t>项规定的提交响应文件截止时间起遵循本响应函，并承诺在“磋商供应商须知”第</w:t>
      </w:r>
      <w:r>
        <w:rPr>
          <w:rFonts w:hAnsi="宋体"/>
          <w:color w:val="000000" w:themeColor="text1"/>
          <w:sz w:val="24"/>
          <w:szCs w:val="24"/>
        </w:rPr>
        <w:t>12.1</w:t>
      </w:r>
      <w:r>
        <w:rPr>
          <w:rFonts w:hint="eastAsia" w:hAnsi="宋体"/>
          <w:color w:val="000000" w:themeColor="text1"/>
          <w:sz w:val="24"/>
          <w:szCs w:val="24"/>
        </w:rPr>
        <w:t>项规定的响应有效期内不修改、撤销响应文件。</w:t>
      </w:r>
    </w:p>
    <w:p>
      <w:pPr>
        <w:pStyle w:val="10"/>
        <w:spacing w:line="440" w:lineRule="exact"/>
        <w:ind w:firstLine="482"/>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、我方在此声明，所提交的响应文件及有关资料内容完整、真实和准确。</w:t>
      </w:r>
    </w:p>
    <w:p>
      <w:pPr>
        <w:pStyle w:val="10"/>
        <w:spacing w:line="440" w:lineRule="exact"/>
        <w:ind w:firstLine="482"/>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、我方承诺未被列入失信被执行人、重大税收违法案件当事人名单、政府采购严重违法失信行为记录名单，并已已经具备《中华人民共和国政府采购法》中规定的参加政府采购活动的供应商应当具备的条件：</w:t>
      </w:r>
    </w:p>
    <w:p>
      <w:pPr>
        <w:pStyle w:val="10"/>
        <w:numPr>
          <w:ilvl w:val="0"/>
          <w:numId w:val="2"/>
        </w:numPr>
        <w:spacing w:line="440" w:lineRule="exact"/>
        <w:rPr>
          <w:rFonts w:hAnsi="宋体"/>
          <w:color w:val="000000" w:themeColor="text1"/>
          <w:sz w:val="24"/>
          <w:szCs w:val="24"/>
        </w:rPr>
      </w:pPr>
      <w:r>
        <w:rPr>
          <w:rFonts w:hint="eastAsia" w:hAnsi="宋体"/>
          <w:color w:val="000000" w:themeColor="text1"/>
          <w:sz w:val="24"/>
          <w:szCs w:val="24"/>
        </w:rPr>
        <w:t>具有独立承担民事责任的能力；</w:t>
      </w:r>
    </w:p>
    <w:p>
      <w:pPr>
        <w:pStyle w:val="10"/>
        <w:numPr>
          <w:ilvl w:val="0"/>
          <w:numId w:val="2"/>
        </w:numPr>
        <w:spacing w:line="440" w:lineRule="exact"/>
        <w:rPr>
          <w:rFonts w:hAnsi="宋体"/>
          <w:color w:val="000000" w:themeColor="text1"/>
          <w:sz w:val="24"/>
          <w:szCs w:val="24"/>
        </w:rPr>
      </w:pPr>
      <w:r>
        <w:rPr>
          <w:rFonts w:hint="eastAsia" w:hAnsi="宋体"/>
          <w:color w:val="000000" w:themeColor="text1"/>
          <w:sz w:val="24"/>
          <w:szCs w:val="24"/>
        </w:rPr>
        <w:t>具有良好的商业信誉和健全的财务会计制度；</w:t>
      </w:r>
    </w:p>
    <w:p>
      <w:pPr>
        <w:pStyle w:val="10"/>
        <w:numPr>
          <w:ilvl w:val="0"/>
          <w:numId w:val="2"/>
        </w:numPr>
        <w:spacing w:line="440" w:lineRule="exact"/>
        <w:rPr>
          <w:rFonts w:hAnsi="宋体"/>
          <w:color w:val="000000" w:themeColor="text1"/>
          <w:sz w:val="24"/>
          <w:szCs w:val="24"/>
        </w:rPr>
      </w:pPr>
      <w:r>
        <w:rPr>
          <w:rFonts w:hint="eastAsia" w:hAnsi="宋体"/>
          <w:color w:val="000000" w:themeColor="text1"/>
          <w:sz w:val="24"/>
          <w:szCs w:val="24"/>
        </w:rPr>
        <w:t>具有履行合同所必需的设备和专业技术能力；</w:t>
      </w:r>
    </w:p>
    <w:p>
      <w:pPr>
        <w:pStyle w:val="10"/>
        <w:numPr>
          <w:ilvl w:val="0"/>
          <w:numId w:val="2"/>
        </w:numPr>
        <w:spacing w:line="440" w:lineRule="exact"/>
        <w:rPr>
          <w:rFonts w:hAnsi="宋体"/>
          <w:color w:val="000000" w:themeColor="text1"/>
          <w:sz w:val="24"/>
          <w:szCs w:val="24"/>
        </w:rPr>
      </w:pPr>
      <w:r>
        <w:rPr>
          <w:rFonts w:hint="eastAsia" w:hAnsi="宋体"/>
          <w:color w:val="000000" w:themeColor="text1"/>
          <w:sz w:val="24"/>
          <w:szCs w:val="24"/>
        </w:rPr>
        <w:t>有依法缴纳税收和社会保障资金的良好记录；</w:t>
      </w:r>
    </w:p>
    <w:p>
      <w:pPr>
        <w:pStyle w:val="10"/>
        <w:numPr>
          <w:ilvl w:val="0"/>
          <w:numId w:val="2"/>
        </w:numPr>
        <w:spacing w:line="440" w:lineRule="exact"/>
        <w:rPr>
          <w:rFonts w:hAnsi="宋体"/>
          <w:color w:val="000000" w:themeColor="text1"/>
          <w:sz w:val="24"/>
          <w:szCs w:val="24"/>
        </w:rPr>
      </w:pPr>
      <w:r>
        <w:rPr>
          <w:rFonts w:hint="eastAsia" w:hAnsi="宋体"/>
          <w:color w:val="000000" w:themeColor="text1"/>
          <w:sz w:val="24"/>
          <w:szCs w:val="24"/>
        </w:rPr>
        <w:t>参加政府采购活动前三年内，在经营活动中没有重大违法记录；</w:t>
      </w:r>
    </w:p>
    <w:p>
      <w:pPr>
        <w:pStyle w:val="10"/>
        <w:numPr>
          <w:ilvl w:val="0"/>
          <w:numId w:val="2"/>
        </w:numPr>
        <w:spacing w:line="440" w:lineRule="exact"/>
        <w:rPr>
          <w:rFonts w:hAnsi="宋体"/>
          <w:color w:val="000000" w:themeColor="text1"/>
          <w:sz w:val="24"/>
          <w:szCs w:val="24"/>
        </w:rPr>
      </w:pPr>
      <w:r>
        <w:rPr>
          <w:rFonts w:hint="eastAsia" w:hAnsi="宋体"/>
          <w:color w:val="000000" w:themeColor="text1"/>
          <w:sz w:val="24"/>
          <w:szCs w:val="24"/>
        </w:rPr>
        <w:t>法律、行政法规规定的其他条件。</w:t>
      </w:r>
    </w:p>
    <w:p>
      <w:pPr>
        <w:pStyle w:val="10"/>
        <w:spacing w:line="440" w:lineRule="exact"/>
        <w:ind w:firstLine="482"/>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我方成交，我方承诺在收到成交通知书后，在成交通知书规定的期限内，根据竞争性磋商采购文件、我方的响应文件及有关澄清承诺书的要求按第六章“合同条款及格式”与采购人订立书面合同，并按照合同约定承担完成合同的责任和义务。</w:t>
      </w:r>
    </w:p>
    <w:p>
      <w:pPr>
        <w:pStyle w:val="10"/>
        <w:spacing w:line="440" w:lineRule="exact"/>
        <w:ind w:firstLine="482"/>
        <w:rPr>
          <w:rFonts w:hAnsi="宋体"/>
          <w:color w:val="000000" w:themeColor="text1"/>
          <w:sz w:val="24"/>
          <w:szCs w:val="24"/>
        </w:rPr>
      </w:pPr>
      <w:r>
        <w:rPr>
          <w:rFonts w:hAnsi="宋体"/>
          <w:color w:val="000000" w:themeColor="text1"/>
          <w:sz w:val="24"/>
          <w:szCs w:val="24"/>
        </w:rPr>
        <w:t>6</w:t>
      </w:r>
      <w:r>
        <w:rPr>
          <w:rFonts w:hint="eastAsia" w:hAnsi="宋体"/>
          <w:color w:val="000000" w:themeColor="text1"/>
          <w:sz w:val="24"/>
          <w:szCs w:val="24"/>
        </w:rPr>
        <w:t>、我方已详细审核竞争性磋商文件，我方知道必须放弃提出含糊不清或误解问题的权利。</w:t>
      </w:r>
    </w:p>
    <w:p>
      <w:pPr>
        <w:pStyle w:val="10"/>
        <w:spacing w:line="440" w:lineRule="exact"/>
        <w:ind w:firstLine="482"/>
        <w:rPr>
          <w:rFonts w:hAnsi="宋体"/>
          <w:color w:val="000000" w:themeColor="text1"/>
          <w:sz w:val="24"/>
          <w:szCs w:val="24"/>
        </w:rPr>
      </w:pPr>
      <w:r>
        <w:rPr>
          <w:rFonts w:hAnsi="宋体"/>
          <w:color w:val="000000" w:themeColor="text1"/>
          <w:sz w:val="24"/>
          <w:szCs w:val="24"/>
        </w:rPr>
        <w:t>7</w:t>
      </w:r>
      <w:r>
        <w:rPr>
          <w:rFonts w:hint="eastAsia" w:hAnsi="宋体"/>
          <w:color w:val="000000" w:themeColor="text1"/>
          <w:sz w:val="24"/>
          <w:szCs w:val="24"/>
        </w:rPr>
        <w:t>、我方承诺满足竞争性磋商文件第六章《南宁市青秀区政府采购合同》中的条款，承担完成合同的责任和义务。</w:t>
      </w:r>
    </w:p>
    <w:p>
      <w:pPr>
        <w:pStyle w:val="10"/>
        <w:spacing w:line="440" w:lineRule="exact"/>
        <w:ind w:firstLine="482"/>
        <w:rPr>
          <w:rFonts w:hAnsi="宋体"/>
          <w:color w:val="000000" w:themeColor="text1"/>
          <w:sz w:val="24"/>
          <w:szCs w:val="24"/>
        </w:rPr>
      </w:pPr>
      <w:r>
        <w:rPr>
          <w:rFonts w:hint="eastAsia" w:hAnsi="宋体"/>
          <w:color w:val="000000" w:themeColor="text1"/>
          <w:sz w:val="24"/>
          <w:szCs w:val="24"/>
        </w:rPr>
        <w:t>8、我方同意应贵方要求提供与本磋商有关的任何数据或资料。若贵方需要，我方愿意提供我方作出的一切承诺的证明材料。</w:t>
      </w:r>
    </w:p>
    <w:p>
      <w:pPr>
        <w:pStyle w:val="10"/>
        <w:spacing w:line="440" w:lineRule="exact"/>
        <w:ind w:firstLine="482"/>
        <w:rPr>
          <w:rFonts w:hAnsi="宋体"/>
          <w:color w:val="000000" w:themeColor="text1"/>
          <w:sz w:val="24"/>
          <w:szCs w:val="24"/>
        </w:rPr>
      </w:pPr>
      <w:r>
        <w:rPr>
          <w:rFonts w:hint="eastAsia" w:hAnsi="宋体"/>
          <w:color w:val="000000" w:themeColor="text1"/>
          <w:sz w:val="24"/>
          <w:szCs w:val="24"/>
        </w:rPr>
        <w:t>9、我方完全理解贵方不一定接受响应报价最低的磋商供应商为成交供应商的行为。</w:t>
      </w:r>
    </w:p>
    <w:p>
      <w:pPr>
        <w:pStyle w:val="10"/>
        <w:spacing w:line="440" w:lineRule="exact"/>
        <w:ind w:firstLine="482"/>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numPr>
          <w:ilvl w:val="0"/>
          <w:numId w:val="3"/>
        </w:numPr>
        <w:spacing w:line="440" w:lineRule="exact"/>
        <w:rPr>
          <w:rFonts w:hAnsi="宋体"/>
          <w:color w:val="000000" w:themeColor="text1"/>
          <w:sz w:val="24"/>
          <w:szCs w:val="24"/>
        </w:rPr>
      </w:pPr>
      <w:r>
        <w:rPr>
          <w:rFonts w:hint="eastAsia" w:hAnsi="宋体"/>
          <w:color w:val="000000" w:themeColor="text1"/>
          <w:sz w:val="24"/>
          <w:szCs w:val="24"/>
        </w:rPr>
        <w:t>提供虚假材料谋取中标、成交的；</w:t>
      </w:r>
    </w:p>
    <w:p>
      <w:pPr>
        <w:pStyle w:val="10"/>
        <w:numPr>
          <w:ilvl w:val="0"/>
          <w:numId w:val="3"/>
        </w:numPr>
        <w:spacing w:line="440" w:lineRule="exact"/>
        <w:rPr>
          <w:rFonts w:hAnsi="宋体"/>
          <w:color w:val="000000" w:themeColor="text1"/>
          <w:sz w:val="24"/>
          <w:szCs w:val="24"/>
        </w:rPr>
      </w:pPr>
      <w:r>
        <w:rPr>
          <w:rFonts w:hint="eastAsia" w:hAnsi="宋体"/>
          <w:color w:val="000000" w:themeColor="text1"/>
          <w:sz w:val="24"/>
          <w:szCs w:val="24"/>
        </w:rPr>
        <w:t>采取不正当手段诋毁、排挤其他供应商的；</w:t>
      </w:r>
    </w:p>
    <w:p>
      <w:pPr>
        <w:pStyle w:val="10"/>
        <w:numPr>
          <w:ilvl w:val="0"/>
          <w:numId w:val="3"/>
        </w:numPr>
        <w:spacing w:line="440" w:lineRule="exact"/>
        <w:rPr>
          <w:rFonts w:hAnsi="宋体"/>
          <w:color w:val="000000" w:themeColor="text1"/>
          <w:sz w:val="24"/>
          <w:szCs w:val="24"/>
        </w:rPr>
      </w:pPr>
      <w:r>
        <w:rPr>
          <w:rFonts w:hint="eastAsia" w:hAnsi="宋体"/>
          <w:color w:val="000000" w:themeColor="text1"/>
          <w:sz w:val="24"/>
          <w:szCs w:val="24"/>
        </w:rPr>
        <w:t>与采购人、其他供应商或者采购代理机构恶意串通的；</w:t>
      </w:r>
    </w:p>
    <w:p>
      <w:pPr>
        <w:pStyle w:val="10"/>
        <w:numPr>
          <w:ilvl w:val="0"/>
          <w:numId w:val="3"/>
        </w:numPr>
        <w:spacing w:line="440" w:lineRule="exact"/>
        <w:rPr>
          <w:rFonts w:hAnsi="宋体"/>
          <w:color w:val="000000" w:themeColor="text1"/>
          <w:sz w:val="24"/>
          <w:szCs w:val="24"/>
        </w:rPr>
      </w:pPr>
      <w:r>
        <w:rPr>
          <w:rFonts w:hint="eastAsia" w:hAnsi="宋体"/>
          <w:color w:val="000000" w:themeColor="text1"/>
          <w:sz w:val="24"/>
          <w:szCs w:val="24"/>
        </w:rPr>
        <w:t>向采购人、采购代理机构行贿或者提供其他不正当利益的；</w:t>
      </w:r>
    </w:p>
    <w:p>
      <w:pPr>
        <w:pStyle w:val="10"/>
        <w:numPr>
          <w:ilvl w:val="0"/>
          <w:numId w:val="3"/>
        </w:numPr>
        <w:spacing w:line="440" w:lineRule="exact"/>
        <w:rPr>
          <w:rFonts w:hAnsi="宋体"/>
          <w:color w:val="000000" w:themeColor="text1"/>
          <w:sz w:val="24"/>
          <w:szCs w:val="24"/>
        </w:rPr>
      </w:pPr>
      <w:r>
        <w:rPr>
          <w:rFonts w:hint="eastAsia" w:hAnsi="宋体"/>
          <w:color w:val="000000" w:themeColor="text1"/>
          <w:sz w:val="24"/>
          <w:szCs w:val="24"/>
        </w:rPr>
        <w:t>在采购过程中与采购人进行协商谈判的；</w:t>
      </w:r>
    </w:p>
    <w:p>
      <w:pPr>
        <w:pStyle w:val="10"/>
        <w:numPr>
          <w:ilvl w:val="0"/>
          <w:numId w:val="3"/>
        </w:numPr>
        <w:spacing w:line="440" w:lineRule="exact"/>
        <w:rPr>
          <w:rFonts w:hAnsi="宋体"/>
          <w:color w:val="000000" w:themeColor="text1"/>
          <w:sz w:val="24"/>
          <w:szCs w:val="24"/>
        </w:rPr>
      </w:pPr>
      <w:r>
        <w:rPr>
          <w:rFonts w:hint="eastAsia" w:hAnsi="宋体"/>
          <w:color w:val="000000" w:themeColor="text1"/>
          <w:sz w:val="24"/>
          <w:szCs w:val="24"/>
        </w:rPr>
        <w:t>拒绝有关部门监督检查或提供虚假情况的。</w:t>
      </w: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磋商供应商：（盖单位公章）</w:t>
      </w:r>
      <w:r>
        <w:rPr>
          <w:rFonts w:hint="eastAsia" w:hAnsi="宋体"/>
          <w:color w:val="000000" w:themeColor="text1"/>
          <w:sz w:val="24"/>
          <w:szCs w:val="24"/>
          <w:u w:val="single"/>
        </w:rPr>
        <w:t xml:space="preserve">                                    </w:t>
      </w: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法定代表人或其委托代理人：（签字或盖章）</w:t>
      </w:r>
      <w:r>
        <w:rPr>
          <w:rFonts w:hint="eastAsia" w:hAnsi="宋体"/>
          <w:color w:val="000000" w:themeColor="text1"/>
          <w:sz w:val="24"/>
          <w:szCs w:val="24"/>
          <w:u w:val="single"/>
        </w:rPr>
        <w:t xml:space="preserve">                      </w:t>
      </w: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地址：</w:t>
      </w:r>
      <w:r>
        <w:rPr>
          <w:rFonts w:hint="eastAsia" w:hAnsi="宋体"/>
          <w:color w:val="000000" w:themeColor="text1"/>
          <w:sz w:val="24"/>
          <w:szCs w:val="24"/>
          <w:u w:val="single"/>
        </w:rPr>
        <w:t xml:space="preserve">                                                         </w:t>
      </w: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电话：</w:t>
      </w:r>
      <w:r>
        <w:rPr>
          <w:rFonts w:hAnsi="宋体"/>
          <w:color w:val="000000" w:themeColor="text1"/>
          <w:sz w:val="24"/>
          <w:szCs w:val="24"/>
          <w:u w:val="single"/>
        </w:rPr>
        <w:t xml:space="preserve">                                      </w:t>
      </w:r>
      <w:r>
        <w:rPr>
          <w:rFonts w:hint="eastAsia" w:hAnsi="宋体"/>
          <w:color w:val="000000" w:themeColor="text1"/>
          <w:sz w:val="24"/>
          <w:szCs w:val="24"/>
          <w:u w:val="single"/>
        </w:rPr>
        <w:t>　　　　　　　　　</w:t>
      </w:r>
    </w:p>
    <w:p>
      <w:pPr>
        <w:pStyle w:val="10"/>
        <w:spacing w:line="360" w:lineRule="auto"/>
        <w:ind w:firstLine="420"/>
        <w:rPr>
          <w:rFonts w:hAnsi="宋体"/>
          <w:color w:val="000000" w:themeColor="text1"/>
          <w:sz w:val="24"/>
          <w:szCs w:val="24"/>
        </w:rPr>
      </w:pPr>
      <w:r>
        <w:rPr>
          <w:rFonts w:hint="eastAsia" w:hAnsi="宋体"/>
          <w:color w:val="000000" w:themeColor="text1"/>
          <w:sz w:val="24"/>
          <w:szCs w:val="24"/>
        </w:rPr>
        <w:t>传真：</w:t>
      </w:r>
      <w:r>
        <w:rPr>
          <w:rFonts w:hint="eastAsia" w:hAnsi="宋体"/>
          <w:color w:val="000000" w:themeColor="text1"/>
          <w:sz w:val="24"/>
          <w:szCs w:val="24"/>
          <w:u w:val="single"/>
        </w:rPr>
        <w:t>　　　　　　　　　　　　　　　　　　　　　　　　　　　　</w:t>
      </w: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邮政编码：</w:t>
      </w:r>
      <w:r>
        <w:rPr>
          <w:rFonts w:hAnsi="宋体"/>
          <w:color w:val="000000" w:themeColor="text1"/>
          <w:sz w:val="24"/>
          <w:szCs w:val="24"/>
        </w:rPr>
        <w:t xml:space="preserve"> </w:t>
      </w:r>
      <w:r>
        <w:rPr>
          <w:rFonts w:hint="eastAsia" w:hAnsi="宋体"/>
          <w:color w:val="000000" w:themeColor="text1"/>
          <w:sz w:val="24"/>
          <w:szCs w:val="24"/>
          <w:u w:val="single"/>
        </w:rPr>
        <w:t xml:space="preserve">                                                    </w:t>
      </w: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开户名称：</w:t>
      </w:r>
      <w:r>
        <w:rPr>
          <w:rFonts w:hint="eastAsia" w:hAnsi="宋体"/>
          <w:color w:val="000000" w:themeColor="text1"/>
          <w:sz w:val="24"/>
          <w:szCs w:val="24"/>
          <w:u w:val="single"/>
        </w:rPr>
        <w:t xml:space="preserve">                                                     </w:t>
      </w: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开户银行：</w:t>
      </w:r>
      <w:r>
        <w:rPr>
          <w:rFonts w:hint="eastAsia" w:hAnsi="宋体"/>
          <w:color w:val="000000" w:themeColor="text1"/>
          <w:sz w:val="24"/>
          <w:szCs w:val="24"/>
          <w:u w:val="single"/>
        </w:rPr>
        <w:t xml:space="preserve">                                                      </w:t>
      </w: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银行账号：</w:t>
      </w:r>
      <w:r>
        <w:rPr>
          <w:rFonts w:hint="eastAsia" w:hAnsi="宋体"/>
          <w:color w:val="000000" w:themeColor="text1"/>
          <w:sz w:val="24"/>
          <w:szCs w:val="24"/>
          <w:u w:val="single"/>
        </w:rPr>
        <w:t xml:space="preserve">                                                     </w:t>
      </w:r>
    </w:p>
    <w:p>
      <w:pPr>
        <w:pStyle w:val="10"/>
        <w:spacing w:line="360" w:lineRule="auto"/>
        <w:ind w:firstLine="420"/>
        <w:rPr>
          <w:rFonts w:hAnsi="宋体"/>
          <w:color w:val="000000" w:themeColor="text1"/>
          <w:sz w:val="24"/>
          <w:szCs w:val="24"/>
          <w:u w:val="single"/>
        </w:rPr>
      </w:pPr>
    </w:p>
    <w:p>
      <w:pPr>
        <w:pStyle w:val="10"/>
        <w:spacing w:line="360" w:lineRule="auto"/>
        <w:ind w:firstLine="420"/>
        <w:jc w:val="center"/>
        <w:rPr>
          <w:rFonts w:hAnsi="宋体"/>
          <w:b/>
          <w:bCs/>
          <w:color w:val="000000" w:themeColor="text1"/>
        </w:rPr>
      </w:pPr>
      <w:r>
        <w:rPr>
          <w:rFonts w:hAnsi="宋体"/>
          <w:bCs/>
          <w:color w:val="000000" w:themeColor="text1"/>
          <w:sz w:val="24"/>
          <w:szCs w:val="24"/>
        </w:rPr>
        <w:t xml:space="preserve">                                                       </w:t>
      </w:r>
      <w:r>
        <w:rPr>
          <w:rFonts w:hint="eastAsia" w:hAnsi="宋体"/>
          <w:bCs/>
          <w:color w:val="000000" w:themeColor="text1"/>
          <w:sz w:val="24"/>
          <w:szCs w:val="24"/>
        </w:rPr>
        <w:t>年</w:t>
      </w:r>
      <w:r>
        <w:rPr>
          <w:rFonts w:hAnsi="宋体"/>
          <w:bCs/>
          <w:color w:val="000000" w:themeColor="text1"/>
          <w:sz w:val="24"/>
          <w:szCs w:val="24"/>
        </w:rPr>
        <w:t xml:space="preserve">  </w:t>
      </w:r>
      <w:r>
        <w:rPr>
          <w:rFonts w:hint="eastAsia" w:hAnsi="宋体"/>
          <w:bCs/>
          <w:color w:val="000000" w:themeColor="text1"/>
          <w:sz w:val="24"/>
          <w:szCs w:val="24"/>
        </w:rPr>
        <w:t>月</w:t>
      </w:r>
      <w:r>
        <w:rPr>
          <w:rFonts w:hAnsi="宋体"/>
          <w:bCs/>
          <w:color w:val="000000" w:themeColor="text1"/>
          <w:sz w:val="24"/>
          <w:szCs w:val="24"/>
        </w:rPr>
        <w:t xml:space="preserve">    </w:t>
      </w:r>
      <w:r>
        <w:rPr>
          <w:rFonts w:hint="eastAsia" w:hAnsi="宋体"/>
          <w:bCs/>
          <w:color w:val="000000" w:themeColor="text1"/>
          <w:sz w:val="24"/>
          <w:szCs w:val="24"/>
        </w:rPr>
        <w:t>日</w:t>
      </w:r>
    </w:p>
    <w:p>
      <w:pPr>
        <w:pStyle w:val="10"/>
        <w:outlineLvl w:val="1"/>
        <w:rPr>
          <w:rFonts w:hAnsi="宋体"/>
          <w:color w:val="000000" w:themeColor="text1"/>
          <w:u w:val="single"/>
        </w:rPr>
      </w:pPr>
      <w:r>
        <w:rPr>
          <w:rFonts w:hAnsi="宋体"/>
          <w:b/>
          <w:color w:val="000000" w:themeColor="text1"/>
        </w:rPr>
        <w:br w:type="page"/>
      </w:r>
      <w:bookmarkStart w:id="98" w:name="_Toc13059"/>
      <w:bookmarkStart w:id="99" w:name="_Toc8385"/>
      <w:bookmarkStart w:id="100" w:name="_Toc13670"/>
      <w:r>
        <w:rPr>
          <w:rFonts w:hint="eastAsia" w:hAnsi="宋体"/>
          <w:b/>
          <w:color w:val="000000" w:themeColor="text1"/>
        </w:rPr>
        <w:t>格式</w:t>
      </w:r>
      <w:r>
        <w:rPr>
          <w:rFonts w:hAnsi="宋体"/>
          <w:b/>
          <w:color w:val="000000" w:themeColor="text1"/>
        </w:rPr>
        <w:t>2</w:t>
      </w:r>
      <w:r>
        <w:rPr>
          <w:rFonts w:hint="eastAsia" w:hAnsi="宋体"/>
          <w:b/>
          <w:color w:val="000000" w:themeColor="text1"/>
        </w:rPr>
        <w:t>：</w:t>
      </w:r>
      <w:bookmarkEnd w:id="98"/>
      <w:bookmarkEnd w:id="99"/>
      <w:bookmarkEnd w:id="100"/>
    </w:p>
    <w:p>
      <w:pPr>
        <w:pStyle w:val="10"/>
        <w:jc w:val="center"/>
        <w:outlineLvl w:val="2"/>
        <w:rPr>
          <w:rFonts w:hAnsi="宋体"/>
          <w:b/>
          <w:color w:val="000000" w:themeColor="text1"/>
          <w:sz w:val="32"/>
        </w:rPr>
      </w:pPr>
      <w:r>
        <w:rPr>
          <w:rFonts w:hint="eastAsia" w:hAnsi="宋体"/>
          <w:b/>
          <w:color w:val="000000" w:themeColor="text1"/>
          <w:sz w:val="32"/>
        </w:rPr>
        <w:t>响应报价表（格式）</w:t>
      </w:r>
    </w:p>
    <w:p>
      <w:pPr>
        <w:pStyle w:val="10"/>
        <w:jc w:val="center"/>
        <w:rPr>
          <w:rFonts w:hAnsi="宋体"/>
          <w:b/>
          <w:color w:val="000000" w:themeColor="text1"/>
          <w:sz w:val="32"/>
        </w:rPr>
      </w:pPr>
    </w:p>
    <w:tbl>
      <w:tblPr>
        <w:tblStyle w:val="18"/>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vAlign w:val="center"/>
          </w:tcPr>
          <w:p>
            <w:pPr>
              <w:pStyle w:val="10"/>
              <w:jc w:val="center"/>
              <w:rPr>
                <w:rFonts w:hAnsi="宋体"/>
                <w:color w:val="000000" w:themeColor="text1"/>
                <w:spacing w:val="-20"/>
                <w:sz w:val="24"/>
                <w:szCs w:val="24"/>
              </w:rPr>
            </w:pPr>
            <w:r>
              <w:rPr>
                <w:rFonts w:hAnsi="宋体"/>
                <w:color w:val="000000" w:themeColor="text1"/>
                <w:spacing w:val="-20"/>
                <w:sz w:val="24"/>
                <w:szCs w:val="24"/>
              </w:rPr>
              <w:t>序</w:t>
            </w:r>
            <w:r>
              <w:rPr>
                <w:rFonts w:hint="eastAsia" w:hAnsi="宋体"/>
                <w:color w:val="000000" w:themeColor="text1"/>
                <w:spacing w:val="-20"/>
                <w:sz w:val="24"/>
                <w:szCs w:val="24"/>
              </w:rPr>
              <w:t>号</w:t>
            </w:r>
          </w:p>
        </w:tc>
        <w:tc>
          <w:tcPr>
            <w:tcW w:w="2100" w:type="dxa"/>
            <w:vAlign w:val="center"/>
          </w:tcPr>
          <w:p>
            <w:pPr>
              <w:pStyle w:val="10"/>
              <w:jc w:val="center"/>
              <w:rPr>
                <w:rFonts w:hAnsi="宋体"/>
                <w:color w:val="000000" w:themeColor="text1"/>
                <w:spacing w:val="-20"/>
                <w:sz w:val="24"/>
                <w:szCs w:val="24"/>
              </w:rPr>
            </w:pPr>
            <w:r>
              <w:rPr>
                <w:rFonts w:hint="eastAsia" w:hAnsi="宋体"/>
                <w:color w:val="000000" w:themeColor="text1"/>
                <w:spacing w:val="-20"/>
                <w:sz w:val="24"/>
                <w:szCs w:val="24"/>
              </w:rPr>
              <w:t>服务名称</w:t>
            </w:r>
          </w:p>
        </w:tc>
        <w:tc>
          <w:tcPr>
            <w:tcW w:w="2520" w:type="dxa"/>
            <w:vAlign w:val="center"/>
          </w:tcPr>
          <w:p>
            <w:pPr>
              <w:pStyle w:val="10"/>
              <w:jc w:val="center"/>
              <w:rPr>
                <w:rFonts w:hAnsi="宋体"/>
                <w:color w:val="000000" w:themeColor="text1"/>
                <w:spacing w:val="-20"/>
                <w:sz w:val="24"/>
                <w:szCs w:val="24"/>
              </w:rPr>
            </w:pPr>
            <w:r>
              <w:rPr>
                <w:rFonts w:hint="eastAsia" w:hAnsi="宋体"/>
                <w:color w:val="000000" w:themeColor="text1"/>
                <w:spacing w:val="-20"/>
                <w:sz w:val="24"/>
                <w:szCs w:val="24"/>
              </w:rPr>
              <w:t>服务内容</w:t>
            </w:r>
          </w:p>
        </w:tc>
        <w:tc>
          <w:tcPr>
            <w:tcW w:w="735" w:type="dxa"/>
            <w:vAlign w:val="center"/>
          </w:tcPr>
          <w:p>
            <w:pPr>
              <w:pStyle w:val="10"/>
              <w:jc w:val="center"/>
              <w:rPr>
                <w:rFonts w:hAnsi="宋体"/>
                <w:color w:val="000000" w:themeColor="text1"/>
                <w:spacing w:val="-20"/>
                <w:sz w:val="24"/>
                <w:szCs w:val="24"/>
              </w:rPr>
            </w:pPr>
            <w:r>
              <w:rPr>
                <w:rFonts w:hint="eastAsia" w:hAnsi="宋体"/>
                <w:color w:val="000000" w:themeColor="text1"/>
                <w:spacing w:val="-20"/>
                <w:sz w:val="24"/>
                <w:szCs w:val="24"/>
              </w:rPr>
              <w:t>数量</w:t>
            </w:r>
          </w:p>
          <w:p>
            <w:pPr>
              <w:pStyle w:val="10"/>
              <w:jc w:val="center"/>
              <w:rPr>
                <w:rFonts w:hAnsi="宋体"/>
                <w:color w:val="000000" w:themeColor="text1"/>
                <w:spacing w:val="-20"/>
                <w:sz w:val="24"/>
                <w:szCs w:val="24"/>
              </w:rPr>
            </w:pPr>
            <w:r>
              <w:rPr>
                <w:rFonts w:hint="eastAsia" w:hAnsi="宋体"/>
                <w:color w:val="000000" w:themeColor="text1"/>
                <w:spacing w:val="-20"/>
                <w:sz w:val="24"/>
                <w:szCs w:val="24"/>
              </w:rPr>
              <w:t>①</w:t>
            </w:r>
          </w:p>
        </w:tc>
        <w:tc>
          <w:tcPr>
            <w:tcW w:w="1155" w:type="dxa"/>
            <w:vAlign w:val="center"/>
          </w:tcPr>
          <w:p>
            <w:pPr>
              <w:pStyle w:val="10"/>
              <w:jc w:val="center"/>
              <w:rPr>
                <w:rFonts w:hAnsi="宋体"/>
                <w:color w:val="000000" w:themeColor="text1"/>
                <w:sz w:val="24"/>
                <w:szCs w:val="24"/>
              </w:rPr>
            </w:pPr>
            <w:r>
              <w:rPr>
                <w:rFonts w:hint="eastAsia" w:hAnsi="宋体"/>
                <w:color w:val="000000" w:themeColor="text1"/>
                <w:sz w:val="24"/>
                <w:szCs w:val="24"/>
              </w:rPr>
              <w:t>单价</w:t>
            </w:r>
            <w:r>
              <w:rPr>
                <w:rFonts w:hAnsi="宋体"/>
                <w:color w:val="000000" w:themeColor="text1"/>
                <w:sz w:val="24"/>
                <w:szCs w:val="24"/>
              </w:rPr>
              <w:t>(</w:t>
            </w:r>
            <w:r>
              <w:rPr>
                <w:rFonts w:hint="eastAsia" w:hAnsi="宋体"/>
                <w:color w:val="000000" w:themeColor="text1"/>
                <w:sz w:val="24"/>
                <w:szCs w:val="24"/>
              </w:rPr>
              <w:t>元</w:t>
            </w:r>
            <w:r>
              <w:rPr>
                <w:rFonts w:hAnsi="宋体"/>
                <w:color w:val="000000" w:themeColor="text1"/>
                <w:sz w:val="24"/>
                <w:szCs w:val="24"/>
              </w:rPr>
              <w:t>)</w:t>
            </w:r>
          </w:p>
          <w:p>
            <w:pPr>
              <w:pStyle w:val="10"/>
              <w:jc w:val="center"/>
              <w:rPr>
                <w:rFonts w:hAnsi="宋体"/>
                <w:color w:val="000000" w:themeColor="text1"/>
                <w:sz w:val="24"/>
                <w:szCs w:val="24"/>
              </w:rPr>
            </w:pPr>
            <w:r>
              <w:rPr>
                <w:rFonts w:hint="eastAsia" w:hAnsi="宋体"/>
                <w:color w:val="000000" w:themeColor="text1"/>
                <w:sz w:val="24"/>
                <w:szCs w:val="24"/>
              </w:rPr>
              <w:t>②</w:t>
            </w:r>
          </w:p>
        </w:tc>
        <w:tc>
          <w:tcPr>
            <w:tcW w:w="1575" w:type="dxa"/>
            <w:vAlign w:val="center"/>
          </w:tcPr>
          <w:p>
            <w:pPr>
              <w:pStyle w:val="10"/>
              <w:jc w:val="center"/>
              <w:rPr>
                <w:rFonts w:hAnsi="宋体"/>
                <w:color w:val="000000" w:themeColor="text1"/>
                <w:sz w:val="24"/>
                <w:szCs w:val="24"/>
              </w:rPr>
            </w:pPr>
            <w:r>
              <w:rPr>
                <w:rFonts w:hint="eastAsia" w:hAnsi="宋体"/>
                <w:color w:val="000000" w:themeColor="text1"/>
                <w:sz w:val="24"/>
                <w:szCs w:val="24"/>
              </w:rPr>
              <w:t>单项合价（元）</w:t>
            </w:r>
          </w:p>
          <w:p>
            <w:pPr>
              <w:pStyle w:val="10"/>
              <w:jc w:val="center"/>
              <w:rPr>
                <w:rFonts w:hAnsi="宋体"/>
                <w:color w:val="000000" w:themeColor="text1"/>
                <w:sz w:val="24"/>
                <w:szCs w:val="24"/>
              </w:rPr>
            </w:pPr>
            <w:r>
              <w:rPr>
                <w:rFonts w:hint="eastAsia" w:hAnsi="宋体"/>
                <w:color w:val="000000" w:themeColor="text1"/>
                <w:sz w:val="24"/>
                <w:szCs w:val="24"/>
              </w:rPr>
              <w:t>③＝①×②</w:t>
            </w:r>
          </w:p>
        </w:tc>
        <w:tc>
          <w:tcPr>
            <w:tcW w:w="1005" w:type="dxa"/>
            <w:vAlign w:val="center"/>
          </w:tcPr>
          <w:p>
            <w:pPr>
              <w:pStyle w:val="10"/>
              <w:jc w:val="center"/>
              <w:rPr>
                <w:rFonts w:hAnsi="宋体"/>
                <w:color w:val="000000" w:themeColor="text1"/>
                <w:sz w:val="24"/>
                <w:szCs w:val="24"/>
              </w:rPr>
            </w:pPr>
            <w:r>
              <w:rPr>
                <w:rFonts w:hint="eastAsia" w:hAnsi="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vAlign w:val="center"/>
          </w:tcPr>
          <w:p>
            <w:pPr>
              <w:jc w:val="center"/>
              <w:rPr>
                <w:rFonts w:ascii="宋体"/>
                <w:color w:val="000000" w:themeColor="text1"/>
                <w:sz w:val="24"/>
              </w:rPr>
            </w:pPr>
            <w:r>
              <w:rPr>
                <w:rFonts w:ascii="宋体" w:hAnsi="宋体"/>
                <w:color w:val="000000" w:themeColor="text1"/>
                <w:sz w:val="24"/>
              </w:rPr>
              <w:t>1</w:t>
            </w:r>
          </w:p>
        </w:tc>
        <w:tc>
          <w:tcPr>
            <w:tcW w:w="2100" w:type="dxa"/>
            <w:vAlign w:val="center"/>
          </w:tcPr>
          <w:p>
            <w:pPr>
              <w:jc w:val="center"/>
              <w:rPr>
                <w:rFonts w:ascii="宋体"/>
                <w:color w:val="000000" w:themeColor="text1"/>
                <w:sz w:val="24"/>
              </w:rPr>
            </w:pPr>
          </w:p>
        </w:tc>
        <w:tc>
          <w:tcPr>
            <w:tcW w:w="2520" w:type="dxa"/>
            <w:vAlign w:val="center"/>
          </w:tcPr>
          <w:p>
            <w:pPr>
              <w:pStyle w:val="10"/>
              <w:rPr>
                <w:rFonts w:hAnsi="宋体"/>
                <w:color w:val="000000" w:themeColor="text1"/>
                <w:sz w:val="24"/>
                <w:szCs w:val="24"/>
              </w:rPr>
            </w:pPr>
          </w:p>
        </w:tc>
        <w:tc>
          <w:tcPr>
            <w:tcW w:w="735" w:type="dxa"/>
            <w:vAlign w:val="center"/>
          </w:tcPr>
          <w:p>
            <w:pPr>
              <w:pStyle w:val="10"/>
              <w:rPr>
                <w:rFonts w:hAnsi="宋体"/>
                <w:color w:val="000000" w:themeColor="text1"/>
                <w:sz w:val="24"/>
                <w:szCs w:val="24"/>
              </w:rPr>
            </w:pPr>
          </w:p>
        </w:tc>
        <w:tc>
          <w:tcPr>
            <w:tcW w:w="1155" w:type="dxa"/>
            <w:vAlign w:val="center"/>
          </w:tcPr>
          <w:p>
            <w:pPr>
              <w:pStyle w:val="10"/>
              <w:rPr>
                <w:rFonts w:hAnsi="宋体"/>
                <w:color w:val="000000" w:themeColor="text1"/>
                <w:sz w:val="24"/>
                <w:szCs w:val="24"/>
              </w:rPr>
            </w:pPr>
          </w:p>
        </w:tc>
        <w:tc>
          <w:tcPr>
            <w:tcW w:w="1575" w:type="dxa"/>
            <w:vAlign w:val="center"/>
          </w:tcPr>
          <w:p>
            <w:pPr>
              <w:pStyle w:val="10"/>
              <w:rPr>
                <w:rFonts w:hAnsi="宋体"/>
                <w:color w:val="000000" w:themeColor="text1"/>
                <w:sz w:val="24"/>
                <w:szCs w:val="24"/>
              </w:rPr>
            </w:pPr>
          </w:p>
        </w:tc>
        <w:tc>
          <w:tcPr>
            <w:tcW w:w="1005" w:type="dxa"/>
            <w:vAlign w:val="center"/>
          </w:tcPr>
          <w:p>
            <w:pPr>
              <w:pStyle w:val="10"/>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vAlign w:val="center"/>
          </w:tcPr>
          <w:p>
            <w:pPr>
              <w:jc w:val="center"/>
              <w:rPr>
                <w:rFonts w:ascii="宋体"/>
                <w:color w:val="000000" w:themeColor="text1"/>
                <w:sz w:val="24"/>
              </w:rPr>
            </w:pPr>
            <w:r>
              <w:rPr>
                <w:rFonts w:ascii="宋体" w:hAnsi="宋体"/>
                <w:color w:val="000000" w:themeColor="text1"/>
                <w:sz w:val="24"/>
              </w:rPr>
              <w:t>2</w:t>
            </w:r>
          </w:p>
        </w:tc>
        <w:tc>
          <w:tcPr>
            <w:tcW w:w="2100" w:type="dxa"/>
            <w:vAlign w:val="center"/>
          </w:tcPr>
          <w:p>
            <w:pPr>
              <w:jc w:val="center"/>
              <w:rPr>
                <w:rFonts w:ascii="宋体"/>
                <w:color w:val="000000" w:themeColor="text1"/>
                <w:sz w:val="24"/>
              </w:rPr>
            </w:pPr>
          </w:p>
        </w:tc>
        <w:tc>
          <w:tcPr>
            <w:tcW w:w="2520" w:type="dxa"/>
            <w:vAlign w:val="center"/>
          </w:tcPr>
          <w:p>
            <w:pPr>
              <w:pStyle w:val="10"/>
              <w:rPr>
                <w:rFonts w:hAnsi="宋体"/>
                <w:color w:val="000000" w:themeColor="text1"/>
                <w:sz w:val="24"/>
                <w:szCs w:val="24"/>
              </w:rPr>
            </w:pPr>
          </w:p>
        </w:tc>
        <w:tc>
          <w:tcPr>
            <w:tcW w:w="735" w:type="dxa"/>
            <w:vAlign w:val="center"/>
          </w:tcPr>
          <w:p>
            <w:pPr>
              <w:pStyle w:val="10"/>
              <w:rPr>
                <w:rFonts w:hAnsi="宋体"/>
                <w:color w:val="000000" w:themeColor="text1"/>
                <w:sz w:val="24"/>
                <w:szCs w:val="24"/>
              </w:rPr>
            </w:pPr>
          </w:p>
        </w:tc>
        <w:tc>
          <w:tcPr>
            <w:tcW w:w="1155" w:type="dxa"/>
            <w:vAlign w:val="center"/>
          </w:tcPr>
          <w:p>
            <w:pPr>
              <w:pStyle w:val="10"/>
              <w:rPr>
                <w:rFonts w:hAnsi="宋体"/>
                <w:color w:val="000000" w:themeColor="text1"/>
                <w:sz w:val="24"/>
                <w:szCs w:val="24"/>
              </w:rPr>
            </w:pPr>
          </w:p>
        </w:tc>
        <w:tc>
          <w:tcPr>
            <w:tcW w:w="1575" w:type="dxa"/>
            <w:vAlign w:val="center"/>
          </w:tcPr>
          <w:p>
            <w:pPr>
              <w:pStyle w:val="10"/>
              <w:rPr>
                <w:rFonts w:hAnsi="宋体"/>
                <w:color w:val="000000" w:themeColor="text1"/>
                <w:sz w:val="24"/>
                <w:szCs w:val="24"/>
              </w:rPr>
            </w:pPr>
          </w:p>
        </w:tc>
        <w:tc>
          <w:tcPr>
            <w:tcW w:w="1005" w:type="dxa"/>
            <w:vAlign w:val="center"/>
          </w:tcPr>
          <w:p>
            <w:pPr>
              <w:pStyle w:val="10"/>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vAlign w:val="center"/>
          </w:tcPr>
          <w:p>
            <w:pPr>
              <w:jc w:val="center"/>
              <w:rPr>
                <w:rFonts w:ascii="宋体"/>
                <w:color w:val="000000" w:themeColor="text1"/>
                <w:sz w:val="24"/>
              </w:rPr>
            </w:pPr>
            <w:r>
              <w:rPr>
                <w:rFonts w:hint="eastAsia" w:ascii="宋体" w:hAnsi="宋体"/>
                <w:color w:val="000000" w:themeColor="text1"/>
                <w:sz w:val="24"/>
              </w:rPr>
              <w:t>…</w:t>
            </w:r>
          </w:p>
        </w:tc>
        <w:tc>
          <w:tcPr>
            <w:tcW w:w="2100" w:type="dxa"/>
            <w:vAlign w:val="center"/>
          </w:tcPr>
          <w:p>
            <w:pPr>
              <w:jc w:val="center"/>
              <w:rPr>
                <w:rFonts w:ascii="宋体"/>
                <w:color w:val="000000" w:themeColor="text1"/>
                <w:sz w:val="24"/>
              </w:rPr>
            </w:pPr>
          </w:p>
        </w:tc>
        <w:tc>
          <w:tcPr>
            <w:tcW w:w="2520" w:type="dxa"/>
            <w:vAlign w:val="center"/>
          </w:tcPr>
          <w:p>
            <w:pPr>
              <w:pStyle w:val="10"/>
              <w:rPr>
                <w:rFonts w:hAnsi="宋体"/>
                <w:color w:val="000000" w:themeColor="text1"/>
                <w:sz w:val="24"/>
                <w:szCs w:val="24"/>
              </w:rPr>
            </w:pPr>
          </w:p>
        </w:tc>
        <w:tc>
          <w:tcPr>
            <w:tcW w:w="735" w:type="dxa"/>
            <w:vAlign w:val="center"/>
          </w:tcPr>
          <w:p>
            <w:pPr>
              <w:pStyle w:val="10"/>
              <w:rPr>
                <w:rFonts w:hAnsi="宋体"/>
                <w:color w:val="000000" w:themeColor="text1"/>
                <w:sz w:val="24"/>
                <w:szCs w:val="24"/>
              </w:rPr>
            </w:pPr>
          </w:p>
        </w:tc>
        <w:tc>
          <w:tcPr>
            <w:tcW w:w="1155" w:type="dxa"/>
            <w:vAlign w:val="center"/>
          </w:tcPr>
          <w:p>
            <w:pPr>
              <w:pStyle w:val="10"/>
              <w:rPr>
                <w:rFonts w:hAnsi="宋体"/>
                <w:color w:val="000000" w:themeColor="text1"/>
                <w:sz w:val="24"/>
                <w:szCs w:val="24"/>
              </w:rPr>
            </w:pPr>
          </w:p>
        </w:tc>
        <w:tc>
          <w:tcPr>
            <w:tcW w:w="1575" w:type="dxa"/>
            <w:vAlign w:val="center"/>
          </w:tcPr>
          <w:p>
            <w:pPr>
              <w:pStyle w:val="10"/>
              <w:rPr>
                <w:rFonts w:hAnsi="宋体"/>
                <w:color w:val="000000" w:themeColor="text1"/>
                <w:sz w:val="24"/>
                <w:szCs w:val="24"/>
              </w:rPr>
            </w:pPr>
          </w:p>
        </w:tc>
        <w:tc>
          <w:tcPr>
            <w:tcW w:w="1005" w:type="dxa"/>
            <w:vAlign w:val="center"/>
          </w:tcPr>
          <w:p>
            <w:pPr>
              <w:pStyle w:val="10"/>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10"/>
              <w:rPr>
                <w:rFonts w:asciiTheme="minorEastAsia" w:hAnsiTheme="minorEastAsia"/>
                <w:color w:val="000000" w:themeColor="text1"/>
                <w:spacing w:val="-6"/>
                <w:sz w:val="24"/>
                <w:szCs w:val="24"/>
              </w:rPr>
            </w:pPr>
            <w:r>
              <w:rPr>
                <w:rFonts w:hAnsi="宋体"/>
                <w:color w:val="000000" w:themeColor="text1"/>
                <w:sz w:val="24"/>
              </w:rPr>
              <w:t>报价合计（包含税费等所有费用）：（大写）人民币</w:t>
            </w:r>
            <w:r>
              <w:rPr>
                <w:rFonts w:hAnsi="宋体"/>
                <w:color w:val="000000" w:themeColor="text1"/>
                <w:sz w:val="24"/>
                <w:u w:val="single"/>
              </w:rPr>
              <w:t xml:space="preserve">   </w:t>
            </w:r>
            <w:r>
              <w:rPr>
                <w:rFonts w:hint="eastAsia" w:hAnsi="宋体"/>
                <w:color w:val="000000" w:themeColor="text1"/>
                <w:sz w:val="24"/>
                <w:u w:val="single"/>
              </w:rPr>
              <w:t xml:space="preserve">   </w:t>
            </w:r>
            <w:r>
              <w:rPr>
                <w:rFonts w:hAnsi="宋体"/>
                <w:color w:val="000000" w:themeColor="text1"/>
                <w:sz w:val="24"/>
              </w:rPr>
              <w:t>（￥</w:t>
            </w:r>
            <w:r>
              <w:rPr>
                <w:rFonts w:hAnsi="宋体"/>
                <w:color w:val="000000" w:themeColor="text1"/>
                <w:sz w:val="24"/>
                <w:u w:val="single"/>
              </w:rPr>
              <w:t xml:space="preserve">      </w:t>
            </w:r>
            <w:r>
              <w:rPr>
                <w:rFonts w:hAnsi="宋体"/>
                <w:color w:val="000000" w:themeColor="text1"/>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10"/>
              <w:spacing w:line="600" w:lineRule="exact"/>
              <w:rPr>
                <w:rFonts w:hAnsi="宋体"/>
                <w:color w:val="000000" w:themeColor="text1"/>
                <w:sz w:val="24"/>
              </w:rPr>
            </w:pPr>
            <w:r>
              <w:rPr>
                <w:rFonts w:hint="eastAsia" w:hAnsi="宋体"/>
                <w:color w:val="000000" w:themeColor="text1"/>
                <w:sz w:val="24"/>
                <w:szCs w:val="24"/>
              </w:rPr>
              <w:t>磋商供应商（盖单位公章）</w:t>
            </w:r>
            <w:r>
              <w:rPr>
                <w:rFonts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10"/>
              <w:rPr>
                <w:rFonts w:hAnsi="宋体"/>
                <w:color w:val="000000" w:themeColor="text1"/>
                <w:sz w:val="24"/>
              </w:rPr>
            </w:pPr>
            <w:r>
              <w:rPr>
                <w:rFonts w:hAnsi="宋体"/>
                <w:color w:val="000000" w:themeColor="text1"/>
                <w:sz w:val="24"/>
              </w:rPr>
              <w:t>法定代表人或其委托代理人（签字或盖章）：</w:t>
            </w:r>
          </w:p>
        </w:tc>
      </w:tr>
    </w:tbl>
    <w:p>
      <w:pPr>
        <w:pStyle w:val="10"/>
        <w:rPr>
          <w:rFonts w:hAnsi="宋体"/>
          <w:color w:val="000000" w:themeColor="text1"/>
          <w:sz w:val="24"/>
          <w:szCs w:val="24"/>
        </w:rPr>
      </w:pPr>
      <w:r>
        <w:rPr>
          <w:rFonts w:hAnsi="宋体"/>
          <w:color w:val="000000" w:themeColor="text1"/>
          <w:sz w:val="24"/>
          <w:szCs w:val="24"/>
        </w:rPr>
        <w:t>注：表格内容均需按要求填写并盖章，不得留空，否则按投标无效处理。</w:t>
      </w:r>
    </w:p>
    <w:p>
      <w:pPr>
        <w:pStyle w:val="10"/>
        <w:rPr>
          <w:rFonts w:hAnsi="宋体"/>
          <w:color w:val="000000" w:themeColor="text1"/>
          <w:sz w:val="24"/>
          <w:szCs w:val="24"/>
        </w:rPr>
      </w:pPr>
    </w:p>
    <w:p>
      <w:pPr>
        <w:pStyle w:val="10"/>
        <w:rPr>
          <w:rFonts w:hAnsi="宋体"/>
          <w:color w:val="000000" w:themeColor="text1"/>
          <w:sz w:val="24"/>
          <w:szCs w:val="24"/>
        </w:rPr>
      </w:pPr>
      <w:r>
        <w:rPr>
          <w:rFonts w:hAnsi="宋体"/>
          <w:color w:val="000000" w:themeColor="text1"/>
          <w:sz w:val="24"/>
          <w:szCs w:val="24"/>
        </w:rPr>
        <w:t>......</w:t>
      </w: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spacing w:line="500" w:lineRule="exact"/>
        <w:outlineLvl w:val="1"/>
        <w:rPr>
          <w:rFonts w:hAnsi="宋体"/>
          <w:b/>
          <w:color w:val="000000" w:themeColor="text1"/>
        </w:rPr>
      </w:pPr>
      <w:r>
        <w:rPr>
          <w:rFonts w:hAnsi="宋体"/>
          <w:b/>
          <w:color w:val="000000" w:themeColor="text1"/>
          <w:sz w:val="24"/>
          <w:szCs w:val="24"/>
        </w:rPr>
        <w:br w:type="page"/>
      </w:r>
      <w:bookmarkStart w:id="101" w:name="_Toc20421"/>
      <w:bookmarkStart w:id="102" w:name="_Toc5908"/>
      <w:bookmarkStart w:id="103" w:name="_Toc3180"/>
      <w:r>
        <w:rPr>
          <w:rFonts w:hint="eastAsia" w:hAnsi="宋体"/>
          <w:b/>
          <w:color w:val="000000" w:themeColor="text1"/>
        </w:rPr>
        <w:t>格式</w:t>
      </w:r>
      <w:r>
        <w:rPr>
          <w:rFonts w:hAnsi="宋体"/>
          <w:b/>
          <w:color w:val="000000" w:themeColor="text1"/>
        </w:rPr>
        <w:t>3</w:t>
      </w:r>
      <w:r>
        <w:rPr>
          <w:rFonts w:hint="eastAsia" w:hAnsi="宋体"/>
          <w:b/>
          <w:color w:val="000000" w:themeColor="text1"/>
        </w:rPr>
        <w:t>：</w:t>
      </w:r>
      <w:bookmarkEnd w:id="101"/>
      <w:bookmarkEnd w:id="102"/>
      <w:bookmarkEnd w:id="103"/>
      <w:r>
        <w:rPr>
          <w:rFonts w:hAnsi="宋体"/>
          <w:b/>
          <w:color w:val="000000" w:themeColor="text1"/>
        </w:rPr>
        <w:t xml:space="preserve"> </w:t>
      </w:r>
    </w:p>
    <w:p>
      <w:pPr>
        <w:pStyle w:val="10"/>
        <w:jc w:val="center"/>
        <w:outlineLvl w:val="2"/>
        <w:rPr>
          <w:rFonts w:hAnsi="宋体"/>
          <w:b/>
          <w:color w:val="000000" w:themeColor="text1"/>
          <w:sz w:val="30"/>
          <w:szCs w:val="30"/>
        </w:rPr>
      </w:pPr>
      <w:r>
        <w:rPr>
          <w:rFonts w:hint="eastAsia" w:hAnsi="宋体"/>
          <w:b/>
          <w:color w:val="000000" w:themeColor="text1"/>
          <w:sz w:val="30"/>
          <w:szCs w:val="30"/>
        </w:rPr>
        <w:t>中小企业声明函（格式）</w:t>
      </w:r>
    </w:p>
    <w:p>
      <w:pPr>
        <w:pStyle w:val="9"/>
        <w:spacing w:line="240" w:lineRule="auto"/>
        <w:ind w:firstLine="0"/>
        <w:rPr>
          <w:rFonts w:hAnsi="宋体"/>
          <w:color w:val="000000" w:themeColor="text1"/>
          <w:sz w:val="24"/>
          <w:szCs w:val="24"/>
        </w:rPr>
      </w:pPr>
      <w:r>
        <w:rPr>
          <w:rFonts w:hint="eastAsia" w:hAnsi="宋体"/>
          <w:color w:val="000000" w:themeColor="text1"/>
          <w:sz w:val="24"/>
          <w:szCs w:val="24"/>
        </w:rPr>
        <w:t>说明：</w:t>
      </w:r>
    </w:p>
    <w:p>
      <w:pPr>
        <w:pStyle w:val="9"/>
        <w:spacing w:line="240" w:lineRule="auto"/>
        <w:ind w:firstLine="464" w:firstLineChars="200"/>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、本声明函主要供参加政府采购活动的中小企业填写，非中小企业无需填写。</w:t>
      </w:r>
    </w:p>
    <w:p>
      <w:pPr>
        <w:pStyle w:val="9"/>
        <w:spacing w:line="240" w:lineRule="auto"/>
        <w:ind w:firstLine="464" w:firstLineChars="200"/>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、小型、微型企业提供中型企业制造的货物的，视同为中型企业。</w:t>
      </w:r>
    </w:p>
    <w:p>
      <w:pPr>
        <w:pStyle w:val="9"/>
        <w:spacing w:line="240" w:lineRule="auto"/>
        <w:ind w:firstLine="464" w:firstLineChars="200"/>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、磋商供应商按《财政部、司法部关于政府采购支持监狱企业发展有关问题的通知》（财库〔</w:t>
      </w:r>
      <w:r>
        <w:rPr>
          <w:rFonts w:hAnsi="宋体"/>
          <w:color w:val="000000" w:themeColor="text1"/>
          <w:sz w:val="24"/>
          <w:szCs w:val="24"/>
        </w:rPr>
        <w:t>2014</w:t>
      </w:r>
      <w:r>
        <w:rPr>
          <w:rFonts w:hint="eastAsia" w:hAnsi="宋体"/>
          <w:color w:val="000000" w:themeColor="text1"/>
          <w:sz w:val="24"/>
          <w:szCs w:val="24"/>
        </w:rPr>
        <w:t>〕</w:t>
      </w:r>
      <w:r>
        <w:rPr>
          <w:rFonts w:hAnsi="宋体"/>
          <w:color w:val="000000" w:themeColor="text1"/>
          <w:sz w:val="24"/>
          <w:szCs w:val="24"/>
        </w:rPr>
        <w:t>68</w:t>
      </w:r>
      <w:r>
        <w:rPr>
          <w:rFonts w:hint="eastAsia" w:hAnsi="宋体"/>
          <w:color w:val="000000" w:themeColor="text1"/>
          <w:sz w:val="24"/>
          <w:szCs w:val="24"/>
        </w:rPr>
        <w:t>号）认定为监狱企业，且提供由省级以上监狱管理局、戒毒管理局（含新疆生产建设兵团）出具的属于监狱企业的证明文件的，视同小型、微型企业。</w:t>
      </w:r>
    </w:p>
    <w:p>
      <w:pPr>
        <w:pStyle w:val="9"/>
        <w:spacing w:line="360" w:lineRule="auto"/>
        <w:ind w:firstLine="464" w:firstLineChars="200"/>
        <w:rPr>
          <w:rFonts w:hAnsi="宋体"/>
          <w:color w:val="000000" w:themeColor="text1"/>
          <w:sz w:val="24"/>
          <w:szCs w:val="24"/>
        </w:rPr>
      </w:pPr>
    </w:p>
    <w:p>
      <w:pPr>
        <w:pStyle w:val="10"/>
        <w:spacing w:line="360" w:lineRule="auto"/>
        <w:ind w:firstLine="480" w:firstLineChars="200"/>
        <w:rPr>
          <w:rFonts w:hAnsi="宋体"/>
          <w:color w:val="000000" w:themeColor="text1"/>
          <w:sz w:val="24"/>
          <w:szCs w:val="24"/>
        </w:rPr>
      </w:pPr>
      <w:r>
        <w:rPr>
          <w:rFonts w:hint="eastAsia" w:hAnsi="宋体"/>
          <w:color w:val="000000" w:themeColor="text1"/>
          <w:sz w:val="24"/>
          <w:szCs w:val="24"/>
        </w:rPr>
        <w:t>本公司郑重声明，根据《政府采购促进中小企业发展暂行办法》（财库〔</w:t>
      </w:r>
      <w:r>
        <w:rPr>
          <w:rFonts w:hAnsi="宋体"/>
          <w:color w:val="000000" w:themeColor="text1"/>
          <w:sz w:val="24"/>
          <w:szCs w:val="24"/>
        </w:rPr>
        <w:t>2011</w:t>
      </w:r>
      <w:r>
        <w:rPr>
          <w:rFonts w:hint="eastAsia" w:hAnsi="宋体"/>
          <w:color w:val="000000" w:themeColor="text1"/>
          <w:sz w:val="24"/>
          <w:szCs w:val="24"/>
        </w:rPr>
        <w:t>〕</w:t>
      </w:r>
      <w:r>
        <w:rPr>
          <w:rFonts w:hAnsi="宋体"/>
          <w:color w:val="000000" w:themeColor="text1"/>
          <w:sz w:val="24"/>
          <w:szCs w:val="24"/>
        </w:rPr>
        <w:t>181</w:t>
      </w:r>
      <w:r>
        <w:rPr>
          <w:rFonts w:hint="eastAsia" w:hAnsi="宋体"/>
          <w:color w:val="000000" w:themeColor="text1"/>
          <w:sz w:val="24"/>
          <w:szCs w:val="24"/>
        </w:rPr>
        <w:t>号）的规定，本公司为</w:t>
      </w:r>
      <w:r>
        <w:rPr>
          <w:rFonts w:hAnsi="宋体"/>
          <w:color w:val="000000" w:themeColor="text1"/>
          <w:sz w:val="24"/>
          <w:szCs w:val="24"/>
        </w:rPr>
        <w:t>______</w:t>
      </w:r>
      <w:r>
        <w:rPr>
          <w:rFonts w:hint="eastAsia" w:hAnsi="宋体"/>
          <w:color w:val="000000" w:themeColor="text1"/>
          <w:sz w:val="24"/>
          <w:szCs w:val="24"/>
        </w:rPr>
        <w:t>（请填写：中型、小型、微型）企业。即，本公司同时满足以下条件：</w:t>
      </w:r>
    </w:p>
    <w:p>
      <w:pPr>
        <w:pStyle w:val="10"/>
        <w:spacing w:line="360" w:lineRule="auto"/>
        <w:ind w:firstLine="480" w:firstLineChars="200"/>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．根据《工业和信息化部、国家统计局、国家发展和改革委员会、财政部关于印发中小企业划型标准规定的通知》（工信部联企业〔</w:t>
      </w:r>
      <w:r>
        <w:rPr>
          <w:rFonts w:hAnsi="宋体"/>
          <w:color w:val="000000" w:themeColor="text1"/>
          <w:sz w:val="24"/>
          <w:szCs w:val="24"/>
        </w:rPr>
        <w:t>2011</w:t>
      </w:r>
      <w:r>
        <w:rPr>
          <w:rFonts w:hint="eastAsia" w:hAnsi="宋体"/>
          <w:color w:val="000000" w:themeColor="text1"/>
          <w:sz w:val="24"/>
          <w:szCs w:val="24"/>
        </w:rPr>
        <w:t>〕</w:t>
      </w:r>
      <w:r>
        <w:rPr>
          <w:rFonts w:hAnsi="宋体"/>
          <w:color w:val="000000" w:themeColor="text1"/>
          <w:sz w:val="24"/>
          <w:szCs w:val="24"/>
        </w:rPr>
        <w:t>300</w:t>
      </w:r>
      <w:r>
        <w:rPr>
          <w:rFonts w:hint="eastAsia" w:hAnsi="宋体"/>
          <w:color w:val="000000" w:themeColor="text1"/>
          <w:sz w:val="24"/>
          <w:szCs w:val="24"/>
        </w:rPr>
        <w:t>号）规定的划分标准，本公司为</w:t>
      </w:r>
      <w:r>
        <w:rPr>
          <w:rFonts w:hAnsi="宋体"/>
          <w:color w:val="000000" w:themeColor="text1"/>
          <w:sz w:val="24"/>
          <w:szCs w:val="24"/>
        </w:rPr>
        <w:t>______</w:t>
      </w:r>
      <w:r>
        <w:rPr>
          <w:rFonts w:hint="eastAsia" w:hAnsi="宋体"/>
          <w:color w:val="000000" w:themeColor="text1"/>
          <w:sz w:val="24"/>
          <w:szCs w:val="24"/>
        </w:rPr>
        <w:t>（请填写：中型、小型、微型）企业。</w:t>
      </w:r>
    </w:p>
    <w:p>
      <w:pPr>
        <w:pStyle w:val="10"/>
        <w:spacing w:line="360" w:lineRule="auto"/>
        <w:ind w:firstLine="480" w:firstLineChars="200"/>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．本公司参加</w:t>
      </w:r>
      <w:r>
        <w:rPr>
          <w:rFonts w:hAnsi="宋体"/>
          <w:color w:val="000000" w:themeColor="text1"/>
          <w:sz w:val="24"/>
          <w:szCs w:val="24"/>
        </w:rPr>
        <w:t>______</w:t>
      </w:r>
      <w:r>
        <w:rPr>
          <w:rFonts w:hint="eastAsia" w:hAnsi="宋体"/>
          <w:color w:val="000000" w:themeColor="text1"/>
          <w:sz w:val="24"/>
          <w:szCs w:val="24"/>
        </w:rPr>
        <w:t>单位的</w:t>
      </w:r>
      <w:r>
        <w:rPr>
          <w:rFonts w:hAnsi="宋体"/>
          <w:color w:val="000000" w:themeColor="text1"/>
          <w:sz w:val="24"/>
          <w:szCs w:val="24"/>
        </w:rPr>
        <w:t>______</w:t>
      </w:r>
      <w:r>
        <w:rPr>
          <w:rFonts w:hint="eastAsia" w:hAnsi="宋体"/>
          <w:color w:val="000000" w:themeColor="text1"/>
          <w:sz w:val="24"/>
          <w:szCs w:val="24"/>
        </w:rPr>
        <w:t>项目采购活动提供本企业制造的货物，由本企业承担工程、提供服务，或者提供其他</w:t>
      </w:r>
      <w:r>
        <w:rPr>
          <w:rFonts w:hAnsi="宋体"/>
          <w:color w:val="000000" w:themeColor="text1"/>
          <w:sz w:val="24"/>
          <w:szCs w:val="24"/>
        </w:rPr>
        <w:t>______</w:t>
      </w:r>
      <w:r>
        <w:rPr>
          <w:rFonts w:hint="eastAsia" w:hAnsi="宋体"/>
          <w:color w:val="000000" w:themeColor="text1"/>
          <w:sz w:val="24"/>
          <w:szCs w:val="24"/>
        </w:rPr>
        <w:t>（请填写：中型、小型、微型）企业制造的货物。本条所称货物不包括使用大型企业注册商标的货物。</w:t>
      </w:r>
    </w:p>
    <w:p>
      <w:pPr>
        <w:pStyle w:val="10"/>
        <w:spacing w:line="360" w:lineRule="auto"/>
        <w:ind w:firstLine="480" w:firstLineChars="200"/>
        <w:rPr>
          <w:rFonts w:hAnsi="宋体"/>
          <w:color w:val="000000" w:themeColor="text1"/>
          <w:sz w:val="24"/>
          <w:szCs w:val="24"/>
        </w:rPr>
      </w:pPr>
      <w:r>
        <w:rPr>
          <w:rFonts w:hint="eastAsia" w:hAnsi="宋体"/>
          <w:color w:val="000000" w:themeColor="text1"/>
          <w:sz w:val="24"/>
          <w:szCs w:val="24"/>
        </w:rPr>
        <w:t>本公司对上述声明的真实性负责。如有虚假，将依法承担相应责任。</w:t>
      </w:r>
    </w:p>
    <w:p>
      <w:pPr>
        <w:pStyle w:val="10"/>
        <w:spacing w:line="360" w:lineRule="auto"/>
        <w:ind w:firstLine="480" w:firstLineChars="200"/>
        <w:rPr>
          <w:rFonts w:hAnsi="宋体"/>
          <w:color w:val="000000" w:themeColor="text1"/>
          <w:sz w:val="24"/>
          <w:szCs w:val="24"/>
        </w:rPr>
      </w:pPr>
    </w:p>
    <w:p>
      <w:pPr>
        <w:pStyle w:val="10"/>
        <w:spacing w:line="360" w:lineRule="auto"/>
        <w:ind w:firstLine="480" w:firstLineChars="200"/>
        <w:rPr>
          <w:rFonts w:hAnsi="宋体"/>
          <w:color w:val="000000" w:themeColor="text1"/>
          <w:sz w:val="24"/>
          <w:szCs w:val="24"/>
        </w:rPr>
      </w:pPr>
    </w:p>
    <w:p>
      <w:pPr>
        <w:pStyle w:val="10"/>
        <w:spacing w:line="360" w:lineRule="auto"/>
        <w:ind w:firstLine="480" w:firstLineChars="200"/>
        <w:rPr>
          <w:rFonts w:hAnsi="宋体"/>
          <w:color w:val="000000" w:themeColor="text1"/>
          <w:sz w:val="24"/>
          <w:szCs w:val="24"/>
        </w:rPr>
      </w:pPr>
    </w:p>
    <w:p>
      <w:pPr>
        <w:pStyle w:val="10"/>
        <w:spacing w:line="600" w:lineRule="exact"/>
        <w:ind w:firstLine="120" w:firstLineChars="50"/>
        <w:rPr>
          <w:rFonts w:hAnsi="宋体"/>
          <w:color w:val="000000" w:themeColor="text1"/>
          <w:sz w:val="24"/>
          <w:szCs w:val="24"/>
          <w:u w:val="single"/>
        </w:rPr>
      </w:pPr>
      <w:r>
        <w:rPr>
          <w:rFonts w:hint="eastAsia" w:hAnsi="宋体"/>
          <w:color w:val="000000" w:themeColor="text1"/>
          <w:sz w:val="24"/>
          <w:szCs w:val="24"/>
        </w:rPr>
        <w:t>磋商供应商（盖单位公章）：</w:t>
      </w:r>
    </w:p>
    <w:p>
      <w:pPr>
        <w:pStyle w:val="10"/>
        <w:spacing w:line="500" w:lineRule="exact"/>
        <w:rPr>
          <w:rFonts w:hAnsi="宋体"/>
          <w:color w:val="000000" w:themeColor="text1"/>
          <w:sz w:val="24"/>
          <w:szCs w:val="24"/>
        </w:rPr>
      </w:pPr>
    </w:p>
    <w:p>
      <w:pPr>
        <w:pStyle w:val="10"/>
        <w:spacing w:line="500" w:lineRule="exact"/>
        <w:ind w:firstLine="120" w:firstLineChars="50"/>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p>
      <w:pPr>
        <w:pStyle w:val="10"/>
        <w:spacing w:line="500" w:lineRule="exact"/>
        <w:rPr>
          <w:rFonts w:hAnsi="宋体"/>
          <w:b/>
          <w:color w:val="000000" w:themeColor="text1"/>
          <w:sz w:val="24"/>
          <w:szCs w:val="24"/>
        </w:rPr>
      </w:pPr>
      <w:r>
        <w:rPr>
          <w:rFonts w:hAnsi="宋体"/>
          <w:b/>
          <w:color w:val="000000" w:themeColor="text1"/>
          <w:sz w:val="24"/>
          <w:szCs w:val="24"/>
        </w:rPr>
        <w:br w:type="page"/>
      </w:r>
    </w:p>
    <w:p>
      <w:pPr>
        <w:spacing w:line="588" w:lineRule="exact"/>
        <w:jc w:val="left"/>
        <w:outlineLvl w:val="1"/>
        <w:rPr>
          <w:rFonts w:hAnsi="宋体"/>
          <w:color w:val="000000" w:themeColor="text1"/>
          <w:sz w:val="24"/>
        </w:rPr>
      </w:pPr>
      <w:bookmarkStart w:id="104" w:name="_Toc28677"/>
      <w:bookmarkStart w:id="105" w:name="_Toc23384"/>
      <w:bookmarkStart w:id="106" w:name="_Toc20803"/>
      <w:r>
        <w:rPr>
          <w:rFonts w:hint="eastAsia" w:ascii="宋体" w:hAnsi="宋体"/>
          <w:b/>
          <w:color w:val="000000" w:themeColor="text1"/>
          <w:szCs w:val="20"/>
        </w:rPr>
        <w:t>格式</w:t>
      </w:r>
      <w:r>
        <w:rPr>
          <w:rFonts w:ascii="宋体" w:hAnsi="宋体"/>
          <w:b/>
          <w:color w:val="000000" w:themeColor="text1"/>
          <w:szCs w:val="20"/>
        </w:rPr>
        <w:t>4</w:t>
      </w:r>
      <w:r>
        <w:rPr>
          <w:rFonts w:hint="eastAsia" w:ascii="宋体" w:hAnsi="宋体"/>
          <w:b/>
          <w:color w:val="000000" w:themeColor="text1"/>
          <w:szCs w:val="20"/>
        </w:rPr>
        <w:t>：</w:t>
      </w:r>
      <w:bookmarkEnd w:id="104"/>
      <w:bookmarkEnd w:id="105"/>
      <w:bookmarkEnd w:id="106"/>
    </w:p>
    <w:p>
      <w:pPr>
        <w:spacing w:line="588" w:lineRule="exact"/>
        <w:jc w:val="center"/>
        <w:outlineLvl w:val="2"/>
        <w:rPr>
          <w:rFonts w:ascii="宋体"/>
          <w:b/>
          <w:color w:val="000000" w:themeColor="text1"/>
          <w:spacing w:val="6"/>
          <w:sz w:val="32"/>
          <w:szCs w:val="32"/>
        </w:rPr>
      </w:pPr>
      <w:r>
        <w:rPr>
          <w:rFonts w:hint="eastAsia" w:ascii="宋体" w:hAnsi="宋体"/>
          <w:b/>
          <w:color w:val="000000" w:themeColor="text1"/>
          <w:spacing w:val="6"/>
          <w:sz w:val="32"/>
          <w:szCs w:val="32"/>
        </w:rPr>
        <w:t>残疾人福利性单位声明函</w:t>
      </w:r>
    </w:p>
    <w:p>
      <w:pPr>
        <w:spacing w:line="588" w:lineRule="exact"/>
        <w:rPr>
          <w:rFonts w:ascii="宋体"/>
          <w:b/>
          <w:color w:val="000000" w:themeColor="text1"/>
          <w:spacing w:val="6"/>
          <w:sz w:val="30"/>
          <w:szCs w:val="30"/>
        </w:rPr>
      </w:pPr>
    </w:p>
    <w:p>
      <w:pPr>
        <w:pStyle w:val="10"/>
        <w:spacing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本单位郑重声明，根据《财政部</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民政部</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中国残疾人联合会关于促进残疾人就业政府采购政策的通知》（财库〔</w:t>
      </w:r>
      <w:r>
        <w:rPr>
          <w:rFonts w:ascii="Times New Roman" w:hAnsi="Times New Roman"/>
          <w:color w:val="000000" w:themeColor="text1"/>
          <w:sz w:val="24"/>
          <w:szCs w:val="24"/>
        </w:rPr>
        <w:t>2017</w:t>
      </w:r>
      <w:r>
        <w:rPr>
          <w:rFonts w:hint="eastAsia" w:ascii="Times New Roman" w:hAnsi="Times New Roman"/>
          <w:color w:val="000000" w:themeColor="text1"/>
          <w:sz w:val="24"/>
          <w:szCs w:val="24"/>
        </w:rPr>
        <w:t>〕</w:t>
      </w:r>
      <w:r>
        <w:rPr>
          <w:rFonts w:ascii="Times New Roman" w:hAnsi="Times New Roman"/>
          <w:color w:val="000000" w:themeColor="text1"/>
          <w:sz w:val="24"/>
          <w:szCs w:val="24"/>
        </w:rPr>
        <w:t xml:space="preserve"> 141</w:t>
      </w:r>
      <w:r>
        <w:rPr>
          <w:rFonts w:hint="eastAsia" w:ascii="Times New Roman" w:hAnsi="Times New Roman"/>
          <w:color w:val="000000" w:themeColor="text1"/>
          <w:sz w:val="24"/>
          <w:szCs w:val="24"/>
        </w:rPr>
        <w:t>号）的规定，本单位为符合条件的残疾人福利性单位，且本单位参加</w:t>
      </w:r>
      <w:r>
        <w:rPr>
          <w:rFonts w:ascii="Times New Roman" w:hAnsi="Times New Roman"/>
          <w:color w:val="000000" w:themeColor="text1"/>
          <w:sz w:val="24"/>
          <w:szCs w:val="24"/>
        </w:rPr>
        <w:t>______</w:t>
      </w:r>
      <w:r>
        <w:rPr>
          <w:rFonts w:hint="eastAsia" w:ascii="Times New Roman" w:hAnsi="Times New Roman"/>
          <w:color w:val="000000" w:themeColor="text1"/>
          <w:sz w:val="24"/>
          <w:szCs w:val="24"/>
        </w:rPr>
        <w:t>单位的</w:t>
      </w:r>
      <w:r>
        <w:rPr>
          <w:rFonts w:ascii="Times New Roman" w:hAnsi="Times New Roman"/>
          <w:color w:val="000000" w:themeColor="text1"/>
          <w:sz w:val="24"/>
          <w:szCs w:val="24"/>
        </w:rPr>
        <w:t>______</w:t>
      </w:r>
      <w:r>
        <w:rPr>
          <w:rFonts w:hint="eastAsia" w:ascii="Times New Roman" w:hAnsi="Times New Roman"/>
          <w:color w:val="000000" w:themeColor="text1"/>
          <w:sz w:val="24"/>
          <w:szCs w:val="24"/>
        </w:rPr>
        <w:t>项目采购活动提供本单位制造的货物（由本单位承担工程</w:t>
      </w:r>
      <w:r>
        <w:rPr>
          <w:rFonts w:ascii="Times New Roman" w:hAnsi="Times New Roman"/>
          <w:color w:val="000000" w:themeColor="text1"/>
          <w:sz w:val="24"/>
          <w:szCs w:val="24"/>
        </w:rPr>
        <w:t>/</w:t>
      </w:r>
      <w:r>
        <w:rPr>
          <w:rFonts w:hint="eastAsia" w:ascii="Times New Roman" w:hAnsi="Times New Roman"/>
          <w:color w:val="000000" w:themeColor="text1"/>
          <w:sz w:val="24"/>
          <w:szCs w:val="24"/>
        </w:rPr>
        <w:t>提供服务），或者提供其他残疾人福利性单位制造的货物（不包括使用非残疾人福利性单位注册商标的货物）。</w:t>
      </w:r>
    </w:p>
    <w:p>
      <w:pPr>
        <w:pStyle w:val="10"/>
        <w:spacing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本单位对上述声明的真实性负责。如有虚假，将依法承担相应责任。</w:t>
      </w:r>
    </w:p>
    <w:p>
      <w:pPr>
        <w:pStyle w:val="10"/>
        <w:spacing w:line="360" w:lineRule="auto"/>
        <w:ind w:firstLine="480" w:firstLineChars="200"/>
        <w:rPr>
          <w:rFonts w:ascii="Times New Roman" w:hAnsi="Times New Roman"/>
          <w:color w:val="000000" w:themeColor="text1"/>
          <w:sz w:val="24"/>
          <w:szCs w:val="24"/>
        </w:rPr>
      </w:pPr>
    </w:p>
    <w:p>
      <w:pPr>
        <w:pStyle w:val="10"/>
        <w:spacing w:line="360" w:lineRule="auto"/>
        <w:ind w:firstLine="480" w:firstLineChars="200"/>
        <w:rPr>
          <w:rFonts w:ascii="Times New Roman" w:hAnsi="Times New Roman"/>
          <w:color w:val="000000" w:themeColor="text1"/>
          <w:sz w:val="24"/>
          <w:szCs w:val="24"/>
        </w:rPr>
      </w:pPr>
    </w:p>
    <w:p>
      <w:pPr>
        <w:pStyle w:val="10"/>
        <w:spacing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单位名称（盖章）：</w:t>
      </w:r>
    </w:p>
    <w:p>
      <w:pPr>
        <w:pStyle w:val="10"/>
        <w:spacing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日</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期：</w:t>
      </w:r>
    </w:p>
    <w:p>
      <w:pPr>
        <w:pStyle w:val="10"/>
        <w:spacing w:line="500" w:lineRule="exact"/>
        <w:outlineLvl w:val="1"/>
        <w:rPr>
          <w:rFonts w:hAnsi="宋体"/>
          <w:b/>
          <w:color w:val="000000" w:themeColor="text1"/>
        </w:rPr>
      </w:pPr>
      <w:r>
        <w:rPr>
          <w:rFonts w:hAnsi="宋体"/>
          <w:b/>
          <w:color w:val="000000" w:themeColor="text1"/>
          <w:sz w:val="24"/>
          <w:szCs w:val="24"/>
        </w:rPr>
        <w:br w:type="page"/>
      </w:r>
      <w:bookmarkStart w:id="107" w:name="_Toc8025"/>
      <w:bookmarkStart w:id="108" w:name="_Toc23094"/>
      <w:bookmarkStart w:id="109" w:name="_Toc6160"/>
      <w:r>
        <w:rPr>
          <w:rFonts w:hint="eastAsia" w:hAnsi="宋体"/>
          <w:b/>
          <w:color w:val="000000" w:themeColor="text1"/>
        </w:rPr>
        <w:t>格式</w:t>
      </w:r>
      <w:r>
        <w:rPr>
          <w:rFonts w:hAnsi="宋体"/>
          <w:b/>
          <w:color w:val="000000" w:themeColor="text1"/>
        </w:rPr>
        <w:t>5</w:t>
      </w:r>
      <w:r>
        <w:rPr>
          <w:rFonts w:hint="eastAsia" w:hAnsi="宋体"/>
          <w:b/>
          <w:color w:val="000000" w:themeColor="text1"/>
        </w:rPr>
        <w:t>：</w:t>
      </w:r>
      <w:bookmarkEnd w:id="107"/>
      <w:bookmarkEnd w:id="108"/>
      <w:bookmarkEnd w:id="109"/>
    </w:p>
    <w:p>
      <w:pPr>
        <w:pStyle w:val="10"/>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响应服务技术资料表（格式）</w:t>
      </w:r>
    </w:p>
    <w:p>
      <w:pPr>
        <w:pStyle w:val="10"/>
        <w:ind w:firstLine="210" w:firstLineChars="100"/>
        <w:rPr>
          <w:rFonts w:hAnsi="宋体"/>
          <w:color w:val="000000" w:themeColor="text1"/>
        </w:rPr>
      </w:pPr>
    </w:p>
    <w:p>
      <w:pPr>
        <w:pStyle w:val="10"/>
        <w:spacing w:line="400" w:lineRule="exact"/>
        <w:ind w:firstLine="480" w:firstLineChars="200"/>
        <w:rPr>
          <w:rFonts w:hAnsi="宋体"/>
          <w:color w:val="000000" w:themeColor="text1"/>
          <w:sz w:val="24"/>
          <w:szCs w:val="24"/>
        </w:rPr>
      </w:pPr>
      <w:r>
        <w:rPr>
          <w:rFonts w:hAnsi="宋体"/>
          <w:color w:val="000000" w:themeColor="text1"/>
          <w:sz w:val="24"/>
          <w:szCs w:val="24"/>
        </w:rPr>
        <w:t>请根据所投服务的实际技术参数，逐条对应本项目</w:t>
      </w:r>
      <w:r>
        <w:rPr>
          <w:rFonts w:hint="eastAsia" w:hAnsi="宋体"/>
          <w:color w:val="000000" w:themeColor="text1"/>
          <w:sz w:val="24"/>
          <w:szCs w:val="24"/>
        </w:rPr>
        <w:t>竞争性磋商</w:t>
      </w:r>
      <w:r>
        <w:rPr>
          <w:rFonts w:hAnsi="宋体"/>
          <w:color w:val="000000" w:themeColor="text1"/>
          <w:sz w:val="24"/>
          <w:szCs w:val="24"/>
        </w:rPr>
        <w:t>文件第二章“服务需求一览表”中的服务内容及要求详细填写相应的具体内容。“偏离说明”一栏应当选择“正偏离”、“负偏离”或“无偏离”进行填写</w:t>
      </w:r>
      <w:r>
        <w:rPr>
          <w:rFonts w:hint="eastAsia" w:hAnsi="宋体"/>
          <w:color w:val="000000" w:themeColor="text1"/>
          <w:sz w:val="24"/>
          <w:szCs w:val="24"/>
        </w:rPr>
        <w:t>。</w:t>
      </w:r>
    </w:p>
    <w:p>
      <w:pPr>
        <w:jc w:val="left"/>
        <w:rPr>
          <w:rFonts w:ascii="宋体" w:hAnsi="宋体"/>
          <w:color w:val="000000" w:themeColor="text1"/>
          <w:sz w:val="24"/>
        </w:rPr>
      </w:pPr>
    </w:p>
    <w:tbl>
      <w:tblPr>
        <w:tblStyle w:val="1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57"/>
        <w:gridCol w:w="2125"/>
        <w:gridCol w:w="1340"/>
        <w:gridCol w:w="276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5" w:type="dxa"/>
            <w:vMerge w:val="restart"/>
            <w:vAlign w:val="center"/>
          </w:tcPr>
          <w:p>
            <w:pPr>
              <w:jc w:val="center"/>
              <w:rPr>
                <w:rFonts w:ascii="宋体" w:hAnsi="宋体"/>
                <w:color w:val="000000" w:themeColor="text1"/>
                <w:sz w:val="24"/>
              </w:rPr>
            </w:pPr>
            <w:r>
              <w:rPr>
                <w:rFonts w:ascii="宋体" w:hAnsi="宋体"/>
                <w:color w:val="000000" w:themeColor="text1"/>
                <w:sz w:val="24"/>
              </w:rPr>
              <w:t>项</w:t>
            </w:r>
            <w:r>
              <w:rPr>
                <w:rFonts w:hint="eastAsia" w:ascii="宋体" w:hAnsi="宋体"/>
                <w:color w:val="000000" w:themeColor="text1"/>
                <w:sz w:val="24"/>
              </w:rPr>
              <w:t>号</w:t>
            </w:r>
          </w:p>
        </w:tc>
        <w:tc>
          <w:tcPr>
            <w:tcW w:w="3382" w:type="dxa"/>
            <w:gridSpan w:val="2"/>
            <w:vAlign w:val="center"/>
          </w:tcPr>
          <w:p>
            <w:pPr>
              <w:jc w:val="center"/>
              <w:rPr>
                <w:rFonts w:ascii="宋体"/>
                <w:color w:val="000000" w:themeColor="text1"/>
                <w:sz w:val="24"/>
              </w:rPr>
            </w:pPr>
            <w:r>
              <w:rPr>
                <w:rFonts w:hint="eastAsia" w:ascii="宋体" w:hAnsi="宋体"/>
                <w:color w:val="000000" w:themeColor="text1"/>
                <w:sz w:val="24"/>
              </w:rPr>
              <w:t>竞争性磋商文件需求</w:t>
            </w:r>
          </w:p>
        </w:tc>
        <w:tc>
          <w:tcPr>
            <w:tcW w:w="4105" w:type="dxa"/>
            <w:gridSpan w:val="2"/>
            <w:vAlign w:val="center"/>
          </w:tcPr>
          <w:p>
            <w:pPr>
              <w:jc w:val="center"/>
              <w:rPr>
                <w:rFonts w:ascii="宋体"/>
                <w:color w:val="000000" w:themeColor="text1"/>
                <w:sz w:val="24"/>
              </w:rPr>
            </w:pPr>
            <w:r>
              <w:rPr>
                <w:rFonts w:hint="eastAsia" w:ascii="宋体" w:hAnsi="宋体"/>
                <w:color w:val="000000" w:themeColor="text1"/>
                <w:sz w:val="24"/>
              </w:rPr>
              <w:t>响应文件承诺</w:t>
            </w:r>
          </w:p>
        </w:tc>
        <w:tc>
          <w:tcPr>
            <w:tcW w:w="1417" w:type="dxa"/>
            <w:vMerge w:val="restart"/>
            <w:vAlign w:val="center"/>
          </w:tcPr>
          <w:p>
            <w:pPr>
              <w:jc w:val="center"/>
              <w:rPr>
                <w:rFonts w:ascii="宋体"/>
                <w:color w:val="000000" w:themeColor="text1"/>
                <w:sz w:val="24"/>
              </w:rPr>
            </w:pPr>
            <w:r>
              <w:rPr>
                <w:rFonts w:hint="eastAsia" w:ascii="宋体" w:hAnsi="宋体"/>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Merge w:val="continue"/>
            <w:vAlign w:val="center"/>
          </w:tcPr>
          <w:p>
            <w:pPr>
              <w:pStyle w:val="10"/>
              <w:jc w:val="center"/>
              <w:rPr>
                <w:rFonts w:hAnsi="宋体"/>
                <w:color w:val="000000" w:themeColor="text1"/>
                <w:spacing w:val="-20"/>
                <w:sz w:val="24"/>
                <w:szCs w:val="24"/>
              </w:rPr>
            </w:pPr>
          </w:p>
        </w:tc>
        <w:tc>
          <w:tcPr>
            <w:tcW w:w="1257" w:type="dxa"/>
            <w:vAlign w:val="center"/>
          </w:tcPr>
          <w:p>
            <w:pPr>
              <w:jc w:val="center"/>
              <w:rPr>
                <w:rFonts w:ascii="宋体"/>
                <w:color w:val="000000" w:themeColor="text1"/>
                <w:sz w:val="24"/>
              </w:rPr>
            </w:pPr>
            <w:r>
              <w:rPr>
                <w:rFonts w:hint="eastAsia" w:ascii="宋体" w:hAnsi="宋体"/>
                <w:color w:val="000000" w:themeColor="text1"/>
                <w:sz w:val="24"/>
              </w:rPr>
              <w:t>服务名称</w:t>
            </w:r>
          </w:p>
        </w:tc>
        <w:tc>
          <w:tcPr>
            <w:tcW w:w="2125" w:type="dxa"/>
            <w:vAlign w:val="center"/>
          </w:tcPr>
          <w:p>
            <w:pPr>
              <w:jc w:val="center"/>
              <w:rPr>
                <w:rFonts w:ascii="宋体"/>
                <w:color w:val="000000" w:themeColor="text1"/>
                <w:sz w:val="24"/>
              </w:rPr>
            </w:pPr>
            <w:r>
              <w:rPr>
                <w:rFonts w:hint="eastAsia" w:ascii="宋体" w:hAnsi="宋体"/>
                <w:color w:val="000000" w:themeColor="text1"/>
                <w:sz w:val="24"/>
              </w:rPr>
              <w:t>服务内容及要求</w:t>
            </w:r>
          </w:p>
        </w:tc>
        <w:tc>
          <w:tcPr>
            <w:tcW w:w="1340" w:type="dxa"/>
            <w:vAlign w:val="center"/>
          </w:tcPr>
          <w:p>
            <w:pPr>
              <w:jc w:val="center"/>
              <w:rPr>
                <w:rFonts w:ascii="宋体"/>
                <w:color w:val="000000" w:themeColor="text1"/>
                <w:sz w:val="24"/>
              </w:rPr>
            </w:pPr>
            <w:r>
              <w:rPr>
                <w:rFonts w:hint="eastAsia" w:ascii="宋体" w:hAnsi="宋体"/>
                <w:color w:val="000000" w:themeColor="text1"/>
                <w:sz w:val="24"/>
              </w:rPr>
              <w:t>服务名称</w:t>
            </w:r>
          </w:p>
        </w:tc>
        <w:tc>
          <w:tcPr>
            <w:tcW w:w="2765" w:type="dxa"/>
            <w:vAlign w:val="center"/>
          </w:tcPr>
          <w:p>
            <w:pPr>
              <w:jc w:val="center"/>
              <w:rPr>
                <w:rFonts w:ascii="宋体"/>
                <w:color w:val="000000" w:themeColor="text1"/>
                <w:sz w:val="24"/>
              </w:rPr>
            </w:pPr>
            <w:r>
              <w:rPr>
                <w:rFonts w:hint="eastAsia" w:ascii="宋体" w:hAnsi="宋体"/>
                <w:color w:val="000000" w:themeColor="text1"/>
                <w:sz w:val="24"/>
              </w:rPr>
              <w:t>所提供服务的内容</w:t>
            </w:r>
          </w:p>
        </w:tc>
        <w:tc>
          <w:tcPr>
            <w:tcW w:w="1417" w:type="dxa"/>
            <w:vMerge w:val="continue"/>
            <w:vAlign w:val="center"/>
          </w:tcPr>
          <w:p>
            <w:pPr>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0"/>
              <w:jc w:val="center"/>
              <w:rPr>
                <w:rFonts w:hAnsi="宋体"/>
                <w:color w:val="000000" w:themeColor="text1"/>
                <w:spacing w:val="-20"/>
                <w:sz w:val="24"/>
                <w:szCs w:val="24"/>
              </w:rPr>
            </w:pPr>
            <w:r>
              <w:rPr>
                <w:rFonts w:hAnsi="宋体"/>
                <w:color w:val="000000" w:themeColor="text1"/>
                <w:spacing w:val="-20"/>
                <w:sz w:val="24"/>
                <w:szCs w:val="24"/>
              </w:rPr>
              <w:t>1</w:t>
            </w:r>
          </w:p>
        </w:tc>
        <w:tc>
          <w:tcPr>
            <w:tcW w:w="1257" w:type="dxa"/>
            <w:vAlign w:val="center"/>
          </w:tcPr>
          <w:p>
            <w:pPr>
              <w:pStyle w:val="10"/>
              <w:spacing w:line="600" w:lineRule="exact"/>
              <w:jc w:val="center"/>
              <w:rPr>
                <w:rFonts w:hAnsi="宋体"/>
                <w:color w:val="000000" w:themeColor="text1"/>
                <w:sz w:val="24"/>
                <w:szCs w:val="24"/>
              </w:rPr>
            </w:pPr>
          </w:p>
        </w:tc>
        <w:tc>
          <w:tcPr>
            <w:tcW w:w="2125" w:type="dxa"/>
            <w:vAlign w:val="center"/>
          </w:tcPr>
          <w:p>
            <w:pPr>
              <w:pStyle w:val="10"/>
              <w:spacing w:line="600" w:lineRule="exact"/>
              <w:jc w:val="center"/>
              <w:rPr>
                <w:rFonts w:hAnsi="宋体"/>
                <w:color w:val="000000" w:themeColor="text1"/>
                <w:sz w:val="24"/>
                <w:szCs w:val="24"/>
              </w:rPr>
            </w:pPr>
          </w:p>
        </w:tc>
        <w:tc>
          <w:tcPr>
            <w:tcW w:w="1340" w:type="dxa"/>
            <w:vAlign w:val="center"/>
          </w:tcPr>
          <w:p>
            <w:pPr>
              <w:pStyle w:val="10"/>
              <w:spacing w:line="600" w:lineRule="exact"/>
              <w:jc w:val="center"/>
              <w:rPr>
                <w:rFonts w:hAnsi="宋体"/>
                <w:color w:val="000000" w:themeColor="text1"/>
                <w:sz w:val="24"/>
                <w:szCs w:val="24"/>
              </w:rPr>
            </w:pPr>
          </w:p>
        </w:tc>
        <w:tc>
          <w:tcPr>
            <w:tcW w:w="2765" w:type="dxa"/>
            <w:vAlign w:val="center"/>
          </w:tcPr>
          <w:p>
            <w:pPr>
              <w:pStyle w:val="10"/>
              <w:spacing w:line="600" w:lineRule="exact"/>
              <w:jc w:val="center"/>
              <w:rPr>
                <w:rFonts w:hAnsi="宋体"/>
                <w:color w:val="000000" w:themeColor="text1"/>
                <w:sz w:val="24"/>
                <w:szCs w:val="24"/>
              </w:rPr>
            </w:pPr>
          </w:p>
        </w:tc>
        <w:tc>
          <w:tcPr>
            <w:tcW w:w="1417"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0"/>
              <w:jc w:val="center"/>
              <w:rPr>
                <w:rFonts w:hAnsi="宋体"/>
                <w:color w:val="000000" w:themeColor="text1"/>
                <w:spacing w:val="-20"/>
                <w:sz w:val="24"/>
                <w:szCs w:val="24"/>
              </w:rPr>
            </w:pPr>
            <w:r>
              <w:rPr>
                <w:rFonts w:hAnsi="宋体"/>
                <w:color w:val="000000" w:themeColor="text1"/>
                <w:spacing w:val="-20"/>
                <w:sz w:val="24"/>
                <w:szCs w:val="24"/>
              </w:rPr>
              <w:t>2</w:t>
            </w:r>
          </w:p>
        </w:tc>
        <w:tc>
          <w:tcPr>
            <w:tcW w:w="1257" w:type="dxa"/>
            <w:vAlign w:val="center"/>
          </w:tcPr>
          <w:p>
            <w:pPr>
              <w:pStyle w:val="10"/>
              <w:spacing w:line="600" w:lineRule="exact"/>
              <w:jc w:val="center"/>
              <w:rPr>
                <w:rFonts w:hAnsi="宋体"/>
                <w:color w:val="000000" w:themeColor="text1"/>
                <w:sz w:val="24"/>
                <w:szCs w:val="24"/>
              </w:rPr>
            </w:pPr>
          </w:p>
        </w:tc>
        <w:tc>
          <w:tcPr>
            <w:tcW w:w="2125" w:type="dxa"/>
            <w:vAlign w:val="center"/>
          </w:tcPr>
          <w:p>
            <w:pPr>
              <w:pStyle w:val="10"/>
              <w:spacing w:line="600" w:lineRule="exact"/>
              <w:jc w:val="center"/>
              <w:rPr>
                <w:rFonts w:hAnsi="宋体"/>
                <w:color w:val="000000" w:themeColor="text1"/>
                <w:sz w:val="24"/>
                <w:szCs w:val="24"/>
              </w:rPr>
            </w:pPr>
          </w:p>
        </w:tc>
        <w:tc>
          <w:tcPr>
            <w:tcW w:w="1340" w:type="dxa"/>
            <w:vAlign w:val="center"/>
          </w:tcPr>
          <w:p>
            <w:pPr>
              <w:pStyle w:val="10"/>
              <w:spacing w:line="600" w:lineRule="exact"/>
              <w:jc w:val="center"/>
              <w:rPr>
                <w:rFonts w:hAnsi="宋体"/>
                <w:color w:val="000000" w:themeColor="text1"/>
                <w:sz w:val="24"/>
                <w:szCs w:val="24"/>
              </w:rPr>
            </w:pPr>
          </w:p>
        </w:tc>
        <w:tc>
          <w:tcPr>
            <w:tcW w:w="2765" w:type="dxa"/>
            <w:vAlign w:val="center"/>
          </w:tcPr>
          <w:p>
            <w:pPr>
              <w:pStyle w:val="10"/>
              <w:spacing w:line="600" w:lineRule="exact"/>
              <w:jc w:val="center"/>
              <w:rPr>
                <w:rFonts w:hAnsi="宋体"/>
                <w:color w:val="000000" w:themeColor="text1"/>
                <w:sz w:val="24"/>
                <w:szCs w:val="24"/>
              </w:rPr>
            </w:pPr>
          </w:p>
        </w:tc>
        <w:tc>
          <w:tcPr>
            <w:tcW w:w="1417"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0"/>
              <w:jc w:val="center"/>
              <w:rPr>
                <w:rFonts w:hAnsi="宋体"/>
                <w:color w:val="000000" w:themeColor="text1"/>
                <w:spacing w:val="-20"/>
                <w:sz w:val="24"/>
                <w:szCs w:val="24"/>
              </w:rPr>
            </w:pPr>
            <w:r>
              <w:rPr>
                <w:rFonts w:hAnsi="宋体"/>
                <w:color w:val="000000" w:themeColor="text1"/>
                <w:spacing w:val="-20"/>
                <w:sz w:val="24"/>
                <w:szCs w:val="24"/>
              </w:rPr>
              <w:t>...</w:t>
            </w:r>
          </w:p>
        </w:tc>
        <w:tc>
          <w:tcPr>
            <w:tcW w:w="1257" w:type="dxa"/>
            <w:vAlign w:val="center"/>
          </w:tcPr>
          <w:p>
            <w:pPr>
              <w:pStyle w:val="10"/>
              <w:spacing w:line="600" w:lineRule="exact"/>
              <w:jc w:val="center"/>
              <w:rPr>
                <w:rFonts w:hAnsi="宋体"/>
                <w:color w:val="000000" w:themeColor="text1"/>
                <w:sz w:val="24"/>
                <w:szCs w:val="24"/>
              </w:rPr>
            </w:pPr>
          </w:p>
        </w:tc>
        <w:tc>
          <w:tcPr>
            <w:tcW w:w="2125" w:type="dxa"/>
            <w:vAlign w:val="center"/>
          </w:tcPr>
          <w:p>
            <w:pPr>
              <w:pStyle w:val="10"/>
              <w:spacing w:line="600" w:lineRule="exact"/>
              <w:jc w:val="center"/>
              <w:rPr>
                <w:rFonts w:hAnsi="宋体"/>
                <w:color w:val="000000" w:themeColor="text1"/>
                <w:sz w:val="24"/>
                <w:szCs w:val="24"/>
              </w:rPr>
            </w:pPr>
          </w:p>
        </w:tc>
        <w:tc>
          <w:tcPr>
            <w:tcW w:w="1340" w:type="dxa"/>
            <w:vAlign w:val="center"/>
          </w:tcPr>
          <w:p>
            <w:pPr>
              <w:pStyle w:val="10"/>
              <w:spacing w:line="600" w:lineRule="exact"/>
              <w:jc w:val="center"/>
              <w:rPr>
                <w:rFonts w:hAnsi="宋体"/>
                <w:color w:val="000000" w:themeColor="text1"/>
                <w:sz w:val="24"/>
                <w:szCs w:val="24"/>
              </w:rPr>
            </w:pPr>
          </w:p>
        </w:tc>
        <w:tc>
          <w:tcPr>
            <w:tcW w:w="2765" w:type="dxa"/>
            <w:vAlign w:val="center"/>
          </w:tcPr>
          <w:p>
            <w:pPr>
              <w:pStyle w:val="10"/>
              <w:spacing w:line="600" w:lineRule="exact"/>
              <w:jc w:val="center"/>
              <w:rPr>
                <w:rFonts w:hAnsi="宋体"/>
                <w:color w:val="000000" w:themeColor="text1"/>
                <w:sz w:val="24"/>
                <w:szCs w:val="24"/>
              </w:rPr>
            </w:pPr>
          </w:p>
        </w:tc>
        <w:tc>
          <w:tcPr>
            <w:tcW w:w="1417" w:type="dxa"/>
            <w:vAlign w:val="center"/>
          </w:tcPr>
          <w:p>
            <w:pPr>
              <w:pStyle w:val="10"/>
              <w:spacing w:line="600" w:lineRule="exact"/>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39" w:type="dxa"/>
            <w:gridSpan w:val="6"/>
            <w:vAlign w:val="center"/>
          </w:tcPr>
          <w:p>
            <w:pPr>
              <w:pStyle w:val="10"/>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39" w:type="dxa"/>
            <w:gridSpan w:val="6"/>
            <w:vAlign w:val="center"/>
          </w:tcPr>
          <w:p>
            <w:pPr>
              <w:pStyle w:val="10"/>
              <w:spacing w:line="600" w:lineRule="exact"/>
              <w:jc w:val="left"/>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tc>
      </w:tr>
    </w:tbl>
    <w:p>
      <w:pPr>
        <w:pStyle w:val="10"/>
        <w:rPr>
          <w:rFonts w:hAnsi="宋体"/>
          <w:color w:val="000000" w:themeColor="text1"/>
          <w:sz w:val="24"/>
          <w:szCs w:val="24"/>
        </w:rPr>
      </w:pPr>
    </w:p>
    <w:p>
      <w:pPr>
        <w:pStyle w:val="10"/>
        <w:rPr>
          <w:rFonts w:hAnsi="宋体"/>
          <w:color w:val="000000" w:themeColor="text1"/>
          <w:sz w:val="24"/>
          <w:szCs w:val="24"/>
        </w:rPr>
      </w:pPr>
      <w:r>
        <w:rPr>
          <w:rFonts w:hAnsi="宋体"/>
          <w:color w:val="000000" w:themeColor="text1"/>
          <w:sz w:val="24"/>
          <w:szCs w:val="24"/>
        </w:rPr>
        <w:t>......</w:t>
      </w:r>
    </w:p>
    <w:p>
      <w:pPr>
        <w:pStyle w:val="10"/>
        <w:rPr>
          <w:rFonts w:hAnsi="宋体"/>
          <w:color w:val="000000" w:themeColor="text1"/>
          <w:sz w:val="24"/>
          <w:szCs w:val="24"/>
        </w:rPr>
      </w:pPr>
    </w:p>
    <w:p>
      <w:pPr>
        <w:pStyle w:val="10"/>
        <w:spacing w:line="360" w:lineRule="auto"/>
        <w:rPr>
          <w:rFonts w:hAnsi="宋体"/>
          <w:color w:val="000000" w:themeColor="text1"/>
          <w:sz w:val="24"/>
          <w:szCs w:val="24"/>
        </w:rPr>
      </w:pPr>
      <w:r>
        <w:rPr>
          <w:rFonts w:hAnsi="宋体"/>
          <w:color w:val="000000" w:themeColor="text1"/>
          <w:sz w:val="24"/>
          <w:szCs w:val="24"/>
        </w:rPr>
        <w:t>注：⑴表格内容均需按要求填写并盖章，不得留空，否则按投标无效处理。</w:t>
      </w:r>
    </w:p>
    <w:p>
      <w:pPr>
        <w:pStyle w:val="10"/>
        <w:spacing w:line="360" w:lineRule="auto"/>
        <w:ind w:firstLine="480" w:firstLineChars="200"/>
        <w:rPr>
          <w:rFonts w:hAnsi="宋体"/>
          <w:color w:val="000000" w:themeColor="text1"/>
          <w:sz w:val="24"/>
          <w:szCs w:val="24"/>
        </w:rPr>
      </w:pPr>
      <w:r>
        <w:rPr>
          <w:rFonts w:hAnsi="宋体"/>
          <w:color w:val="000000" w:themeColor="text1"/>
          <w:sz w:val="24"/>
          <w:szCs w:val="24"/>
        </w:rPr>
        <w:t>⑵当</w:t>
      </w:r>
      <w:r>
        <w:rPr>
          <w:rFonts w:hint="eastAsia" w:hAnsi="宋体"/>
          <w:color w:val="000000" w:themeColor="text1"/>
          <w:sz w:val="24"/>
          <w:szCs w:val="24"/>
        </w:rPr>
        <w:t>响应文件</w:t>
      </w:r>
      <w:r>
        <w:rPr>
          <w:rFonts w:hAnsi="宋体"/>
          <w:color w:val="000000" w:themeColor="text1"/>
          <w:sz w:val="24"/>
          <w:szCs w:val="24"/>
        </w:rPr>
        <w:t>的服务内容低于招标文件要求时，</w:t>
      </w:r>
      <w:r>
        <w:rPr>
          <w:rFonts w:hint="eastAsia" w:hAnsi="宋体"/>
          <w:color w:val="000000" w:themeColor="text1"/>
          <w:sz w:val="24"/>
          <w:szCs w:val="24"/>
        </w:rPr>
        <w:t>磋商供应商</w:t>
      </w:r>
      <w:r>
        <w:rPr>
          <w:rFonts w:hAnsi="宋体"/>
          <w:color w:val="000000" w:themeColor="text1"/>
          <w:sz w:val="24"/>
          <w:szCs w:val="24"/>
        </w:rPr>
        <w:t>应当如实写明“负偏离”，否则视为虚假应标。</w:t>
      </w: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spacing w:line="600" w:lineRule="exact"/>
        <w:rPr>
          <w:rFonts w:hAnsi="宋体"/>
          <w:color w:val="000000" w:themeColor="text1"/>
          <w:sz w:val="24"/>
          <w:szCs w:val="24"/>
          <w:u w:val="single"/>
        </w:rPr>
      </w:pPr>
    </w:p>
    <w:p>
      <w:pPr>
        <w:pStyle w:val="10"/>
        <w:spacing w:line="600" w:lineRule="exact"/>
        <w:jc w:val="left"/>
        <w:outlineLvl w:val="1"/>
        <w:rPr>
          <w:rFonts w:hAnsi="宋体"/>
          <w:color w:val="000000" w:themeColor="text1"/>
          <w:u w:val="single"/>
        </w:rPr>
      </w:pPr>
      <w:r>
        <w:rPr>
          <w:rFonts w:hAnsi="宋体"/>
          <w:color w:val="000000" w:themeColor="text1"/>
          <w:sz w:val="24"/>
          <w:szCs w:val="24"/>
          <w:u w:val="single"/>
        </w:rPr>
        <w:br w:type="page"/>
      </w:r>
      <w:bookmarkStart w:id="110" w:name="_Toc31451"/>
      <w:bookmarkStart w:id="111" w:name="_Toc6374"/>
      <w:r>
        <w:rPr>
          <w:rFonts w:hint="eastAsia" w:hAnsi="宋体"/>
          <w:b/>
          <w:color w:val="000000" w:themeColor="text1"/>
        </w:rPr>
        <w:t>格式</w:t>
      </w:r>
      <w:r>
        <w:rPr>
          <w:rFonts w:hAnsi="宋体"/>
          <w:b/>
          <w:color w:val="000000" w:themeColor="text1"/>
        </w:rPr>
        <w:t>6</w:t>
      </w:r>
      <w:r>
        <w:rPr>
          <w:rFonts w:hint="eastAsia" w:hAnsi="宋体"/>
          <w:b/>
          <w:color w:val="000000" w:themeColor="text1"/>
        </w:rPr>
        <w:t>：</w:t>
      </w:r>
      <w:bookmarkEnd w:id="110"/>
      <w:bookmarkEnd w:id="111"/>
    </w:p>
    <w:p>
      <w:pPr>
        <w:pStyle w:val="10"/>
        <w:spacing w:line="500" w:lineRule="exact"/>
        <w:jc w:val="center"/>
        <w:outlineLvl w:val="2"/>
        <w:rPr>
          <w:rFonts w:hAnsi="宋体"/>
          <w:b/>
          <w:bCs/>
          <w:color w:val="000000" w:themeColor="text1"/>
          <w:sz w:val="32"/>
          <w:szCs w:val="32"/>
        </w:rPr>
      </w:pPr>
      <w:r>
        <w:rPr>
          <w:rFonts w:hint="eastAsia" w:hAnsi="宋体"/>
          <w:b/>
          <w:bCs/>
          <w:color w:val="000000" w:themeColor="text1"/>
          <w:sz w:val="32"/>
          <w:szCs w:val="32"/>
        </w:rPr>
        <w:t>售后服务承诺书（格式）</w:t>
      </w:r>
    </w:p>
    <w:p>
      <w:pPr>
        <w:pStyle w:val="10"/>
        <w:spacing w:line="440" w:lineRule="exact"/>
        <w:ind w:firstLine="475" w:firstLineChars="198"/>
        <w:rPr>
          <w:rFonts w:hAnsi="宋体"/>
          <w:color w:val="000000" w:themeColor="text1"/>
          <w:sz w:val="24"/>
          <w:szCs w:val="24"/>
        </w:rPr>
      </w:pPr>
    </w:p>
    <w:p>
      <w:pPr>
        <w:pStyle w:val="10"/>
        <w:spacing w:line="440" w:lineRule="exact"/>
        <w:ind w:firstLine="475" w:firstLineChars="198"/>
        <w:rPr>
          <w:rFonts w:hAnsi="宋体"/>
          <w:color w:val="000000" w:themeColor="text1"/>
          <w:sz w:val="24"/>
          <w:szCs w:val="24"/>
        </w:rPr>
      </w:pPr>
      <w:r>
        <w:rPr>
          <w:rFonts w:hint="eastAsia" w:hAnsi="宋体"/>
          <w:color w:val="000000" w:themeColor="text1"/>
          <w:sz w:val="24"/>
          <w:szCs w:val="24"/>
        </w:rPr>
        <w:t>由磋商供应商按本项目竞争性磋商文件第二章“服务需求一览表”中商务条款部分的售后服务要求自行填写。</w:t>
      </w:r>
    </w:p>
    <w:p>
      <w:pPr>
        <w:pStyle w:val="10"/>
        <w:spacing w:line="440" w:lineRule="exact"/>
        <w:ind w:firstLine="480" w:firstLineChars="20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rPr>
          <w:rFonts w:hAnsi="宋体"/>
          <w:color w:val="000000" w:themeColor="text1"/>
          <w:sz w:val="24"/>
          <w:szCs w:val="24"/>
        </w:rPr>
      </w:pPr>
    </w:p>
    <w:p>
      <w:pPr>
        <w:pStyle w:val="10"/>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p>
      <w:pPr>
        <w:pStyle w:val="10"/>
        <w:spacing w:line="600" w:lineRule="exact"/>
        <w:rPr>
          <w:rFonts w:hAnsi="宋体"/>
          <w:color w:val="000000" w:themeColor="text1"/>
          <w:sz w:val="24"/>
          <w:szCs w:val="24"/>
          <w:u w:val="single"/>
        </w:rPr>
      </w:pPr>
    </w:p>
    <w:p>
      <w:pPr>
        <w:pStyle w:val="10"/>
        <w:spacing w:line="600" w:lineRule="exact"/>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p>
      <w:pPr>
        <w:pStyle w:val="10"/>
        <w:spacing w:line="600" w:lineRule="exact"/>
        <w:outlineLvl w:val="1"/>
        <w:rPr>
          <w:rFonts w:hAnsi="宋体"/>
          <w:color w:val="000000" w:themeColor="text1"/>
          <w:u w:val="single"/>
        </w:rPr>
      </w:pPr>
      <w:r>
        <w:rPr>
          <w:rFonts w:hAnsi="宋体"/>
          <w:color w:val="000000" w:themeColor="text1"/>
          <w:sz w:val="24"/>
          <w:szCs w:val="24"/>
          <w:u w:val="single"/>
        </w:rPr>
        <w:br w:type="page"/>
      </w:r>
      <w:bookmarkStart w:id="112" w:name="_Toc28775"/>
      <w:bookmarkStart w:id="113" w:name="_Toc9202"/>
      <w:bookmarkStart w:id="114" w:name="_Toc23732"/>
      <w:r>
        <w:rPr>
          <w:rFonts w:hint="eastAsia" w:hAnsi="宋体"/>
          <w:b/>
          <w:color w:val="000000" w:themeColor="text1"/>
        </w:rPr>
        <w:t>格式</w:t>
      </w:r>
      <w:r>
        <w:rPr>
          <w:rFonts w:hAnsi="宋体"/>
          <w:b/>
          <w:color w:val="000000" w:themeColor="text1"/>
        </w:rPr>
        <w:t>7</w:t>
      </w:r>
      <w:r>
        <w:rPr>
          <w:rFonts w:hint="eastAsia" w:hAnsi="宋体"/>
          <w:b/>
          <w:color w:val="000000" w:themeColor="text1"/>
        </w:rPr>
        <w:t>：</w:t>
      </w:r>
      <w:bookmarkEnd w:id="112"/>
      <w:bookmarkEnd w:id="113"/>
      <w:bookmarkEnd w:id="114"/>
    </w:p>
    <w:p>
      <w:pPr>
        <w:pStyle w:val="10"/>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商务条款偏离表（格式）</w:t>
      </w:r>
    </w:p>
    <w:p>
      <w:pPr>
        <w:pStyle w:val="10"/>
        <w:spacing w:line="440" w:lineRule="exact"/>
        <w:ind w:firstLine="420" w:firstLineChars="200"/>
        <w:rPr>
          <w:rFonts w:hAnsi="宋体"/>
          <w:color w:val="000000" w:themeColor="text1"/>
        </w:rPr>
      </w:pPr>
    </w:p>
    <w:p>
      <w:pPr>
        <w:pStyle w:val="10"/>
        <w:spacing w:line="440" w:lineRule="exact"/>
        <w:ind w:firstLine="480" w:firstLineChars="200"/>
        <w:rPr>
          <w:rFonts w:hAnsi="宋体"/>
          <w:b/>
          <w:color w:val="000000" w:themeColor="text1"/>
          <w:sz w:val="24"/>
          <w:szCs w:val="24"/>
        </w:rPr>
      </w:pPr>
      <w:r>
        <w:rPr>
          <w:rFonts w:hint="eastAsia" w:hAnsi="宋体"/>
          <w:color w:val="000000" w:themeColor="text1"/>
          <w:sz w:val="24"/>
          <w:szCs w:val="24"/>
        </w:rPr>
        <w:t>请逐条对应本项目竞争性磋商文件第二章“服务需求一览表”中商务条款的要求，</w:t>
      </w:r>
      <w:r>
        <w:rPr>
          <w:rFonts w:hAnsi="宋体"/>
          <w:color w:val="000000" w:themeColor="text1"/>
          <w:sz w:val="24"/>
          <w:szCs w:val="24"/>
        </w:rPr>
        <w:t>详细填写相应的具体内容。</w:t>
      </w:r>
      <w:r>
        <w:rPr>
          <w:rFonts w:hint="eastAsia" w:hAnsi="宋体"/>
          <w:color w:val="000000" w:themeColor="text1"/>
          <w:sz w:val="24"/>
          <w:szCs w:val="24"/>
        </w:rPr>
        <w:t>“偏离说明”一栏应当选择“正偏离”、“负偏离”或“无偏离”进行填写</w:t>
      </w:r>
      <w:r>
        <w:rPr>
          <w:rFonts w:hint="eastAsia" w:hAnsi="宋体"/>
          <w:b/>
          <w:color w:val="000000" w:themeColor="text1"/>
          <w:sz w:val="24"/>
          <w:szCs w:val="24"/>
        </w:rPr>
        <w:t>。</w:t>
      </w:r>
    </w:p>
    <w:p>
      <w:pPr>
        <w:pStyle w:val="10"/>
        <w:rPr>
          <w:rFonts w:hAnsi="宋体"/>
          <w:color w:val="000000" w:themeColor="text1"/>
          <w:sz w:val="24"/>
          <w:szCs w:val="24"/>
          <w:u w:val="single"/>
        </w:rPr>
      </w:pPr>
    </w:p>
    <w:p>
      <w:pPr>
        <w:pStyle w:val="10"/>
        <w:jc w:val="left"/>
        <w:rPr>
          <w:rFonts w:hAnsi="宋体"/>
          <w:color w:val="000000" w:themeColor="text1"/>
          <w:sz w:val="24"/>
          <w:szCs w:val="24"/>
        </w:rPr>
      </w:pPr>
      <w:r>
        <w:rPr>
          <w:rFonts w:hAnsi="宋体"/>
          <w:color w:val="000000" w:themeColor="text1"/>
          <w:sz w:val="24"/>
          <w:szCs w:val="24"/>
        </w:rPr>
        <w:t xml:space="preserve"> </w:t>
      </w:r>
    </w:p>
    <w:tbl>
      <w:tblPr>
        <w:tblStyle w:val="1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945"/>
        <w:gridCol w:w="32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5" w:type="dxa"/>
            <w:vAlign w:val="center"/>
          </w:tcPr>
          <w:p>
            <w:pPr>
              <w:pStyle w:val="10"/>
              <w:jc w:val="center"/>
              <w:rPr>
                <w:rFonts w:hAnsi="宋体"/>
                <w:color w:val="000000" w:themeColor="text1"/>
                <w:sz w:val="24"/>
                <w:szCs w:val="24"/>
              </w:rPr>
            </w:pPr>
            <w:r>
              <w:rPr>
                <w:rFonts w:hint="eastAsia" w:hAnsi="宋体"/>
                <w:color w:val="000000" w:themeColor="text1"/>
                <w:sz w:val="24"/>
                <w:szCs w:val="24"/>
              </w:rPr>
              <w:t>项号</w:t>
            </w:r>
          </w:p>
        </w:tc>
        <w:tc>
          <w:tcPr>
            <w:tcW w:w="3945" w:type="dxa"/>
            <w:vAlign w:val="center"/>
          </w:tcPr>
          <w:p>
            <w:pPr>
              <w:pStyle w:val="10"/>
              <w:jc w:val="center"/>
              <w:rPr>
                <w:rFonts w:hAnsi="宋体"/>
                <w:color w:val="000000" w:themeColor="text1"/>
                <w:sz w:val="24"/>
                <w:szCs w:val="24"/>
              </w:rPr>
            </w:pPr>
            <w:r>
              <w:rPr>
                <w:rFonts w:hint="eastAsia" w:hAnsi="宋体"/>
                <w:color w:val="000000" w:themeColor="text1"/>
                <w:sz w:val="24"/>
                <w:szCs w:val="24"/>
              </w:rPr>
              <w:t>竞争性磋商文件的商务需求</w:t>
            </w:r>
          </w:p>
        </w:tc>
        <w:tc>
          <w:tcPr>
            <w:tcW w:w="3258" w:type="dxa"/>
            <w:vAlign w:val="center"/>
          </w:tcPr>
          <w:p>
            <w:pPr>
              <w:pStyle w:val="10"/>
              <w:jc w:val="center"/>
              <w:rPr>
                <w:rFonts w:hAnsi="宋体"/>
                <w:color w:val="000000" w:themeColor="text1"/>
                <w:sz w:val="24"/>
                <w:szCs w:val="24"/>
              </w:rPr>
            </w:pPr>
            <w:r>
              <w:rPr>
                <w:rFonts w:hint="eastAsia" w:hAnsi="宋体"/>
                <w:color w:val="000000" w:themeColor="text1"/>
                <w:sz w:val="24"/>
                <w:szCs w:val="24"/>
              </w:rPr>
              <w:t>响应文件承诺的商务条款</w:t>
            </w:r>
          </w:p>
        </w:tc>
        <w:tc>
          <w:tcPr>
            <w:tcW w:w="1560" w:type="dxa"/>
            <w:vAlign w:val="center"/>
          </w:tcPr>
          <w:p>
            <w:pPr>
              <w:pStyle w:val="10"/>
              <w:jc w:val="center"/>
              <w:rPr>
                <w:rFonts w:hAnsi="宋体"/>
                <w:color w:val="000000" w:themeColor="text1"/>
                <w:sz w:val="24"/>
                <w:szCs w:val="24"/>
              </w:rPr>
            </w:pPr>
            <w:r>
              <w:rPr>
                <w:rFonts w:hint="eastAsia" w:hAnsi="宋体"/>
                <w:color w:val="000000" w:themeColor="text1"/>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0"/>
              <w:jc w:val="center"/>
              <w:rPr>
                <w:rFonts w:hAnsi="宋体"/>
                <w:color w:val="000000" w:themeColor="text1"/>
                <w:spacing w:val="-20"/>
                <w:sz w:val="24"/>
                <w:szCs w:val="24"/>
              </w:rPr>
            </w:pPr>
            <w:r>
              <w:rPr>
                <w:rFonts w:hint="eastAsia" w:hAnsi="宋体"/>
                <w:color w:val="000000" w:themeColor="text1"/>
                <w:spacing w:val="-20"/>
                <w:sz w:val="24"/>
                <w:szCs w:val="24"/>
              </w:rPr>
              <w:t>一</w:t>
            </w:r>
          </w:p>
        </w:tc>
        <w:tc>
          <w:tcPr>
            <w:tcW w:w="3945" w:type="dxa"/>
            <w:vAlign w:val="center"/>
          </w:tcPr>
          <w:p>
            <w:pPr>
              <w:spacing w:line="340" w:lineRule="exact"/>
              <w:rPr>
                <w:rFonts w:eastAsia="FangSong_GB2312"/>
                <w:color w:val="000000" w:themeColor="text1"/>
                <w:szCs w:val="21"/>
              </w:rPr>
            </w:pPr>
            <w:r>
              <w:rPr>
                <w:rFonts w:eastAsia="FangSong_GB2312"/>
                <w:color w:val="000000" w:themeColor="text1"/>
                <w:szCs w:val="21"/>
              </w:rPr>
              <w:t>1  ……</w:t>
            </w:r>
          </w:p>
          <w:p>
            <w:pPr>
              <w:spacing w:line="340" w:lineRule="exact"/>
              <w:rPr>
                <w:rFonts w:eastAsia="FangSong_GB2312"/>
                <w:color w:val="000000" w:themeColor="text1"/>
                <w:szCs w:val="21"/>
              </w:rPr>
            </w:pPr>
            <w:r>
              <w:rPr>
                <w:rFonts w:eastAsia="FangSong_GB2312"/>
                <w:color w:val="000000" w:themeColor="text1"/>
                <w:szCs w:val="21"/>
              </w:rPr>
              <w:t>2  ……</w:t>
            </w:r>
          </w:p>
          <w:p>
            <w:pPr>
              <w:spacing w:line="340" w:lineRule="exact"/>
              <w:rPr>
                <w:rFonts w:eastAsia="FangSong_GB2312"/>
                <w:color w:val="000000" w:themeColor="text1"/>
                <w:szCs w:val="21"/>
              </w:rPr>
            </w:pPr>
            <w:r>
              <w:rPr>
                <w:rFonts w:eastAsia="FangSong_GB2312"/>
                <w:color w:val="000000" w:themeColor="text1"/>
                <w:szCs w:val="21"/>
              </w:rPr>
              <w:t>3  ……</w:t>
            </w:r>
          </w:p>
        </w:tc>
        <w:tc>
          <w:tcPr>
            <w:tcW w:w="3258" w:type="dxa"/>
            <w:vAlign w:val="center"/>
          </w:tcPr>
          <w:p>
            <w:pPr>
              <w:spacing w:line="340" w:lineRule="exact"/>
              <w:rPr>
                <w:rFonts w:eastAsia="FangSong_GB2312"/>
                <w:color w:val="000000" w:themeColor="text1"/>
                <w:szCs w:val="21"/>
              </w:rPr>
            </w:pPr>
            <w:r>
              <w:rPr>
                <w:rFonts w:eastAsia="FangSong_GB2312"/>
                <w:color w:val="000000" w:themeColor="text1"/>
                <w:szCs w:val="21"/>
              </w:rPr>
              <w:t>1  ……</w:t>
            </w:r>
          </w:p>
          <w:p>
            <w:pPr>
              <w:spacing w:line="340" w:lineRule="exact"/>
              <w:rPr>
                <w:rFonts w:eastAsia="FangSong_GB2312"/>
                <w:color w:val="000000" w:themeColor="text1"/>
                <w:szCs w:val="21"/>
              </w:rPr>
            </w:pPr>
            <w:r>
              <w:rPr>
                <w:rFonts w:eastAsia="FangSong_GB2312"/>
                <w:color w:val="000000" w:themeColor="text1"/>
                <w:szCs w:val="21"/>
              </w:rPr>
              <w:t>2  ……</w:t>
            </w:r>
          </w:p>
          <w:p>
            <w:pPr>
              <w:spacing w:line="340" w:lineRule="exact"/>
              <w:rPr>
                <w:rFonts w:eastAsia="FangSong_GB2312"/>
                <w:color w:val="000000" w:themeColor="text1"/>
                <w:szCs w:val="21"/>
              </w:rPr>
            </w:pPr>
            <w:r>
              <w:rPr>
                <w:rFonts w:eastAsia="FangSong_GB2312"/>
                <w:color w:val="000000" w:themeColor="text1"/>
                <w:szCs w:val="21"/>
              </w:rPr>
              <w:t>3  ……</w:t>
            </w:r>
          </w:p>
        </w:tc>
        <w:tc>
          <w:tcPr>
            <w:tcW w:w="1560"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0"/>
              <w:jc w:val="center"/>
              <w:rPr>
                <w:rFonts w:hAnsi="宋体"/>
                <w:color w:val="000000" w:themeColor="text1"/>
                <w:spacing w:val="-20"/>
                <w:sz w:val="24"/>
                <w:szCs w:val="24"/>
              </w:rPr>
            </w:pPr>
            <w:r>
              <w:rPr>
                <w:rFonts w:hint="eastAsia" w:hAnsi="宋体"/>
                <w:color w:val="000000" w:themeColor="text1"/>
                <w:spacing w:val="-20"/>
                <w:sz w:val="24"/>
                <w:szCs w:val="24"/>
              </w:rPr>
              <w:t>二</w:t>
            </w:r>
          </w:p>
        </w:tc>
        <w:tc>
          <w:tcPr>
            <w:tcW w:w="3945" w:type="dxa"/>
            <w:vAlign w:val="center"/>
          </w:tcPr>
          <w:p>
            <w:pPr>
              <w:pStyle w:val="10"/>
              <w:spacing w:line="600" w:lineRule="exact"/>
              <w:jc w:val="center"/>
              <w:rPr>
                <w:rFonts w:hAnsi="宋体"/>
                <w:color w:val="000000" w:themeColor="text1"/>
                <w:sz w:val="24"/>
                <w:szCs w:val="24"/>
              </w:rPr>
            </w:pPr>
          </w:p>
        </w:tc>
        <w:tc>
          <w:tcPr>
            <w:tcW w:w="3258" w:type="dxa"/>
            <w:vAlign w:val="center"/>
          </w:tcPr>
          <w:p>
            <w:pPr>
              <w:pStyle w:val="10"/>
              <w:spacing w:line="600" w:lineRule="exact"/>
              <w:jc w:val="center"/>
              <w:rPr>
                <w:rFonts w:hAnsi="宋体"/>
                <w:color w:val="000000" w:themeColor="text1"/>
                <w:sz w:val="24"/>
                <w:szCs w:val="24"/>
              </w:rPr>
            </w:pPr>
          </w:p>
        </w:tc>
        <w:tc>
          <w:tcPr>
            <w:tcW w:w="1560"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0"/>
              <w:jc w:val="center"/>
              <w:rPr>
                <w:rFonts w:hAnsi="宋体"/>
                <w:color w:val="000000" w:themeColor="text1"/>
                <w:spacing w:val="-20"/>
                <w:sz w:val="24"/>
                <w:szCs w:val="24"/>
              </w:rPr>
            </w:pPr>
            <w:r>
              <w:rPr>
                <w:rFonts w:hAnsi="宋体"/>
                <w:color w:val="000000" w:themeColor="text1"/>
                <w:spacing w:val="-20"/>
                <w:sz w:val="24"/>
                <w:szCs w:val="24"/>
              </w:rPr>
              <w:t>...</w:t>
            </w:r>
          </w:p>
        </w:tc>
        <w:tc>
          <w:tcPr>
            <w:tcW w:w="3945" w:type="dxa"/>
            <w:vAlign w:val="center"/>
          </w:tcPr>
          <w:p>
            <w:pPr>
              <w:pStyle w:val="10"/>
              <w:spacing w:line="600" w:lineRule="exact"/>
              <w:jc w:val="center"/>
              <w:rPr>
                <w:rFonts w:hAnsi="宋体"/>
                <w:color w:val="000000" w:themeColor="text1"/>
                <w:sz w:val="24"/>
                <w:szCs w:val="24"/>
              </w:rPr>
            </w:pPr>
          </w:p>
        </w:tc>
        <w:tc>
          <w:tcPr>
            <w:tcW w:w="3258" w:type="dxa"/>
            <w:vAlign w:val="center"/>
          </w:tcPr>
          <w:p>
            <w:pPr>
              <w:pStyle w:val="10"/>
              <w:spacing w:line="600" w:lineRule="exact"/>
              <w:jc w:val="center"/>
              <w:rPr>
                <w:rFonts w:hAnsi="宋体"/>
                <w:color w:val="000000" w:themeColor="text1"/>
                <w:sz w:val="24"/>
                <w:szCs w:val="24"/>
              </w:rPr>
            </w:pPr>
          </w:p>
        </w:tc>
        <w:tc>
          <w:tcPr>
            <w:tcW w:w="1560" w:type="dxa"/>
            <w:vAlign w:val="center"/>
          </w:tcPr>
          <w:p>
            <w:pPr>
              <w:pStyle w:val="10"/>
              <w:spacing w:line="600" w:lineRule="exact"/>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4"/>
            <w:vAlign w:val="center"/>
          </w:tcPr>
          <w:p>
            <w:pPr>
              <w:pStyle w:val="10"/>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4"/>
            <w:vAlign w:val="center"/>
          </w:tcPr>
          <w:p>
            <w:pPr>
              <w:pStyle w:val="10"/>
              <w:spacing w:line="600" w:lineRule="exact"/>
              <w:jc w:val="left"/>
              <w:rPr>
                <w:rFonts w:hAnsi="宋体"/>
                <w:color w:val="000000" w:themeColor="text1"/>
                <w:sz w:val="24"/>
                <w:szCs w:val="24"/>
                <w:u w:val="single"/>
              </w:rPr>
            </w:pPr>
            <w:r>
              <w:rPr>
                <w:rFonts w:hint="eastAsia" w:hAnsi="宋体"/>
                <w:color w:val="000000" w:themeColor="text1"/>
                <w:sz w:val="24"/>
                <w:szCs w:val="24"/>
              </w:rPr>
              <w:t>法定代表人或其委托代理人（签字或盖章）：</w:t>
            </w:r>
            <w:r>
              <w:rPr>
                <w:rFonts w:hAnsi="宋体"/>
                <w:b/>
                <w:color w:val="000000" w:themeColor="text1"/>
                <w:sz w:val="32"/>
              </w:rPr>
              <w:br w:type="page"/>
            </w:r>
          </w:p>
        </w:tc>
      </w:tr>
    </w:tbl>
    <w:p>
      <w:pPr>
        <w:pStyle w:val="10"/>
        <w:rPr>
          <w:rFonts w:hAnsi="宋体"/>
          <w:color w:val="000000" w:themeColor="text1"/>
          <w:sz w:val="24"/>
          <w:szCs w:val="24"/>
        </w:rPr>
      </w:pPr>
      <w:r>
        <w:rPr>
          <w:rFonts w:hAnsi="宋体"/>
          <w:color w:val="000000" w:themeColor="text1"/>
          <w:sz w:val="24"/>
          <w:szCs w:val="24"/>
        </w:rPr>
        <w:t>......</w:t>
      </w:r>
    </w:p>
    <w:p>
      <w:pPr>
        <w:pStyle w:val="10"/>
        <w:spacing w:line="600" w:lineRule="exact"/>
        <w:rPr>
          <w:rFonts w:hAnsi="宋体"/>
          <w:color w:val="000000" w:themeColor="text1"/>
          <w:sz w:val="24"/>
          <w:szCs w:val="24"/>
        </w:rPr>
      </w:pPr>
    </w:p>
    <w:p>
      <w:pPr>
        <w:pStyle w:val="10"/>
        <w:spacing w:line="600" w:lineRule="exact"/>
        <w:rPr>
          <w:rFonts w:hAnsi="宋体"/>
          <w:color w:val="000000" w:themeColor="text1"/>
          <w:sz w:val="24"/>
          <w:szCs w:val="24"/>
        </w:rPr>
      </w:pPr>
      <w:r>
        <w:rPr>
          <w:rFonts w:hint="eastAsia" w:hAnsi="宋体"/>
          <w:color w:val="000000" w:themeColor="text1"/>
          <w:sz w:val="24"/>
          <w:szCs w:val="24"/>
        </w:rPr>
        <w:t>注：⑴表格内容均需按要求填写并盖章，不得留空，否则按投标无效处理。</w:t>
      </w:r>
    </w:p>
    <w:p>
      <w:pPr>
        <w:pStyle w:val="10"/>
        <w:spacing w:line="600" w:lineRule="exact"/>
        <w:ind w:firstLine="480" w:firstLineChars="200"/>
        <w:rPr>
          <w:rFonts w:hAnsi="宋体"/>
          <w:color w:val="000000" w:themeColor="text1"/>
          <w:sz w:val="24"/>
          <w:szCs w:val="24"/>
        </w:rPr>
      </w:pPr>
      <w:r>
        <w:rPr>
          <w:rFonts w:hint="eastAsia" w:hAnsi="宋体"/>
          <w:color w:val="000000" w:themeColor="text1"/>
          <w:sz w:val="24"/>
          <w:szCs w:val="24"/>
        </w:rPr>
        <w:t>⑵响应文件承诺不得直接复制招标文件需求，如果招标文件需求为小于或大于某个数值标准时，招标文件承诺内容应当写明投标货物具体参数或商务响应承诺的具体数值，否则按投标无效处理。</w:t>
      </w:r>
    </w:p>
    <w:p>
      <w:pPr>
        <w:pStyle w:val="10"/>
        <w:spacing w:line="600" w:lineRule="exact"/>
        <w:ind w:firstLine="480" w:firstLineChars="200"/>
        <w:rPr>
          <w:rFonts w:hAnsi="宋体"/>
          <w:color w:val="000000" w:themeColor="text1"/>
          <w:sz w:val="24"/>
          <w:szCs w:val="24"/>
        </w:rPr>
      </w:pPr>
      <w:r>
        <w:rPr>
          <w:rFonts w:hint="eastAsia" w:hAnsi="宋体"/>
          <w:color w:val="000000" w:themeColor="text1"/>
          <w:sz w:val="24"/>
          <w:szCs w:val="24"/>
        </w:rPr>
        <w:t>⑶当响应文件的技术参数或商务内容低于招标文件要求时，应当如实写明“负偏离”，否则视为虚假应标。</w:t>
      </w:r>
    </w:p>
    <w:p>
      <w:pPr>
        <w:pStyle w:val="10"/>
        <w:spacing w:line="600" w:lineRule="exact"/>
        <w:rPr>
          <w:rFonts w:hAnsi="宋体"/>
          <w:color w:val="000000" w:themeColor="text1"/>
          <w:sz w:val="24"/>
          <w:szCs w:val="24"/>
          <w:u w:val="single"/>
        </w:rPr>
      </w:pPr>
    </w:p>
    <w:p>
      <w:pPr>
        <w:pStyle w:val="10"/>
        <w:spacing w:line="600" w:lineRule="exact"/>
        <w:rPr>
          <w:rFonts w:hAnsi="宋体"/>
          <w:b/>
          <w:color w:val="000000" w:themeColor="text1"/>
        </w:rPr>
        <w:sectPr>
          <w:pgSz w:w="11906" w:h="16838"/>
          <w:pgMar w:top="1440" w:right="1080" w:bottom="1118" w:left="1080" w:header="720" w:footer="720" w:gutter="0"/>
          <w:cols w:space="720" w:num="1"/>
          <w:docGrid w:type="lines" w:linePitch="331" w:charSpace="0"/>
        </w:sectPr>
      </w:pPr>
    </w:p>
    <w:p>
      <w:pPr>
        <w:pStyle w:val="10"/>
        <w:spacing w:line="600" w:lineRule="exact"/>
        <w:rPr>
          <w:rFonts w:hAnsi="宋体"/>
          <w:color w:val="000000" w:themeColor="text1"/>
          <w:u w:val="single"/>
        </w:rPr>
      </w:pPr>
      <w:r>
        <w:rPr>
          <w:rFonts w:hint="eastAsia" w:hAnsi="宋体"/>
          <w:b/>
          <w:color w:val="000000" w:themeColor="text1"/>
        </w:rPr>
        <w:t>格式</w:t>
      </w:r>
      <w:r>
        <w:rPr>
          <w:rFonts w:hAnsi="宋体"/>
          <w:b/>
          <w:color w:val="000000" w:themeColor="text1"/>
        </w:rPr>
        <w:t>8</w:t>
      </w:r>
      <w:r>
        <w:rPr>
          <w:rFonts w:hint="eastAsia" w:hAnsi="宋体"/>
          <w:b/>
          <w:color w:val="000000" w:themeColor="text1"/>
        </w:rPr>
        <w:t>：</w:t>
      </w:r>
    </w:p>
    <w:p>
      <w:pPr>
        <w:pStyle w:val="10"/>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法定代表人授权委托书（格式）</w:t>
      </w:r>
    </w:p>
    <w:p>
      <w:pPr>
        <w:pStyle w:val="10"/>
        <w:spacing w:line="500" w:lineRule="exact"/>
        <w:ind w:firstLine="420" w:firstLineChars="200"/>
        <w:rPr>
          <w:rFonts w:hAnsi="宋体"/>
          <w:color w:val="000000" w:themeColor="text1"/>
          <w:u w:val="single"/>
        </w:rPr>
      </w:pPr>
    </w:p>
    <w:p>
      <w:pPr>
        <w:pStyle w:val="10"/>
        <w:spacing w:line="440" w:lineRule="exact"/>
        <w:ind w:firstLine="480" w:firstLineChars="200"/>
        <w:rPr>
          <w:rFonts w:hAnsi="宋体"/>
          <w:color w:val="000000" w:themeColor="text1"/>
          <w:sz w:val="24"/>
          <w:szCs w:val="24"/>
        </w:rPr>
      </w:pPr>
      <w:r>
        <w:rPr>
          <w:rFonts w:hint="eastAsia" w:hAnsi="宋体"/>
          <w:color w:val="000000" w:themeColor="text1"/>
          <w:sz w:val="24"/>
          <w:szCs w:val="24"/>
        </w:rPr>
        <w:t>致：</w:t>
      </w:r>
      <w:r>
        <w:rPr>
          <w:rFonts w:hAnsi="宋体"/>
          <w:color w:val="000000" w:themeColor="text1"/>
          <w:sz w:val="24"/>
          <w:szCs w:val="24"/>
          <w:u w:val="single"/>
        </w:rPr>
        <w:t xml:space="preserve">               </w:t>
      </w:r>
      <w:r>
        <w:rPr>
          <w:rFonts w:hint="eastAsia" w:hAnsi="宋体"/>
          <w:color w:val="000000" w:themeColor="text1"/>
          <w:sz w:val="24"/>
          <w:szCs w:val="24"/>
        </w:rPr>
        <w:t>（采购代理机构名称）</w:t>
      </w:r>
    </w:p>
    <w:p>
      <w:pPr>
        <w:pStyle w:val="10"/>
        <w:spacing w:line="440" w:lineRule="exact"/>
        <w:ind w:firstLine="480" w:firstLineChars="200"/>
        <w:rPr>
          <w:rFonts w:hAnsi="宋体"/>
          <w:color w:val="000000" w:themeColor="text1"/>
          <w:sz w:val="24"/>
          <w:szCs w:val="24"/>
        </w:rPr>
      </w:pPr>
    </w:p>
    <w:p>
      <w:pPr>
        <w:pStyle w:val="10"/>
        <w:spacing w:line="440" w:lineRule="exact"/>
        <w:ind w:firstLine="480" w:firstLineChars="200"/>
        <w:rPr>
          <w:rFonts w:hAnsi="宋体"/>
          <w:color w:val="000000" w:themeColor="text1"/>
          <w:sz w:val="24"/>
          <w:szCs w:val="24"/>
        </w:rPr>
      </w:pPr>
      <w:r>
        <w:rPr>
          <w:rFonts w:hint="eastAsia" w:hAnsi="宋体"/>
          <w:color w:val="000000" w:themeColor="text1"/>
          <w:sz w:val="24"/>
          <w:szCs w:val="24"/>
        </w:rPr>
        <w:t>本人</w:t>
      </w:r>
      <w:r>
        <w:rPr>
          <w:rFonts w:hAnsi="宋体"/>
          <w:color w:val="000000" w:themeColor="text1"/>
          <w:sz w:val="24"/>
          <w:szCs w:val="24"/>
          <w:u w:val="single"/>
        </w:rPr>
        <w:t xml:space="preserve">      </w:t>
      </w:r>
      <w:r>
        <w:rPr>
          <w:rFonts w:hAnsi="宋体"/>
          <w:color w:val="000000" w:themeColor="text1"/>
          <w:sz w:val="24"/>
          <w:szCs w:val="24"/>
        </w:rPr>
        <w:t xml:space="preserve"> </w:t>
      </w:r>
      <w:r>
        <w:rPr>
          <w:rFonts w:hint="eastAsia" w:hAnsi="宋体"/>
          <w:color w:val="000000" w:themeColor="text1"/>
          <w:sz w:val="24"/>
          <w:szCs w:val="24"/>
        </w:rPr>
        <w:t>（姓名）系</w:t>
      </w:r>
      <w:r>
        <w:rPr>
          <w:rFonts w:hAnsi="宋体"/>
          <w:color w:val="000000" w:themeColor="text1"/>
          <w:sz w:val="24"/>
          <w:szCs w:val="24"/>
          <w:u w:val="single"/>
        </w:rPr>
        <w:t xml:space="preserve">            </w:t>
      </w:r>
      <w:r>
        <w:rPr>
          <w:rFonts w:hint="eastAsia" w:hAnsi="宋体"/>
          <w:color w:val="000000" w:themeColor="text1"/>
          <w:sz w:val="24"/>
          <w:szCs w:val="24"/>
        </w:rPr>
        <w:t>（磋商供应商名称）的法定代表人，现授权</w:t>
      </w:r>
      <w:r>
        <w:rPr>
          <w:rFonts w:hAnsi="宋体"/>
          <w:color w:val="000000" w:themeColor="text1"/>
          <w:sz w:val="24"/>
          <w:szCs w:val="24"/>
          <w:u w:val="single"/>
        </w:rPr>
        <w:t xml:space="preserve">     </w:t>
      </w:r>
      <w:r>
        <w:rPr>
          <w:rFonts w:hint="eastAsia" w:hAnsi="宋体"/>
          <w:color w:val="000000" w:themeColor="text1"/>
          <w:sz w:val="24"/>
          <w:szCs w:val="24"/>
        </w:rPr>
        <w:t>（姓名和职务）为我方代理人。代理人根据授权，以我方名义签署、澄清、说明、补正、提交、撤回、修改贵方组织的项目</w:t>
      </w:r>
      <w:r>
        <w:rPr>
          <w:rFonts w:hAnsi="宋体"/>
          <w:color w:val="000000" w:themeColor="text1"/>
          <w:sz w:val="24"/>
          <w:szCs w:val="24"/>
          <w:u w:val="single"/>
        </w:rPr>
        <w:t xml:space="preserve">          </w:t>
      </w:r>
      <w:r>
        <w:rPr>
          <w:rFonts w:hint="eastAsia" w:hAnsi="宋体"/>
          <w:color w:val="000000" w:themeColor="text1"/>
          <w:sz w:val="24"/>
          <w:szCs w:val="24"/>
        </w:rPr>
        <w:t>（项目编号：</w:t>
      </w:r>
      <w:r>
        <w:rPr>
          <w:rFonts w:hAnsi="宋体"/>
          <w:color w:val="000000" w:themeColor="text1"/>
          <w:sz w:val="24"/>
          <w:szCs w:val="24"/>
          <w:u w:val="single"/>
        </w:rPr>
        <w:t xml:space="preserve">          </w:t>
      </w:r>
      <w:r>
        <w:rPr>
          <w:rFonts w:hint="eastAsia" w:hAnsi="宋体"/>
          <w:color w:val="000000" w:themeColor="text1"/>
          <w:sz w:val="24"/>
          <w:szCs w:val="24"/>
        </w:rPr>
        <w:t>）的响应文件、签订合同和处理一切有关事宜，其法律后果由我方承担。</w:t>
      </w:r>
    </w:p>
    <w:p>
      <w:pPr>
        <w:pStyle w:val="10"/>
        <w:spacing w:line="360" w:lineRule="auto"/>
        <w:ind w:firstLine="435"/>
        <w:rPr>
          <w:rFonts w:hAnsi="宋体"/>
          <w:color w:val="000000" w:themeColor="text1"/>
          <w:sz w:val="24"/>
          <w:szCs w:val="24"/>
        </w:rPr>
      </w:pPr>
      <w:r>
        <w:rPr>
          <w:rFonts w:hint="eastAsia" w:hAnsi="宋体"/>
          <w:color w:val="000000" w:themeColor="text1"/>
          <w:sz w:val="24"/>
          <w:szCs w:val="24"/>
        </w:rPr>
        <w:t>本授权书于</w:t>
      </w:r>
      <w:r>
        <w:rPr>
          <w:rFonts w:hAnsi="宋体"/>
          <w:color w:val="000000" w:themeColor="text1"/>
          <w:sz w:val="24"/>
          <w:szCs w:val="24"/>
          <w:u w:val="single"/>
        </w:rPr>
        <w:t xml:space="preserve">     </w:t>
      </w:r>
      <w:r>
        <w:rPr>
          <w:rFonts w:hint="eastAsia" w:hAnsi="宋体"/>
          <w:color w:val="000000" w:themeColor="text1"/>
          <w:sz w:val="24"/>
          <w:szCs w:val="24"/>
        </w:rPr>
        <w:t>年</w:t>
      </w:r>
      <w:r>
        <w:rPr>
          <w:rFonts w:hAnsi="宋体"/>
          <w:color w:val="000000" w:themeColor="text1"/>
          <w:sz w:val="24"/>
          <w:szCs w:val="24"/>
          <w:u w:val="single"/>
        </w:rPr>
        <w:t xml:space="preserve">     </w:t>
      </w:r>
      <w:r>
        <w:rPr>
          <w:rFonts w:hint="eastAsia" w:hAnsi="宋体"/>
          <w:color w:val="000000" w:themeColor="text1"/>
          <w:sz w:val="24"/>
          <w:szCs w:val="24"/>
        </w:rPr>
        <w:t>月</w:t>
      </w:r>
      <w:r>
        <w:rPr>
          <w:rFonts w:hAnsi="宋体"/>
          <w:color w:val="000000" w:themeColor="text1"/>
          <w:sz w:val="24"/>
          <w:szCs w:val="24"/>
          <w:u w:val="single"/>
        </w:rPr>
        <w:t xml:space="preserve">     </w:t>
      </w:r>
      <w:r>
        <w:rPr>
          <w:rFonts w:hint="eastAsia" w:hAnsi="宋体"/>
          <w:color w:val="000000" w:themeColor="text1"/>
          <w:sz w:val="24"/>
          <w:szCs w:val="24"/>
        </w:rPr>
        <w:t>日签字生效，委托期限：</w:t>
      </w:r>
      <w:r>
        <w:rPr>
          <w:rFonts w:hAnsi="宋体"/>
          <w:color w:val="000000" w:themeColor="text1"/>
          <w:sz w:val="24"/>
          <w:szCs w:val="24"/>
          <w:u w:val="single"/>
        </w:rPr>
        <w:t xml:space="preserve">     </w:t>
      </w:r>
      <w:r>
        <w:rPr>
          <w:rFonts w:hint="eastAsia" w:hAnsi="宋体"/>
          <w:color w:val="000000" w:themeColor="text1"/>
          <w:sz w:val="24"/>
          <w:szCs w:val="24"/>
        </w:rPr>
        <w:t>。</w:t>
      </w:r>
    </w:p>
    <w:p>
      <w:pPr>
        <w:pStyle w:val="10"/>
        <w:spacing w:line="360" w:lineRule="auto"/>
        <w:ind w:firstLine="420"/>
        <w:rPr>
          <w:rFonts w:hAnsi="宋体"/>
          <w:color w:val="000000" w:themeColor="text1"/>
          <w:sz w:val="24"/>
          <w:szCs w:val="24"/>
        </w:rPr>
      </w:pPr>
      <w:r>
        <w:rPr>
          <w:rFonts w:hint="eastAsia" w:hAnsi="宋体"/>
          <w:color w:val="000000" w:themeColor="text1"/>
          <w:sz w:val="24"/>
          <w:szCs w:val="24"/>
        </w:rPr>
        <w:t>代理人无转委托权。</w:t>
      </w:r>
    </w:p>
    <w:p>
      <w:pPr>
        <w:pStyle w:val="10"/>
        <w:spacing w:line="360" w:lineRule="auto"/>
        <w:ind w:firstLine="420"/>
        <w:rPr>
          <w:rFonts w:hAnsi="宋体"/>
          <w:color w:val="000000" w:themeColor="text1"/>
          <w:sz w:val="24"/>
          <w:szCs w:val="24"/>
        </w:rPr>
      </w:pP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磋商供应商（盖单位公章）：</w:t>
      </w:r>
      <w:r>
        <w:rPr>
          <w:rFonts w:hAnsi="宋体"/>
          <w:color w:val="000000" w:themeColor="text1"/>
          <w:sz w:val="24"/>
          <w:szCs w:val="24"/>
          <w:u w:val="single"/>
        </w:rPr>
        <w:t xml:space="preserve">                                   </w:t>
      </w:r>
    </w:p>
    <w:p>
      <w:pPr>
        <w:pStyle w:val="10"/>
        <w:spacing w:line="360" w:lineRule="auto"/>
        <w:ind w:firstLine="420"/>
        <w:rPr>
          <w:rFonts w:hAnsi="宋体"/>
          <w:color w:val="000000" w:themeColor="text1"/>
          <w:sz w:val="24"/>
          <w:szCs w:val="24"/>
          <w:u w:val="single"/>
        </w:rPr>
      </w:pPr>
      <w:r>
        <w:rPr>
          <w:rFonts w:hAnsi="宋体"/>
          <w:color w:val="000000" w:themeColor="text1"/>
          <w:sz w:val="24"/>
          <w:szCs w:val="24"/>
        </w:rPr>
        <w:t>社会统一信用代码: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法定代表人（签字或盖章）：</w:t>
      </w:r>
      <w:r>
        <w:rPr>
          <w:rFonts w:hAnsi="宋体"/>
          <w:color w:val="000000" w:themeColor="text1"/>
          <w:sz w:val="24"/>
          <w:szCs w:val="24"/>
          <w:u w:val="single"/>
        </w:rPr>
        <w:t xml:space="preserve">                                   </w:t>
      </w: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法定代表人身份证号码：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p>
    <w:p>
      <w:pPr>
        <w:pStyle w:val="10"/>
        <w:spacing w:line="360" w:lineRule="auto"/>
        <w:ind w:firstLine="480" w:firstLineChars="200"/>
        <w:rPr>
          <w:rFonts w:hAnsi="宋体"/>
          <w:color w:val="000000" w:themeColor="text1"/>
          <w:sz w:val="24"/>
          <w:szCs w:val="24"/>
        </w:rPr>
      </w:pPr>
      <w:r>
        <w:rPr>
          <w:rFonts w:hint="eastAsia" w:hAnsi="宋体"/>
          <w:color w:val="000000" w:themeColor="text1"/>
          <w:sz w:val="24"/>
          <w:szCs w:val="24"/>
        </w:rPr>
        <w:t>委托代理人（签字或盖章）：</w:t>
      </w:r>
      <w:r>
        <w:rPr>
          <w:rFonts w:hAnsi="宋体"/>
          <w:color w:val="000000" w:themeColor="text1"/>
          <w:sz w:val="24"/>
          <w:szCs w:val="24"/>
          <w:u w:val="single"/>
        </w:rPr>
        <w:t xml:space="preserve">                                   </w:t>
      </w:r>
    </w:p>
    <w:p>
      <w:pPr>
        <w:pStyle w:val="10"/>
        <w:spacing w:line="360" w:lineRule="auto"/>
        <w:ind w:firstLine="420"/>
        <w:rPr>
          <w:rFonts w:hAnsi="宋体"/>
          <w:color w:val="000000" w:themeColor="text1"/>
          <w:sz w:val="24"/>
          <w:szCs w:val="24"/>
          <w:u w:val="single"/>
        </w:rPr>
      </w:pPr>
      <w:r>
        <w:rPr>
          <w:rFonts w:hint="eastAsia" w:hAnsi="宋体"/>
          <w:color w:val="000000" w:themeColor="text1"/>
          <w:sz w:val="24"/>
          <w:szCs w:val="24"/>
        </w:rPr>
        <w:t>委托代理人身份证号码：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p>
    <w:p>
      <w:pPr>
        <w:pStyle w:val="10"/>
        <w:spacing w:line="360" w:lineRule="auto"/>
        <w:ind w:firstLine="420"/>
        <w:jc w:val="right"/>
        <w:rPr>
          <w:rFonts w:hAnsi="宋体"/>
          <w:color w:val="000000" w:themeColor="text1"/>
          <w:sz w:val="24"/>
          <w:szCs w:val="24"/>
          <w:u w:val="single"/>
        </w:rPr>
      </w:pPr>
    </w:p>
    <w:p>
      <w:pPr>
        <w:pStyle w:val="16"/>
        <w:outlineLvl w:val="9"/>
        <w:rPr>
          <w:rFonts w:ascii="宋体"/>
          <w:color w:val="000000" w:themeColor="text1"/>
        </w:rPr>
        <w:sectPr>
          <w:pgSz w:w="11906" w:h="16838"/>
          <w:pgMar w:top="1440" w:right="1080" w:bottom="1118" w:left="1080" w:header="720" w:footer="720" w:gutter="0"/>
          <w:cols w:space="720" w:num="1"/>
          <w:docGrid w:type="lines" w:linePitch="331" w:charSpace="0"/>
        </w:sectPr>
      </w:pPr>
    </w:p>
    <w:p>
      <w:pPr>
        <w:pStyle w:val="10"/>
        <w:spacing w:line="360" w:lineRule="auto"/>
        <w:outlineLvl w:val="1"/>
        <w:rPr>
          <w:rFonts w:hAnsi="宋体"/>
          <w:b/>
          <w:color w:val="000000" w:themeColor="text1"/>
        </w:rPr>
      </w:pPr>
      <w:bookmarkStart w:id="115" w:name="_Toc8010"/>
      <w:bookmarkStart w:id="116" w:name="_Toc19457"/>
      <w:bookmarkStart w:id="117" w:name="_Toc3746"/>
      <w:r>
        <w:rPr>
          <w:rFonts w:hint="eastAsia" w:hAnsi="宋体"/>
          <w:b/>
          <w:color w:val="000000" w:themeColor="text1"/>
        </w:rPr>
        <w:t>格式</w:t>
      </w:r>
      <w:r>
        <w:rPr>
          <w:rFonts w:hAnsi="宋体"/>
          <w:b/>
          <w:color w:val="000000" w:themeColor="text1"/>
        </w:rPr>
        <w:t>9</w:t>
      </w:r>
      <w:r>
        <w:rPr>
          <w:rFonts w:hint="eastAsia" w:hAnsi="宋体"/>
          <w:b/>
          <w:color w:val="000000" w:themeColor="text1"/>
        </w:rPr>
        <w:t>：</w:t>
      </w:r>
      <w:bookmarkEnd w:id="115"/>
      <w:bookmarkEnd w:id="116"/>
      <w:bookmarkEnd w:id="117"/>
    </w:p>
    <w:p>
      <w:pPr>
        <w:pStyle w:val="10"/>
        <w:jc w:val="center"/>
        <w:outlineLvl w:val="2"/>
        <w:rPr>
          <w:rFonts w:hAnsi="宋体"/>
          <w:b/>
          <w:color w:val="000000" w:themeColor="text1"/>
          <w:sz w:val="30"/>
          <w:szCs w:val="30"/>
        </w:rPr>
      </w:pPr>
      <w:r>
        <w:rPr>
          <w:rFonts w:hint="eastAsia" w:hAnsi="宋体"/>
          <w:b/>
          <w:color w:val="000000" w:themeColor="text1"/>
          <w:sz w:val="30"/>
          <w:szCs w:val="30"/>
        </w:rPr>
        <w:t>信用声明函（格式）</w:t>
      </w:r>
    </w:p>
    <w:p>
      <w:pPr>
        <w:pStyle w:val="10"/>
        <w:jc w:val="center"/>
        <w:rPr>
          <w:rFonts w:hAnsi="宋体" w:cs="宋体"/>
          <w:b/>
          <w:color w:val="000000" w:themeColor="text1"/>
          <w:sz w:val="24"/>
          <w:szCs w:val="24"/>
        </w:rPr>
      </w:pPr>
    </w:p>
    <w:p>
      <w:pPr>
        <w:tabs>
          <w:tab w:val="left" w:pos="7200"/>
        </w:tabs>
        <w:spacing w:line="360" w:lineRule="auto"/>
        <w:rPr>
          <w:rFonts w:ascii="宋体" w:cs="宋体"/>
          <w:color w:val="000000" w:themeColor="text1"/>
          <w:sz w:val="24"/>
        </w:rPr>
      </w:pPr>
      <w:r>
        <w:rPr>
          <w:rFonts w:hint="eastAsia" w:ascii="宋体" w:hAnsi="宋体" w:cs="宋体"/>
          <w:color w:val="000000" w:themeColor="text1"/>
          <w:sz w:val="24"/>
        </w:rPr>
        <w:t>致：</w:t>
      </w:r>
      <w:r>
        <w:rPr>
          <w:rFonts w:ascii="宋体" w:hAnsi="宋体" w:cs="宋体"/>
          <w:color w:val="000000" w:themeColor="text1"/>
          <w:sz w:val="24"/>
          <w:u w:val="single"/>
        </w:rPr>
        <w:t xml:space="preserve">                     </w:t>
      </w:r>
      <w:r>
        <w:rPr>
          <w:rFonts w:hint="eastAsia" w:ascii="宋体" w:hAnsi="宋体" w:cs="宋体"/>
          <w:color w:val="000000" w:themeColor="text1"/>
          <w:sz w:val="24"/>
        </w:rPr>
        <w:t>（采购代理机构名称）</w:t>
      </w:r>
    </w:p>
    <w:p>
      <w:pPr>
        <w:tabs>
          <w:tab w:val="left" w:pos="7200"/>
        </w:tabs>
        <w:spacing w:line="360" w:lineRule="auto"/>
        <w:ind w:firstLine="600" w:firstLineChars="250"/>
        <w:rPr>
          <w:rFonts w:ascii="宋体" w:cs="宋体"/>
          <w:color w:val="000000" w:themeColor="text1"/>
          <w:sz w:val="24"/>
        </w:rPr>
      </w:pPr>
      <w:r>
        <w:rPr>
          <w:rFonts w:ascii="宋体" w:hAnsi="宋体" w:cs="宋体"/>
          <w:color w:val="000000" w:themeColor="text1"/>
          <w:sz w:val="24"/>
          <w:u w:val="single"/>
        </w:rPr>
        <w:t xml:space="preserve">           </w:t>
      </w:r>
      <w:r>
        <w:rPr>
          <w:rFonts w:hint="eastAsia" w:ascii="宋体" w:hAnsi="宋体" w:cs="宋体"/>
          <w:color w:val="000000" w:themeColor="text1"/>
          <w:sz w:val="24"/>
        </w:rPr>
        <w:t>（供应商名称）系中华人民共和国合法企业,经营地址</w:t>
      </w:r>
      <w:r>
        <w:rPr>
          <w:rFonts w:ascii="宋体" w:hAnsi="宋体" w:cs="宋体"/>
          <w:color w:val="000000" w:themeColor="text1"/>
          <w:sz w:val="24"/>
          <w:u w:val="single"/>
        </w:rPr>
        <w:t xml:space="preserve">                   </w:t>
      </w:r>
      <w:r>
        <w:rPr>
          <w:rFonts w:hint="eastAsia" w:ascii="宋体" w:hAnsi="宋体" w:cs="宋体"/>
          <w:color w:val="000000" w:themeColor="text1"/>
          <w:sz w:val="24"/>
        </w:rPr>
        <w:t>。</w:t>
      </w:r>
    </w:p>
    <w:p>
      <w:pPr>
        <w:tabs>
          <w:tab w:val="left" w:pos="7200"/>
        </w:tabs>
        <w:spacing w:line="360" w:lineRule="auto"/>
        <w:ind w:left="420" w:leftChars="200" w:firstLine="600" w:firstLineChars="250"/>
        <w:rPr>
          <w:rFonts w:ascii="宋体" w:cs="宋体"/>
          <w:color w:val="000000" w:themeColor="text1"/>
          <w:sz w:val="24"/>
        </w:rPr>
      </w:pPr>
      <w:r>
        <w:rPr>
          <w:rFonts w:hint="eastAsia" w:ascii="宋体" w:hAnsi="宋体" w:cs="宋体"/>
          <w:color w:val="000000" w:themeColor="text1"/>
          <w:sz w:val="24"/>
        </w:rPr>
        <w:t>我</w:t>
      </w:r>
      <w:r>
        <w:rPr>
          <w:rFonts w:ascii="宋体" w:hAnsi="宋体" w:cs="宋体"/>
          <w:color w:val="000000" w:themeColor="text1"/>
          <w:sz w:val="24"/>
        </w:rPr>
        <w:t xml:space="preserve"> </w:t>
      </w:r>
      <w:r>
        <w:rPr>
          <w:rFonts w:ascii="宋体" w:hAnsi="宋体" w:cs="宋体"/>
          <w:color w:val="000000" w:themeColor="text1"/>
          <w:sz w:val="24"/>
          <w:u w:val="single"/>
        </w:rPr>
        <w:t xml:space="preserve">       </w:t>
      </w:r>
      <w:r>
        <w:rPr>
          <w:rFonts w:hint="eastAsia" w:ascii="宋体" w:hAnsi="宋体" w:cs="宋体"/>
          <w:color w:val="000000" w:themeColor="text1"/>
          <w:sz w:val="24"/>
        </w:rPr>
        <w:t>（姓名）系</w:t>
      </w:r>
      <w:r>
        <w:rPr>
          <w:rFonts w:ascii="宋体" w:hAnsi="宋体" w:cs="宋体"/>
          <w:color w:val="000000" w:themeColor="text1"/>
          <w:sz w:val="24"/>
          <w:u w:val="single"/>
        </w:rPr>
        <w:t xml:space="preserve">           </w:t>
      </w:r>
      <w:r>
        <w:rPr>
          <w:rFonts w:hint="eastAsia" w:ascii="宋体" w:hAnsi="宋体" w:cs="宋体"/>
          <w:color w:val="000000" w:themeColor="text1"/>
          <w:sz w:val="24"/>
        </w:rPr>
        <w:t>（供应商名称）的法定代表人，我方愿意参加贵方组织的</w:t>
      </w:r>
      <w:r>
        <w:rPr>
          <w:rFonts w:ascii="宋体" w:hAnsi="宋体" w:cs="宋体"/>
          <w:color w:val="000000" w:themeColor="text1"/>
          <w:sz w:val="24"/>
          <w:u w:val="single"/>
        </w:rPr>
        <w:t xml:space="preserve">         </w:t>
      </w:r>
      <w:r>
        <w:rPr>
          <w:rFonts w:hint="eastAsia" w:ascii="宋体" w:hAnsi="宋体" w:cs="宋体"/>
          <w:color w:val="000000" w:themeColor="text1"/>
          <w:sz w:val="24"/>
        </w:rPr>
        <w:t>项目的本次政府采购活动，为便于贵方公正、择优地确定成交人及采购服务成果和服务，我方就本次政府采购活动有关事项郑重声明如下：</w:t>
      </w:r>
    </w:p>
    <w:p>
      <w:pPr>
        <w:tabs>
          <w:tab w:val="left" w:pos="7200"/>
        </w:tabs>
        <w:spacing w:line="360" w:lineRule="auto"/>
        <w:ind w:firstLine="480" w:firstLineChars="200"/>
        <w:rPr>
          <w:rFonts w:ascii="宋体" w:cs="宋体"/>
          <w:color w:val="000000" w:themeColor="text1"/>
          <w:sz w:val="24"/>
          <w:u w:val="single"/>
        </w:rPr>
      </w:pPr>
      <w:r>
        <w:rPr>
          <w:rFonts w:ascii="宋体" w:hAnsi="宋体" w:cs="宋体"/>
          <w:color w:val="000000" w:themeColor="text1"/>
          <w:sz w:val="24"/>
        </w:rPr>
        <w:t xml:space="preserve">1. </w:t>
      </w:r>
      <w:r>
        <w:rPr>
          <w:rFonts w:hint="eastAsia" w:ascii="宋体" w:hAnsi="宋体" w:cs="宋体"/>
          <w:color w:val="000000" w:themeColor="text1"/>
          <w:sz w:val="24"/>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80" w:firstLineChars="200"/>
        <w:rPr>
          <w:rFonts w:ascii="宋体" w:cs="宋体"/>
          <w:color w:val="000000" w:themeColor="text1"/>
          <w:sz w:val="24"/>
        </w:rPr>
      </w:pPr>
      <w:r>
        <w:rPr>
          <w:rFonts w:ascii="宋体" w:hAnsi="宋体" w:cs="宋体"/>
          <w:color w:val="000000" w:themeColor="text1"/>
          <w:sz w:val="24"/>
        </w:rPr>
        <w:t xml:space="preserve">2. </w:t>
      </w:r>
      <w:r>
        <w:rPr>
          <w:rFonts w:hint="eastAsia" w:ascii="宋体" w:hAnsi="宋体" w:cs="宋体"/>
          <w:color w:val="000000" w:themeColor="text1"/>
          <w:sz w:val="24"/>
        </w:rPr>
        <w:t>以上事项如有虚假或隐瞒，我方愿意承担一切后果，并不再寻求任何旨在减轻或免除法律责任的辩解。</w:t>
      </w:r>
    </w:p>
    <w:p>
      <w:pPr>
        <w:tabs>
          <w:tab w:val="left" w:pos="7200"/>
        </w:tabs>
        <w:spacing w:line="360" w:lineRule="auto"/>
        <w:ind w:firstLine="480" w:firstLineChars="200"/>
        <w:rPr>
          <w:rFonts w:ascii="宋体" w:cs="宋体"/>
          <w:color w:val="000000" w:themeColor="text1"/>
          <w:sz w:val="24"/>
        </w:rPr>
      </w:pPr>
    </w:p>
    <w:p>
      <w:pPr>
        <w:tabs>
          <w:tab w:val="left" w:pos="7200"/>
        </w:tabs>
        <w:spacing w:line="360" w:lineRule="auto"/>
        <w:ind w:firstLine="5040" w:firstLineChars="2100"/>
        <w:rPr>
          <w:rFonts w:ascii="宋体" w:cs="宋体"/>
          <w:color w:val="000000" w:themeColor="text1"/>
          <w:sz w:val="24"/>
          <w:u w:val="single"/>
        </w:rPr>
      </w:pPr>
      <w:r>
        <w:rPr>
          <w:rFonts w:hint="eastAsia" w:ascii="宋体" w:hAnsi="宋体" w:cs="宋体"/>
          <w:color w:val="000000" w:themeColor="text1"/>
          <w:sz w:val="24"/>
        </w:rPr>
        <w:t>法定代表人或委托代理人（签字或盖章）：</w:t>
      </w:r>
      <w:r>
        <w:rPr>
          <w:rFonts w:ascii="宋体" w:hAnsi="宋体" w:cs="宋体"/>
          <w:color w:val="000000" w:themeColor="text1"/>
          <w:sz w:val="24"/>
          <w:u w:val="single"/>
        </w:rPr>
        <w:t xml:space="preserve">        </w:t>
      </w:r>
    </w:p>
    <w:p>
      <w:pPr>
        <w:tabs>
          <w:tab w:val="left" w:pos="7200"/>
        </w:tabs>
        <w:spacing w:line="360" w:lineRule="auto"/>
        <w:ind w:firstLine="4668" w:firstLineChars="1945"/>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供应商（盖章）：</w:t>
      </w:r>
      <w:r>
        <w:rPr>
          <w:rFonts w:ascii="宋体" w:hAnsi="宋体" w:cs="宋体"/>
          <w:color w:val="000000" w:themeColor="text1"/>
          <w:sz w:val="24"/>
          <w:u w:val="single"/>
        </w:rPr>
        <w:t xml:space="preserve">               </w:t>
      </w:r>
      <w:r>
        <w:rPr>
          <w:rFonts w:ascii="宋体" w:hAnsi="宋体" w:cs="宋体"/>
          <w:color w:val="000000" w:themeColor="text1"/>
          <w:sz w:val="24"/>
        </w:rPr>
        <w:t xml:space="preserve">                     </w:t>
      </w:r>
    </w:p>
    <w:p>
      <w:pPr>
        <w:tabs>
          <w:tab w:val="left" w:pos="7200"/>
        </w:tabs>
        <w:spacing w:line="360" w:lineRule="auto"/>
        <w:ind w:firstLine="955" w:firstLineChars="398"/>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年</w:t>
      </w:r>
      <w:r>
        <w:rPr>
          <w:rFonts w:ascii="宋体" w:hAnsi="宋体" w:cs="宋体"/>
          <w:color w:val="000000" w:themeColor="text1"/>
          <w:sz w:val="24"/>
        </w:rPr>
        <w:t xml:space="preserve">    </w:t>
      </w:r>
      <w:r>
        <w:rPr>
          <w:rFonts w:hint="eastAsia" w:ascii="宋体" w:hAnsi="宋体" w:cs="宋体"/>
          <w:color w:val="000000" w:themeColor="text1"/>
          <w:sz w:val="24"/>
        </w:rPr>
        <w:t>月</w:t>
      </w:r>
      <w:r>
        <w:rPr>
          <w:rFonts w:ascii="宋体" w:hAnsi="宋体" w:cs="宋体"/>
          <w:color w:val="000000" w:themeColor="text1"/>
          <w:sz w:val="24"/>
        </w:rPr>
        <w:t xml:space="preserve">    </w:t>
      </w:r>
      <w:r>
        <w:rPr>
          <w:rFonts w:hint="eastAsia" w:ascii="宋体" w:hAnsi="宋体" w:cs="宋体"/>
          <w:color w:val="000000" w:themeColor="text1"/>
          <w:sz w:val="24"/>
        </w:rPr>
        <w:t>日</w:t>
      </w:r>
    </w:p>
    <w:p>
      <w:pPr>
        <w:pStyle w:val="16"/>
        <w:outlineLvl w:val="9"/>
        <w:rPr>
          <w:color w:val="000000" w:themeColor="text1"/>
        </w:rPr>
        <w:sectPr>
          <w:pgSz w:w="11906" w:h="16838"/>
          <w:pgMar w:top="1440" w:right="1080" w:bottom="1440" w:left="1080" w:header="720" w:footer="720" w:gutter="0"/>
          <w:cols w:space="720" w:num="1"/>
          <w:docGrid w:type="lines" w:linePitch="331" w:charSpace="0"/>
        </w:sectPr>
      </w:pPr>
    </w:p>
    <w:p>
      <w:pPr>
        <w:pStyle w:val="10"/>
        <w:spacing w:line="360" w:lineRule="auto"/>
        <w:rPr>
          <w:rFonts w:hAnsi="宋体"/>
          <w:b/>
          <w:color w:val="000000" w:themeColor="text1"/>
        </w:rPr>
      </w:pPr>
      <w:r>
        <w:rPr>
          <w:rFonts w:hint="eastAsia" w:hAnsi="宋体"/>
          <w:b/>
          <w:color w:val="000000" w:themeColor="text1"/>
        </w:rPr>
        <w:t>格式10：</w:t>
      </w:r>
    </w:p>
    <w:p>
      <w:pPr>
        <w:pStyle w:val="10"/>
        <w:spacing w:line="500" w:lineRule="exact"/>
        <w:jc w:val="center"/>
        <w:rPr>
          <w:rFonts w:hAnsi="宋体" w:cs="宋体"/>
          <w:b/>
          <w:bCs/>
          <w:color w:val="000000" w:themeColor="text1"/>
          <w:sz w:val="30"/>
          <w:szCs w:val="30"/>
        </w:rPr>
      </w:pPr>
      <w:r>
        <w:rPr>
          <w:rFonts w:hint="eastAsia" w:hAnsi="宋体" w:cs="宋体"/>
          <w:b/>
          <w:bCs/>
          <w:color w:val="000000" w:themeColor="text1"/>
          <w:sz w:val="30"/>
          <w:szCs w:val="30"/>
        </w:rPr>
        <w:t>磋商供应商直接控股、管理关系信息表（格式）</w:t>
      </w:r>
    </w:p>
    <w:p>
      <w:pPr>
        <w:snapToGrid w:val="0"/>
        <w:spacing w:before="50" w:afterLines="50"/>
        <w:jc w:val="center"/>
        <w:rPr>
          <w:rFonts w:ascii="宋体" w:hAnsi="宋体"/>
          <w:b/>
          <w:color w:val="000000" w:themeColor="text1"/>
          <w:sz w:val="28"/>
          <w:szCs w:val="28"/>
        </w:rPr>
      </w:pPr>
    </w:p>
    <w:p>
      <w:pPr>
        <w:snapToGrid w:val="0"/>
        <w:spacing w:before="50" w:afterLines="50"/>
        <w:jc w:val="center"/>
        <w:rPr>
          <w:rFonts w:ascii="宋体" w:hAnsi="宋体"/>
          <w:b/>
          <w:color w:val="000000" w:themeColor="text1"/>
          <w:sz w:val="28"/>
          <w:szCs w:val="28"/>
        </w:rPr>
      </w:pPr>
      <w:r>
        <w:rPr>
          <w:rFonts w:hint="eastAsia" w:ascii="宋体" w:hAnsi="宋体"/>
          <w:b/>
          <w:color w:val="000000" w:themeColor="text1"/>
          <w:sz w:val="28"/>
          <w:szCs w:val="28"/>
        </w:rPr>
        <w:t>磋商供应商直接控股股东信息表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bl>
    <w:p>
      <w:pPr>
        <w:snapToGrid w:val="0"/>
        <w:jc w:val="left"/>
        <w:rPr>
          <w:rFonts w:ascii="宋体" w:hAnsi="宋体"/>
          <w:color w:val="000000" w:themeColor="text1"/>
          <w:sz w:val="24"/>
        </w:rPr>
      </w:pPr>
      <w:r>
        <w:rPr>
          <w:rFonts w:hint="eastAsia" w:ascii="宋体" w:hAnsi="宋体"/>
          <w:color w:val="000000" w:themeColor="text1"/>
          <w:sz w:val="24"/>
        </w:rPr>
        <w:t>注：</w:t>
      </w:r>
    </w:p>
    <w:p>
      <w:pPr>
        <w:snapToGrid w:val="0"/>
        <w:jc w:val="left"/>
        <w:rPr>
          <w:rFonts w:ascii="宋体" w:hAnsi="宋体"/>
          <w:color w:val="000000" w:themeColor="text1"/>
          <w:sz w:val="24"/>
        </w:rPr>
      </w:pPr>
      <w:r>
        <w:rPr>
          <w:rFonts w:hint="eastAsia" w:ascii="宋体" w:hAnsi="宋体"/>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000000" w:themeColor="text1"/>
          <w:sz w:val="24"/>
        </w:rPr>
      </w:pPr>
      <w:r>
        <w:rPr>
          <w:rFonts w:hint="eastAsia" w:ascii="宋体" w:hAnsi="宋体"/>
          <w:color w:val="000000" w:themeColor="text1"/>
          <w:sz w:val="24"/>
        </w:rPr>
        <w:t>2.本表所指的控股关系仅限于直接控股关系，不包括间接的控股关系。公司实际控制人与公司之间的关系不属于本表所指的直接控股关系。</w:t>
      </w: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pStyle w:val="10"/>
        <w:spacing w:line="600" w:lineRule="exact"/>
        <w:rPr>
          <w:rFonts w:hAnsi="宋体" w:cs="宋体"/>
          <w:color w:val="000000" w:themeColor="text1"/>
          <w:sz w:val="24"/>
          <w:szCs w:val="24"/>
          <w:u w:val="single"/>
        </w:rPr>
      </w:pPr>
      <w:r>
        <w:rPr>
          <w:rFonts w:hint="eastAsia" w:hAnsi="宋体" w:cs="宋体"/>
          <w:color w:val="000000" w:themeColor="text1"/>
          <w:sz w:val="24"/>
          <w:szCs w:val="24"/>
        </w:rPr>
        <w:t>磋商供应商（盖单位公章）：</w:t>
      </w:r>
      <w:r>
        <w:rPr>
          <w:rFonts w:hAnsi="宋体" w:cs="宋体"/>
          <w:color w:val="000000" w:themeColor="text1"/>
          <w:sz w:val="24"/>
          <w:szCs w:val="24"/>
          <w:u w:val="single"/>
        </w:rPr>
        <w:t xml:space="preserve">                                    </w:t>
      </w:r>
    </w:p>
    <w:p>
      <w:pPr>
        <w:pStyle w:val="10"/>
        <w:spacing w:line="600" w:lineRule="exact"/>
        <w:rPr>
          <w:rFonts w:hAnsi="宋体" w:cs="宋体"/>
          <w:color w:val="000000" w:themeColor="text1"/>
          <w:sz w:val="24"/>
          <w:szCs w:val="24"/>
        </w:rPr>
      </w:pPr>
    </w:p>
    <w:p>
      <w:pPr>
        <w:pStyle w:val="10"/>
        <w:spacing w:line="600" w:lineRule="exact"/>
        <w:rPr>
          <w:rFonts w:hAnsi="宋体" w:cs="宋体"/>
          <w:color w:val="000000" w:themeColor="text1"/>
          <w:sz w:val="24"/>
          <w:szCs w:val="24"/>
          <w:u w:val="single"/>
        </w:rPr>
      </w:pPr>
      <w:r>
        <w:rPr>
          <w:rFonts w:hint="eastAsia" w:hAnsi="宋体" w:cs="宋体"/>
          <w:color w:val="000000" w:themeColor="text1"/>
          <w:sz w:val="24"/>
          <w:szCs w:val="24"/>
        </w:rPr>
        <w:t>法定代表人或其委托代理人（签字或盖章）：</w:t>
      </w:r>
      <w:r>
        <w:rPr>
          <w:rFonts w:hAnsi="宋体" w:cs="宋体"/>
          <w:color w:val="000000" w:themeColor="text1"/>
          <w:sz w:val="24"/>
          <w:szCs w:val="24"/>
          <w:u w:val="single"/>
        </w:rPr>
        <w:t xml:space="preserve">                  </w:t>
      </w:r>
    </w:p>
    <w:p>
      <w:pPr>
        <w:snapToGrid w:val="0"/>
        <w:spacing w:beforeLines="50" w:after="50"/>
        <w:ind w:right="480" w:firstLine="5520" w:firstLineChars="2300"/>
        <w:rPr>
          <w:rFonts w:ascii="宋体" w:hAnsi="宋体"/>
          <w:color w:val="000000" w:themeColor="text1"/>
          <w:sz w:val="24"/>
        </w:rPr>
      </w:pPr>
    </w:p>
    <w:p>
      <w:pPr>
        <w:snapToGrid w:val="0"/>
        <w:spacing w:beforeLines="50" w:after="50"/>
        <w:ind w:right="480" w:firstLine="240" w:firstLineChars="100"/>
        <w:jc w:val="left"/>
        <w:rPr>
          <w:rFonts w:ascii="宋体" w:hAnsi="宋体"/>
          <w:color w:val="000000" w:themeColor="text1"/>
          <w:szCs w:val="21"/>
        </w:rPr>
      </w:pPr>
      <w:r>
        <w:rPr>
          <w:rFonts w:hint="eastAsia" w:ascii="宋体" w:hAnsi="宋体"/>
          <w:color w:val="000000" w:themeColor="text1"/>
          <w:sz w:val="24"/>
        </w:rPr>
        <w:t>年    月    日</w:t>
      </w:r>
    </w:p>
    <w:p>
      <w:pPr>
        <w:snapToGrid w:val="0"/>
        <w:jc w:val="center"/>
        <w:rPr>
          <w:rFonts w:ascii="宋体" w:hAnsi="宋体"/>
          <w:color w:val="000000" w:themeColor="text1"/>
        </w:rPr>
      </w:pPr>
      <w:r>
        <w:rPr>
          <w:rFonts w:ascii="宋体" w:hAnsi="宋体"/>
          <w:b/>
          <w:color w:val="000000" w:themeColor="text1"/>
          <w:sz w:val="28"/>
          <w:szCs w:val="28"/>
        </w:rPr>
        <w:br w:type="page"/>
      </w:r>
      <w:r>
        <w:rPr>
          <w:rFonts w:hint="eastAsia" w:ascii="宋体" w:hAnsi="宋体"/>
          <w:b/>
          <w:color w:val="000000" w:themeColor="text1"/>
          <w:sz w:val="28"/>
          <w:szCs w:val="28"/>
        </w:rPr>
        <w:t>磋商供应商直接管理关系信息表</w:t>
      </w:r>
    </w:p>
    <w:tbl>
      <w:tblPr>
        <w:tblStyle w:val="18"/>
        <w:tblW w:w="0" w:type="auto"/>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bl>
    <w:p>
      <w:pPr>
        <w:snapToGrid w:val="0"/>
        <w:jc w:val="left"/>
        <w:rPr>
          <w:rFonts w:ascii="宋体" w:hAnsi="宋体"/>
          <w:color w:val="000000" w:themeColor="text1"/>
          <w:sz w:val="24"/>
        </w:rPr>
      </w:pPr>
      <w:r>
        <w:rPr>
          <w:rFonts w:hint="eastAsia" w:ascii="宋体" w:hAnsi="宋体"/>
          <w:color w:val="000000" w:themeColor="text1"/>
          <w:sz w:val="24"/>
        </w:rPr>
        <w:t>注：</w:t>
      </w:r>
    </w:p>
    <w:p>
      <w:pPr>
        <w:snapToGrid w:val="0"/>
        <w:jc w:val="left"/>
        <w:rPr>
          <w:rFonts w:ascii="宋体" w:hAnsi="宋体"/>
          <w:color w:val="000000" w:themeColor="text1"/>
          <w:sz w:val="24"/>
        </w:rPr>
      </w:pPr>
      <w:r>
        <w:rPr>
          <w:rFonts w:hint="eastAsia" w:ascii="宋体" w:hAnsi="宋体"/>
          <w:color w:val="000000" w:themeColor="text1"/>
          <w:sz w:val="24"/>
        </w:rPr>
        <w:t>1.管理关系：是指不具有出资持股关系的其他单位之间存在的管理与被管理关系，如一些上下级关系的事业单位和团体组织。</w:t>
      </w:r>
    </w:p>
    <w:p>
      <w:pPr>
        <w:snapToGrid w:val="0"/>
        <w:jc w:val="left"/>
        <w:rPr>
          <w:rFonts w:ascii="宋体" w:hAnsi="宋体"/>
          <w:color w:val="000000" w:themeColor="text1"/>
        </w:rPr>
      </w:pPr>
      <w:r>
        <w:rPr>
          <w:rFonts w:hint="eastAsia" w:ascii="宋体" w:hAnsi="宋体"/>
          <w:color w:val="000000" w:themeColor="text1"/>
          <w:sz w:val="24"/>
        </w:rPr>
        <w:t>2.本表所指的管理关系仅限于直接管理关系，不包括间接的管理关系。</w:t>
      </w:r>
    </w:p>
    <w:p>
      <w:pPr>
        <w:snapToGrid w:val="0"/>
        <w:jc w:val="left"/>
        <w:rPr>
          <w:rFonts w:ascii="宋体" w:hAnsi="宋体"/>
          <w:color w:val="000000" w:themeColor="text1"/>
        </w:rPr>
      </w:pPr>
    </w:p>
    <w:p>
      <w:pPr>
        <w:snapToGrid w:val="0"/>
        <w:jc w:val="left"/>
        <w:rPr>
          <w:rFonts w:ascii="宋体" w:hAnsi="宋体"/>
          <w:color w:val="000000" w:themeColor="text1"/>
        </w:rPr>
      </w:pPr>
    </w:p>
    <w:p>
      <w:pPr>
        <w:snapToGrid w:val="0"/>
        <w:jc w:val="left"/>
        <w:rPr>
          <w:rFonts w:ascii="宋体" w:hAnsi="宋体"/>
          <w:color w:val="000000" w:themeColor="text1"/>
        </w:rPr>
      </w:pPr>
    </w:p>
    <w:p>
      <w:pPr>
        <w:snapToGrid w:val="0"/>
        <w:jc w:val="left"/>
        <w:rPr>
          <w:color w:val="000000" w:themeColor="text1"/>
        </w:rPr>
      </w:pPr>
    </w:p>
    <w:p>
      <w:pPr>
        <w:snapToGrid w:val="0"/>
        <w:jc w:val="left"/>
        <w:rPr>
          <w:color w:val="000000" w:themeColor="text1"/>
        </w:rPr>
      </w:pPr>
    </w:p>
    <w:p>
      <w:pPr>
        <w:snapToGrid w:val="0"/>
        <w:jc w:val="left"/>
        <w:rPr>
          <w:color w:val="000000" w:themeColor="text1"/>
        </w:rPr>
      </w:pPr>
    </w:p>
    <w:p>
      <w:pPr>
        <w:snapToGrid w:val="0"/>
        <w:jc w:val="left"/>
        <w:rPr>
          <w:rFonts w:ascii="宋体" w:hAnsi="宋体"/>
          <w:color w:val="000000" w:themeColor="text1"/>
          <w:szCs w:val="21"/>
        </w:rPr>
      </w:pPr>
    </w:p>
    <w:p>
      <w:pPr>
        <w:pStyle w:val="10"/>
        <w:spacing w:line="600" w:lineRule="exact"/>
        <w:rPr>
          <w:rFonts w:hAnsi="宋体" w:cs="宋体"/>
          <w:color w:val="000000" w:themeColor="text1"/>
          <w:sz w:val="24"/>
          <w:szCs w:val="24"/>
          <w:u w:val="single"/>
        </w:rPr>
      </w:pPr>
      <w:r>
        <w:rPr>
          <w:rFonts w:hint="eastAsia" w:hAnsi="宋体" w:cs="宋体"/>
          <w:color w:val="000000" w:themeColor="text1"/>
          <w:sz w:val="24"/>
          <w:szCs w:val="24"/>
        </w:rPr>
        <w:t>磋商供应商（盖单位公章）：</w:t>
      </w:r>
      <w:r>
        <w:rPr>
          <w:rFonts w:hAnsi="宋体" w:cs="宋体"/>
          <w:color w:val="000000" w:themeColor="text1"/>
          <w:sz w:val="24"/>
          <w:szCs w:val="24"/>
          <w:u w:val="single"/>
        </w:rPr>
        <w:t xml:space="preserve">                                </w:t>
      </w:r>
    </w:p>
    <w:p>
      <w:pPr>
        <w:pStyle w:val="10"/>
        <w:spacing w:line="600" w:lineRule="exact"/>
        <w:rPr>
          <w:rFonts w:hAnsi="宋体" w:cs="宋体"/>
          <w:color w:val="000000" w:themeColor="text1"/>
          <w:sz w:val="24"/>
          <w:szCs w:val="24"/>
        </w:rPr>
      </w:pPr>
    </w:p>
    <w:p>
      <w:pPr>
        <w:pStyle w:val="10"/>
        <w:spacing w:line="600" w:lineRule="exact"/>
        <w:rPr>
          <w:rFonts w:hAnsi="宋体" w:cs="宋体"/>
          <w:color w:val="000000" w:themeColor="text1"/>
          <w:sz w:val="24"/>
          <w:szCs w:val="24"/>
          <w:u w:val="single"/>
        </w:rPr>
      </w:pPr>
      <w:r>
        <w:rPr>
          <w:rFonts w:hint="eastAsia" w:hAnsi="宋体" w:cs="宋体"/>
          <w:color w:val="000000" w:themeColor="text1"/>
          <w:sz w:val="24"/>
          <w:szCs w:val="24"/>
        </w:rPr>
        <w:t>法定代表人或其委托代理人（签字或盖章）：</w:t>
      </w:r>
      <w:r>
        <w:rPr>
          <w:rFonts w:hAnsi="宋体" w:cs="宋体"/>
          <w:color w:val="000000" w:themeColor="text1"/>
          <w:sz w:val="24"/>
          <w:szCs w:val="24"/>
          <w:u w:val="single"/>
        </w:rPr>
        <w:t xml:space="preserve">                  </w:t>
      </w:r>
    </w:p>
    <w:p>
      <w:pPr>
        <w:snapToGrid w:val="0"/>
        <w:spacing w:beforeLines="50" w:after="50"/>
        <w:ind w:right="480" w:firstLine="5520" w:firstLineChars="2300"/>
        <w:rPr>
          <w:rFonts w:ascii="宋体" w:hAnsi="宋体"/>
          <w:color w:val="000000" w:themeColor="text1"/>
          <w:sz w:val="24"/>
        </w:rPr>
      </w:pPr>
    </w:p>
    <w:p>
      <w:pPr>
        <w:snapToGrid w:val="0"/>
        <w:spacing w:beforeLines="50" w:after="50"/>
        <w:ind w:right="480" w:firstLine="240" w:firstLineChars="100"/>
        <w:jc w:val="left"/>
        <w:rPr>
          <w:rFonts w:ascii="宋体" w:hAnsi="宋体"/>
          <w:color w:val="000000" w:themeColor="text1"/>
          <w:szCs w:val="21"/>
        </w:rPr>
      </w:pPr>
      <w:r>
        <w:rPr>
          <w:rFonts w:hint="eastAsia" w:ascii="宋体" w:hAnsi="宋体"/>
          <w:color w:val="000000" w:themeColor="text1"/>
          <w:sz w:val="24"/>
        </w:rPr>
        <w:t>年    月    日</w:t>
      </w:r>
    </w:p>
    <w:p>
      <w:pPr>
        <w:spacing w:line="600" w:lineRule="exact"/>
        <w:outlineLvl w:val="0"/>
        <w:rPr>
          <w:color w:val="000000" w:themeColor="text1"/>
        </w:rPr>
      </w:pPr>
    </w:p>
    <w:p>
      <w:pPr>
        <w:pStyle w:val="16"/>
        <w:rPr>
          <w:rFonts w:asciiTheme="majorEastAsia" w:hAnsiTheme="majorEastAsia" w:eastAsiaTheme="majorEastAsia" w:cstheme="majorEastAsia"/>
          <w:color w:val="000000" w:themeColor="text1"/>
        </w:rPr>
        <w:sectPr>
          <w:footerReference r:id="rId11" w:type="default"/>
          <w:pgSz w:w="11906" w:h="16838"/>
          <w:pgMar w:top="1440" w:right="1080" w:bottom="1440" w:left="880" w:header="720" w:footer="720" w:gutter="0"/>
          <w:cols w:space="720" w:num="1"/>
          <w:docGrid w:type="lines" w:linePitch="331" w:charSpace="0"/>
        </w:sectPr>
      </w:pPr>
    </w:p>
    <w:p>
      <w:pPr>
        <w:pStyle w:val="16"/>
        <w:rPr>
          <w:rFonts w:asciiTheme="majorEastAsia" w:hAnsiTheme="majorEastAsia" w:eastAsiaTheme="majorEastAsia" w:cstheme="majorEastAsia"/>
          <w:color w:val="000000" w:themeColor="text1"/>
          <w:u w:val="single"/>
        </w:rPr>
      </w:pPr>
      <w:bookmarkStart w:id="118" w:name="_Toc3353"/>
      <w:bookmarkStart w:id="119" w:name="_Toc26477"/>
      <w:r>
        <w:rPr>
          <w:rFonts w:hint="eastAsia" w:asciiTheme="majorEastAsia" w:hAnsiTheme="majorEastAsia" w:eastAsiaTheme="majorEastAsia" w:cstheme="majorEastAsia"/>
          <w:color w:val="000000" w:themeColor="text1"/>
        </w:rPr>
        <w:t>第六章  合同条款及格式</w:t>
      </w:r>
      <w:bookmarkEnd w:id="63"/>
      <w:bookmarkEnd w:id="94"/>
      <w:bookmarkEnd w:id="118"/>
      <w:bookmarkEnd w:id="119"/>
    </w:p>
    <w:p>
      <w:pPr>
        <w:spacing w:line="360" w:lineRule="auto"/>
        <w:ind w:firstLine="880" w:firstLineChars="200"/>
        <w:rPr>
          <w:rFonts w:asciiTheme="majorEastAsia" w:hAnsiTheme="majorEastAsia" w:eastAsiaTheme="majorEastAsia" w:cstheme="majorEastAsia"/>
          <w:color w:val="000000" w:themeColor="text1"/>
          <w:sz w:val="44"/>
        </w:rPr>
      </w:pPr>
    </w:p>
    <w:p>
      <w:pPr>
        <w:spacing w:line="360" w:lineRule="auto"/>
        <w:jc w:val="center"/>
        <w:rPr>
          <w:rFonts w:asciiTheme="majorEastAsia" w:hAnsiTheme="majorEastAsia" w:eastAsiaTheme="majorEastAsia" w:cstheme="majorEastAsia"/>
          <w:b/>
          <w:bCs/>
          <w:color w:val="000000" w:themeColor="text1"/>
          <w:sz w:val="52"/>
        </w:rPr>
      </w:pPr>
      <w:bookmarkStart w:id="120" w:name="_Toc9791"/>
      <w:r>
        <w:rPr>
          <w:rFonts w:hint="eastAsia" w:asciiTheme="majorEastAsia" w:hAnsiTheme="majorEastAsia" w:eastAsiaTheme="majorEastAsia" w:cstheme="majorEastAsia"/>
          <w:b/>
          <w:bCs/>
          <w:color w:val="000000" w:themeColor="text1"/>
          <w:sz w:val="52"/>
        </w:rPr>
        <w:t>南 宁 市 政 府 采 购</w:t>
      </w:r>
      <w:bookmarkEnd w:id="120"/>
    </w:p>
    <w:p>
      <w:pPr>
        <w:spacing w:line="360" w:lineRule="auto"/>
        <w:ind w:firstLine="420" w:firstLineChars="200"/>
        <w:rPr>
          <w:rFonts w:asciiTheme="majorEastAsia" w:hAnsiTheme="majorEastAsia" w:eastAsiaTheme="majorEastAsia" w:cstheme="majorEastAsia"/>
          <w:color w:val="000000" w:themeColor="text1"/>
        </w:rPr>
      </w:pPr>
    </w:p>
    <w:p>
      <w:pPr>
        <w:spacing w:line="360" w:lineRule="auto"/>
        <w:ind w:firstLine="440" w:firstLineChars="200"/>
        <w:rPr>
          <w:rFonts w:asciiTheme="majorEastAsia" w:hAnsiTheme="majorEastAsia" w:eastAsiaTheme="majorEastAsia" w:cstheme="majorEastAsia"/>
          <w:color w:val="000000" w:themeColor="text1"/>
          <w:sz w:val="22"/>
          <w:szCs w:val="28"/>
        </w:rPr>
      </w:pPr>
    </w:p>
    <w:p>
      <w:pPr>
        <w:jc w:val="center"/>
        <w:rPr>
          <w:rFonts w:asciiTheme="majorEastAsia" w:hAnsiTheme="majorEastAsia" w:eastAsiaTheme="majorEastAsia" w:cstheme="majorEastAsia"/>
          <w:b/>
          <w:color w:val="000000" w:themeColor="text1"/>
          <w:sz w:val="36"/>
          <w:szCs w:val="36"/>
        </w:rPr>
      </w:pPr>
      <w:bookmarkStart w:id="121" w:name="_Toc8939"/>
      <w:r>
        <w:rPr>
          <w:rFonts w:hint="eastAsia" w:asciiTheme="majorEastAsia" w:hAnsiTheme="majorEastAsia" w:eastAsiaTheme="majorEastAsia" w:cstheme="majorEastAsia"/>
          <w:b/>
          <w:bCs/>
          <w:color w:val="000000" w:themeColor="text1"/>
          <w:sz w:val="36"/>
          <w:szCs w:val="36"/>
          <w:u w:val="single"/>
        </w:rPr>
        <w:t>住房保障信息系统专线租用</w:t>
      </w:r>
      <w:r>
        <w:rPr>
          <w:rFonts w:hint="eastAsia" w:asciiTheme="majorEastAsia" w:hAnsiTheme="majorEastAsia" w:eastAsiaTheme="majorEastAsia" w:cstheme="majorEastAsia"/>
          <w:b/>
          <w:bCs/>
          <w:color w:val="000000" w:themeColor="text1"/>
          <w:sz w:val="36"/>
          <w:szCs w:val="36"/>
        </w:rPr>
        <w:t>合同</w:t>
      </w:r>
      <w:bookmarkEnd w:id="121"/>
    </w:p>
    <w:p>
      <w:pPr>
        <w:spacing w:line="360" w:lineRule="auto"/>
        <w:ind w:firstLine="2570" w:firstLineChars="800"/>
        <w:rPr>
          <w:rFonts w:asciiTheme="majorEastAsia" w:hAnsiTheme="majorEastAsia" w:eastAsiaTheme="majorEastAsia" w:cstheme="majorEastAsia"/>
          <w:b/>
          <w:color w:val="000000" w:themeColor="text1"/>
          <w:sz w:val="32"/>
          <w:szCs w:val="32"/>
        </w:rPr>
      </w:pP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22" w:name="_Toc1355"/>
      <w:r>
        <w:rPr>
          <w:rFonts w:hint="eastAsia" w:asciiTheme="majorEastAsia" w:hAnsiTheme="majorEastAsia" w:eastAsiaTheme="majorEastAsia" w:cstheme="majorEastAsia"/>
          <w:b/>
          <w:color w:val="000000" w:themeColor="text1"/>
          <w:sz w:val="32"/>
          <w:szCs w:val="32"/>
        </w:rPr>
        <w:t>合同类别：</w:t>
      </w:r>
      <w:r>
        <w:rPr>
          <w:rFonts w:hint="eastAsia" w:asciiTheme="majorEastAsia" w:hAnsiTheme="majorEastAsia" w:eastAsiaTheme="majorEastAsia" w:cstheme="majorEastAsia"/>
          <w:b/>
          <w:color w:val="000000" w:themeColor="text1"/>
          <w:sz w:val="32"/>
          <w:szCs w:val="32"/>
          <w:u w:val="single"/>
        </w:rPr>
        <w:t>服务竞争性磋商</w:t>
      </w:r>
      <w:bookmarkEnd w:id="122"/>
      <w:r>
        <w:rPr>
          <w:rFonts w:hint="eastAsia" w:asciiTheme="majorEastAsia" w:hAnsiTheme="majorEastAsia" w:eastAsiaTheme="majorEastAsia" w:cstheme="majorEastAsia"/>
          <w:b/>
          <w:color w:val="000000" w:themeColor="text1"/>
          <w:sz w:val="32"/>
          <w:szCs w:val="32"/>
          <w:u w:val="single"/>
        </w:rPr>
        <w:t xml:space="preserve"> </w:t>
      </w: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23" w:name="_Toc32558"/>
      <w:r>
        <w:rPr>
          <w:rFonts w:hint="eastAsia" w:asciiTheme="majorEastAsia" w:hAnsiTheme="majorEastAsia" w:eastAsiaTheme="majorEastAsia" w:cstheme="majorEastAsia"/>
          <w:b/>
          <w:color w:val="000000" w:themeColor="text1"/>
          <w:sz w:val="32"/>
          <w:szCs w:val="32"/>
        </w:rPr>
        <w:t>合同编号：</w:t>
      </w:r>
      <w:bookmarkEnd w:id="123"/>
      <w:r>
        <w:rPr>
          <w:rFonts w:hint="eastAsia" w:asciiTheme="majorEastAsia" w:hAnsiTheme="majorEastAsia" w:eastAsiaTheme="majorEastAsia" w:cstheme="majorEastAsia"/>
          <w:b/>
          <w:color w:val="000000" w:themeColor="text1"/>
          <w:sz w:val="32"/>
          <w:szCs w:val="32"/>
          <w:u w:val="single"/>
        </w:rPr>
        <w:t xml:space="preserve">NNZC2020-C3-990370-GXYZ  </w:t>
      </w: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r>
        <w:rPr>
          <w:rFonts w:hint="eastAsia" w:asciiTheme="majorEastAsia" w:hAnsiTheme="majorEastAsia" w:eastAsiaTheme="majorEastAsia" w:cstheme="majorEastAsia"/>
          <w:b/>
          <w:color w:val="000000" w:themeColor="text1"/>
          <w:sz w:val="32"/>
          <w:szCs w:val="32"/>
        </w:rPr>
        <w:t>采购计划文号：[2020]NCCJB518001/4170-001</w:t>
      </w:r>
    </w:p>
    <w:p>
      <w:pPr>
        <w:ind w:left="2520" w:leftChars="1200"/>
        <w:rPr>
          <w:rFonts w:asciiTheme="majorEastAsia" w:hAnsiTheme="majorEastAsia" w:eastAsiaTheme="majorEastAsia" w:cstheme="majorEastAsia"/>
          <w:b/>
          <w:color w:val="000000" w:themeColor="text1"/>
          <w:sz w:val="32"/>
          <w:szCs w:val="32"/>
          <w:u w:val="single"/>
        </w:rPr>
      </w:pPr>
    </w:p>
    <w:p>
      <w:pPr>
        <w:ind w:firstLine="2605" w:firstLineChars="811"/>
        <w:rPr>
          <w:rFonts w:asciiTheme="majorEastAsia" w:hAnsiTheme="majorEastAsia" w:eastAsiaTheme="majorEastAsia" w:cstheme="majorEastAsia"/>
          <w:b/>
          <w:color w:val="000000" w:themeColor="text1"/>
          <w:sz w:val="32"/>
          <w:szCs w:val="32"/>
          <w:u w:val="single"/>
        </w:rPr>
      </w:pPr>
    </w:p>
    <w:p>
      <w:pPr>
        <w:spacing w:line="360" w:lineRule="auto"/>
        <w:rPr>
          <w:rFonts w:asciiTheme="majorEastAsia" w:hAnsiTheme="majorEastAsia" w:eastAsiaTheme="majorEastAsia" w:cstheme="majorEastAsia"/>
          <w:b/>
          <w:color w:val="000000" w:themeColor="text1"/>
          <w:sz w:val="32"/>
          <w:szCs w:val="32"/>
        </w:rPr>
      </w:pPr>
    </w:p>
    <w:p>
      <w:pPr>
        <w:spacing w:line="360" w:lineRule="auto"/>
        <w:rPr>
          <w:rFonts w:asciiTheme="majorEastAsia" w:hAnsiTheme="majorEastAsia" w:eastAsiaTheme="majorEastAsia" w:cstheme="majorEastAsia"/>
          <w:b/>
          <w:bCs/>
          <w:color w:val="000000" w:themeColor="text1"/>
          <w:sz w:val="36"/>
          <w:szCs w:val="36"/>
        </w:rPr>
      </w:pPr>
    </w:p>
    <w:p>
      <w:pPr>
        <w:pStyle w:val="8"/>
        <w:rPr>
          <w:rFonts w:asciiTheme="majorEastAsia" w:hAnsiTheme="majorEastAsia" w:eastAsiaTheme="majorEastAsia" w:cstheme="majorEastAsia"/>
          <w:color w:val="000000" w:themeColor="text1"/>
          <w:sz w:val="28"/>
          <w:szCs w:val="28"/>
        </w:rPr>
      </w:pPr>
    </w:p>
    <w:p>
      <w:pPr>
        <w:tabs>
          <w:tab w:val="left" w:pos="7200"/>
        </w:tabs>
        <w:spacing w:line="360" w:lineRule="auto"/>
        <w:ind w:firstLine="1552" w:firstLineChars="552"/>
        <w:rPr>
          <w:rFonts w:asciiTheme="majorEastAsia" w:hAnsiTheme="majorEastAsia" w:eastAsiaTheme="majorEastAsia" w:cstheme="majorEastAsia"/>
          <w:b/>
          <w:color w:val="000000" w:themeColor="text1"/>
          <w:sz w:val="28"/>
          <w:szCs w:val="28"/>
        </w:rPr>
      </w:pPr>
    </w:p>
    <w:p>
      <w:pPr>
        <w:tabs>
          <w:tab w:val="left" w:pos="7200"/>
        </w:tabs>
        <w:spacing w:line="360" w:lineRule="auto"/>
        <w:ind w:firstLine="1552" w:firstLineChars="552"/>
        <w:rPr>
          <w:rFonts w:asciiTheme="majorEastAsia" w:hAnsiTheme="majorEastAsia" w:eastAsiaTheme="majorEastAsia" w:cstheme="majorEastAsia"/>
          <w:b/>
          <w:color w:val="000000" w:themeColor="text1"/>
          <w:sz w:val="28"/>
          <w:szCs w:val="28"/>
        </w:rPr>
      </w:pPr>
    </w:p>
    <w:p>
      <w:pPr>
        <w:tabs>
          <w:tab w:val="left" w:pos="7200"/>
        </w:tabs>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24" w:name="_Toc32276"/>
      <w:r>
        <w:rPr>
          <w:rFonts w:hint="eastAsia" w:asciiTheme="majorEastAsia" w:hAnsiTheme="majorEastAsia" w:eastAsiaTheme="majorEastAsia" w:cstheme="majorEastAsia"/>
          <w:b/>
          <w:color w:val="000000" w:themeColor="text1"/>
          <w:sz w:val="32"/>
          <w:szCs w:val="32"/>
        </w:rPr>
        <w:t>采购人：</w:t>
      </w:r>
      <w:bookmarkEnd w:id="124"/>
      <w:r>
        <w:rPr>
          <w:rFonts w:hint="eastAsia" w:asciiTheme="majorEastAsia" w:hAnsiTheme="majorEastAsia" w:eastAsiaTheme="majorEastAsia" w:cstheme="majorEastAsia"/>
          <w:b/>
          <w:color w:val="000000" w:themeColor="text1"/>
          <w:sz w:val="32"/>
          <w:szCs w:val="32"/>
          <w:u w:val="single"/>
        </w:rPr>
        <w:t xml:space="preserve">南宁市住房和城乡建设局        </w:t>
      </w:r>
    </w:p>
    <w:p>
      <w:pPr>
        <w:widowControl/>
        <w:tabs>
          <w:tab w:val="left" w:pos="7380"/>
        </w:tabs>
        <w:spacing w:line="360" w:lineRule="auto"/>
        <w:ind w:firstLine="2570" w:firstLineChars="800"/>
        <w:jc w:val="left"/>
        <w:rPr>
          <w:rFonts w:asciiTheme="majorEastAsia" w:hAnsiTheme="majorEastAsia" w:eastAsiaTheme="majorEastAsia" w:cstheme="majorEastAsia"/>
          <w:b/>
          <w:color w:val="000000" w:themeColor="text1"/>
          <w:sz w:val="36"/>
          <w:szCs w:val="36"/>
        </w:rPr>
        <w:sectPr>
          <w:pgSz w:w="11906" w:h="16838"/>
          <w:pgMar w:top="1440" w:right="1080" w:bottom="1440" w:left="880" w:header="720" w:footer="720" w:gutter="0"/>
          <w:cols w:space="720" w:num="1"/>
          <w:docGrid w:type="lines" w:linePitch="331" w:charSpace="0"/>
        </w:sectPr>
      </w:pPr>
      <w:bookmarkStart w:id="125" w:name="_Toc32593"/>
      <w:r>
        <w:rPr>
          <w:rFonts w:hint="eastAsia" w:asciiTheme="majorEastAsia" w:hAnsiTheme="majorEastAsia" w:eastAsiaTheme="majorEastAsia" w:cstheme="majorEastAsia"/>
          <w:b/>
          <w:color w:val="000000" w:themeColor="text1"/>
          <w:sz w:val="32"/>
          <w:szCs w:val="32"/>
        </w:rPr>
        <w:t>成交供应商：</w:t>
      </w:r>
      <w:r>
        <w:rPr>
          <w:rFonts w:hint="eastAsia" w:asciiTheme="majorEastAsia" w:hAnsiTheme="majorEastAsia" w:eastAsiaTheme="majorEastAsia" w:cstheme="majorEastAsia"/>
          <w:b/>
          <w:color w:val="000000" w:themeColor="text1"/>
          <w:sz w:val="32"/>
          <w:szCs w:val="32"/>
          <w:u w:val="single"/>
        </w:rPr>
        <w:t xml:space="preserve">                    </w:t>
      </w:r>
      <w:bookmarkEnd w:id="125"/>
    </w:p>
    <w:p>
      <w:pPr>
        <w:widowControl/>
        <w:jc w:val="center"/>
        <w:rPr>
          <w:rFonts w:asciiTheme="majorEastAsia" w:hAnsiTheme="majorEastAsia" w:eastAsiaTheme="majorEastAsia" w:cstheme="majorEastAsia"/>
          <w:b/>
          <w:color w:val="000000" w:themeColor="text1"/>
          <w:sz w:val="36"/>
          <w:szCs w:val="36"/>
        </w:rPr>
      </w:pPr>
      <w:bookmarkStart w:id="126" w:name="_Toc20957"/>
      <w:r>
        <w:rPr>
          <w:rFonts w:hint="eastAsia" w:asciiTheme="majorEastAsia" w:hAnsiTheme="majorEastAsia" w:eastAsiaTheme="majorEastAsia" w:cstheme="majorEastAsia"/>
          <w:b/>
          <w:color w:val="000000" w:themeColor="text1"/>
          <w:sz w:val="36"/>
          <w:szCs w:val="36"/>
        </w:rPr>
        <w:t>目  录</w:t>
      </w:r>
      <w:bookmarkEnd w:id="126"/>
    </w:p>
    <w:p>
      <w:pPr>
        <w:tabs>
          <w:tab w:val="left" w:pos="1170"/>
        </w:tabs>
        <w:spacing w:line="360" w:lineRule="auto"/>
        <w:ind w:left="359" w:leftChars="171" w:firstLine="198" w:firstLineChars="71"/>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ab/>
      </w:r>
    </w:p>
    <w:p>
      <w:pPr>
        <w:rPr>
          <w:rFonts w:asciiTheme="majorEastAsia" w:hAnsiTheme="majorEastAsia" w:eastAsiaTheme="majorEastAsia" w:cstheme="majorEastAsia"/>
          <w:b/>
          <w:color w:val="000000" w:themeColor="text1"/>
          <w:sz w:val="30"/>
          <w:szCs w:val="30"/>
        </w:rPr>
      </w:pPr>
      <w:bookmarkStart w:id="127" w:name="_Toc3040"/>
      <w:r>
        <w:rPr>
          <w:rFonts w:hint="eastAsia" w:asciiTheme="majorEastAsia" w:hAnsiTheme="majorEastAsia" w:eastAsiaTheme="majorEastAsia" w:cstheme="majorEastAsia"/>
          <w:b/>
          <w:color w:val="000000" w:themeColor="text1"/>
          <w:sz w:val="30"/>
          <w:szCs w:val="30"/>
        </w:rPr>
        <w:t>一、南宁市政府采购合同书</w:t>
      </w:r>
      <w:bookmarkEnd w:id="127"/>
    </w:p>
    <w:p>
      <w:pPr>
        <w:rPr>
          <w:rFonts w:asciiTheme="majorEastAsia" w:hAnsiTheme="majorEastAsia" w:eastAsiaTheme="majorEastAsia" w:cstheme="majorEastAsia"/>
          <w:b/>
          <w:color w:val="000000" w:themeColor="text1"/>
          <w:sz w:val="30"/>
          <w:szCs w:val="30"/>
        </w:rPr>
      </w:pPr>
      <w:bookmarkStart w:id="128" w:name="_Toc27532"/>
      <w:r>
        <w:rPr>
          <w:rFonts w:hint="eastAsia" w:asciiTheme="majorEastAsia" w:hAnsiTheme="majorEastAsia" w:eastAsiaTheme="majorEastAsia" w:cstheme="majorEastAsia"/>
          <w:b/>
          <w:color w:val="000000" w:themeColor="text1"/>
          <w:sz w:val="30"/>
          <w:szCs w:val="30"/>
        </w:rPr>
        <w:t>二、合同附件</w:t>
      </w:r>
      <w:bookmarkEnd w:id="128"/>
    </w:p>
    <w:p>
      <w:pPr>
        <w:numPr>
          <w:ilvl w:val="0"/>
          <w:numId w:val="4"/>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成交通知书</w:t>
      </w:r>
    </w:p>
    <w:p>
      <w:pPr>
        <w:numPr>
          <w:ilvl w:val="0"/>
          <w:numId w:val="4"/>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竞争性磋商文件服务需求一览表（见竞争性磋商文件）</w:t>
      </w:r>
    </w:p>
    <w:p>
      <w:pPr>
        <w:numPr>
          <w:ilvl w:val="0"/>
          <w:numId w:val="4"/>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竞争性磋商文件的澄清和修改（如有请提供）</w:t>
      </w:r>
    </w:p>
    <w:p>
      <w:pPr>
        <w:numPr>
          <w:ilvl w:val="0"/>
          <w:numId w:val="4"/>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响应文件报价表（见响应文件）、响应文件最终报价表</w:t>
      </w:r>
    </w:p>
    <w:p>
      <w:pPr>
        <w:numPr>
          <w:ilvl w:val="0"/>
          <w:numId w:val="4"/>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响应文件中的服务技术资料表、商务条款偏离表（见响应文件）</w:t>
      </w:r>
    </w:p>
    <w:p>
      <w:pPr>
        <w:numPr>
          <w:ilvl w:val="0"/>
          <w:numId w:val="4"/>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成交供应商澄清函</w:t>
      </w:r>
      <w:r>
        <w:rPr>
          <w:rFonts w:hint="eastAsia" w:asciiTheme="majorEastAsia" w:hAnsiTheme="majorEastAsia" w:eastAsiaTheme="majorEastAsia" w:cstheme="majorEastAsia"/>
          <w:color w:val="000000" w:themeColor="text1"/>
          <w:sz w:val="28"/>
          <w:szCs w:val="28"/>
        </w:rPr>
        <w:t>（如有请提</w:t>
      </w:r>
      <w:r>
        <w:rPr>
          <w:rFonts w:hint="eastAsia" w:asciiTheme="majorEastAsia" w:hAnsiTheme="majorEastAsia" w:eastAsiaTheme="majorEastAsia" w:cstheme="majorEastAsia"/>
          <w:color w:val="000000" w:themeColor="text1"/>
          <w:sz w:val="30"/>
          <w:szCs w:val="30"/>
        </w:rPr>
        <w:t>供</w:t>
      </w:r>
      <w:r>
        <w:rPr>
          <w:rFonts w:hint="eastAsia" w:asciiTheme="majorEastAsia" w:hAnsiTheme="majorEastAsia" w:eastAsiaTheme="majorEastAsia" w:cstheme="majorEastAsia"/>
          <w:color w:val="000000" w:themeColor="text1"/>
          <w:sz w:val="28"/>
          <w:szCs w:val="28"/>
        </w:rPr>
        <w:t>）</w:t>
      </w:r>
    </w:p>
    <w:p>
      <w:pPr>
        <w:numPr>
          <w:ilvl w:val="0"/>
          <w:numId w:val="4"/>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其他与本合同相关的资料（如有请提供）</w:t>
      </w:r>
    </w:p>
    <w:p>
      <w:pPr>
        <w:spacing w:line="360" w:lineRule="auto"/>
        <w:jc w:val="center"/>
        <w:rPr>
          <w:rFonts w:asciiTheme="majorEastAsia" w:hAnsiTheme="majorEastAsia" w:eastAsiaTheme="majorEastAsia" w:cstheme="majorEastAsia"/>
          <w:b/>
          <w:bCs/>
          <w:color w:val="000000" w:themeColor="text1"/>
          <w:sz w:val="28"/>
        </w:rPr>
      </w:pPr>
    </w:p>
    <w:p>
      <w:pPr>
        <w:spacing w:line="360" w:lineRule="auto"/>
        <w:jc w:val="center"/>
        <w:rPr>
          <w:rFonts w:asciiTheme="majorEastAsia" w:hAnsiTheme="majorEastAsia" w:eastAsiaTheme="majorEastAsia" w:cstheme="majorEastAsia"/>
          <w:b/>
          <w:bCs/>
          <w:color w:val="000000" w:themeColor="text1"/>
          <w:sz w:val="30"/>
          <w:szCs w:val="30"/>
        </w:rPr>
      </w:pPr>
      <w:r>
        <w:rPr>
          <w:rFonts w:hint="eastAsia" w:asciiTheme="majorEastAsia" w:hAnsiTheme="majorEastAsia" w:eastAsiaTheme="majorEastAsia" w:cstheme="majorEastAsia"/>
          <w:bCs/>
          <w:color w:val="000000" w:themeColor="text1"/>
          <w:sz w:val="28"/>
        </w:rPr>
        <w:br w:type="page"/>
      </w:r>
      <w:r>
        <w:rPr>
          <w:rFonts w:hint="eastAsia" w:asciiTheme="majorEastAsia" w:hAnsiTheme="majorEastAsia" w:eastAsiaTheme="majorEastAsia" w:cstheme="majorEastAsia"/>
          <w:b/>
          <w:color w:val="000000" w:themeColor="text1"/>
          <w:sz w:val="30"/>
          <w:szCs w:val="30"/>
        </w:rPr>
        <w:t>南宁市政府采购合同书</w:t>
      </w:r>
    </w:p>
    <w:p>
      <w:pPr>
        <w:pStyle w:val="10"/>
        <w:spacing w:line="360" w:lineRule="auto"/>
        <w:rPr>
          <w:rFonts w:asciiTheme="majorEastAsia" w:hAnsiTheme="majorEastAsia" w:eastAsiaTheme="majorEastAsia" w:cstheme="majorEastAsia"/>
          <w:color w:val="000000" w:themeColor="text1"/>
        </w:rPr>
      </w:pPr>
    </w:p>
    <w:p>
      <w:pPr>
        <w:pStyle w:val="10"/>
        <w:spacing w:line="360" w:lineRule="auto"/>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项目名称：</w:t>
      </w:r>
      <w:r>
        <w:rPr>
          <w:rFonts w:hint="eastAsia" w:asciiTheme="majorEastAsia" w:hAnsiTheme="majorEastAsia" w:eastAsiaTheme="majorEastAsia" w:cstheme="majorEastAsia"/>
          <w:color w:val="000000" w:themeColor="text1"/>
          <w:sz w:val="24"/>
          <w:szCs w:val="24"/>
          <w:u w:val="single"/>
        </w:rPr>
        <w:t>住房保障信息系统专线租用</w:t>
      </w:r>
    </w:p>
    <w:p>
      <w:pPr>
        <w:pStyle w:val="10"/>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项目编号：</w:t>
      </w:r>
      <w:r>
        <w:rPr>
          <w:rFonts w:hint="eastAsia" w:asciiTheme="majorEastAsia" w:hAnsiTheme="majorEastAsia" w:eastAsiaTheme="majorEastAsia" w:cstheme="majorEastAsia"/>
          <w:color w:val="000000" w:themeColor="text1"/>
          <w:sz w:val="24"/>
          <w:szCs w:val="24"/>
          <w:u w:val="single"/>
        </w:rPr>
        <w:t>NNZC2020-C3-990370-GXYZ</w:t>
      </w:r>
    </w:p>
    <w:p>
      <w:pPr>
        <w:pStyle w:val="10"/>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分标号（有分标时填写）：</w:t>
      </w:r>
      <w:r>
        <w:rPr>
          <w:rFonts w:hint="eastAsia" w:asciiTheme="majorEastAsia" w:hAnsiTheme="majorEastAsia" w:eastAsiaTheme="majorEastAsia" w:cstheme="majorEastAsia"/>
          <w:color w:val="000000" w:themeColor="text1"/>
          <w:sz w:val="24"/>
          <w:szCs w:val="24"/>
          <w:u w:val="single"/>
        </w:rPr>
        <w:t xml:space="preserve"> / </w:t>
      </w:r>
    </w:p>
    <w:p>
      <w:pPr>
        <w:pStyle w:val="10"/>
        <w:spacing w:line="360" w:lineRule="auto"/>
        <w:rPr>
          <w:rFonts w:asciiTheme="majorEastAsia" w:hAnsiTheme="majorEastAsia" w:eastAsiaTheme="majorEastAsia" w:cstheme="majorEastAsia"/>
          <w:color w:val="000000" w:themeColor="text1"/>
          <w:sz w:val="24"/>
          <w:szCs w:val="24"/>
        </w:rPr>
      </w:pPr>
    </w:p>
    <w:p>
      <w:pPr>
        <w:pStyle w:val="10"/>
        <w:tabs>
          <w:tab w:val="left" w:pos="5250"/>
        </w:tabs>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采购人（甲方）：</w:t>
      </w:r>
      <w:r>
        <w:rPr>
          <w:rFonts w:hint="eastAsia" w:asciiTheme="majorEastAsia" w:hAnsiTheme="majorEastAsia" w:eastAsiaTheme="majorEastAsia" w:cstheme="majorEastAsia"/>
          <w:color w:val="000000" w:themeColor="text1"/>
          <w:sz w:val="24"/>
          <w:szCs w:val="24"/>
          <w:u w:val="single"/>
        </w:rPr>
        <w:t xml:space="preserve">南宁市住房和城乡建设局   </w:t>
      </w:r>
    </w:p>
    <w:p>
      <w:pPr>
        <w:pStyle w:val="10"/>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成交供应商（乙方）：</w:t>
      </w:r>
      <w:r>
        <w:rPr>
          <w:rFonts w:hint="eastAsia" w:asciiTheme="majorEastAsia" w:hAnsiTheme="majorEastAsia" w:eastAsiaTheme="majorEastAsia" w:cstheme="majorEastAsia"/>
          <w:color w:val="000000" w:themeColor="text1"/>
          <w:sz w:val="24"/>
          <w:szCs w:val="24"/>
          <w:u w:val="single"/>
        </w:rPr>
        <w:t xml:space="preserve">               </w:t>
      </w:r>
    </w:p>
    <w:bookmarkEnd w:id="64"/>
    <w:bookmarkEnd w:id="65"/>
    <w:bookmarkEnd w:id="66"/>
    <w:bookmarkEnd w:id="67"/>
    <w:p>
      <w:pPr>
        <w:pStyle w:val="10"/>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w:t>
      </w:r>
    </w:p>
    <w:p>
      <w:pPr>
        <w:pStyle w:val="10"/>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根据   年  月  日南宁市政府采购项目的采购结果，甲方接受乙方对本项目的响应，甲、乙双方同意签署本合同（以下简称合同）。</w:t>
      </w:r>
    </w:p>
    <w:p>
      <w:pPr>
        <w:pStyle w:val="10"/>
        <w:spacing w:line="360" w:lineRule="auto"/>
        <w:rPr>
          <w:rFonts w:asciiTheme="majorEastAsia" w:hAnsiTheme="majorEastAsia" w:eastAsiaTheme="majorEastAsia" w:cstheme="majorEastAsia"/>
          <w:b/>
          <w:color w:val="000000" w:themeColor="text1"/>
          <w:sz w:val="24"/>
          <w:szCs w:val="24"/>
        </w:rPr>
      </w:pPr>
    </w:p>
    <w:p>
      <w:pPr>
        <w:pStyle w:val="10"/>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  采购内容</w:t>
      </w:r>
    </w:p>
    <w:p>
      <w:pPr>
        <w:pStyle w:val="10"/>
        <w:tabs>
          <w:tab w:val="left" w:pos="5220"/>
        </w:tabs>
        <w:spacing w:line="360" w:lineRule="auto"/>
        <w:ind w:firstLine="480" w:firstLineChars="2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1.1 服务名称：</w:t>
      </w:r>
      <w:r>
        <w:rPr>
          <w:rFonts w:hint="eastAsia" w:asciiTheme="majorEastAsia" w:hAnsiTheme="majorEastAsia" w:eastAsiaTheme="majorEastAsia" w:cstheme="majorEastAsia"/>
          <w:color w:val="000000" w:themeColor="text1"/>
          <w:sz w:val="24"/>
          <w:szCs w:val="24"/>
          <w:u w:val="single"/>
        </w:rPr>
        <w:t xml:space="preserve">详见合同附件中响应报价表       </w:t>
      </w:r>
    </w:p>
    <w:p>
      <w:pPr>
        <w:pStyle w:val="10"/>
        <w:tabs>
          <w:tab w:val="left" w:pos="522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 数量：</w:t>
      </w:r>
      <w:r>
        <w:rPr>
          <w:rFonts w:hint="eastAsia" w:asciiTheme="majorEastAsia" w:hAnsiTheme="majorEastAsia" w:eastAsiaTheme="majorEastAsia" w:cstheme="majorEastAsia"/>
          <w:color w:val="000000" w:themeColor="text1"/>
          <w:sz w:val="24"/>
          <w:szCs w:val="24"/>
          <w:u w:val="single"/>
        </w:rPr>
        <w:t xml:space="preserve">详见合同附件中响应报价表           </w:t>
      </w:r>
    </w:p>
    <w:p>
      <w:pPr>
        <w:pStyle w:val="10"/>
        <w:tabs>
          <w:tab w:val="left" w:pos="522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1.2服务内容：</w:t>
      </w:r>
      <w:r>
        <w:rPr>
          <w:rFonts w:hint="eastAsia" w:asciiTheme="majorEastAsia" w:hAnsiTheme="majorEastAsia" w:eastAsiaTheme="majorEastAsia" w:cstheme="majorEastAsia"/>
          <w:color w:val="000000" w:themeColor="text1"/>
          <w:sz w:val="24"/>
          <w:szCs w:val="24"/>
          <w:u w:val="single"/>
        </w:rPr>
        <w:t xml:space="preserve">详见合同附件中响应服务技术资料表及澄清函（响应服务技术资料表与澄清函不一致的以澄清函为准） </w:t>
      </w:r>
    </w:p>
    <w:p>
      <w:pPr>
        <w:pStyle w:val="10"/>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2.  合同金额</w:t>
      </w:r>
    </w:p>
    <w:p>
      <w:pPr>
        <w:pStyle w:val="10"/>
        <w:spacing w:line="360" w:lineRule="auto"/>
        <w:ind w:left="2"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 本合同金额为（大写）人民币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w:t>
      </w:r>
      <w:r>
        <w:rPr>
          <w:rFonts w:hint="eastAsia" w:asciiTheme="majorEastAsia" w:hAnsiTheme="majorEastAsia" w:eastAsiaTheme="majorEastAsia" w:cstheme="majorEastAsia"/>
          <w:color w:val="000000" w:themeColor="text1"/>
          <w:sz w:val="24"/>
          <w:szCs w:val="24"/>
          <w:u w:val="single"/>
        </w:rPr>
        <w:t>　　　　　　</w:t>
      </w:r>
      <w:r>
        <w:rPr>
          <w:rFonts w:hint="eastAsia" w:asciiTheme="majorEastAsia" w:hAnsiTheme="majorEastAsia" w:eastAsiaTheme="majorEastAsia" w:cstheme="majorEastAsia"/>
          <w:color w:val="000000" w:themeColor="text1"/>
          <w:sz w:val="24"/>
          <w:szCs w:val="24"/>
        </w:rPr>
        <w:t>元）。（详见响应文件最终报价表）</w:t>
      </w:r>
    </w:p>
    <w:p>
      <w:pPr>
        <w:pStyle w:val="10"/>
        <w:tabs>
          <w:tab w:val="left" w:pos="5940"/>
        </w:tabs>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3.  提交服务成果要求</w:t>
      </w:r>
    </w:p>
    <w:p>
      <w:pPr>
        <w:pStyle w:val="10"/>
        <w:tabs>
          <w:tab w:val="left" w:pos="5220"/>
        </w:tabs>
        <w:spacing w:line="360" w:lineRule="auto"/>
        <w:ind w:firstLine="36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3.1 提交服务成果时间：</w:t>
      </w:r>
      <w:r>
        <w:rPr>
          <w:rFonts w:hint="eastAsia" w:asciiTheme="majorEastAsia" w:hAnsiTheme="majorEastAsia" w:eastAsiaTheme="majorEastAsia" w:cstheme="majorEastAsia"/>
          <w:color w:val="000000" w:themeColor="text1"/>
          <w:sz w:val="24"/>
          <w:szCs w:val="24"/>
          <w:u w:val="single"/>
        </w:rPr>
        <w:t xml:space="preserve">　　　　　　　　　　　　      </w:t>
      </w:r>
    </w:p>
    <w:p>
      <w:pPr>
        <w:pStyle w:val="10"/>
        <w:spacing w:line="360" w:lineRule="auto"/>
        <w:ind w:firstLine="36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3.2 提交服务成果</w:t>
      </w:r>
      <w:r>
        <w:rPr>
          <w:rFonts w:hint="eastAsia" w:cs="宋体" w:asciiTheme="majorEastAsia" w:hAnsiTheme="majorEastAsia" w:eastAsiaTheme="majorEastAsia"/>
          <w:color w:val="000000" w:themeColor="text1"/>
          <w:sz w:val="24"/>
        </w:rPr>
        <w:t>地点</w:t>
      </w:r>
      <w:r>
        <w:rPr>
          <w:rFonts w:hint="eastAsia" w:asciiTheme="majorEastAsia" w:hAnsiTheme="majorEastAsia" w:eastAsiaTheme="majorEastAsia" w:cstheme="majorEastAsia"/>
          <w:bCs/>
          <w:color w:val="000000" w:themeColor="text1"/>
          <w:sz w:val="24"/>
          <w:szCs w:val="24"/>
        </w:rPr>
        <w:t>：</w:t>
      </w:r>
      <w:r>
        <w:rPr>
          <w:rFonts w:hint="eastAsia" w:asciiTheme="majorEastAsia" w:hAnsiTheme="majorEastAsia" w:eastAsiaTheme="majorEastAsia" w:cstheme="majorEastAsia"/>
          <w:color w:val="000000" w:themeColor="text1"/>
          <w:sz w:val="24"/>
          <w:szCs w:val="24"/>
          <w:u w:val="single"/>
        </w:rPr>
        <w:t xml:space="preserve">　　　　　　　　　　　　      </w:t>
      </w:r>
    </w:p>
    <w:p>
      <w:pPr>
        <w:pStyle w:val="10"/>
        <w:spacing w:line="360" w:lineRule="auto"/>
        <w:ind w:firstLine="36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3.3 </w:t>
      </w:r>
      <w:r>
        <w:rPr>
          <w:rFonts w:hint="eastAsia" w:asciiTheme="majorEastAsia" w:hAnsiTheme="majorEastAsia" w:eastAsiaTheme="majorEastAsia" w:cstheme="majorEastAsia"/>
          <w:color w:val="000000" w:themeColor="text1"/>
          <w:sz w:val="24"/>
          <w:szCs w:val="24"/>
        </w:rPr>
        <w:t>乙方必须按响应文件承诺的服务响应条款向甲方提供服务。</w:t>
      </w:r>
    </w:p>
    <w:p>
      <w:pPr>
        <w:pStyle w:val="10"/>
        <w:spacing w:line="360" w:lineRule="auto"/>
        <w:ind w:left="410" w:hanging="410" w:hangingChars="17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4.  履约保证金</w:t>
      </w:r>
    </w:p>
    <w:p>
      <w:pPr>
        <w:pStyle w:val="10"/>
        <w:spacing w:line="440" w:lineRule="exact"/>
        <w:ind w:firstLine="360" w:firstLineChars="150"/>
        <w:jc w:val="left"/>
        <w:rPr>
          <w:rFonts w:asciiTheme="majorEastAsia" w:hAnsiTheme="majorEastAsia" w:eastAsiaTheme="majorEastAsia" w:cstheme="majorEastAsia"/>
          <w:color w:val="000000" w:themeColor="text1"/>
          <w:szCs w:val="28"/>
        </w:rPr>
      </w:pPr>
      <w:r>
        <w:rPr>
          <w:rFonts w:hint="eastAsia" w:asciiTheme="majorEastAsia" w:hAnsiTheme="majorEastAsia" w:eastAsiaTheme="majorEastAsia" w:cstheme="majorEastAsia"/>
          <w:color w:val="000000" w:themeColor="text1"/>
          <w:sz w:val="24"/>
          <w:szCs w:val="24"/>
        </w:rPr>
        <w:t>本项目不收取履约保证金</w:t>
      </w:r>
      <w:r>
        <w:rPr>
          <w:rFonts w:hint="eastAsia" w:asciiTheme="majorEastAsia" w:hAnsiTheme="majorEastAsia" w:eastAsiaTheme="majorEastAsia" w:cstheme="majorEastAsia"/>
          <w:color w:val="000000" w:themeColor="text1"/>
          <w:szCs w:val="28"/>
        </w:rPr>
        <w:t>。</w:t>
      </w:r>
    </w:p>
    <w:p>
      <w:pPr>
        <w:pStyle w:val="10"/>
        <w:spacing w:line="360" w:lineRule="auto"/>
        <w:ind w:left="412" w:hanging="412" w:hangingChars="171"/>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5.  产权</w:t>
      </w:r>
    </w:p>
    <w:p>
      <w:pPr>
        <w:pStyle w:val="10"/>
        <w:spacing w:line="360" w:lineRule="auto"/>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5.1 乙方应保证所提供的服务或其任何一部分均不会侵犯任何第三方的专利权、商标权或著作权</w:t>
      </w:r>
      <w:r>
        <w:rPr>
          <w:rFonts w:hint="eastAsia" w:asciiTheme="majorEastAsia" w:hAnsiTheme="majorEastAsia" w:eastAsiaTheme="majorEastAsia" w:cstheme="majorEastAsia"/>
          <w:bCs/>
          <w:color w:val="000000" w:themeColor="text1"/>
          <w:sz w:val="24"/>
          <w:szCs w:val="24"/>
        </w:rPr>
        <w:t>。</w:t>
      </w:r>
    </w:p>
    <w:p>
      <w:pPr>
        <w:pStyle w:val="10"/>
        <w:spacing w:line="360" w:lineRule="auto"/>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0"/>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6.  技术资料</w:t>
      </w:r>
    </w:p>
    <w:p>
      <w:pPr>
        <w:pStyle w:val="10"/>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6.1 甲方应向乙方提供提交服务成果所必需的有关数据、资料等。</w:t>
      </w:r>
    </w:p>
    <w:p>
      <w:pPr>
        <w:pStyle w:val="10"/>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7.  验收</w:t>
      </w:r>
    </w:p>
    <w:p>
      <w:pPr>
        <w:pStyle w:val="10"/>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7.1 乙方应对提交的服务成果作出全面检查和整理，并列出清单，作为甲方验收和使用的技术条件依据，清单应随提交的服务成果交给甲方。</w:t>
      </w:r>
    </w:p>
    <w:p>
      <w:pPr>
        <w:pStyle w:val="10"/>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7.2 乙方在指定地点提交服务成果后，甲方应在五个工作日内依据竞争性磋商采购文件、乙方的响应文件等组织验收，验收完毕后作出书面验收报告。验收时乙方必须在现场。</w:t>
      </w:r>
    </w:p>
    <w:p>
      <w:pPr>
        <w:pStyle w:val="10"/>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7.3 对复杂的服务，甲方可请国家认可的专业机构参与验收，并由其出具验收报告，相关费用由甲方承担。</w:t>
      </w:r>
    </w:p>
    <w:p>
      <w:pPr>
        <w:pStyle w:val="10"/>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8.  合同款支付</w:t>
      </w:r>
    </w:p>
    <w:p>
      <w:pPr>
        <w:tabs>
          <w:tab w:val="left" w:pos="2101"/>
        </w:tabs>
        <w:spacing w:line="360" w:lineRule="auto"/>
        <w:ind w:firstLine="480" w:firstLineChars="200"/>
        <w:rPr>
          <w:rFonts w:asciiTheme="majorEastAsia" w:hAnsiTheme="majorEastAsia" w:eastAsiaTheme="majorEastAsia" w:cstheme="majorEastAsia"/>
          <w:color w:val="000000" w:themeColor="text1"/>
          <w:sz w:val="24"/>
          <w:u w:val="single"/>
        </w:rPr>
      </w:pPr>
      <w:r>
        <w:rPr>
          <w:rFonts w:hint="eastAsia" w:asciiTheme="majorEastAsia" w:hAnsiTheme="majorEastAsia" w:eastAsiaTheme="majorEastAsia" w:cstheme="majorEastAsia"/>
          <w:bCs/>
          <w:color w:val="000000" w:themeColor="text1"/>
          <w:sz w:val="24"/>
        </w:rPr>
        <w:t>8.1 付款方式：</w:t>
      </w:r>
      <w:r>
        <w:rPr>
          <w:rFonts w:hint="eastAsia" w:asciiTheme="majorEastAsia" w:hAnsiTheme="majorEastAsia" w:eastAsiaTheme="majorEastAsia" w:cstheme="majorEastAsia"/>
          <w:bCs/>
          <w:color w:val="000000" w:themeColor="text1"/>
          <w:sz w:val="24"/>
          <w:u w:val="single"/>
        </w:rPr>
        <w:t xml:space="preserve"> 本项目无预付款，成交供应商所提交的服务经采购人书面验收合格后，一次性支付合同款。</w:t>
      </w:r>
    </w:p>
    <w:p>
      <w:pPr>
        <w:pStyle w:val="10"/>
        <w:tabs>
          <w:tab w:val="left" w:pos="5145"/>
          <w:tab w:val="left" w:pos="5355"/>
          <w:tab w:val="left" w:pos="6195"/>
        </w:tabs>
        <w:spacing w:line="360" w:lineRule="auto"/>
        <w:ind w:firstLine="480" w:firstLineChars="200"/>
        <w:rPr>
          <w:rFonts w:asciiTheme="majorEastAsia" w:hAnsiTheme="majorEastAsia" w:eastAsiaTheme="majorEastAsia" w:cstheme="majorEastAsia"/>
          <w:bCs/>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0"/>
        <w:tabs>
          <w:tab w:val="left" w:pos="5145"/>
          <w:tab w:val="left" w:pos="5355"/>
          <w:tab w:val="left" w:pos="6195"/>
        </w:tabs>
        <w:spacing w:line="360" w:lineRule="auto"/>
        <w:ind w:firstLine="480" w:firstLineChars="200"/>
        <w:rPr>
          <w:rFonts w:asciiTheme="majorEastAsia" w:hAnsiTheme="majorEastAsia" w:eastAsiaTheme="majorEastAsia" w:cstheme="majorEastAsia"/>
          <w:bCs/>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8.3 政府采购监督管理部门在处理投诉事项期间，可以视具体情况书面通知采购人暂停采购活动</w:t>
      </w:r>
      <w:r>
        <w:rPr>
          <w:rFonts w:hint="eastAsia" w:asciiTheme="majorEastAsia" w:hAnsiTheme="majorEastAsia" w:eastAsiaTheme="majorEastAsia" w:cstheme="majorEastAsia"/>
          <w:bCs/>
          <w:color w:val="000000" w:themeColor="text1"/>
          <w:sz w:val="24"/>
          <w:szCs w:val="24"/>
        </w:rPr>
        <w:t>，并延期支付合同款。</w:t>
      </w:r>
    </w:p>
    <w:p>
      <w:pPr>
        <w:pStyle w:val="10"/>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9.  售后服务要求</w:t>
      </w:r>
    </w:p>
    <w:p>
      <w:pPr>
        <w:pStyle w:val="10"/>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9.1 乙方提供服务的质量保证期为：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（自提交服务验收合格之日起计）</w:t>
      </w:r>
    </w:p>
    <w:p>
      <w:pPr>
        <w:pStyle w:val="10"/>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9.2在本合同第9.1项约定的质量保证期内，乙方应对服务出现的问题负责处理解决并承担一切费用。</w:t>
      </w:r>
    </w:p>
    <w:p>
      <w:pPr>
        <w:pStyle w:val="10"/>
        <w:tabs>
          <w:tab w:val="left" w:pos="5250"/>
        </w:tabs>
        <w:spacing w:line="360" w:lineRule="auto"/>
        <w:ind w:firstLine="480" w:firstLineChars="2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9.5 其他售后服务要求：</w:t>
      </w:r>
    </w:p>
    <w:p>
      <w:pPr>
        <w:pStyle w:val="10"/>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10.  违约责任</w:t>
      </w:r>
    </w:p>
    <w:p>
      <w:pPr>
        <w:pStyle w:val="10"/>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10.1甲方无正当理由拒收服务的，甲方向乙方偿付拒收服务费总值的百分之五违约金。</w:t>
      </w:r>
    </w:p>
    <w:p>
      <w:pPr>
        <w:pStyle w:val="10"/>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10.2 甲方无故逾期接收和办理服务费支付手续的,甲方应按逾期付款总额每日万分之五向乙方支付违约金。</w:t>
      </w:r>
    </w:p>
    <w:p>
      <w:pPr>
        <w:pStyle w:val="10"/>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10"/>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11.  不可抗力事件处理</w:t>
      </w:r>
    </w:p>
    <w:p>
      <w:pPr>
        <w:pStyle w:val="10"/>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11.1 在合同有效期内，任何一方因不可抗力事件导致不能履行合同，则合同履行期可延长，其延长期与不可抗力影响期相同。</w:t>
      </w:r>
    </w:p>
    <w:p>
      <w:pPr>
        <w:pStyle w:val="10"/>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11.2 不可抗力事件发生后，应立即通知对方，并寄送有关权威机构出具的证明。</w:t>
      </w:r>
    </w:p>
    <w:p>
      <w:pPr>
        <w:pStyle w:val="10"/>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11.3 不可抗力事件延续120天以上，双方应通过友好协商，确定是否继续履行合同。</w:t>
      </w:r>
    </w:p>
    <w:p>
      <w:pPr>
        <w:pStyle w:val="10"/>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12.  诉讼</w:t>
      </w:r>
    </w:p>
    <w:p>
      <w:pPr>
        <w:pStyle w:val="10"/>
        <w:tabs>
          <w:tab w:val="left" w:pos="0"/>
        </w:tabs>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12.1 双方在执行合同中所发生的一切争议，应通过协商解决。如协商不成，可向合同签订地法院起诉，合同签订地在此约定为广西南宁市。</w:t>
      </w:r>
    </w:p>
    <w:p>
      <w:pPr>
        <w:pStyle w:val="10"/>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13.  合同生效及其它</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13.1 合同经双方法定代表人或授权委托代理人签字并加盖单位公章后生效。</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13.2 合同执行中涉及采购资金和采购内容修改或补充的，须经市财政部门审批，并签书面补充协议报南宁市政府采购监督管理部门备案，方可作为主合同不可分割的一部分。</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13.3 下述合同附件为本合同不可分割的部分并与本合同具有同等效力：</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（1）成交通知书；</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（2）竞争性磋商采购文件服务需求一览表；</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（3）竞争性磋商采购文件的澄清和修改；</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（4）响应文件报价表、响应文件最后报价表；</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（5）响应文件中的服务技术资料表、商务条款偏离表；</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（6）成交供应商澄清函；</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（7）其他与本合同相关的资料。</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13.4 本合同未尽事宜，遵照《中华人民共和国合同法》有关条文执行。</w:t>
      </w:r>
    </w:p>
    <w:p>
      <w:pPr>
        <w:pStyle w:val="10"/>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rPr>
        <w:t>13.5本合同正本一式</w:t>
      </w:r>
      <w:r>
        <w:rPr>
          <w:rFonts w:hint="eastAsia" w:asciiTheme="majorEastAsia" w:hAnsiTheme="majorEastAsia" w:eastAsiaTheme="majorEastAsia" w:cstheme="majorEastAsia"/>
          <w:b/>
          <w:color w:val="000000" w:themeColor="text1"/>
          <w:sz w:val="24"/>
        </w:rPr>
        <w:t>陆份</w:t>
      </w:r>
      <w:r>
        <w:rPr>
          <w:rFonts w:hint="eastAsia" w:asciiTheme="majorEastAsia" w:hAnsiTheme="majorEastAsia" w:eastAsiaTheme="majorEastAsia" w:cstheme="majorEastAsia"/>
          <w:color w:val="000000" w:themeColor="text1"/>
          <w:sz w:val="24"/>
        </w:rPr>
        <w:t>，具有同等法律效力，甲乙双方各执</w:t>
      </w:r>
      <w:r>
        <w:rPr>
          <w:rFonts w:hint="eastAsia" w:asciiTheme="majorEastAsia" w:hAnsiTheme="majorEastAsia" w:eastAsiaTheme="majorEastAsia" w:cstheme="majorEastAsia"/>
          <w:b/>
          <w:color w:val="000000" w:themeColor="text1"/>
          <w:sz w:val="24"/>
        </w:rPr>
        <w:t>叁份</w:t>
      </w:r>
      <w:r>
        <w:rPr>
          <w:rFonts w:hint="eastAsia" w:asciiTheme="majorEastAsia" w:hAnsiTheme="majorEastAsia" w:eastAsiaTheme="majorEastAsia" w:cstheme="majorEastAsia"/>
          <w:color w:val="000000" w:themeColor="text1"/>
          <w:sz w:val="24"/>
        </w:rPr>
        <w:t>；副本</w:t>
      </w:r>
      <w:r>
        <w:rPr>
          <w:rFonts w:hint="eastAsia" w:asciiTheme="majorEastAsia" w:hAnsiTheme="majorEastAsia" w:eastAsiaTheme="majorEastAsia" w:cstheme="majorEastAsia"/>
          <w:b/>
          <w:color w:val="000000" w:themeColor="text1"/>
          <w:sz w:val="24"/>
        </w:rPr>
        <w:t>肆份</w:t>
      </w:r>
      <w:r>
        <w:rPr>
          <w:rFonts w:hint="eastAsia" w:asciiTheme="majorEastAsia" w:hAnsiTheme="majorEastAsia" w:eastAsiaTheme="majorEastAsia" w:cstheme="majorEastAsia"/>
          <w:color w:val="000000" w:themeColor="text1"/>
          <w:sz w:val="24"/>
        </w:rPr>
        <w:t>，甲乙双方各执</w:t>
      </w:r>
      <w:r>
        <w:rPr>
          <w:rFonts w:hint="eastAsia" w:asciiTheme="majorEastAsia" w:hAnsiTheme="majorEastAsia" w:eastAsiaTheme="majorEastAsia" w:cstheme="majorEastAsia"/>
          <w:b/>
          <w:color w:val="000000" w:themeColor="text1"/>
          <w:sz w:val="24"/>
        </w:rPr>
        <w:t>壹份</w:t>
      </w:r>
      <w:r>
        <w:rPr>
          <w:rFonts w:hint="eastAsia" w:asciiTheme="majorEastAsia" w:hAnsiTheme="majorEastAsia" w:eastAsiaTheme="majorEastAsia" w:cstheme="majorEastAsia"/>
          <w:color w:val="000000" w:themeColor="text1"/>
          <w:sz w:val="24"/>
        </w:rPr>
        <w:t>，采购代理</w:t>
      </w:r>
      <w:r>
        <w:rPr>
          <w:rFonts w:hint="eastAsia" w:asciiTheme="majorEastAsia" w:hAnsiTheme="majorEastAsia" w:eastAsiaTheme="majorEastAsia" w:cstheme="majorEastAsia"/>
          <w:b/>
          <w:color w:val="000000" w:themeColor="text1"/>
          <w:sz w:val="24"/>
        </w:rPr>
        <w:t>贰份</w:t>
      </w:r>
      <w:r>
        <w:rPr>
          <w:rFonts w:hint="eastAsia" w:asciiTheme="majorEastAsia" w:hAnsiTheme="majorEastAsia" w:eastAsiaTheme="majorEastAsia" w:cstheme="majorEastAsia"/>
          <w:color w:val="000000" w:themeColor="text1"/>
          <w:sz w:val="24"/>
          <w:szCs w:val="24"/>
        </w:rPr>
        <w:t>。自合同签订之日起2个工作日内由成交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spacing w:line="360" w:lineRule="auto"/>
        <w:rPr>
          <w:rFonts w:asciiTheme="majorEastAsia" w:hAnsiTheme="majorEastAsia" w:eastAsiaTheme="majorEastAsia" w:cstheme="majorEastAsia"/>
          <w:color w:val="000000" w:themeColor="text1"/>
          <w:sz w:val="24"/>
        </w:rPr>
      </w:pPr>
    </w:p>
    <w:p>
      <w:pPr>
        <w:pStyle w:val="10"/>
        <w:spacing w:line="360" w:lineRule="auto"/>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甲方：</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乙方：</w:t>
      </w:r>
      <w:r>
        <w:rPr>
          <w:rFonts w:hint="eastAsia" w:asciiTheme="majorEastAsia" w:hAnsiTheme="majorEastAsia" w:eastAsiaTheme="majorEastAsia" w:cstheme="majorEastAsia"/>
          <w:color w:val="000000" w:themeColor="text1"/>
          <w:sz w:val="24"/>
          <w:szCs w:val="24"/>
          <w:u w:val="single"/>
        </w:rPr>
        <w:t xml:space="preserve">                                    </w:t>
      </w:r>
    </w:p>
    <w:p>
      <w:pPr>
        <w:pStyle w:val="10"/>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地址：</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地址：</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10"/>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法定代表人：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法定代表人：</w:t>
      </w:r>
      <w:r>
        <w:rPr>
          <w:rFonts w:hint="eastAsia" w:asciiTheme="majorEastAsia" w:hAnsiTheme="majorEastAsia" w:eastAsiaTheme="majorEastAsia" w:cstheme="majorEastAsia"/>
          <w:color w:val="000000" w:themeColor="text1"/>
          <w:sz w:val="24"/>
          <w:szCs w:val="24"/>
          <w:u w:val="single"/>
        </w:rPr>
        <w:t xml:space="preserve">                              </w:t>
      </w:r>
    </w:p>
    <w:p>
      <w:pPr>
        <w:pStyle w:val="10"/>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委托代理人：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委托代理人：</w:t>
      </w:r>
      <w:r>
        <w:rPr>
          <w:rFonts w:hint="eastAsia" w:asciiTheme="majorEastAsia" w:hAnsiTheme="majorEastAsia" w:eastAsiaTheme="majorEastAsia" w:cstheme="majorEastAsia"/>
          <w:color w:val="000000" w:themeColor="text1"/>
          <w:sz w:val="24"/>
          <w:szCs w:val="24"/>
          <w:u w:val="single"/>
        </w:rPr>
        <w:t xml:space="preserve">                              </w:t>
      </w:r>
    </w:p>
    <w:p>
      <w:pPr>
        <w:pStyle w:val="10"/>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电话：</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电话：</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10"/>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传真：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传真：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10"/>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邮政编码：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邮政编码：</w:t>
      </w:r>
      <w:r>
        <w:rPr>
          <w:rFonts w:hint="eastAsia" w:asciiTheme="majorEastAsia" w:hAnsiTheme="majorEastAsia" w:eastAsiaTheme="majorEastAsia" w:cstheme="majorEastAsia"/>
          <w:color w:val="000000" w:themeColor="text1"/>
          <w:sz w:val="24"/>
          <w:szCs w:val="24"/>
          <w:u w:val="single"/>
        </w:rPr>
        <w:t xml:space="preserve">                                </w:t>
      </w:r>
    </w:p>
    <w:p>
      <w:pPr>
        <w:pStyle w:val="10"/>
        <w:spacing w:line="360" w:lineRule="auto"/>
        <w:ind w:firstLine="5520" w:firstLineChars="2300"/>
        <w:rPr>
          <w:rFonts w:asciiTheme="majorEastAsia" w:hAnsiTheme="majorEastAsia" w:eastAsiaTheme="majorEastAsia" w:cstheme="majorEastAsia"/>
          <w:color w:val="000000" w:themeColor="text1"/>
          <w:u w:val="single"/>
        </w:rPr>
      </w:pPr>
      <w:r>
        <w:rPr>
          <w:rFonts w:hint="eastAsia" w:asciiTheme="majorEastAsia" w:hAnsiTheme="majorEastAsia" w:eastAsiaTheme="majorEastAsia" w:cstheme="majorEastAsia"/>
          <w:color w:val="000000" w:themeColor="text1"/>
          <w:sz w:val="24"/>
          <w:szCs w:val="24"/>
        </w:rPr>
        <w:t>统一社会代码：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u w:val="single"/>
        </w:rPr>
        <w:t xml:space="preserve">                      </w:t>
      </w:r>
    </w:p>
    <w:p>
      <w:pPr>
        <w:pStyle w:val="10"/>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开户银行：</w:t>
      </w:r>
      <w:r>
        <w:rPr>
          <w:rFonts w:hint="eastAsia" w:asciiTheme="majorEastAsia" w:hAnsiTheme="majorEastAsia" w:eastAsiaTheme="majorEastAsia" w:cstheme="majorEastAsia"/>
          <w:color w:val="000000" w:themeColor="text1"/>
          <w:sz w:val="24"/>
          <w:szCs w:val="24"/>
          <w:u w:val="single"/>
        </w:rPr>
        <w:t xml:space="preserve">                                </w:t>
      </w:r>
    </w:p>
    <w:p>
      <w:pPr>
        <w:pStyle w:val="10"/>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开户名称：</w:t>
      </w:r>
      <w:r>
        <w:rPr>
          <w:rFonts w:hint="eastAsia" w:asciiTheme="majorEastAsia" w:hAnsiTheme="majorEastAsia" w:eastAsiaTheme="majorEastAsia" w:cstheme="majorEastAsia"/>
          <w:color w:val="000000" w:themeColor="text1"/>
          <w:sz w:val="24"/>
          <w:szCs w:val="24"/>
          <w:u w:val="single"/>
        </w:rPr>
        <w:t xml:space="preserve">                                </w:t>
      </w:r>
    </w:p>
    <w:p>
      <w:pPr>
        <w:pStyle w:val="10"/>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银行账号：</w:t>
      </w:r>
      <w:r>
        <w:rPr>
          <w:rFonts w:hint="eastAsia" w:asciiTheme="majorEastAsia" w:hAnsiTheme="majorEastAsia" w:eastAsiaTheme="majorEastAsia" w:cstheme="majorEastAsia"/>
          <w:color w:val="000000" w:themeColor="text1"/>
          <w:sz w:val="24"/>
          <w:szCs w:val="24"/>
          <w:u w:val="single"/>
        </w:rPr>
        <w:t xml:space="preserve">                                </w:t>
      </w:r>
    </w:p>
    <w:p>
      <w:pPr>
        <w:pStyle w:val="10"/>
        <w:spacing w:line="360" w:lineRule="auto"/>
        <w:rPr>
          <w:rFonts w:asciiTheme="majorEastAsia" w:hAnsiTheme="majorEastAsia" w:eastAsiaTheme="majorEastAsia" w:cstheme="majorEastAsia"/>
          <w:color w:val="000000" w:themeColor="text1"/>
          <w:sz w:val="24"/>
          <w:szCs w:val="24"/>
        </w:rPr>
      </w:pPr>
    </w:p>
    <w:p>
      <w:pPr>
        <w:pStyle w:val="10"/>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合同签订地点：广西南宁市 </w:t>
      </w:r>
    </w:p>
    <w:p>
      <w:pPr>
        <w:pStyle w:val="10"/>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合同签订日期：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年</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日</w:t>
      </w:r>
    </w:p>
    <w:p>
      <w:pPr>
        <w:pStyle w:val="10"/>
        <w:spacing w:line="360" w:lineRule="auto"/>
        <w:rPr>
          <w:rFonts w:asciiTheme="majorEastAsia" w:hAnsiTheme="majorEastAsia" w:eastAsiaTheme="majorEastAsia" w:cstheme="majorEastAsia"/>
          <w:color w:val="000000" w:themeColor="text1"/>
          <w:sz w:val="24"/>
          <w:szCs w:val="24"/>
        </w:rPr>
      </w:pPr>
    </w:p>
    <w:p>
      <w:pPr>
        <w:rPr>
          <w:rFonts w:asciiTheme="majorEastAsia" w:hAnsiTheme="majorEastAsia" w:eastAsiaTheme="majorEastAsia"/>
        </w:rPr>
      </w:pPr>
    </w:p>
    <w:sectPr>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FangSong_GB2312">
    <w:altName w:val="仿宋"/>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6954"/>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sJ1bjUAQAApQ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wUllhkc+OnH99PP36df&#10;38giydN5qDDr3mNe7N+7Hpdm8gM6E+teBpO+yIdgHMU9nsUVfSQ8PSqX14srSjiGykW5XF4llOLp&#10;sQ8Q74QzJBk1DTi7LCk7fIQ4pE4pqZZ1t0rrPD9t/3Ig5uAReQHG14nH0G+yYr/tR3Jb1xyRW4dL&#10;UFOLO0+J/mBR47QvkxEmYzsZex/UrsVGy9wl+Hf7iC3lTlOFARYZpgtOL3MdNy2tx5/3nPX0d60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ArCdW41AEAAKUDAAAOAAAAAAAAAAEAIAAAAB8B&#10;AABkcnMvZTJvRG9jLnhtbFBLBQYAAAAABgAGAFkBAABlBQ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44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utlineLvl w:val="0"/>
      <w:rPr>
        <w:rFonts w:asciiTheme="minorEastAsia" w:hAnsiTheme="minorEastAsia" w:eastAsiaTheme="minorEastAsia"/>
        <w:b/>
        <w:color w:val="000000" w:themeColor="text1"/>
        <w:sz w:val="16"/>
        <w:szCs w:val="16"/>
        <w:u w:val="single"/>
      </w:rPr>
    </w:pPr>
    <w:r>
      <w:rPr>
        <w:rFonts w:hint="eastAsia" w:asciiTheme="minorEastAsia" w:hAnsiTheme="minorEastAsia" w:eastAsiaTheme="minorEastAsia"/>
        <w:b/>
        <w:color w:val="000000" w:themeColor="text1"/>
        <w:sz w:val="16"/>
        <w:szCs w:val="16"/>
        <w:u w:val="single"/>
      </w:rPr>
      <w:t xml:space="preserve">项目名称：住房保障信息系统专线租用                                                    项目编号：NNZC2020-C3-990370-GXYZ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right"/>
      <w:rPr>
        <w:rFonts w:ascii="宋体" w:hAnsi="宋体"/>
        <w:color w:val="0D0D0D"/>
        <w:szCs w:val="21"/>
      </w:rPr>
    </w:pPr>
    <w:r>
      <w:rPr>
        <w:rFonts w:ascii="宋体" w:cs="宋体"/>
        <w:b/>
        <w:szCs w:val="21"/>
      </w:rPr>
      <w:drawing>
        <wp:inline distT="0" distB="0" distL="114300" distR="114300">
          <wp:extent cx="332740" cy="332740"/>
          <wp:effectExtent l="0" t="0" r="10160" b="10160"/>
          <wp:docPr id="1"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宋体" w:hAnsi="宋体" w:cs="宋体"/>
        <w:b/>
        <w:szCs w:val="21"/>
      </w:rPr>
      <w:t>广西邕政采购代理有限公司</w:t>
    </w:r>
  </w:p>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outlineLvl w:val="0"/>
      <w:rPr>
        <w:rFonts w:asciiTheme="minorEastAsia" w:hAnsiTheme="minorEastAsia" w:eastAsiaTheme="minorEastAsia"/>
        <w:b/>
        <w:color w:val="000000" w:themeColor="text1"/>
        <w:sz w:val="16"/>
        <w:szCs w:val="16"/>
        <w:u w:val="single"/>
      </w:rPr>
    </w:pPr>
    <w:r>
      <w:rPr>
        <w:rFonts w:hint="eastAsia" w:asciiTheme="minorEastAsia" w:hAnsiTheme="minorEastAsia" w:eastAsiaTheme="minorEastAsia"/>
        <w:b/>
        <w:color w:val="000000" w:themeColor="text1"/>
        <w:sz w:val="16"/>
        <w:szCs w:val="16"/>
        <w:u w:val="single"/>
      </w:rPr>
      <w:t>项目名称：住房保障信息系统专线租用                                                      项目编号：NNZC2020-C3-990370-GXYZ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4"/>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20B6157B"/>
    <w:multiLevelType w:val="multilevel"/>
    <w:tmpl w:val="20B6157B"/>
    <w:lvl w:ilvl="0" w:tentative="0">
      <w:start w:val="1"/>
      <w:numFmt w:val="decimal"/>
      <w:lvlText w:val="%1、"/>
      <w:lvlJc w:val="left"/>
      <w:pPr>
        <w:tabs>
          <w:tab w:val="left" w:pos="1778"/>
        </w:tabs>
        <w:ind w:left="1778"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BOvr6RJvfPbZtS7wjU8csoqn04U=" w:salt="D5ZhFAs7ZBuAaJHnfSO1e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66F739B"/>
    <w:rsid w:val="000002FA"/>
    <w:rsid w:val="000040C9"/>
    <w:rsid w:val="00024D9F"/>
    <w:rsid w:val="0004060B"/>
    <w:rsid w:val="000432F7"/>
    <w:rsid w:val="00053129"/>
    <w:rsid w:val="00070589"/>
    <w:rsid w:val="000752E0"/>
    <w:rsid w:val="00085A7C"/>
    <w:rsid w:val="000B32BA"/>
    <w:rsid w:val="000F5E31"/>
    <w:rsid w:val="00125052"/>
    <w:rsid w:val="001957BE"/>
    <w:rsid w:val="001A6919"/>
    <w:rsid w:val="001B40F2"/>
    <w:rsid w:val="001C01C1"/>
    <w:rsid w:val="00214C7D"/>
    <w:rsid w:val="002228E4"/>
    <w:rsid w:val="0023052C"/>
    <w:rsid w:val="003266DA"/>
    <w:rsid w:val="0034558D"/>
    <w:rsid w:val="00377C36"/>
    <w:rsid w:val="003A4EF0"/>
    <w:rsid w:val="00435D49"/>
    <w:rsid w:val="004C7E68"/>
    <w:rsid w:val="004E424D"/>
    <w:rsid w:val="005026EC"/>
    <w:rsid w:val="005051E3"/>
    <w:rsid w:val="00582119"/>
    <w:rsid w:val="00592DB9"/>
    <w:rsid w:val="005F04A4"/>
    <w:rsid w:val="006154C5"/>
    <w:rsid w:val="0061637A"/>
    <w:rsid w:val="00680DBA"/>
    <w:rsid w:val="00683547"/>
    <w:rsid w:val="00695049"/>
    <w:rsid w:val="00697F93"/>
    <w:rsid w:val="0070378F"/>
    <w:rsid w:val="00705517"/>
    <w:rsid w:val="0072386A"/>
    <w:rsid w:val="00760548"/>
    <w:rsid w:val="0077180D"/>
    <w:rsid w:val="00783B2F"/>
    <w:rsid w:val="008920DA"/>
    <w:rsid w:val="008E3C20"/>
    <w:rsid w:val="00904440"/>
    <w:rsid w:val="00943EF0"/>
    <w:rsid w:val="009C0A12"/>
    <w:rsid w:val="009D2F88"/>
    <w:rsid w:val="009E1905"/>
    <w:rsid w:val="009E6DA3"/>
    <w:rsid w:val="00A07B9C"/>
    <w:rsid w:val="00A210FC"/>
    <w:rsid w:val="00A60930"/>
    <w:rsid w:val="00AB3899"/>
    <w:rsid w:val="00AB6D42"/>
    <w:rsid w:val="00AE33B5"/>
    <w:rsid w:val="00B02DA1"/>
    <w:rsid w:val="00B24A8B"/>
    <w:rsid w:val="00B54099"/>
    <w:rsid w:val="00B56C0D"/>
    <w:rsid w:val="00B705B4"/>
    <w:rsid w:val="00B94FD4"/>
    <w:rsid w:val="00BC2698"/>
    <w:rsid w:val="00BD4491"/>
    <w:rsid w:val="00C46701"/>
    <w:rsid w:val="00C574D2"/>
    <w:rsid w:val="00C608C8"/>
    <w:rsid w:val="00C60A4A"/>
    <w:rsid w:val="00C933DC"/>
    <w:rsid w:val="00CC08B5"/>
    <w:rsid w:val="00CC3E7E"/>
    <w:rsid w:val="00CF33EA"/>
    <w:rsid w:val="00D04D12"/>
    <w:rsid w:val="00D21A9C"/>
    <w:rsid w:val="00D30457"/>
    <w:rsid w:val="00D90B82"/>
    <w:rsid w:val="00DA7796"/>
    <w:rsid w:val="00DC16E1"/>
    <w:rsid w:val="00DF6F2F"/>
    <w:rsid w:val="00E1262B"/>
    <w:rsid w:val="00E55322"/>
    <w:rsid w:val="00E561D8"/>
    <w:rsid w:val="00E80440"/>
    <w:rsid w:val="00E84001"/>
    <w:rsid w:val="00E87619"/>
    <w:rsid w:val="00F454B6"/>
    <w:rsid w:val="00F94EE1"/>
    <w:rsid w:val="025D606C"/>
    <w:rsid w:val="0311203F"/>
    <w:rsid w:val="0427060F"/>
    <w:rsid w:val="04EE591F"/>
    <w:rsid w:val="058D0A4C"/>
    <w:rsid w:val="05B31345"/>
    <w:rsid w:val="083400AC"/>
    <w:rsid w:val="0A49209C"/>
    <w:rsid w:val="0B79019E"/>
    <w:rsid w:val="0E35212B"/>
    <w:rsid w:val="0E4A5BFC"/>
    <w:rsid w:val="0EB914D4"/>
    <w:rsid w:val="0F4B7D2A"/>
    <w:rsid w:val="0F552FFC"/>
    <w:rsid w:val="1182700E"/>
    <w:rsid w:val="119B152C"/>
    <w:rsid w:val="11D84B27"/>
    <w:rsid w:val="13AA14DB"/>
    <w:rsid w:val="14A94DBC"/>
    <w:rsid w:val="152C74D3"/>
    <w:rsid w:val="15327DB4"/>
    <w:rsid w:val="167C1841"/>
    <w:rsid w:val="16AC3696"/>
    <w:rsid w:val="1A0D3202"/>
    <w:rsid w:val="1A193D20"/>
    <w:rsid w:val="1A50195F"/>
    <w:rsid w:val="1AA0222D"/>
    <w:rsid w:val="1C23702D"/>
    <w:rsid w:val="1D425AA9"/>
    <w:rsid w:val="1E075742"/>
    <w:rsid w:val="1E542989"/>
    <w:rsid w:val="1F593428"/>
    <w:rsid w:val="1FBD6068"/>
    <w:rsid w:val="226E4327"/>
    <w:rsid w:val="24441F5B"/>
    <w:rsid w:val="244933C0"/>
    <w:rsid w:val="24C03F0A"/>
    <w:rsid w:val="24EC692B"/>
    <w:rsid w:val="25D05A00"/>
    <w:rsid w:val="26A77876"/>
    <w:rsid w:val="27C124AD"/>
    <w:rsid w:val="2A3A7028"/>
    <w:rsid w:val="2BAA5DF0"/>
    <w:rsid w:val="2C71603E"/>
    <w:rsid w:val="2D4F4033"/>
    <w:rsid w:val="2E8C02E1"/>
    <w:rsid w:val="30423579"/>
    <w:rsid w:val="30DE4E8D"/>
    <w:rsid w:val="31375325"/>
    <w:rsid w:val="318E11FE"/>
    <w:rsid w:val="31B7446D"/>
    <w:rsid w:val="3200053D"/>
    <w:rsid w:val="32554FAD"/>
    <w:rsid w:val="32D058DD"/>
    <w:rsid w:val="32D83F95"/>
    <w:rsid w:val="333E4947"/>
    <w:rsid w:val="33A27A9E"/>
    <w:rsid w:val="344A1F6B"/>
    <w:rsid w:val="3509018A"/>
    <w:rsid w:val="35241260"/>
    <w:rsid w:val="359308A7"/>
    <w:rsid w:val="35B956BD"/>
    <w:rsid w:val="36323856"/>
    <w:rsid w:val="366F739B"/>
    <w:rsid w:val="369F3368"/>
    <w:rsid w:val="36BB5952"/>
    <w:rsid w:val="389669D4"/>
    <w:rsid w:val="38BB46C5"/>
    <w:rsid w:val="3A27786D"/>
    <w:rsid w:val="3A291F24"/>
    <w:rsid w:val="3B3218AD"/>
    <w:rsid w:val="3C0C5142"/>
    <w:rsid w:val="3CCB74BB"/>
    <w:rsid w:val="3EE44E28"/>
    <w:rsid w:val="40476D59"/>
    <w:rsid w:val="410E37D9"/>
    <w:rsid w:val="42BD67C5"/>
    <w:rsid w:val="44503016"/>
    <w:rsid w:val="44E767D7"/>
    <w:rsid w:val="48976E40"/>
    <w:rsid w:val="48F40B44"/>
    <w:rsid w:val="49BD214C"/>
    <w:rsid w:val="4A5B4721"/>
    <w:rsid w:val="4B1056C5"/>
    <w:rsid w:val="4B1D1E17"/>
    <w:rsid w:val="4D0577C0"/>
    <w:rsid w:val="4FCA3997"/>
    <w:rsid w:val="51313C94"/>
    <w:rsid w:val="527346A4"/>
    <w:rsid w:val="52CF34D3"/>
    <w:rsid w:val="52CF55BD"/>
    <w:rsid w:val="535167B0"/>
    <w:rsid w:val="568A57DA"/>
    <w:rsid w:val="56A777E0"/>
    <w:rsid w:val="56DD5E95"/>
    <w:rsid w:val="57D50164"/>
    <w:rsid w:val="596C6F4A"/>
    <w:rsid w:val="59EB2798"/>
    <w:rsid w:val="5AA14481"/>
    <w:rsid w:val="5D0B0FC3"/>
    <w:rsid w:val="5D0C3903"/>
    <w:rsid w:val="5D4E044B"/>
    <w:rsid w:val="5E8953B1"/>
    <w:rsid w:val="5EBD36FB"/>
    <w:rsid w:val="5F670F26"/>
    <w:rsid w:val="5F704A31"/>
    <w:rsid w:val="60E06998"/>
    <w:rsid w:val="60E92C84"/>
    <w:rsid w:val="6112581E"/>
    <w:rsid w:val="62360514"/>
    <w:rsid w:val="646B69A7"/>
    <w:rsid w:val="676C32FB"/>
    <w:rsid w:val="682334EA"/>
    <w:rsid w:val="68706A52"/>
    <w:rsid w:val="68FD661D"/>
    <w:rsid w:val="690E229C"/>
    <w:rsid w:val="69B67C51"/>
    <w:rsid w:val="6A346E25"/>
    <w:rsid w:val="6BE236CD"/>
    <w:rsid w:val="6D2A5503"/>
    <w:rsid w:val="6D3A06B4"/>
    <w:rsid w:val="6F6B1E53"/>
    <w:rsid w:val="6F883D93"/>
    <w:rsid w:val="6FDA342A"/>
    <w:rsid w:val="70003322"/>
    <w:rsid w:val="70EE4854"/>
    <w:rsid w:val="7112379E"/>
    <w:rsid w:val="713A3D57"/>
    <w:rsid w:val="72A97EA5"/>
    <w:rsid w:val="74502C29"/>
    <w:rsid w:val="76931D5E"/>
    <w:rsid w:val="778340A1"/>
    <w:rsid w:val="77D958CB"/>
    <w:rsid w:val="77DA4C1D"/>
    <w:rsid w:val="78951C87"/>
    <w:rsid w:val="78D0745D"/>
    <w:rsid w:val="78EB44E6"/>
    <w:rsid w:val="79EA0736"/>
    <w:rsid w:val="7A51613A"/>
    <w:rsid w:val="7A656099"/>
    <w:rsid w:val="7AA45E39"/>
    <w:rsid w:val="7B881844"/>
    <w:rsid w:val="7ECB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4">
    <w:name w:val="heading 4"/>
    <w:basedOn w:val="1"/>
    <w:next w:val="1"/>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index 8"/>
    <w:basedOn w:val="1"/>
    <w:next w:val="1"/>
    <w:qFormat/>
    <w:uiPriority w:val="0"/>
    <w:pPr>
      <w:ind w:left="2940"/>
    </w:pPr>
  </w:style>
  <w:style w:type="paragraph" w:styleId="6">
    <w:name w:val="Document Map"/>
    <w:basedOn w:val="1"/>
    <w:link w:val="29"/>
    <w:qFormat/>
    <w:uiPriority w:val="0"/>
    <w:rPr>
      <w:rFonts w:ascii="宋体"/>
      <w:sz w:val="18"/>
      <w:szCs w:val="18"/>
    </w:rPr>
  </w:style>
  <w:style w:type="paragraph" w:styleId="7">
    <w:name w:val="annotation text"/>
    <w:basedOn w:val="1"/>
    <w:link w:val="27"/>
    <w:unhideWhenUsed/>
    <w:qFormat/>
    <w:uiPriority w:val="99"/>
    <w:pPr>
      <w:jc w:val="left"/>
    </w:pPr>
  </w:style>
  <w:style w:type="paragraph" w:styleId="8">
    <w:name w:val="Body Text"/>
    <w:basedOn w:val="1"/>
    <w:qFormat/>
    <w:uiPriority w:val="0"/>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Plain Text"/>
    <w:basedOn w:val="1"/>
    <w:next w:val="4"/>
    <w:link w:val="30"/>
    <w:qFormat/>
    <w:uiPriority w:val="0"/>
    <w:rPr>
      <w:rFonts w:ascii="宋体" w:hAnsi="Courier New"/>
      <w:szCs w:val="20"/>
    </w:rPr>
  </w:style>
  <w:style w:type="paragraph" w:styleId="11">
    <w:name w:val="Balloon Text"/>
    <w:basedOn w:val="1"/>
    <w:link w:val="26"/>
    <w:qFormat/>
    <w:uiPriority w:val="0"/>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spacing w:before="120" w:after="120"/>
      <w:jc w:val="left"/>
      <w:outlineLvl w:val="0"/>
    </w:pPr>
    <w:rPr>
      <w:b/>
      <w:color w:val="000000"/>
      <w:sz w:val="48"/>
      <w:szCs w:val="48"/>
    </w:rPr>
  </w:style>
  <w:style w:type="paragraph" w:styleId="14">
    <w:name w:val="toc 2"/>
    <w:basedOn w:val="1"/>
    <w:next w:val="1"/>
    <w:qFormat/>
    <w:uiPriority w:val="0"/>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99"/>
    <w:pPr>
      <w:spacing w:before="240" w:after="60"/>
      <w:jc w:val="center"/>
      <w:outlineLvl w:val="0"/>
    </w:pPr>
    <w:rPr>
      <w:rFonts w:ascii="Cambria" w:hAnsi="Cambria"/>
      <w:b/>
      <w:bCs/>
      <w:sz w:val="32"/>
      <w:szCs w:val="32"/>
    </w:rPr>
  </w:style>
  <w:style w:type="paragraph" w:styleId="17">
    <w:name w:val="annotation subject"/>
    <w:basedOn w:val="7"/>
    <w:next w:val="7"/>
    <w:link w:val="28"/>
    <w:qFormat/>
    <w:uiPriority w:val="0"/>
    <w:rPr>
      <w:b/>
      <w:bCs/>
    </w:rPr>
  </w:style>
  <w:style w:type="character" w:styleId="20">
    <w:name w:val="Emphasis"/>
    <w:qFormat/>
    <w:uiPriority w:val="99"/>
    <w:rPr>
      <w:rFonts w:cs="Times New Roman"/>
    </w:rPr>
  </w:style>
  <w:style w:type="character" w:styleId="21">
    <w:name w:val="Hyperlink"/>
    <w:basedOn w:val="19"/>
    <w:qFormat/>
    <w:uiPriority w:val="99"/>
    <w:rPr>
      <w:color w:val="0000FF"/>
      <w:u w:val="none"/>
    </w:rPr>
  </w:style>
  <w:style w:type="character" w:styleId="22">
    <w:name w:val="annotation reference"/>
    <w:semiHidden/>
    <w:qFormat/>
    <w:uiPriority w:val="99"/>
    <w:rPr>
      <w:sz w:val="21"/>
      <w:szCs w:val="21"/>
    </w:rPr>
  </w:style>
  <w:style w:type="paragraph" w:customStyle="1" w:styleId="23">
    <w:name w:val="正文段"/>
    <w:basedOn w:val="1"/>
    <w:qFormat/>
    <w:uiPriority w:val="99"/>
    <w:pPr>
      <w:widowControl/>
      <w:snapToGrid w:val="0"/>
      <w:spacing w:afterLines="50"/>
      <w:ind w:firstLine="200" w:firstLineChars="200"/>
    </w:pPr>
    <w:rPr>
      <w:kern w:val="0"/>
      <w:sz w:val="24"/>
      <w:szCs w:val="20"/>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框文本 Char"/>
    <w:basedOn w:val="19"/>
    <w:link w:val="11"/>
    <w:qFormat/>
    <w:uiPriority w:val="0"/>
    <w:rPr>
      <w:kern w:val="2"/>
      <w:sz w:val="18"/>
      <w:szCs w:val="18"/>
    </w:rPr>
  </w:style>
  <w:style w:type="character" w:customStyle="1" w:styleId="27">
    <w:name w:val="批注文字 Char"/>
    <w:basedOn w:val="19"/>
    <w:link w:val="7"/>
    <w:qFormat/>
    <w:uiPriority w:val="99"/>
    <w:rPr>
      <w:kern w:val="2"/>
      <w:sz w:val="21"/>
      <w:szCs w:val="24"/>
    </w:rPr>
  </w:style>
  <w:style w:type="character" w:customStyle="1" w:styleId="28">
    <w:name w:val="批注主题 Char"/>
    <w:basedOn w:val="27"/>
    <w:link w:val="17"/>
    <w:qFormat/>
    <w:uiPriority w:val="0"/>
  </w:style>
  <w:style w:type="character" w:customStyle="1" w:styleId="29">
    <w:name w:val="文档结构图 Char"/>
    <w:basedOn w:val="19"/>
    <w:link w:val="6"/>
    <w:qFormat/>
    <w:uiPriority w:val="0"/>
    <w:rPr>
      <w:rFonts w:ascii="宋体" w:hAnsi="Times New Roman" w:eastAsia="宋体" w:cs="Times New Roman"/>
      <w:kern w:val="2"/>
      <w:sz w:val="18"/>
      <w:szCs w:val="18"/>
    </w:rPr>
  </w:style>
  <w:style w:type="character" w:customStyle="1" w:styleId="30">
    <w:name w:val="纯文本 Char"/>
    <w:basedOn w:val="19"/>
    <w:link w:val="10"/>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4884</Words>
  <Characters>27843</Characters>
  <Lines>232</Lines>
  <Paragraphs>65</Paragraphs>
  <TotalTime>1</TotalTime>
  <ScaleCrop>false</ScaleCrop>
  <LinksUpToDate>false</LinksUpToDate>
  <CharactersWithSpaces>32662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2020-11-04T08:37:00Z</dcterms:created>
  <dc:creator>Administrator</dc:creator>
  <cp:lastModifiedBy>Administrator</cp:lastModifiedBy>
  <cp:lastPrinted>2020-09-13T08:46:00Z</cp:lastPrinted>
  <dcterms:modified xsi:type="dcterms:W3CDTF">2020-11-04T09:25:45Z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