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tabs>
          <w:tab w:val="center" w:pos="4950"/>
          <w:tab w:val="right" w:pos="9781"/>
        </w:tabs>
        <w:rPr>
          <w:rFonts w:asciiTheme="majorEastAsia" w:hAnsiTheme="majorEastAsia" w:eastAsiaTheme="majorEastAsia"/>
          <w:color w:val="000000" w:themeColor="text1"/>
          <w:sz w:val="96"/>
          <w:szCs w:val="96"/>
        </w:rPr>
      </w:pPr>
      <w:bookmarkStart w:id="0" w:name="_Toc139967210"/>
      <w:bookmarkStart w:id="1" w:name="_Toc139966426"/>
    </w:p>
    <w:p>
      <w:pPr>
        <w:pStyle w:val="10"/>
        <w:tabs>
          <w:tab w:val="center" w:pos="4950"/>
          <w:tab w:val="right" w:pos="9781"/>
        </w:tabs>
        <w:jc w:val="center"/>
        <w:rPr>
          <w:rFonts w:asciiTheme="majorEastAsia" w:hAnsiTheme="majorEastAsia" w:eastAsiaTheme="majorEastAsia"/>
          <w:b/>
          <w:bCs/>
          <w:color w:val="000000" w:themeColor="text1"/>
          <w:sz w:val="72"/>
          <w:szCs w:val="72"/>
        </w:rPr>
      </w:pPr>
      <w:r>
        <w:rPr>
          <w:rFonts w:hint="eastAsia" w:asciiTheme="majorEastAsia" w:hAnsiTheme="majorEastAsia" w:eastAsiaTheme="majorEastAsia"/>
          <w:color w:val="000000" w:themeColor="text1"/>
          <w:sz w:val="96"/>
          <w:szCs w:val="96"/>
        </w:rPr>
        <w:t>竞争性磋商</w:t>
      </w:r>
      <w:r>
        <w:rPr>
          <w:rFonts w:asciiTheme="majorEastAsia" w:hAnsiTheme="majorEastAsia" w:eastAsiaTheme="majorEastAsia"/>
          <w:color w:val="000000" w:themeColor="text1"/>
          <w:sz w:val="96"/>
          <w:szCs w:val="96"/>
        </w:rPr>
        <w:t>文件</w:t>
      </w:r>
    </w:p>
    <w:p>
      <w:pPr>
        <w:ind w:left="2962" w:leftChars="550" w:hanging="1807" w:hangingChars="500"/>
        <w:rPr>
          <w:rFonts w:cs="宋体" w:asciiTheme="majorEastAsia" w:hAnsiTheme="majorEastAsia" w:eastAsiaTheme="majorEastAsia"/>
          <w:b/>
          <w:bCs/>
          <w:color w:val="000000" w:themeColor="text1"/>
          <w:sz w:val="36"/>
          <w:szCs w:val="36"/>
        </w:rPr>
      </w:pPr>
    </w:p>
    <w:p>
      <w:pPr>
        <w:ind w:left="2962" w:leftChars="550" w:hanging="1807" w:hangingChars="500"/>
        <w:rPr>
          <w:rFonts w:cs="宋体" w:asciiTheme="majorEastAsia" w:hAnsiTheme="majorEastAsia" w:eastAsiaTheme="majorEastAsia"/>
          <w:b/>
          <w:bCs/>
          <w:color w:val="000000" w:themeColor="text1"/>
          <w:sz w:val="36"/>
          <w:szCs w:val="36"/>
        </w:rPr>
      </w:pPr>
    </w:p>
    <w:p>
      <w:pPr>
        <w:ind w:left="2883" w:leftChars="608" w:hanging="1606" w:hangingChars="500"/>
        <w:rPr>
          <w:rFonts w:cs="宋体" w:asciiTheme="majorEastAsia" w:hAnsiTheme="majorEastAsia" w:eastAsiaTheme="majorEastAsia"/>
          <w:b/>
          <w:bCs/>
          <w:color w:val="000000" w:themeColor="text1"/>
          <w:sz w:val="32"/>
          <w:szCs w:val="32"/>
        </w:rPr>
      </w:pPr>
      <w:r>
        <w:rPr>
          <w:rFonts w:hint="eastAsia" w:cs="宋体" w:asciiTheme="majorEastAsia" w:hAnsiTheme="majorEastAsia" w:eastAsiaTheme="majorEastAsia"/>
          <w:b/>
          <w:bCs/>
          <w:color w:val="000000" w:themeColor="text1"/>
          <w:sz w:val="32"/>
          <w:szCs w:val="32"/>
        </w:rPr>
        <w:t>项目名称：住房保障信息系统专线租用</w:t>
      </w:r>
    </w:p>
    <w:p>
      <w:pPr>
        <w:ind w:left="2883" w:leftChars="608" w:hanging="1606" w:hangingChars="500"/>
        <w:rPr>
          <w:rFonts w:cs="宋体" w:asciiTheme="majorEastAsia" w:hAnsiTheme="majorEastAsia" w:eastAsiaTheme="majorEastAsia"/>
          <w:b/>
          <w:bCs/>
          <w:color w:val="000000" w:themeColor="text1"/>
          <w:sz w:val="32"/>
          <w:szCs w:val="32"/>
        </w:rPr>
      </w:pPr>
      <w:r>
        <w:rPr>
          <w:rFonts w:hint="eastAsia" w:cs="宋体" w:asciiTheme="majorEastAsia" w:hAnsiTheme="majorEastAsia" w:eastAsiaTheme="majorEastAsia"/>
          <w:b/>
          <w:bCs/>
          <w:color w:val="000000" w:themeColor="text1"/>
          <w:sz w:val="32"/>
          <w:szCs w:val="32"/>
        </w:rPr>
        <w:t>项目编号：NNZC2020-C3-990370-GXYZ</w:t>
      </w:r>
      <w:bookmarkStart w:id="129" w:name="_GoBack"/>
      <w:bookmarkEnd w:id="129"/>
    </w:p>
    <w:p>
      <w:pPr>
        <w:ind w:left="2883" w:leftChars="608" w:hanging="1606" w:hangingChars="500"/>
        <w:rPr>
          <w:rFonts w:cs="宋体" w:asciiTheme="majorEastAsia" w:hAnsiTheme="majorEastAsia" w:eastAsiaTheme="majorEastAsia"/>
          <w:b/>
          <w:bCs/>
          <w:color w:val="000000" w:themeColor="text1"/>
          <w:sz w:val="32"/>
          <w:szCs w:val="32"/>
        </w:rPr>
      </w:pPr>
      <w:r>
        <w:rPr>
          <w:rFonts w:hint="eastAsia" w:cs="宋体" w:asciiTheme="majorEastAsia" w:hAnsiTheme="majorEastAsia" w:eastAsiaTheme="majorEastAsia"/>
          <w:b/>
          <w:bCs/>
          <w:color w:val="000000" w:themeColor="text1"/>
          <w:sz w:val="32"/>
          <w:szCs w:val="32"/>
        </w:rPr>
        <w:t>采购计划文号：[2020]NCCJB518001/4170-001</w:t>
      </w:r>
    </w:p>
    <w:p>
      <w:pPr>
        <w:rPr>
          <w:rFonts w:cs="宋体" w:asciiTheme="majorEastAsia" w:hAnsiTheme="majorEastAsia" w:eastAsiaTheme="majorEastAsia"/>
          <w:b/>
          <w:bCs/>
          <w:color w:val="000000" w:themeColor="text1"/>
          <w:sz w:val="32"/>
          <w:szCs w:val="32"/>
        </w:rPr>
      </w:pPr>
    </w:p>
    <w:p>
      <w:pPr>
        <w:rPr>
          <w:rFonts w:cs="宋体" w:asciiTheme="majorEastAsia" w:hAnsiTheme="majorEastAsia" w:eastAsiaTheme="majorEastAsia"/>
          <w:b/>
          <w:bCs/>
          <w:color w:val="000000" w:themeColor="text1"/>
          <w:sz w:val="32"/>
          <w:szCs w:val="32"/>
        </w:rPr>
      </w:pPr>
    </w:p>
    <w:p>
      <w:pPr>
        <w:ind w:firstLine="840" w:firstLineChars="400"/>
        <w:rPr>
          <w:rFonts w:cs="宋体" w:asciiTheme="majorEastAsia" w:hAnsiTheme="majorEastAsia" w:eastAsiaTheme="majorEastAsia"/>
          <w:b/>
          <w:bCs/>
          <w:color w:val="000000" w:themeColor="text1"/>
          <w:sz w:val="32"/>
          <w:szCs w:val="32"/>
        </w:rPr>
      </w:pPr>
      <w:r>
        <w:drawing>
          <wp:anchor distT="0" distB="0" distL="114300" distR="114300" simplePos="0" relativeHeight="251670528" behindDoc="1" locked="0" layoutInCell="1" allowOverlap="1">
            <wp:simplePos x="0" y="0"/>
            <wp:positionH relativeFrom="column">
              <wp:posOffset>104775</wp:posOffset>
            </wp:positionH>
            <wp:positionV relativeFrom="paragraph">
              <wp:posOffset>-105410</wp:posOffset>
            </wp:positionV>
            <wp:extent cx="5857875" cy="2905125"/>
            <wp:effectExtent l="0" t="0" r="9525" b="9525"/>
            <wp:wrapTight wrapText="bothSides">
              <wp:wrapPolygon>
                <wp:start x="0" y="0"/>
                <wp:lineTo x="0" y="21529"/>
                <wp:lineTo x="21565" y="21529"/>
                <wp:lineTo x="21565" y="0"/>
                <wp:lineTo x="0" y="0"/>
              </wp:wrapPolygon>
            </wp:wrapTight>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3"/>
                    <a:stretch>
                      <a:fillRect/>
                    </a:stretch>
                  </pic:blipFill>
                  <pic:spPr>
                    <a:xfrm>
                      <a:off x="0" y="0"/>
                      <a:ext cx="5857875" cy="2905125"/>
                    </a:xfrm>
                    <a:prstGeom prst="rect">
                      <a:avLst/>
                    </a:prstGeom>
                    <a:noFill/>
                    <a:ln>
                      <a:noFill/>
                    </a:ln>
                  </pic:spPr>
                </pic:pic>
              </a:graphicData>
            </a:graphic>
          </wp:anchor>
        </w:drawing>
      </w:r>
    </w:p>
    <w:p>
      <w:pPr>
        <w:ind w:firstLine="1285" w:firstLineChars="400"/>
        <w:rPr>
          <w:rFonts w:cs="宋体" w:asciiTheme="majorEastAsia" w:hAnsiTheme="majorEastAsia" w:eastAsiaTheme="majorEastAsia"/>
          <w:b/>
          <w:bCs/>
          <w:color w:val="000000" w:themeColor="text1"/>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40" w:right="1080" w:bottom="1118" w:left="1080" w:header="720" w:footer="720" w:gutter="0"/>
          <w:cols w:space="720" w:num="1"/>
          <w:titlePg/>
          <w:docGrid w:type="lines" w:linePitch="331" w:charSpace="0"/>
        </w:sectPr>
      </w:pPr>
    </w:p>
    <w:p>
      <w:pPr>
        <w:tabs>
          <w:tab w:val="left" w:pos="2092"/>
          <w:tab w:val="center" w:pos="5174"/>
        </w:tabs>
        <w:spacing w:before="100" w:beforeAutospacing="1" w:after="100" w:afterAutospacing="1" w:line="380" w:lineRule="atLeast"/>
        <w:ind w:firstLine="482"/>
        <w:jc w:val="center"/>
        <w:rPr>
          <w:rFonts w:asciiTheme="majorEastAsia" w:hAnsiTheme="majorEastAsia" w:eastAsiaTheme="majorEastAsia"/>
          <w:b/>
          <w:color w:val="000000" w:themeColor="text1"/>
          <w:sz w:val="36"/>
        </w:rPr>
      </w:pPr>
      <w:r>
        <w:rPr>
          <w:rFonts w:hint="eastAsia" w:asciiTheme="majorEastAsia" w:hAnsiTheme="majorEastAsia" w:eastAsiaTheme="majorEastAsia"/>
          <w:b/>
          <w:color w:val="000000" w:themeColor="text1"/>
          <w:sz w:val="36"/>
        </w:rPr>
        <w:t>通知</w:t>
      </w:r>
    </w:p>
    <w:p>
      <w:pPr>
        <w:spacing w:before="100" w:beforeAutospacing="1" w:after="100" w:afterAutospacing="1" w:line="380" w:lineRule="atLeast"/>
        <w:ind w:firstLine="482"/>
        <w:rPr>
          <w:rFonts w:cs="宋体" w:asciiTheme="majorEastAsia" w:hAnsiTheme="majorEastAsia" w:eastAsiaTheme="majorEastAsia"/>
          <w:color w:val="000000" w:themeColor="text1"/>
          <w:kern w:val="0"/>
          <w:sz w:val="24"/>
        </w:rPr>
      </w:pPr>
      <w:r>
        <w:rPr>
          <w:rFonts w:hint="eastAsia" w:cs="宋体" w:asciiTheme="majorEastAsia" w:hAnsiTheme="majorEastAsia" w:eastAsiaTheme="majorEastAsia"/>
          <w:color w:val="000000" w:themeColor="text1"/>
          <w:kern w:val="0"/>
          <w:sz w:val="24"/>
        </w:rPr>
        <w:t>为做好新型冠状病毒肺炎疫情防控工作，根据南宁市财政局《关于做好疫情防控期间政府采购工作有关事项的通知》（南财采〔2020〕12号）要求，现对本项目相关事项通知如下：</w:t>
      </w:r>
    </w:p>
    <w:p>
      <w:pPr>
        <w:widowControl/>
        <w:spacing w:before="100" w:beforeAutospacing="1" w:after="100" w:afterAutospacing="1" w:line="380" w:lineRule="atLeast"/>
        <w:ind w:firstLine="482"/>
        <w:jc w:val="left"/>
        <w:rPr>
          <w:rFonts w:cs="宋体" w:asciiTheme="majorEastAsia" w:hAnsiTheme="majorEastAsia" w:eastAsiaTheme="majorEastAsia"/>
          <w:b/>
          <w:bCs/>
          <w:color w:val="000000" w:themeColor="text1"/>
          <w:kern w:val="0"/>
          <w:sz w:val="24"/>
          <w:u w:val="single"/>
        </w:rPr>
      </w:pPr>
      <w:r>
        <w:rPr>
          <w:rFonts w:hint="eastAsia" w:cs="宋体" w:asciiTheme="majorEastAsia" w:hAnsiTheme="majorEastAsia" w:eastAsiaTheme="majorEastAsia"/>
          <w:color w:val="000000" w:themeColor="text1"/>
          <w:kern w:val="0"/>
          <w:sz w:val="24"/>
        </w:rPr>
        <w:t>一、本项目的响应文件通过</w:t>
      </w:r>
      <w:r>
        <w:rPr>
          <w:rFonts w:hint="eastAsia" w:cs="宋体" w:asciiTheme="majorEastAsia" w:hAnsiTheme="majorEastAsia" w:eastAsiaTheme="majorEastAsia"/>
          <w:b/>
          <w:bCs/>
          <w:color w:val="000000" w:themeColor="text1"/>
          <w:kern w:val="0"/>
          <w:sz w:val="24"/>
          <w:u w:val="single"/>
        </w:rPr>
        <w:t>邮寄快递方式送达。</w:t>
      </w:r>
    </w:p>
    <w:p>
      <w:pPr>
        <w:widowControl/>
        <w:spacing w:before="100" w:beforeAutospacing="1" w:after="100" w:afterAutospacing="1" w:line="380" w:lineRule="atLeast"/>
        <w:ind w:firstLine="482"/>
        <w:jc w:val="left"/>
        <w:rPr>
          <w:rFonts w:cs="宋体" w:asciiTheme="majorEastAsia" w:hAnsiTheme="majorEastAsia" w:eastAsiaTheme="majorEastAsia"/>
          <w:color w:val="000000" w:themeColor="text1"/>
          <w:kern w:val="0"/>
          <w:sz w:val="24"/>
        </w:rPr>
      </w:pPr>
      <w:r>
        <w:rPr>
          <w:rFonts w:hint="eastAsia" w:cs="宋体" w:asciiTheme="majorEastAsia" w:hAnsiTheme="majorEastAsia" w:eastAsiaTheme="majorEastAsia"/>
          <w:color w:val="000000" w:themeColor="text1"/>
          <w:kern w:val="0"/>
          <w:sz w:val="24"/>
        </w:rPr>
        <w:t>（一）接收邮寄快递包裹的时间为工作日9：00～17：00。响应文件必须在响应截止时间前送达，且须交由采购代理机构当面签收。采购代理机构签收邮寄包裹的时间即为磋商供货商响应文件的送达时间，逾期送达的响应文件无效，后果由磋商供应商自行承担。</w:t>
      </w:r>
    </w:p>
    <w:p>
      <w:pPr>
        <w:widowControl/>
        <w:spacing w:before="100" w:beforeAutospacing="1" w:after="100" w:afterAutospacing="1" w:line="380" w:lineRule="atLeast"/>
        <w:ind w:firstLine="482"/>
        <w:jc w:val="left"/>
        <w:rPr>
          <w:rFonts w:cs="宋体" w:asciiTheme="majorEastAsia" w:hAnsiTheme="majorEastAsia" w:eastAsiaTheme="majorEastAsia"/>
          <w:color w:val="000000" w:themeColor="text1"/>
          <w:kern w:val="0"/>
          <w:sz w:val="24"/>
        </w:rPr>
      </w:pPr>
      <w:r>
        <w:rPr>
          <w:rFonts w:hint="eastAsia" w:cs="宋体" w:asciiTheme="majorEastAsia" w:hAnsiTheme="majorEastAsia" w:eastAsiaTheme="majorEastAsia"/>
          <w:color w:val="000000" w:themeColor="text1"/>
          <w:kern w:val="0"/>
          <w:sz w:val="24"/>
        </w:rPr>
        <w:t>（二）采购代理机构将在响应截止时间前一个小时（即</w:t>
      </w:r>
      <w:r>
        <w:rPr>
          <w:rFonts w:hint="eastAsia" w:cs="宋体" w:asciiTheme="majorEastAsia" w:hAnsiTheme="majorEastAsia" w:eastAsiaTheme="majorEastAsia"/>
          <w:color w:val="000000" w:themeColor="text1"/>
          <w:kern w:val="0"/>
          <w:sz w:val="24"/>
          <w:lang w:val="en-US" w:eastAsia="zh-CN"/>
        </w:rPr>
        <w:t>12</w:t>
      </w:r>
      <w:r>
        <w:rPr>
          <w:rFonts w:hint="eastAsia" w:cs="宋体" w:asciiTheme="majorEastAsia" w:hAnsiTheme="majorEastAsia" w:eastAsiaTheme="majorEastAsia"/>
          <w:color w:val="000000" w:themeColor="text1"/>
          <w:kern w:val="0"/>
          <w:sz w:val="24"/>
        </w:rPr>
        <w:t>时</w:t>
      </w:r>
      <w:r>
        <w:rPr>
          <w:rFonts w:hint="eastAsia" w:cs="宋体" w:asciiTheme="majorEastAsia" w:hAnsiTheme="majorEastAsia" w:eastAsiaTheme="majorEastAsia"/>
          <w:color w:val="000000" w:themeColor="text1"/>
          <w:kern w:val="0"/>
          <w:sz w:val="24"/>
          <w:lang w:val="en-US" w:eastAsia="zh-CN"/>
        </w:rPr>
        <w:t>00</w:t>
      </w:r>
      <w:r>
        <w:rPr>
          <w:rFonts w:hint="eastAsia" w:cs="宋体" w:asciiTheme="majorEastAsia" w:hAnsiTheme="majorEastAsia" w:eastAsiaTheme="majorEastAsia"/>
          <w:color w:val="000000" w:themeColor="text1"/>
          <w:kern w:val="0"/>
          <w:sz w:val="24"/>
        </w:rPr>
        <w:t>分）统一将收到的响应文件运送至南宁市公共资源交易中心，以确保本项目能在响应截止（开标）时间准时开标。供应商应充分预留响应文件邮寄、送达所需要的时间。为确保疫情防控期间邮寄包裹能及时送达，应选择邮寄运送时间有保障的快递公司寄送响应文件，并尽量在投标截止日期</w:t>
      </w:r>
      <w:r>
        <w:rPr>
          <w:rFonts w:cs="宋体" w:asciiTheme="majorEastAsia" w:hAnsiTheme="majorEastAsia" w:eastAsiaTheme="majorEastAsia"/>
          <w:color w:val="000000" w:themeColor="text1"/>
          <w:kern w:val="0"/>
          <w:sz w:val="24"/>
        </w:rPr>
        <w:t>1</w:t>
      </w:r>
      <w:r>
        <w:rPr>
          <w:rFonts w:hint="eastAsia" w:cs="宋体" w:asciiTheme="majorEastAsia" w:hAnsiTheme="majorEastAsia" w:eastAsiaTheme="majorEastAsia"/>
          <w:color w:val="000000" w:themeColor="text1"/>
          <w:kern w:val="0"/>
          <w:sz w:val="24"/>
        </w:rPr>
        <w:t>日前送达。</w:t>
      </w:r>
    </w:p>
    <w:p>
      <w:pPr>
        <w:widowControl/>
        <w:spacing w:before="100" w:beforeAutospacing="1" w:after="100" w:afterAutospacing="1" w:line="380" w:lineRule="atLeast"/>
        <w:ind w:firstLine="482"/>
        <w:jc w:val="left"/>
        <w:rPr>
          <w:rFonts w:cs="宋体" w:asciiTheme="majorEastAsia" w:hAnsiTheme="majorEastAsia" w:eastAsiaTheme="majorEastAsia"/>
          <w:color w:val="000000" w:themeColor="text1"/>
          <w:kern w:val="0"/>
          <w:sz w:val="24"/>
        </w:rPr>
      </w:pPr>
      <w:r>
        <w:rPr>
          <w:rFonts w:hint="eastAsia" w:cs="宋体" w:asciiTheme="majorEastAsia" w:hAnsiTheme="majorEastAsia" w:eastAsiaTheme="majorEastAsia"/>
          <w:color w:val="000000" w:themeColor="text1"/>
          <w:kern w:val="0"/>
          <w:sz w:val="24"/>
        </w:rPr>
        <w:t>（三）供应商按照采购文件要求装订密封好响应文件后，应使用不透明、防水的邮寄袋或箱子再次包裹已密封的响应文件，</w:t>
      </w:r>
      <w:r>
        <w:rPr>
          <w:rFonts w:hint="eastAsia" w:cs="宋体" w:asciiTheme="majorEastAsia" w:hAnsiTheme="majorEastAsia" w:eastAsiaTheme="majorEastAsia"/>
          <w:b/>
          <w:bCs/>
          <w:color w:val="000000" w:themeColor="text1"/>
          <w:kern w:val="0"/>
          <w:sz w:val="24"/>
          <w:u w:val="single"/>
        </w:rPr>
        <w:t>并在邮寄袋或箱子上粘牢注明项目名称、项目编号、有效的电子邮箱、联系人及联系方式的纸质表格</w:t>
      </w:r>
      <w:r>
        <w:rPr>
          <w:rFonts w:hint="eastAsia" w:cs="宋体" w:asciiTheme="majorEastAsia" w:hAnsiTheme="majorEastAsia" w:eastAsiaTheme="majorEastAsia"/>
          <w:color w:val="000000" w:themeColor="text1"/>
          <w:kern w:val="0"/>
          <w:sz w:val="24"/>
        </w:rPr>
        <w:t>。如因响应文件包裹信息注明不完整或缺失造成响应文件无法辨认属于哪一个项目造成的后果供应商自负。</w:t>
      </w:r>
    </w:p>
    <w:p>
      <w:pPr>
        <w:widowControl/>
        <w:spacing w:before="100" w:beforeAutospacing="1" w:after="100" w:afterAutospacing="1" w:line="380" w:lineRule="atLeast"/>
        <w:ind w:firstLine="482"/>
        <w:jc w:val="left"/>
        <w:rPr>
          <w:rFonts w:cs="宋体" w:asciiTheme="majorEastAsia" w:hAnsiTheme="majorEastAsia" w:eastAsiaTheme="majorEastAsia"/>
          <w:color w:val="000000" w:themeColor="text1"/>
          <w:kern w:val="0"/>
          <w:sz w:val="24"/>
        </w:rPr>
      </w:pPr>
      <w:r>
        <w:rPr>
          <w:rFonts w:hint="eastAsia" w:cs="宋体" w:asciiTheme="majorEastAsia" w:hAnsiTheme="majorEastAsia" w:eastAsiaTheme="majorEastAsia"/>
          <w:color w:val="000000" w:themeColor="text1"/>
          <w:kern w:val="0"/>
          <w:sz w:val="24"/>
        </w:rPr>
        <w:t>（四）响应文件邮寄地址：南宁市青秀区思贤路45号创投中心16A层</w:t>
      </w:r>
    </w:p>
    <w:p>
      <w:pPr>
        <w:widowControl/>
        <w:spacing w:before="100" w:beforeAutospacing="1" w:after="100" w:afterAutospacing="1" w:line="380" w:lineRule="atLeast"/>
        <w:ind w:firstLine="482"/>
        <w:jc w:val="left"/>
        <w:rPr>
          <w:rFonts w:cs="宋体" w:asciiTheme="majorEastAsia" w:hAnsiTheme="majorEastAsia" w:eastAsiaTheme="majorEastAsia"/>
          <w:color w:val="000000" w:themeColor="text1"/>
          <w:kern w:val="0"/>
          <w:sz w:val="24"/>
        </w:rPr>
      </w:pPr>
      <w:r>
        <w:rPr>
          <w:rFonts w:hint="eastAsia" w:cs="宋体" w:asciiTheme="majorEastAsia" w:hAnsiTheme="majorEastAsia" w:eastAsiaTheme="majorEastAsia"/>
          <w:color w:val="000000" w:themeColor="text1"/>
          <w:kern w:val="0"/>
          <w:sz w:val="24"/>
        </w:rPr>
        <w:t xml:space="preserve">      收件人：罗工  联系电话：0771-2442850</w:t>
      </w:r>
    </w:p>
    <w:p>
      <w:pPr>
        <w:widowControl/>
        <w:spacing w:before="100" w:beforeAutospacing="1" w:after="100" w:afterAutospacing="1" w:line="380" w:lineRule="atLeast"/>
        <w:jc w:val="left"/>
        <w:rPr>
          <w:rFonts w:cs="宋体" w:asciiTheme="majorEastAsia" w:hAnsiTheme="majorEastAsia" w:eastAsiaTheme="majorEastAsia"/>
          <w:b/>
          <w:color w:val="000000" w:themeColor="text1"/>
          <w:kern w:val="0"/>
          <w:sz w:val="24"/>
        </w:rPr>
      </w:pPr>
      <w:r>
        <w:rPr>
          <w:rFonts w:hint="eastAsia" w:cs="宋体" w:asciiTheme="majorEastAsia" w:hAnsiTheme="majorEastAsia" w:eastAsiaTheme="majorEastAsia"/>
          <w:b/>
          <w:color w:val="000000" w:themeColor="text1"/>
          <w:kern w:val="0"/>
          <w:sz w:val="24"/>
        </w:rPr>
        <w:t>（五）磋商供应商不参加现场开标活动。</w:t>
      </w:r>
    </w:p>
    <w:p>
      <w:pPr>
        <w:widowControl/>
        <w:spacing w:before="100" w:beforeAutospacing="1" w:after="100" w:afterAutospacing="1" w:line="380" w:lineRule="atLeast"/>
        <w:ind w:firstLine="482"/>
        <w:jc w:val="left"/>
        <w:rPr>
          <w:rFonts w:cs="宋体" w:asciiTheme="majorEastAsia" w:hAnsiTheme="majorEastAsia" w:eastAsiaTheme="majorEastAsia"/>
          <w:color w:val="000000" w:themeColor="text1"/>
          <w:kern w:val="0"/>
          <w:sz w:val="24"/>
        </w:rPr>
      </w:pPr>
      <w:r>
        <w:rPr>
          <w:rFonts w:hint="eastAsia" w:cs="宋体" w:asciiTheme="majorEastAsia" w:hAnsiTheme="majorEastAsia" w:eastAsiaTheme="majorEastAsia"/>
          <w:color w:val="000000" w:themeColor="text1"/>
          <w:kern w:val="0"/>
          <w:sz w:val="24"/>
        </w:rPr>
        <w:t xml:space="preserve">      响应文件拆封及密封性检查：</w:t>
      </w:r>
    </w:p>
    <w:p>
      <w:pPr>
        <w:widowControl/>
        <w:spacing w:before="100" w:beforeAutospacing="1" w:after="100" w:afterAutospacing="1" w:line="380" w:lineRule="atLeast"/>
        <w:ind w:firstLine="482"/>
        <w:jc w:val="left"/>
        <w:rPr>
          <w:rFonts w:cs="宋体" w:asciiTheme="majorEastAsia" w:hAnsiTheme="majorEastAsia" w:eastAsiaTheme="majorEastAsia"/>
          <w:color w:val="000000" w:themeColor="text1"/>
          <w:kern w:val="0"/>
          <w:sz w:val="24"/>
        </w:rPr>
      </w:pPr>
      <w:r>
        <w:rPr>
          <w:rFonts w:hint="eastAsia" w:cs="宋体" w:asciiTheme="majorEastAsia" w:hAnsiTheme="majorEastAsia" w:eastAsiaTheme="majorEastAsia"/>
          <w:color w:val="000000" w:themeColor="text1"/>
          <w:kern w:val="0"/>
          <w:sz w:val="24"/>
        </w:rPr>
        <w:t xml:space="preserve">      截标后，采购代理机构工作人员在南宁市公共资源交易中心工作人员和采购人的见证下拆开响应文件包封，采购人对响应文件密封性进行签字确认。</w:t>
      </w:r>
    </w:p>
    <w:p>
      <w:pPr>
        <w:widowControl/>
        <w:spacing w:before="100" w:beforeAutospacing="1" w:after="100" w:afterAutospacing="1" w:line="380" w:lineRule="atLeast"/>
        <w:ind w:firstLine="482"/>
        <w:jc w:val="left"/>
        <w:rPr>
          <w:rFonts w:cs="宋体" w:asciiTheme="majorEastAsia" w:hAnsiTheme="majorEastAsia" w:eastAsiaTheme="majorEastAsia"/>
          <w:color w:val="000000" w:themeColor="text1"/>
          <w:kern w:val="0"/>
          <w:sz w:val="24"/>
        </w:rPr>
      </w:pPr>
      <w:r>
        <w:rPr>
          <w:rFonts w:hint="eastAsia" w:cs="宋体" w:asciiTheme="majorEastAsia" w:hAnsiTheme="majorEastAsia" w:eastAsiaTheme="majorEastAsia"/>
          <w:color w:val="000000" w:themeColor="text1"/>
          <w:kern w:val="0"/>
          <w:sz w:val="24"/>
        </w:rPr>
        <w:t>二、关于澄清、谈判的有关要求</w:t>
      </w:r>
    </w:p>
    <w:p>
      <w:pPr>
        <w:widowControl/>
        <w:spacing w:before="100" w:beforeAutospacing="1" w:after="100" w:afterAutospacing="1" w:line="380" w:lineRule="atLeast"/>
        <w:ind w:firstLine="482"/>
        <w:jc w:val="left"/>
        <w:rPr>
          <w:rFonts w:cs="宋体" w:asciiTheme="majorEastAsia" w:hAnsiTheme="majorEastAsia" w:eastAsiaTheme="majorEastAsia"/>
          <w:color w:val="000000" w:themeColor="text1"/>
          <w:kern w:val="0"/>
          <w:sz w:val="24"/>
        </w:rPr>
      </w:pPr>
      <w:r>
        <w:rPr>
          <w:rFonts w:hint="eastAsia" w:cs="宋体" w:asciiTheme="majorEastAsia" w:hAnsiTheme="majorEastAsia" w:eastAsiaTheme="majorEastAsia"/>
          <w:color w:val="000000" w:themeColor="text1"/>
          <w:kern w:val="0"/>
          <w:sz w:val="24"/>
        </w:rPr>
        <w:t>（一）为便于采购代理机构或谈判小组在项目评审期间与供应商取得联系，做好评审过程中供应商对响应文件的澄清、说明或者补正，以及谈判等工作，供应商务必做到：</w:t>
      </w:r>
      <w:r>
        <w:rPr>
          <w:rFonts w:hint="eastAsia" w:cs="宋体" w:asciiTheme="majorEastAsia" w:hAnsiTheme="majorEastAsia" w:eastAsiaTheme="majorEastAsia"/>
          <w:b/>
          <w:bCs/>
          <w:color w:val="000000" w:themeColor="text1"/>
          <w:kern w:val="0"/>
          <w:sz w:val="24"/>
          <w:u w:val="single"/>
        </w:rPr>
        <w:t>“第五章响应文件格式”中“响应函（格式）”落款处的“电话”务必填写法定代表人或委托代理人的电话联系方式</w:t>
      </w:r>
      <w:r>
        <w:rPr>
          <w:rFonts w:hint="eastAsia" w:cs="宋体" w:asciiTheme="majorEastAsia" w:hAnsiTheme="majorEastAsia" w:eastAsiaTheme="majorEastAsia"/>
          <w:color w:val="000000" w:themeColor="text1"/>
          <w:kern w:val="0"/>
          <w:sz w:val="24"/>
        </w:rPr>
        <w:t>。</w:t>
      </w:r>
    </w:p>
    <w:p>
      <w:pPr>
        <w:widowControl/>
        <w:spacing w:before="100" w:beforeAutospacing="1" w:after="100" w:afterAutospacing="1" w:line="380" w:lineRule="atLeast"/>
        <w:ind w:firstLine="482"/>
        <w:jc w:val="left"/>
        <w:rPr>
          <w:rFonts w:cs="宋体" w:asciiTheme="majorEastAsia" w:hAnsiTheme="majorEastAsia" w:eastAsiaTheme="majorEastAsia"/>
          <w:color w:val="000000" w:themeColor="text1"/>
          <w:kern w:val="0"/>
          <w:sz w:val="24"/>
        </w:rPr>
      </w:pPr>
      <w:r>
        <w:rPr>
          <w:rFonts w:hint="eastAsia" w:cs="宋体" w:asciiTheme="majorEastAsia" w:hAnsiTheme="majorEastAsia" w:eastAsiaTheme="majorEastAsia"/>
          <w:color w:val="000000" w:themeColor="text1"/>
          <w:kern w:val="0"/>
          <w:sz w:val="24"/>
        </w:rPr>
        <w:t>（二）评审当天供应商务必保持电话畅通。如果评审过程中需要与供应商进行谈判、要求供应商进行报价以及对响应文件作出澄清、说明或者补正的，谈判小组会通知供应商在规定的时间内通过电子邮件、传真等方式提交。</w:t>
      </w:r>
    </w:p>
    <w:p>
      <w:pPr>
        <w:widowControl/>
        <w:spacing w:before="100" w:beforeAutospacing="1" w:after="100" w:afterAutospacing="1" w:line="380" w:lineRule="atLeast"/>
        <w:ind w:firstLine="482"/>
        <w:jc w:val="left"/>
        <w:rPr>
          <w:rFonts w:cs="宋体" w:asciiTheme="majorEastAsia" w:hAnsiTheme="majorEastAsia" w:eastAsiaTheme="majorEastAsia"/>
          <w:color w:val="000000" w:themeColor="text1"/>
          <w:kern w:val="0"/>
          <w:sz w:val="24"/>
        </w:rPr>
      </w:pPr>
      <w:r>
        <w:rPr>
          <w:rFonts w:hint="eastAsia" w:cs="宋体" w:asciiTheme="majorEastAsia" w:hAnsiTheme="majorEastAsia" w:eastAsiaTheme="majorEastAsia"/>
          <w:color w:val="000000" w:themeColor="text1"/>
          <w:kern w:val="0"/>
          <w:sz w:val="24"/>
        </w:rPr>
        <w:t>（三）如供应商未按上述要求，致使采购代理机构或谈判小组在项目评审期间无法与供应商取得联系进行谈判的，或因自身原因未能保持电话畅通或未按谈判小组要求提交澄清、说明或者补正的，后果由供应商自行承担。</w:t>
      </w:r>
    </w:p>
    <w:p>
      <w:pPr>
        <w:widowControl/>
        <w:jc w:val="left"/>
        <w:rPr>
          <w:rFonts w:asciiTheme="majorEastAsia" w:hAnsiTheme="majorEastAsia" w:eastAsiaTheme="majorEastAsia"/>
          <w:b/>
          <w:color w:val="000000" w:themeColor="text1"/>
          <w:sz w:val="48"/>
          <w:szCs w:val="48"/>
        </w:rPr>
      </w:pPr>
      <w:r>
        <w:rPr>
          <w:rFonts w:hint="eastAsia" w:cs="宋体" w:asciiTheme="majorEastAsia" w:hAnsiTheme="majorEastAsia" w:eastAsiaTheme="majorEastAsia"/>
          <w:color w:val="000000" w:themeColor="text1"/>
          <w:kern w:val="0"/>
          <w:sz w:val="24"/>
        </w:rPr>
        <w:t>四、请按通知内容执行，采购文件其余内容不变。</w:t>
      </w:r>
    </w:p>
    <w:p>
      <w:pPr>
        <w:pStyle w:val="10"/>
        <w:spacing w:line="560" w:lineRule="exact"/>
        <w:rPr>
          <w:rFonts w:asciiTheme="majorEastAsia" w:hAnsiTheme="majorEastAsia" w:eastAsiaTheme="majorEastAsia"/>
          <w:color w:val="000000" w:themeColor="text1"/>
          <w:sz w:val="24"/>
          <w:szCs w:val="24"/>
        </w:rPr>
      </w:pPr>
    </w:p>
    <w:p>
      <w:pPr>
        <w:pStyle w:val="10"/>
        <w:spacing w:line="560" w:lineRule="exact"/>
        <w:rPr>
          <w:rFonts w:asciiTheme="majorEastAsia" w:hAnsiTheme="majorEastAsia" w:eastAsiaTheme="majorEastAsia"/>
          <w:color w:val="000000" w:themeColor="text1"/>
          <w:sz w:val="24"/>
          <w:szCs w:val="24"/>
        </w:rPr>
      </w:pPr>
    </w:p>
    <w:p>
      <w:pPr>
        <w:pStyle w:val="10"/>
        <w:spacing w:line="560" w:lineRule="exact"/>
        <w:rPr>
          <w:rFonts w:asciiTheme="majorEastAsia" w:hAnsiTheme="majorEastAsia" w:eastAsiaTheme="majorEastAsia"/>
          <w:color w:val="000000" w:themeColor="text1"/>
          <w:sz w:val="24"/>
          <w:szCs w:val="24"/>
        </w:rPr>
      </w:pPr>
    </w:p>
    <w:p>
      <w:pPr>
        <w:pStyle w:val="10"/>
        <w:spacing w:line="560" w:lineRule="exact"/>
        <w:rPr>
          <w:rFonts w:asciiTheme="majorEastAsia" w:hAnsiTheme="majorEastAsia" w:eastAsiaTheme="majorEastAsia"/>
          <w:color w:val="000000" w:themeColor="text1"/>
          <w:sz w:val="24"/>
          <w:szCs w:val="24"/>
        </w:rPr>
      </w:pPr>
      <w:r>
        <w:rPr>
          <w:rFonts w:hint="eastAsia" w:asciiTheme="majorEastAsia" w:hAnsiTheme="majorEastAsia" w:eastAsiaTheme="majorEastAsia"/>
          <w:color w:val="000000" w:themeColor="text1"/>
          <w:sz w:val="24"/>
          <w:szCs w:val="24"/>
        </w:rPr>
        <w:t xml:space="preserve">                                   采购代理机构：广西邕政采购代理有限公司                                  </w:t>
      </w:r>
    </w:p>
    <w:p>
      <w:pPr>
        <w:widowControl/>
        <w:jc w:val="center"/>
        <w:rPr>
          <w:rFonts w:asciiTheme="majorEastAsia" w:hAnsiTheme="majorEastAsia" w:eastAsiaTheme="majorEastAsia" w:cstheme="majorEastAsia"/>
          <w:b/>
          <w:color w:val="000000" w:themeColor="text1"/>
          <w:sz w:val="48"/>
          <w:szCs w:val="48"/>
        </w:rPr>
        <w:sectPr>
          <w:pgSz w:w="11906" w:h="16838"/>
          <w:pgMar w:top="1440" w:right="1080" w:bottom="1118" w:left="1080" w:header="720" w:footer="720" w:gutter="0"/>
          <w:cols w:space="720" w:num="1"/>
          <w:docGrid w:type="lines" w:linePitch="331" w:charSpace="0"/>
        </w:sectPr>
      </w:pPr>
      <w:r>
        <w:rPr>
          <w:rFonts w:hint="eastAsia" w:asciiTheme="majorEastAsia" w:hAnsiTheme="majorEastAsia" w:eastAsiaTheme="majorEastAsia"/>
          <w:color w:val="000000" w:themeColor="text1"/>
          <w:sz w:val="24"/>
        </w:rPr>
        <w:t xml:space="preserve">          日期：2020年</w:t>
      </w:r>
      <w:r>
        <w:rPr>
          <w:rFonts w:hint="eastAsia" w:asciiTheme="majorEastAsia" w:hAnsiTheme="majorEastAsia" w:eastAsiaTheme="majorEastAsia"/>
          <w:color w:val="000000" w:themeColor="text1"/>
          <w:sz w:val="24"/>
          <w:lang w:val="en-US" w:eastAsia="zh-CN"/>
        </w:rPr>
        <w:t>11</w:t>
      </w:r>
      <w:r>
        <w:rPr>
          <w:rFonts w:hint="eastAsia" w:asciiTheme="majorEastAsia" w:hAnsiTheme="majorEastAsia" w:eastAsiaTheme="majorEastAsia"/>
          <w:color w:val="000000" w:themeColor="text1"/>
          <w:sz w:val="24"/>
        </w:rPr>
        <w:t>月</w:t>
      </w:r>
      <w:r>
        <w:rPr>
          <w:rFonts w:hint="eastAsia" w:asciiTheme="majorEastAsia" w:hAnsiTheme="majorEastAsia" w:eastAsiaTheme="majorEastAsia"/>
          <w:color w:val="000000" w:themeColor="text1"/>
          <w:sz w:val="24"/>
          <w:lang w:val="en-US" w:eastAsia="zh-CN"/>
        </w:rPr>
        <w:t>04</w:t>
      </w:r>
      <w:r>
        <w:rPr>
          <w:rFonts w:hint="eastAsia" w:asciiTheme="majorEastAsia" w:hAnsiTheme="majorEastAsia" w:eastAsiaTheme="majorEastAsia"/>
          <w:color w:val="000000" w:themeColor="text1"/>
          <w:sz w:val="24"/>
        </w:rPr>
        <w:t>日</w:t>
      </w:r>
    </w:p>
    <w:sdt>
      <w:sdtPr>
        <w:rPr>
          <w:rFonts w:asciiTheme="majorEastAsia" w:hAnsiTheme="majorEastAsia" w:eastAsiaTheme="majorEastAsia"/>
        </w:rPr>
        <w:id w:val="147457188"/>
        <w:docPartObj>
          <w:docPartGallery w:val="Table of Contents"/>
          <w:docPartUnique/>
        </w:docPartObj>
      </w:sdtPr>
      <w:sdtEndPr>
        <w:rPr>
          <w:rFonts w:asciiTheme="majorEastAsia" w:hAnsiTheme="majorEastAsia" w:eastAsiaTheme="majorEastAsia" w:cstheme="majorEastAsia"/>
          <w:b/>
          <w:color w:val="000000" w:themeColor="text1"/>
          <w:sz w:val="18"/>
          <w:szCs w:val="21"/>
        </w:rPr>
      </w:sdtEndPr>
      <w:sdtContent>
        <w:p>
          <w:pPr>
            <w:jc w:val="center"/>
            <w:rPr>
              <w:rFonts w:asciiTheme="majorEastAsia" w:hAnsiTheme="majorEastAsia" w:eastAsiaTheme="majorEastAsia"/>
              <w:sz w:val="28"/>
              <w:szCs w:val="28"/>
            </w:rPr>
          </w:pPr>
          <w:bookmarkStart w:id="2" w:name="_Toc485920200"/>
          <w:bookmarkStart w:id="3" w:name="_Toc460253689"/>
          <w:r>
            <w:rPr>
              <w:rFonts w:asciiTheme="majorEastAsia" w:hAnsiTheme="majorEastAsia" w:eastAsiaTheme="majorEastAsia"/>
              <w:b/>
              <w:sz w:val="28"/>
              <w:szCs w:val="28"/>
            </w:rPr>
            <w:t>目录</w:t>
          </w:r>
        </w:p>
        <w:p>
          <w:pPr>
            <w:pStyle w:val="13"/>
            <w:tabs>
              <w:tab w:val="right" w:leader="dot" w:pos="9746"/>
            </w:tabs>
            <w:rPr>
              <w:sz w:val="28"/>
              <w:szCs w:val="28"/>
            </w:rPr>
          </w:pPr>
          <w:r>
            <w:rPr>
              <w:rFonts w:asciiTheme="majorEastAsia" w:hAnsiTheme="majorEastAsia" w:eastAsiaTheme="majorEastAsia" w:cstheme="majorEastAsia"/>
              <w:color w:val="000000" w:themeColor="text1"/>
              <w:sz w:val="18"/>
              <w:szCs w:val="18"/>
              <w:highlight w:val="yellow"/>
            </w:rPr>
            <w:fldChar w:fldCharType="begin"/>
          </w:r>
          <w:r>
            <w:rPr>
              <w:rFonts w:asciiTheme="majorEastAsia" w:hAnsiTheme="majorEastAsia" w:eastAsiaTheme="majorEastAsia" w:cstheme="majorEastAsia"/>
              <w:color w:val="000000" w:themeColor="text1"/>
              <w:sz w:val="18"/>
              <w:szCs w:val="18"/>
              <w:highlight w:val="yellow"/>
            </w:rPr>
            <w:instrText xml:space="preserve">TOC \o "1-2" \h \u </w:instrText>
          </w:r>
          <w:r>
            <w:rPr>
              <w:rFonts w:asciiTheme="majorEastAsia" w:hAnsiTheme="majorEastAsia" w:eastAsiaTheme="majorEastAsia" w:cstheme="majorEastAsia"/>
              <w:color w:val="000000" w:themeColor="text1"/>
              <w:sz w:val="18"/>
              <w:szCs w:val="18"/>
              <w:highlight w:val="yellow"/>
            </w:rPr>
            <w:fldChar w:fldCharType="separate"/>
          </w:r>
          <w:r>
            <w:fldChar w:fldCharType="begin"/>
          </w:r>
          <w:r>
            <w:instrText xml:space="preserve"> HYPERLINK \l "_Toc8504" </w:instrText>
          </w:r>
          <w:r>
            <w:fldChar w:fldCharType="separate"/>
          </w:r>
          <w:r>
            <w:rPr>
              <w:rFonts w:hint="eastAsia" w:cs="宋体" w:asciiTheme="majorEastAsia" w:hAnsiTheme="majorEastAsia" w:eastAsiaTheme="majorEastAsia"/>
              <w:sz w:val="28"/>
              <w:szCs w:val="20"/>
            </w:rPr>
            <w:t>第一章 竞争性磋商公告</w:t>
          </w:r>
          <w:r>
            <w:rPr>
              <w:sz w:val="28"/>
              <w:szCs w:val="28"/>
            </w:rPr>
            <w:tab/>
          </w:r>
          <w:r>
            <w:rPr>
              <w:sz w:val="28"/>
              <w:szCs w:val="28"/>
            </w:rPr>
            <w:fldChar w:fldCharType="begin"/>
          </w:r>
          <w:r>
            <w:rPr>
              <w:sz w:val="28"/>
              <w:szCs w:val="28"/>
            </w:rPr>
            <w:instrText xml:space="preserve"> PAGEREF _Toc8504 </w:instrText>
          </w:r>
          <w:r>
            <w:rPr>
              <w:sz w:val="28"/>
              <w:szCs w:val="28"/>
            </w:rPr>
            <w:fldChar w:fldCharType="separate"/>
          </w:r>
          <w:r>
            <w:rPr>
              <w:sz w:val="28"/>
              <w:szCs w:val="28"/>
            </w:rPr>
            <w:t>5</w:t>
          </w:r>
          <w:r>
            <w:rPr>
              <w:sz w:val="28"/>
              <w:szCs w:val="28"/>
            </w:rPr>
            <w:fldChar w:fldCharType="end"/>
          </w:r>
          <w:r>
            <w:rPr>
              <w:sz w:val="28"/>
              <w:szCs w:val="28"/>
            </w:rPr>
            <w:fldChar w:fldCharType="end"/>
          </w:r>
        </w:p>
        <w:p>
          <w:pPr>
            <w:pStyle w:val="13"/>
            <w:tabs>
              <w:tab w:val="right" w:leader="dot" w:pos="9746"/>
            </w:tabs>
            <w:rPr>
              <w:sz w:val="28"/>
              <w:szCs w:val="28"/>
            </w:rPr>
          </w:pPr>
          <w:r>
            <w:fldChar w:fldCharType="begin"/>
          </w:r>
          <w:r>
            <w:instrText xml:space="preserve"> HYPERLINK \l "_Toc30530" </w:instrText>
          </w:r>
          <w:r>
            <w:fldChar w:fldCharType="separate"/>
          </w:r>
          <w:r>
            <w:rPr>
              <w:rFonts w:hint="eastAsia" w:asciiTheme="majorEastAsia" w:hAnsiTheme="majorEastAsia" w:eastAsiaTheme="majorEastAsia" w:cstheme="majorEastAsia"/>
              <w:bCs/>
              <w:sz w:val="28"/>
              <w:szCs w:val="22"/>
            </w:rPr>
            <w:t>第二章  服务需求一览表</w:t>
          </w:r>
          <w:r>
            <w:rPr>
              <w:sz w:val="28"/>
              <w:szCs w:val="28"/>
            </w:rPr>
            <w:tab/>
          </w:r>
          <w:r>
            <w:rPr>
              <w:sz w:val="28"/>
              <w:szCs w:val="28"/>
            </w:rPr>
            <w:fldChar w:fldCharType="begin"/>
          </w:r>
          <w:r>
            <w:rPr>
              <w:sz w:val="28"/>
              <w:szCs w:val="28"/>
            </w:rPr>
            <w:instrText xml:space="preserve"> PAGEREF _Toc30530 </w:instrText>
          </w:r>
          <w:r>
            <w:rPr>
              <w:sz w:val="28"/>
              <w:szCs w:val="28"/>
            </w:rPr>
            <w:fldChar w:fldCharType="separate"/>
          </w:r>
          <w:r>
            <w:rPr>
              <w:sz w:val="28"/>
              <w:szCs w:val="28"/>
            </w:rPr>
            <w:t>8</w:t>
          </w:r>
          <w:r>
            <w:rPr>
              <w:sz w:val="28"/>
              <w:szCs w:val="28"/>
            </w:rPr>
            <w:fldChar w:fldCharType="end"/>
          </w:r>
          <w:r>
            <w:rPr>
              <w:sz w:val="28"/>
              <w:szCs w:val="28"/>
            </w:rPr>
            <w:fldChar w:fldCharType="end"/>
          </w:r>
        </w:p>
        <w:p>
          <w:pPr>
            <w:pStyle w:val="13"/>
            <w:tabs>
              <w:tab w:val="right" w:leader="dot" w:pos="9746"/>
            </w:tabs>
            <w:rPr>
              <w:sz w:val="28"/>
              <w:szCs w:val="28"/>
            </w:rPr>
          </w:pPr>
          <w:r>
            <w:fldChar w:fldCharType="begin"/>
          </w:r>
          <w:r>
            <w:instrText xml:space="preserve"> HYPERLINK \l "_Toc29190" </w:instrText>
          </w:r>
          <w:r>
            <w:fldChar w:fldCharType="separate"/>
          </w:r>
          <w:r>
            <w:rPr>
              <w:rFonts w:hint="eastAsia" w:asciiTheme="majorEastAsia" w:hAnsiTheme="majorEastAsia" w:eastAsiaTheme="majorEastAsia" w:cstheme="majorEastAsia"/>
              <w:sz w:val="28"/>
              <w:szCs w:val="28"/>
            </w:rPr>
            <w:t>第三章  评审方法</w:t>
          </w:r>
          <w:r>
            <w:rPr>
              <w:sz w:val="28"/>
              <w:szCs w:val="28"/>
            </w:rPr>
            <w:tab/>
          </w:r>
          <w:r>
            <w:rPr>
              <w:sz w:val="28"/>
              <w:szCs w:val="28"/>
            </w:rPr>
            <w:fldChar w:fldCharType="begin"/>
          </w:r>
          <w:r>
            <w:rPr>
              <w:sz w:val="28"/>
              <w:szCs w:val="28"/>
            </w:rPr>
            <w:instrText xml:space="preserve"> PAGEREF _Toc29190 </w:instrText>
          </w:r>
          <w:r>
            <w:rPr>
              <w:sz w:val="28"/>
              <w:szCs w:val="28"/>
            </w:rPr>
            <w:fldChar w:fldCharType="separate"/>
          </w:r>
          <w:r>
            <w:rPr>
              <w:sz w:val="28"/>
              <w:szCs w:val="28"/>
            </w:rPr>
            <w:t>10</w:t>
          </w:r>
          <w:r>
            <w:rPr>
              <w:sz w:val="28"/>
              <w:szCs w:val="28"/>
            </w:rPr>
            <w:fldChar w:fldCharType="end"/>
          </w:r>
          <w:r>
            <w:rPr>
              <w:sz w:val="28"/>
              <w:szCs w:val="28"/>
            </w:rPr>
            <w:fldChar w:fldCharType="end"/>
          </w:r>
        </w:p>
        <w:p>
          <w:pPr>
            <w:pStyle w:val="13"/>
            <w:tabs>
              <w:tab w:val="right" w:leader="dot" w:pos="9746"/>
            </w:tabs>
            <w:rPr>
              <w:sz w:val="28"/>
              <w:szCs w:val="28"/>
            </w:rPr>
          </w:pPr>
          <w:r>
            <w:fldChar w:fldCharType="begin"/>
          </w:r>
          <w:r>
            <w:instrText xml:space="preserve"> HYPERLINK \l "_Toc17008" </w:instrText>
          </w:r>
          <w:r>
            <w:fldChar w:fldCharType="separate"/>
          </w:r>
          <w:r>
            <w:rPr>
              <w:rFonts w:hint="eastAsia" w:asciiTheme="majorEastAsia" w:hAnsiTheme="majorEastAsia" w:eastAsiaTheme="majorEastAsia" w:cstheme="majorEastAsia"/>
              <w:sz w:val="28"/>
              <w:szCs w:val="20"/>
            </w:rPr>
            <w:t>第四章   磋商供应商须知</w:t>
          </w:r>
          <w:r>
            <w:rPr>
              <w:sz w:val="28"/>
              <w:szCs w:val="28"/>
            </w:rPr>
            <w:tab/>
          </w:r>
          <w:r>
            <w:rPr>
              <w:sz w:val="28"/>
              <w:szCs w:val="28"/>
            </w:rPr>
            <w:fldChar w:fldCharType="begin"/>
          </w:r>
          <w:r>
            <w:rPr>
              <w:sz w:val="28"/>
              <w:szCs w:val="28"/>
            </w:rPr>
            <w:instrText xml:space="preserve"> PAGEREF _Toc17008 </w:instrText>
          </w:r>
          <w:r>
            <w:rPr>
              <w:sz w:val="28"/>
              <w:szCs w:val="28"/>
            </w:rPr>
            <w:fldChar w:fldCharType="separate"/>
          </w:r>
          <w:r>
            <w:rPr>
              <w:sz w:val="28"/>
              <w:szCs w:val="28"/>
            </w:rPr>
            <w:t>14</w:t>
          </w:r>
          <w:r>
            <w:rPr>
              <w:sz w:val="28"/>
              <w:szCs w:val="28"/>
            </w:rPr>
            <w:fldChar w:fldCharType="end"/>
          </w:r>
          <w:r>
            <w:rPr>
              <w:sz w:val="28"/>
              <w:szCs w:val="28"/>
            </w:rPr>
            <w:fldChar w:fldCharType="end"/>
          </w:r>
        </w:p>
        <w:p>
          <w:pPr>
            <w:pStyle w:val="13"/>
            <w:tabs>
              <w:tab w:val="right" w:leader="dot" w:pos="9746"/>
            </w:tabs>
            <w:rPr>
              <w:sz w:val="28"/>
              <w:szCs w:val="28"/>
            </w:rPr>
          </w:pPr>
          <w:r>
            <w:fldChar w:fldCharType="begin"/>
          </w:r>
          <w:r>
            <w:instrText xml:space="preserve"> HYPERLINK \l "_Toc11767" </w:instrText>
          </w:r>
          <w:r>
            <w:fldChar w:fldCharType="separate"/>
          </w:r>
          <w:r>
            <w:rPr>
              <w:rFonts w:hint="eastAsia" w:asciiTheme="majorEastAsia" w:hAnsiTheme="majorEastAsia" w:eastAsiaTheme="majorEastAsia" w:cstheme="majorEastAsia"/>
              <w:sz w:val="28"/>
              <w:szCs w:val="28"/>
            </w:rPr>
            <w:t>一   总则</w:t>
          </w:r>
          <w:r>
            <w:rPr>
              <w:sz w:val="28"/>
              <w:szCs w:val="28"/>
            </w:rPr>
            <w:tab/>
          </w:r>
          <w:r>
            <w:rPr>
              <w:sz w:val="28"/>
              <w:szCs w:val="28"/>
            </w:rPr>
            <w:fldChar w:fldCharType="begin"/>
          </w:r>
          <w:r>
            <w:rPr>
              <w:sz w:val="28"/>
              <w:szCs w:val="28"/>
            </w:rPr>
            <w:instrText xml:space="preserve"> PAGEREF _Toc11767 </w:instrText>
          </w:r>
          <w:r>
            <w:rPr>
              <w:sz w:val="28"/>
              <w:szCs w:val="28"/>
            </w:rPr>
            <w:fldChar w:fldCharType="separate"/>
          </w:r>
          <w:r>
            <w:rPr>
              <w:sz w:val="28"/>
              <w:szCs w:val="28"/>
            </w:rPr>
            <w:t>17</w:t>
          </w:r>
          <w:r>
            <w:rPr>
              <w:sz w:val="28"/>
              <w:szCs w:val="28"/>
            </w:rPr>
            <w:fldChar w:fldCharType="end"/>
          </w:r>
          <w:r>
            <w:rPr>
              <w:sz w:val="28"/>
              <w:szCs w:val="28"/>
            </w:rPr>
            <w:fldChar w:fldCharType="end"/>
          </w:r>
        </w:p>
        <w:p>
          <w:pPr>
            <w:pStyle w:val="13"/>
            <w:tabs>
              <w:tab w:val="right" w:leader="dot" w:pos="9746"/>
            </w:tabs>
            <w:rPr>
              <w:sz w:val="28"/>
              <w:szCs w:val="28"/>
            </w:rPr>
          </w:pPr>
          <w:r>
            <w:fldChar w:fldCharType="begin"/>
          </w:r>
          <w:r>
            <w:instrText xml:space="preserve"> HYPERLINK \l "_Toc11021" </w:instrText>
          </w:r>
          <w:r>
            <w:fldChar w:fldCharType="separate"/>
          </w:r>
          <w:r>
            <w:rPr>
              <w:rFonts w:hint="eastAsia" w:asciiTheme="majorEastAsia" w:hAnsiTheme="majorEastAsia" w:eastAsiaTheme="majorEastAsia" w:cstheme="majorEastAsia"/>
              <w:sz w:val="28"/>
              <w:szCs w:val="28"/>
            </w:rPr>
            <w:t>二   竞争性磋商采购文件</w:t>
          </w:r>
          <w:r>
            <w:rPr>
              <w:sz w:val="28"/>
              <w:szCs w:val="28"/>
            </w:rPr>
            <w:tab/>
          </w:r>
          <w:r>
            <w:rPr>
              <w:sz w:val="28"/>
              <w:szCs w:val="28"/>
            </w:rPr>
            <w:fldChar w:fldCharType="begin"/>
          </w:r>
          <w:r>
            <w:rPr>
              <w:sz w:val="28"/>
              <w:szCs w:val="28"/>
            </w:rPr>
            <w:instrText xml:space="preserve"> PAGEREF _Toc11021 </w:instrText>
          </w:r>
          <w:r>
            <w:rPr>
              <w:sz w:val="28"/>
              <w:szCs w:val="28"/>
            </w:rPr>
            <w:fldChar w:fldCharType="separate"/>
          </w:r>
          <w:r>
            <w:rPr>
              <w:sz w:val="28"/>
              <w:szCs w:val="28"/>
            </w:rPr>
            <w:t>19</w:t>
          </w:r>
          <w:r>
            <w:rPr>
              <w:sz w:val="28"/>
              <w:szCs w:val="28"/>
            </w:rPr>
            <w:fldChar w:fldCharType="end"/>
          </w:r>
          <w:r>
            <w:rPr>
              <w:sz w:val="28"/>
              <w:szCs w:val="28"/>
            </w:rPr>
            <w:fldChar w:fldCharType="end"/>
          </w:r>
        </w:p>
        <w:p>
          <w:pPr>
            <w:pStyle w:val="13"/>
            <w:tabs>
              <w:tab w:val="right" w:leader="dot" w:pos="9746"/>
            </w:tabs>
            <w:rPr>
              <w:sz w:val="28"/>
              <w:szCs w:val="28"/>
            </w:rPr>
          </w:pPr>
          <w:r>
            <w:fldChar w:fldCharType="begin"/>
          </w:r>
          <w:r>
            <w:instrText xml:space="preserve"> HYPERLINK \l "_Toc2042" </w:instrText>
          </w:r>
          <w:r>
            <w:fldChar w:fldCharType="separate"/>
          </w:r>
          <w:r>
            <w:rPr>
              <w:rFonts w:hint="eastAsia" w:asciiTheme="majorEastAsia" w:hAnsiTheme="majorEastAsia" w:eastAsiaTheme="majorEastAsia" w:cstheme="majorEastAsia"/>
              <w:sz w:val="28"/>
              <w:szCs w:val="28"/>
            </w:rPr>
            <w:t>三   响应文件</w:t>
          </w:r>
          <w:r>
            <w:rPr>
              <w:sz w:val="28"/>
              <w:szCs w:val="28"/>
            </w:rPr>
            <w:tab/>
          </w:r>
          <w:r>
            <w:rPr>
              <w:sz w:val="28"/>
              <w:szCs w:val="28"/>
            </w:rPr>
            <w:fldChar w:fldCharType="begin"/>
          </w:r>
          <w:r>
            <w:rPr>
              <w:sz w:val="28"/>
              <w:szCs w:val="28"/>
            </w:rPr>
            <w:instrText xml:space="preserve"> PAGEREF _Toc2042 </w:instrText>
          </w:r>
          <w:r>
            <w:rPr>
              <w:sz w:val="28"/>
              <w:szCs w:val="28"/>
            </w:rPr>
            <w:fldChar w:fldCharType="separate"/>
          </w:r>
          <w:r>
            <w:rPr>
              <w:sz w:val="28"/>
              <w:szCs w:val="28"/>
            </w:rPr>
            <w:t>20</w:t>
          </w:r>
          <w:r>
            <w:rPr>
              <w:sz w:val="28"/>
              <w:szCs w:val="28"/>
            </w:rPr>
            <w:fldChar w:fldCharType="end"/>
          </w:r>
          <w:r>
            <w:rPr>
              <w:sz w:val="28"/>
              <w:szCs w:val="28"/>
            </w:rPr>
            <w:fldChar w:fldCharType="end"/>
          </w:r>
        </w:p>
        <w:p>
          <w:pPr>
            <w:pStyle w:val="13"/>
            <w:tabs>
              <w:tab w:val="right" w:leader="dot" w:pos="9746"/>
            </w:tabs>
            <w:rPr>
              <w:sz w:val="28"/>
              <w:szCs w:val="28"/>
            </w:rPr>
          </w:pPr>
          <w:r>
            <w:fldChar w:fldCharType="begin"/>
          </w:r>
          <w:r>
            <w:instrText xml:space="preserve"> HYPERLINK \l "_Toc31512" </w:instrText>
          </w:r>
          <w:r>
            <w:fldChar w:fldCharType="separate"/>
          </w:r>
          <w:r>
            <w:rPr>
              <w:rFonts w:hint="eastAsia" w:asciiTheme="majorEastAsia" w:hAnsiTheme="majorEastAsia" w:eastAsiaTheme="majorEastAsia" w:cstheme="majorEastAsia"/>
              <w:sz w:val="28"/>
              <w:szCs w:val="28"/>
            </w:rPr>
            <w:t>四   磋商响应</w:t>
          </w:r>
          <w:r>
            <w:rPr>
              <w:sz w:val="28"/>
              <w:szCs w:val="28"/>
            </w:rPr>
            <w:tab/>
          </w:r>
          <w:r>
            <w:rPr>
              <w:sz w:val="28"/>
              <w:szCs w:val="28"/>
            </w:rPr>
            <w:fldChar w:fldCharType="begin"/>
          </w:r>
          <w:r>
            <w:rPr>
              <w:sz w:val="28"/>
              <w:szCs w:val="28"/>
            </w:rPr>
            <w:instrText xml:space="preserve"> PAGEREF _Toc31512 </w:instrText>
          </w:r>
          <w:r>
            <w:rPr>
              <w:sz w:val="28"/>
              <w:szCs w:val="28"/>
            </w:rPr>
            <w:fldChar w:fldCharType="separate"/>
          </w:r>
          <w:r>
            <w:rPr>
              <w:sz w:val="28"/>
              <w:szCs w:val="28"/>
            </w:rPr>
            <w:t>23</w:t>
          </w:r>
          <w:r>
            <w:rPr>
              <w:sz w:val="28"/>
              <w:szCs w:val="28"/>
            </w:rPr>
            <w:fldChar w:fldCharType="end"/>
          </w:r>
          <w:r>
            <w:rPr>
              <w:sz w:val="28"/>
              <w:szCs w:val="28"/>
            </w:rPr>
            <w:fldChar w:fldCharType="end"/>
          </w:r>
        </w:p>
        <w:p>
          <w:pPr>
            <w:pStyle w:val="13"/>
            <w:tabs>
              <w:tab w:val="right" w:leader="dot" w:pos="9746"/>
            </w:tabs>
            <w:rPr>
              <w:sz w:val="28"/>
              <w:szCs w:val="28"/>
            </w:rPr>
          </w:pPr>
          <w:r>
            <w:fldChar w:fldCharType="begin"/>
          </w:r>
          <w:r>
            <w:instrText xml:space="preserve"> HYPERLINK \l "_Toc12483" </w:instrText>
          </w:r>
          <w:r>
            <w:fldChar w:fldCharType="separate"/>
          </w:r>
          <w:r>
            <w:rPr>
              <w:rFonts w:hint="eastAsia" w:asciiTheme="majorEastAsia" w:hAnsiTheme="majorEastAsia" w:eastAsiaTheme="majorEastAsia" w:cstheme="majorEastAsia"/>
              <w:sz w:val="28"/>
              <w:szCs w:val="28"/>
            </w:rPr>
            <w:t>五   评审与磋商</w:t>
          </w:r>
          <w:r>
            <w:rPr>
              <w:sz w:val="28"/>
              <w:szCs w:val="28"/>
            </w:rPr>
            <w:tab/>
          </w:r>
          <w:r>
            <w:rPr>
              <w:sz w:val="28"/>
              <w:szCs w:val="28"/>
            </w:rPr>
            <w:fldChar w:fldCharType="begin"/>
          </w:r>
          <w:r>
            <w:rPr>
              <w:sz w:val="28"/>
              <w:szCs w:val="28"/>
            </w:rPr>
            <w:instrText xml:space="preserve"> PAGEREF _Toc12483 </w:instrText>
          </w:r>
          <w:r>
            <w:rPr>
              <w:sz w:val="28"/>
              <w:szCs w:val="28"/>
            </w:rPr>
            <w:fldChar w:fldCharType="separate"/>
          </w:r>
          <w:r>
            <w:rPr>
              <w:sz w:val="28"/>
              <w:szCs w:val="28"/>
            </w:rPr>
            <w:t>24</w:t>
          </w:r>
          <w:r>
            <w:rPr>
              <w:sz w:val="28"/>
              <w:szCs w:val="28"/>
            </w:rPr>
            <w:fldChar w:fldCharType="end"/>
          </w:r>
          <w:r>
            <w:rPr>
              <w:sz w:val="28"/>
              <w:szCs w:val="28"/>
            </w:rPr>
            <w:fldChar w:fldCharType="end"/>
          </w:r>
        </w:p>
        <w:p>
          <w:pPr>
            <w:pStyle w:val="13"/>
            <w:tabs>
              <w:tab w:val="right" w:leader="dot" w:pos="9746"/>
            </w:tabs>
            <w:rPr>
              <w:sz w:val="28"/>
              <w:szCs w:val="28"/>
            </w:rPr>
          </w:pPr>
          <w:r>
            <w:fldChar w:fldCharType="begin"/>
          </w:r>
          <w:r>
            <w:instrText xml:space="preserve"> HYPERLINK \l "_Toc7328" </w:instrText>
          </w:r>
          <w:r>
            <w:fldChar w:fldCharType="separate"/>
          </w:r>
          <w:r>
            <w:rPr>
              <w:rFonts w:hint="eastAsia" w:asciiTheme="majorEastAsia" w:hAnsiTheme="majorEastAsia" w:eastAsiaTheme="majorEastAsia" w:cstheme="majorEastAsia"/>
              <w:sz w:val="28"/>
              <w:szCs w:val="28"/>
            </w:rPr>
            <w:t>六   合同授予</w:t>
          </w:r>
          <w:r>
            <w:rPr>
              <w:sz w:val="28"/>
              <w:szCs w:val="28"/>
            </w:rPr>
            <w:tab/>
          </w:r>
          <w:r>
            <w:rPr>
              <w:sz w:val="28"/>
              <w:szCs w:val="28"/>
            </w:rPr>
            <w:fldChar w:fldCharType="begin"/>
          </w:r>
          <w:r>
            <w:rPr>
              <w:sz w:val="28"/>
              <w:szCs w:val="28"/>
            </w:rPr>
            <w:instrText xml:space="preserve"> PAGEREF _Toc7328 </w:instrText>
          </w:r>
          <w:r>
            <w:rPr>
              <w:sz w:val="28"/>
              <w:szCs w:val="28"/>
            </w:rPr>
            <w:fldChar w:fldCharType="separate"/>
          </w:r>
          <w:r>
            <w:rPr>
              <w:sz w:val="28"/>
              <w:szCs w:val="28"/>
            </w:rPr>
            <w:t>28</w:t>
          </w:r>
          <w:r>
            <w:rPr>
              <w:sz w:val="28"/>
              <w:szCs w:val="28"/>
            </w:rPr>
            <w:fldChar w:fldCharType="end"/>
          </w:r>
          <w:r>
            <w:rPr>
              <w:sz w:val="28"/>
              <w:szCs w:val="28"/>
            </w:rPr>
            <w:fldChar w:fldCharType="end"/>
          </w:r>
        </w:p>
        <w:p>
          <w:pPr>
            <w:pStyle w:val="13"/>
            <w:tabs>
              <w:tab w:val="right" w:leader="dot" w:pos="9746"/>
            </w:tabs>
            <w:rPr>
              <w:sz w:val="28"/>
              <w:szCs w:val="28"/>
            </w:rPr>
          </w:pPr>
          <w:r>
            <w:fldChar w:fldCharType="begin"/>
          </w:r>
          <w:r>
            <w:instrText xml:space="preserve"> HYPERLINK \l "_Toc17564" </w:instrText>
          </w:r>
          <w:r>
            <w:fldChar w:fldCharType="separate"/>
          </w:r>
          <w:r>
            <w:rPr>
              <w:rFonts w:hint="eastAsia" w:asciiTheme="majorEastAsia" w:hAnsiTheme="majorEastAsia" w:eastAsiaTheme="majorEastAsia" w:cstheme="majorEastAsia"/>
              <w:sz w:val="28"/>
              <w:szCs w:val="28"/>
            </w:rPr>
            <w:t>七   其他事项</w:t>
          </w:r>
          <w:r>
            <w:rPr>
              <w:sz w:val="28"/>
              <w:szCs w:val="28"/>
            </w:rPr>
            <w:tab/>
          </w:r>
          <w:r>
            <w:rPr>
              <w:sz w:val="28"/>
              <w:szCs w:val="28"/>
            </w:rPr>
            <w:fldChar w:fldCharType="begin"/>
          </w:r>
          <w:r>
            <w:rPr>
              <w:sz w:val="28"/>
              <w:szCs w:val="28"/>
            </w:rPr>
            <w:instrText xml:space="preserve"> PAGEREF _Toc17564 </w:instrText>
          </w:r>
          <w:r>
            <w:rPr>
              <w:sz w:val="28"/>
              <w:szCs w:val="28"/>
            </w:rPr>
            <w:fldChar w:fldCharType="separate"/>
          </w:r>
          <w:r>
            <w:rPr>
              <w:sz w:val="28"/>
              <w:szCs w:val="28"/>
            </w:rPr>
            <w:t>28</w:t>
          </w:r>
          <w:r>
            <w:rPr>
              <w:sz w:val="28"/>
              <w:szCs w:val="28"/>
            </w:rPr>
            <w:fldChar w:fldCharType="end"/>
          </w:r>
          <w:r>
            <w:rPr>
              <w:sz w:val="28"/>
              <w:szCs w:val="28"/>
            </w:rPr>
            <w:fldChar w:fldCharType="end"/>
          </w:r>
        </w:p>
        <w:p>
          <w:pPr>
            <w:pStyle w:val="13"/>
            <w:tabs>
              <w:tab w:val="right" w:leader="dot" w:pos="9746"/>
            </w:tabs>
            <w:rPr>
              <w:sz w:val="28"/>
              <w:szCs w:val="28"/>
            </w:rPr>
          </w:pPr>
          <w:r>
            <w:fldChar w:fldCharType="begin"/>
          </w:r>
          <w:r>
            <w:instrText xml:space="preserve"> HYPERLINK \l "_Toc4957" </w:instrText>
          </w:r>
          <w:r>
            <w:fldChar w:fldCharType="separate"/>
          </w:r>
          <w:r>
            <w:rPr>
              <w:rFonts w:hint="eastAsia" w:ascii="宋体" w:hAnsi="宋体"/>
              <w:sz w:val="28"/>
              <w:szCs w:val="28"/>
            </w:rPr>
            <w:t>第五章</w:t>
          </w:r>
          <w:r>
            <w:rPr>
              <w:rFonts w:ascii="宋体" w:hAnsi="宋体"/>
              <w:sz w:val="28"/>
              <w:szCs w:val="28"/>
            </w:rPr>
            <w:t xml:space="preserve">  </w:t>
          </w:r>
          <w:r>
            <w:rPr>
              <w:rFonts w:hint="eastAsia" w:ascii="宋体" w:hAnsi="宋体"/>
              <w:sz w:val="28"/>
              <w:szCs w:val="28"/>
            </w:rPr>
            <w:t>响应文件格式</w:t>
          </w:r>
          <w:r>
            <w:rPr>
              <w:sz w:val="28"/>
              <w:szCs w:val="28"/>
            </w:rPr>
            <w:tab/>
          </w:r>
          <w:r>
            <w:rPr>
              <w:sz w:val="28"/>
              <w:szCs w:val="28"/>
            </w:rPr>
            <w:fldChar w:fldCharType="begin"/>
          </w:r>
          <w:r>
            <w:rPr>
              <w:sz w:val="28"/>
              <w:szCs w:val="28"/>
            </w:rPr>
            <w:instrText xml:space="preserve"> PAGEREF _Toc4957 </w:instrText>
          </w:r>
          <w:r>
            <w:rPr>
              <w:sz w:val="28"/>
              <w:szCs w:val="28"/>
            </w:rPr>
            <w:fldChar w:fldCharType="separate"/>
          </w:r>
          <w:r>
            <w:rPr>
              <w:sz w:val="28"/>
              <w:szCs w:val="28"/>
            </w:rPr>
            <w:t>30</w:t>
          </w:r>
          <w:r>
            <w:rPr>
              <w:sz w:val="28"/>
              <w:szCs w:val="28"/>
            </w:rPr>
            <w:fldChar w:fldCharType="end"/>
          </w:r>
          <w:r>
            <w:rPr>
              <w:sz w:val="28"/>
              <w:szCs w:val="28"/>
            </w:rPr>
            <w:fldChar w:fldCharType="end"/>
          </w:r>
        </w:p>
        <w:p>
          <w:pPr>
            <w:pStyle w:val="13"/>
            <w:tabs>
              <w:tab w:val="right" w:leader="dot" w:pos="9746"/>
            </w:tabs>
            <w:rPr>
              <w:sz w:val="28"/>
              <w:szCs w:val="28"/>
            </w:rPr>
          </w:pPr>
          <w:r>
            <w:fldChar w:fldCharType="begin"/>
          </w:r>
          <w:r>
            <w:instrText xml:space="preserve"> HYPERLINK \l "_Toc26477" </w:instrText>
          </w:r>
          <w:r>
            <w:fldChar w:fldCharType="separate"/>
          </w:r>
          <w:r>
            <w:rPr>
              <w:rFonts w:hint="eastAsia" w:asciiTheme="majorEastAsia" w:hAnsiTheme="majorEastAsia" w:eastAsiaTheme="majorEastAsia" w:cstheme="majorEastAsia"/>
              <w:sz w:val="28"/>
              <w:szCs w:val="28"/>
            </w:rPr>
            <w:t>第六章  合同条款及格式</w:t>
          </w:r>
          <w:r>
            <w:rPr>
              <w:sz w:val="28"/>
              <w:szCs w:val="28"/>
            </w:rPr>
            <w:tab/>
          </w:r>
          <w:r>
            <w:rPr>
              <w:sz w:val="28"/>
              <w:szCs w:val="28"/>
            </w:rPr>
            <w:fldChar w:fldCharType="begin"/>
          </w:r>
          <w:r>
            <w:rPr>
              <w:sz w:val="28"/>
              <w:szCs w:val="28"/>
            </w:rPr>
            <w:instrText xml:space="preserve"> PAGEREF _Toc26477 </w:instrText>
          </w:r>
          <w:r>
            <w:rPr>
              <w:sz w:val="28"/>
              <w:szCs w:val="28"/>
            </w:rPr>
            <w:fldChar w:fldCharType="separate"/>
          </w:r>
          <w:r>
            <w:rPr>
              <w:sz w:val="28"/>
              <w:szCs w:val="28"/>
            </w:rPr>
            <w:t>43</w:t>
          </w:r>
          <w:r>
            <w:rPr>
              <w:sz w:val="28"/>
              <w:szCs w:val="28"/>
            </w:rPr>
            <w:fldChar w:fldCharType="end"/>
          </w:r>
          <w:r>
            <w:rPr>
              <w:sz w:val="28"/>
              <w:szCs w:val="28"/>
            </w:rPr>
            <w:fldChar w:fldCharType="end"/>
          </w:r>
        </w:p>
        <w:p>
          <w:pPr>
            <w:widowControl/>
            <w:jc w:val="left"/>
            <w:rPr>
              <w:rFonts w:asciiTheme="majorEastAsia" w:hAnsiTheme="majorEastAsia" w:eastAsiaTheme="majorEastAsia" w:cstheme="majorEastAsia"/>
              <w:color w:val="000000" w:themeColor="text1"/>
              <w:sz w:val="18"/>
              <w:szCs w:val="21"/>
            </w:rPr>
          </w:pPr>
          <w:r>
            <w:rPr>
              <w:rFonts w:asciiTheme="majorEastAsia" w:hAnsiTheme="majorEastAsia" w:eastAsiaTheme="majorEastAsia" w:cstheme="majorEastAsia"/>
              <w:color w:val="000000" w:themeColor="text1"/>
              <w:sz w:val="18"/>
              <w:szCs w:val="18"/>
              <w:highlight w:val="yellow"/>
            </w:rPr>
            <w:fldChar w:fldCharType="end"/>
          </w:r>
        </w:p>
      </w:sdtContent>
    </w:sdt>
    <w:bookmarkEnd w:id="2"/>
    <w:bookmarkEnd w:id="3"/>
    <w:p>
      <w:pPr>
        <w:rPr>
          <w:rFonts w:cs="宋体" w:asciiTheme="majorEastAsia" w:hAnsiTheme="majorEastAsia" w:eastAsiaTheme="majorEastAsia"/>
          <w:b/>
          <w:color w:val="000000" w:themeColor="text1"/>
          <w:sz w:val="24"/>
        </w:rPr>
      </w:pPr>
      <w:bookmarkStart w:id="4" w:name="_Toc12030"/>
      <w:r>
        <w:rPr>
          <w:rFonts w:hint="eastAsia" w:cs="宋体" w:asciiTheme="majorEastAsia" w:hAnsiTheme="majorEastAsia" w:eastAsiaTheme="majorEastAsia"/>
          <w:b/>
          <w:color w:val="000000" w:themeColor="text1"/>
          <w:sz w:val="24"/>
        </w:rPr>
        <w:br w:type="page"/>
      </w:r>
    </w:p>
    <w:p>
      <w:pPr>
        <w:pStyle w:val="3"/>
        <w:wordWrap w:val="0"/>
        <w:ind w:left="283" w:leftChars="135" w:firstLine="3534" w:firstLineChars="1100"/>
        <w:rPr>
          <w:rFonts w:cs="宋体" w:asciiTheme="majorEastAsia" w:hAnsiTheme="majorEastAsia" w:eastAsiaTheme="majorEastAsia"/>
          <w:b/>
          <w:color w:val="000000" w:themeColor="text1"/>
          <w:sz w:val="32"/>
          <w:szCs w:val="32"/>
        </w:rPr>
      </w:pPr>
      <w:bookmarkStart w:id="5" w:name="_Toc32412"/>
      <w:bookmarkStart w:id="6" w:name="_Toc8504"/>
      <w:r>
        <w:rPr>
          <w:rFonts w:hint="eastAsia" w:cs="宋体" w:asciiTheme="majorEastAsia" w:hAnsiTheme="majorEastAsia" w:eastAsiaTheme="majorEastAsia"/>
          <w:b/>
          <w:color w:val="000000" w:themeColor="text1"/>
          <w:sz w:val="32"/>
          <w:szCs w:val="32"/>
        </w:rPr>
        <w:t>第一章 竞争性磋商公告</w:t>
      </w:r>
      <w:bookmarkEnd w:id="4"/>
      <w:bookmarkEnd w:id="5"/>
      <w:bookmarkEnd w:id="6"/>
    </w:p>
    <w:p>
      <w:pPr>
        <w:pBdr>
          <w:top w:val="single" w:color="auto" w:sz="4" w:space="1"/>
          <w:left w:val="single" w:color="auto" w:sz="4" w:space="4"/>
          <w:bottom w:val="single" w:color="auto" w:sz="4" w:space="1"/>
          <w:right w:val="single" w:color="auto" w:sz="4" w:space="4"/>
        </w:pBdr>
        <w:spacing w:line="460" w:lineRule="exact"/>
        <w:rPr>
          <w:rFonts w:cs="宋体" w:asciiTheme="majorEastAsia" w:hAnsiTheme="majorEastAsia" w:eastAsiaTheme="majorEastAsia"/>
          <w:color w:val="000000" w:themeColor="text1"/>
          <w:sz w:val="24"/>
        </w:rPr>
      </w:pPr>
      <w:r>
        <w:rPr>
          <w:rFonts w:hint="eastAsia" w:cs="宋体" w:asciiTheme="majorEastAsia" w:hAnsiTheme="majorEastAsia" w:eastAsiaTheme="majorEastAsia"/>
          <w:color w:val="000000" w:themeColor="text1"/>
          <w:sz w:val="24"/>
        </w:rPr>
        <w:t>项目概况：</w:t>
      </w:r>
    </w:p>
    <w:p>
      <w:pPr>
        <w:pBdr>
          <w:top w:val="single" w:color="auto" w:sz="4" w:space="1"/>
          <w:left w:val="single" w:color="auto" w:sz="4" w:space="4"/>
          <w:bottom w:val="single" w:color="auto" w:sz="4" w:space="1"/>
          <w:right w:val="single" w:color="auto" w:sz="4" w:space="4"/>
        </w:pBdr>
        <w:spacing w:line="460" w:lineRule="exact"/>
        <w:ind w:firstLine="720" w:firstLineChars="300"/>
        <w:rPr>
          <w:rFonts w:cs="宋体" w:asciiTheme="majorEastAsia" w:hAnsiTheme="majorEastAsia" w:eastAsiaTheme="majorEastAsia"/>
          <w:color w:val="000000" w:themeColor="text1"/>
          <w:sz w:val="24"/>
        </w:rPr>
      </w:pPr>
      <w:r>
        <w:rPr>
          <w:rFonts w:hint="eastAsia" w:cs="宋体" w:asciiTheme="majorEastAsia" w:hAnsiTheme="majorEastAsia" w:eastAsiaTheme="majorEastAsia"/>
          <w:color w:val="000000" w:themeColor="text1"/>
          <w:sz w:val="24"/>
          <w:u w:val="single"/>
        </w:rPr>
        <w:t>住房保障信息系统专线租用（项目编号：NNZC2020-C3-990370-GXYZ）</w:t>
      </w:r>
      <w:r>
        <w:rPr>
          <w:rFonts w:hint="eastAsia" w:cs="宋体" w:asciiTheme="majorEastAsia" w:hAnsiTheme="majorEastAsia" w:eastAsiaTheme="majorEastAsia"/>
          <w:color w:val="000000" w:themeColor="text1"/>
          <w:sz w:val="24"/>
        </w:rPr>
        <w:t>采购项目的潜在供应商应在</w:t>
      </w:r>
      <w:r>
        <w:rPr>
          <w:rFonts w:hint="eastAsia" w:cs="宋体" w:asciiTheme="majorEastAsia" w:hAnsiTheme="majorEastAsia" w:eastAsiaTheme="majorEastAsia"/>
          <w:color w:val="000000" w:themeColor="text1"/>
          <w:sz w:val="24"/>
          <w:u w:val="single"/>
        </w:rPr>
        <w:t>南宁市公共资源交易平台(https://www.nnggzy.org.cn/gxnnzbw/)</w:t>
      </w:r>
      <w:r>
        <w:rPr>
          <w:rFonts w:hint="eastAsia" w:cs="宋体" w:asciiTheme="majorEastAsia" w:hAnsiTheme="majorEastAsia" w:eastAsiaTheme="majorEastAsia"/>
          <w:color w:val="000000" w:themeColor="text1"/>
          <w:sz w:val="24"/>
        </w:rPr>
        <w:t>的信息公告处自行下载获取本项目采购文件，并于</w:t>
      </w:r>
      <w:r>
        <w:rPr>
          <w:rFonts w:hint="eastAsia" w:cs="宋体" w:asciiTheme="majorEastAsia" w:hAnsiTheme="majorEastAsia" w:eastAsiaTheme="majorEastAsia"/>
          <w:color w:val="000000" w:themeColor="text1"/>
          <w:sz w:val="24"/>
          <w:u w:val="single"/>
        </w:rPr>
        <w:t>2020年</w:t>
      </w:r>
      <w:r>
        <w:rPr>
          <w:rFonts w:hint="eastAsia" w:cs="宋体" w:asciiTheme="majorEastAsia" w:hAnsiTheme="majorEastAsia" w:eastAsiaTheme="majorEastAsia"/>
          <w:color w:val="000000" w:themeColor="text1"/>
          <w:sz w:val="24"/>
          <w:u w:val="single"/>
          <w:lang w:val="en-US" w:eastAsia="zh-CN"/>
        </w:rPr>
        <w:t>11</w:t>
      </w:r>
      <w:r>
        <w:rPr>
          <w:rFonts w:hint="eastAsia" w:cs="宋体" w:asciiTheme="majorEastAsia" w:hAnsiTheme="majorEastAsia" w:eastAsiaTheme="majorEastAsia"/>
          <w:color w:val="000000" w:themeColor="text1"/>
          <w:sz w:val="24"/>
          <w:u w:val="single"/>
        </w:rPr>
        <w:t>月</w:t>
      </w:r>
      <w:r>
        <w:rPr>
          <w:rFonts w:hint="eastAsia" w:cs="宋体" w:asciiTheme="majorEastAsia" w:hAnsiTheme="majorEastAsia" w:eastAsiaTheme="majorEastAsia"/>
          <w:color w:val="000000" w:themeColor="text1"/>
          <w:sz w:val="24"/>
          <w:u w:val="single"/>
          <w:lang w:val="en-US" w:eastAsia="zh-CN"/>
        </w:rPr>
        <w:t>16</w:t>
      </w:r>
      <w:r>
        <w:rPr>
          <w:rFonts w:hint="eastAsia" w:cs="宋体" w:asciiTheme="majorEastAsia" w:hAnsiTheme="majorEastAsia" w:eastAsiaTheme="majorEastAsia"/>
          <w:color w:val="000000" w:themeColor="text1"/>
          <w:sz w:val="24"/>
          <w:u w:val="single"/>
        </w:rPr>
        <w:t>日</w:t>
      </w:r>
      <w:r>
        <w:rPr>
          <w:rFonts w:hint="eastAsia" w:cs="宋体" w:asciiTheme="majorEastAsia" w:hAnsiTheme="majorEastAsia" w:eastAsiaTheme="majorEastAsia"/>
          <w:color w:val="000000" w:themeColor="text1"/>
          <w:sz w:val="24"/>
          <w:u w:val="single"/>
          <w:lang w:val="en-US" w:eastAsia="zh-CN"/>
        </w:rPr>
        <w:t>13</w:t>
      </w:r>
      <w:r>
        <w:rPr>
          <w:rFonts w:hint="eastAsia" w:cs="宋体" w:asciiTheme="majorEastAsia" w:hAnsiTheme="majorEastAsia" w:eastAsiaTheme="majorEastAsia"/>
          <w:color w:val="000000" w:themeColor="text1"/>
          <w:sz w:val="24"/>
          <w:u w:val="single"/>
        </w:rPr>
        <w:t>点</w:t>
      </w:r>
      <w:r>
        <w:rPr>
          <w:rFonts w:hint="eastAsia" w:cs="宋体" w:asciiTheme="majorEastAsia" w:hAnsiTheme="majorEastAsia" w:eastAsiaTheme="majorEastAsia"/>
          <w:color w:val="000000" w:themeColor="text1"/>
          <w:sz w:val="24"/>
          <w:u w:val="single"/>
          <w:lang w:val="en-US" w:eastAsia="zh-CN"/>
        </w:rPr>
        <w:t>00</w:t>
      </w:r>
      <w:r>
        <w:rPr>
          <w:rFonts w:hint="eastAsia" w:cs="宋体" w:asciiTheme="majorEastAsia" w:hAnsiTheme="majorEastAsia" w:eastAsiaTheme="majorEastAsia"/>
          <w:color w:val="000000" w:themeColor="text1"/>
          <w:sz w:val="24"/>
          <w:u w:val="single"/>
        </w:rPr>
        <w:t>分</w:t>
      </w:r>
      <w:r>
        <w:rPr>
          <w:rFonts w:hint="eastAsia" w:cs="宋体" w:asciiTheme="majorEastAsia" w:hAnsiTheme="majorEastAsia" w:eastAsiaTheme="majorEastAsia"/>
          <w:color w:val="000000" w:themeColor="text1"/>
          <w:sz w:val="24"/>
        </w:rPr>
        <w:t>（北京时间）前提交响应文件。</w:t>
      </w:r>
    </w:p>
    <w:p>
      <w:pPr>
        <w:widowControl/>
        <w:numPr>
          <w:ilvl w:val="255"/>
          <w:numId w:val="0"/>
        </w:numPr>
        <w:tabs>
          <w:tab w:val="left" w:pos="1021"/>
        </w:tabs>
        <w:spacing w:line="460" w:lineRule="exact"/>
        <w:rPr>
          <w:rFonts w:cs="宋体" w:asciiTheme="majorEastAsia" w:hAnsiTheme="majorEastAsia" w:eastAsiaTheme="majorEastAsia"/>
          <w:color w:val="000000" w:themeColor="text1"/>
          <w:sz w:val="24"/>
        </w:rPr>
      </w:pPr>
      <w:r>
        <w:rPr>
          <w:rFonts w:hint="eastAsia" w:cs="宋体" w:asciiTheme="majorEastAsia" w:hAnsiTheme="majorEastAsia" w:eastAsiaTheme="majorEastAsia"/>
          <w:color w:val="000000" w:themeColor="text1"/>
          <w:sz w:val="24"/>
        </w:rPr>
        <w:t>一、项目基本情况</w:t>
      </w:r>
    </w:p>
    <w:p>
      <w:pPr>
        <w:spacing w:line="460" w:lineRule="exact"/>
        <w:ind w:firstLine="480" w:firstLineChars="200"/>
        <w:rPr>
          <w:rFonts w:cs="宋体" w:asciiTheme="majorEastAsia" w:hAnsiTheme="majorEastAsia" w:eastAsiaTheme="majorEastAsia"/>
          <w:color w:val="000000" w:themeColor="text1"/>
          <w:sz w:val="24"/>
        </w:rPr>
      </w:pPr>
      <w:r>
        <w:rPr>
          <w:rFonts w:hint="eastAsia" w:cs="宋体" w:asciiTheme="majorEastAsia" w:hAnsiTheme="majorEastAsia" w:eastAsiaTheme="majorEastAsia"/>
          <w:color w:val="000000" w:themeColor="text1"/>
          <w:sz w:val="24"/>
        </w:rPr>
        <w:t>项目编号：NNZC2020-C3-990370-GXYZ</w:t>
      </w:r>
    </w:p>
    <w:p>
      <w:pPr>
        <w:spacing w:line="460" w:lineRule="exact"/>
        <w:ind w:firstLine="480" w:firstLineChars="200"/>
        <w:rPr>
          <w:rFonts w:cs="宋体" w:asciiTheme="majorEastAsia" w:hAnsiTheme="majorEastAsia" w:eastAsiaTheme="majorEastAsia"/>
          <w:color w:val="000000" w:themeColor="text1"/>
          <w:sz w:val="24"/>
        </w:rPr>
      </w:pPr>
      <w:r>
        <w:rPr>
          <w:rFonts w:hint="eastAsia" w:cs="宋体" w:asciiTheme="majorEastAsia" w:hAnsiTheme="majorEastAsia" w:eastAsiaTheme="majorEastAsia"/>
          <w:color w:val="000000" w:themeColor="text1"/>
          <w:sz w:val="24"/>
        </w:rPr>
        <w:t>项目名称：住房保障信息系统专线租用</w:t>
      </w:r>
    </w:p>
    <w:p>
      <w:pPr>
        <w:spacing w:line="460" w:lineRule="exact"/>
        <w:ind w:firstLine="480" w:firstLineChars="200"/>
        <w:rPr>
          <w:rFonts w:cs="宋体" w:asciiTheme="majorEastAsia" w:hAnsiTheme="majorEastAsia" w:eastAsiaTheme="majorEastAsia"/>
          <w:color w:val="000000" w:themeColor="text1"/>
          <w:sz w:val="24"/>
        </w:rPr>
      </w:pPr>
      <w:r>
        <w:rPr>
          <w:rFonts w:hint="eastAsia" w:cs="宋体" w:asciiTheme="majorEastAsia" w:hAnsiTheme="majorEastAsia" w:eastAsiaTheme="majorEastAsia"/>
          <w:color w:val="000000" w:themeColor="text1"/>
          <w:sz w:val="24"/>
        </w:rPr>
        <w:t>采购计划文号：[2020]NCCJB518001/4170-001</w:t>
      </w:r>
    </w:p>
    <w:p>
      <w:pPr>
        <w:spacing w:line="460" w:lineRule="exact"/>
        <w:ind w:firstLine="480" w:firstLineChars="200"/>
        <w:rPr>
          <w:rFonts w:cs="宋体" w:asciiTheme="majorEastAsia" w:hAnsiTheme="majorEastAsia" w:eastAsiaTheme="majorEastAsia"/>
          <w:color w:val="000000" w:themeColor="text1"/>
          <w:sz w:val="24"/>
        </w:rPr>
      </w:pPr>
      <w:r>
        <w:rPr>
          <w:rFonts w:hint="eastAsia" w:cs="宋体" w:asciiTheme="majorEastAsia" w:hAnsiTheme="majorEastAsia" w:eastAsiaTheme="majorEastAsia"/>
          <w:color w:val="000000" w:themeColor="text1"/>
          <w:sz w:val="24"/>
        </w:rPr>
        <w:t>采购方式：竞争性磋商</w:t>
      </w:r>
    </w:p>
    <w:p>
      <w:pPr>
        <w:spacing w:line="460" w:lineRule="exact"/>
        <w:ind w:firstLine="480" w:firstLineChars="200"/>
        <w:rPr>
          <w:rFonts w:cs="宋体" w:asciiTheme="majorEastAsia" w:hAnsiTheme="majorEastAsia" w:eastAsiaTheme="majorEastAsia"/>
          <w:color w:val="000000" w:themeColor="text1"/>
          <w:sz w:val="24"/>
        </w:rPr>
      </w:pPr>
      <w:r>
        <w:rPr>
          <w:rFonts w:hint="eastAsia" w:cs="宋体" w:asciiTheme="majorEastAsia" w:hAnsiTheme="majorEastAsia" w:eastAsiaTheme="majorEastAsia"/>
          <w:color w:val="000000" w:themeColor="text1"/>
          <w:sz w:val="24"/>
        </w:rPr>
        <w:t>预算金额：</w:t>
      </w:r>
      <w:r>
        <w:rPr>
          <w:rFonts w:hint="eastAsia" w:asciiTheme="majorEastAsia" w:hAnsiTheme="majorEastAsia" w:eastAsiaTheme="majorEastAsia" w:cstheme="majorEastAsia"/>
          <w:color w:val="000000" w:themeColor="text1"/>
          <w:sz w:val="24"/>
        </w:rPr>
        <w:t>人民币捌拾捌万伍仟陆佰元整（¥885600.00元）</w:t>
      </w:r>
    </w:p>
    <w:p>
      <w:pPr>
        <w:spacing w:line="460" w:lineRule="exact"/>
        <w:ind w:firstLine="480" w:firstLineChars="200"/>
        <w:rPr>
          <w:rFonts w:cs="宋体" w:asciiTheme="majorEastAsia" w:hAnsiTheme="majorEastAsia" w:eastAsiaTheme="majorEastAsia"/>
          <w:color w:val="000000" w:themeColor="text1"/>
          <w:sz w:val="24"/>
        </w:rPr>
      </w:pPr>
      <w:r>
        <w:rPr>
          <w:rFonts w:hint="eastAsia" w:cs="宋体" w:asciiTheme="majorEastAsia" w:hAnsiTheme="majorEastAsia" w:eastAsiaTheme="majorEastAsia"/>
          <w:color w:val="000000" w:themeColor="text1"/>
          <w:sz w:val="24"/>
        </w:rPr>
        <w:t>最高限价：</w:t>
      </w:r>
      <w:r>
        <w:rPr>
          <w:rFonts w:hint="eastAsia" w:asciiTheme="majorEastAsia" w:hAnsiTheme="majorEastAsia" w:eastAsiaTheme="majorEastAsia" w:cstheme="majorEastAsia"/>
          <w:color w:val="000000" w:themeColor="text1"/>
          <w:sz w:val="24"/>
        </w:rPr>
        <w:t>人民币捌拾捌万伍仟陆佰元整（¥885600.00元）</w:t>
      </w:r>
    </w:p>
    <w:p>
      <w:pPr>
        <w:spacing w:line="460" w:lineRule="exact"/>
        <w:ind w:firstLine="480" w:firstLineChars="200"/>
        <w:rPr>
          <w:rFonts w:cs="宋体" w:asciiTheme="majorEastAsia" w:hAnsiTheme="majorEastAsia" w:eastAsiaTheme="majorEastAsia"/>
          <w:color w:val="000000" w:themeColor="text1"/>
          <w:sz w:val="24"/>
        </w:rPr>
      </w:pPr>
      <w:r>
        <w:rPr>
          <w:rFonts w:hint="eastAsia" w:cs="宋体" w:asciiTheme="majorEastAsia" w:hAnsiTheme="majorEastAsia" w:eastAsiaTheme="majorEastAsia"/>
          <w:color w:val="000000" w:themeColor="text1"/>
          <w:sz w:val="24"/>
        </w:rPr>
        <w:t>采购需求：</w:t>
      </w:r>
    </w:p>
    <w:tbl>
      <w:tblPr>
        <w:tblStyle w:val="18"/>
        <w:tblW w:w="957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82"/>
        <w:gridCol w:w="2169"/>
        <w:gridCol w:w="1120"/>
        <w:gridCol w:w="55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782" w:type="dxa"/>
            <w:tcMar>
              <w:left w:w="0" w:type="dxa"/>
              <w:bottom w:w="0" w:type="dxa"/>
              <w:right w:w="0" w:type="dxa"/>
            </w:tcMar>
            <w:vAlign w:val="center"/>
          </w:tcPr>
          <w:p>
            <w:pPr>
              <w:spacing w:line="460" w:lineRule="exact"/>
              <w:jc w:val="center"/>
              <w:rPr>
                <w:rFonts w:cs="新宋体" w:asciiTheme="majorEastAsia" w:hAnsiTheme="majorEastAsia" w:eastAsiaTheme="majorEastAsia"/>
                <w:bCs/>
                <w:color w:val="000000" w:themeColor="text1"/>
                <w:sz w:val="24"/>
              </w:rPr>
            </w:pPr>
            <w:r>
              <w:rPr>
                <w:rFonts w:hint="eastAsia" w:cs="新宋体" w:asciiTheme="majorEastAsia" w:hAnsiTheme="majorEastAsia" w:eastAsiaTheme="majorEastAsia"/>
                <w:bCs/>
                <w:color w:val="000000" w:themeColor="text1"/>
                <w:sz w:val="24"/>
              </w:rPr>
              <w:t>项号</w:t>
            </w:r>
          </w:p>
        </w:tc>
        <w:tc>
          <w:tcPr>
            <w:tcW w:w="2169" w:type="dxa"/>
            <w:vAlign w:val="center"/>
          </w:tcPr>
          <w:p>
            <w:pPr>
              <w:spacing w:line="460" w:lineRule="exact"/>
              <w:jc w:val="center"/>
              <w:rPr>
                <w:rFonts w:cs="新宋体" w:asciiTheme="majorEastAsia" w:hAnsiTheme="majorEastAsia" w:eastAsiaTheme="majorEastAsia"/>
                <w:bCs/>
                <w:color w:val="000000" w:themeColor="text1"/>
                <w:sz w:val="24"/>
              </w:rPr>
            </w:pPr>
            <w:r>
              <w:rPr>
                <w:rFonts w:hint="eastAsia" w:cs="新宋体" w:asciiTheme="majorEastAsia" w:hAnsiTheme="majorEastAsia" w:eastAsiaTheme="majorEastAsia"/>
                <w:bCs/>
                <w:color w:val="000000" w:themeColor="text1"/>
                <w:sz w:val="24"/>
              </w:rPr>
              <w:t>服务名称</w:t>
            </w:r>
          </w:p>
        </w:tc>
        <w:tc>
          <w:tcPr>
            <w:tcW w:w="1120" w:type="dxa"/>
            <w:vAlign w:val="center"/>
          </w:tcPr>
          <w:p>
            <w:pPr>
              <w:spacing w:line="460" w:lineRule="exact"/>
              <w:jc w:val="center"/>
              <w:rPr>
                <w:rFonts w:cs="新宋体" w:asciiTheme="majorEastAsia" w:hAnsiTheme="majorEastAsia" w:eastAsiaTheme="majorEastAsia"/>
                <w:bCs/>
                <w:color w:val="000000" w:themeColor="text1"/>
                <w:sz w:val="24"/>
              </w:rPr>
            </w:pPr>
            <w:r>
              <w:rPr>
                <w:rFonts w:hint="eastAsia" w:cs="新宋体" w:asciiTheme="majorEastAsia" w:hAnsiTheme="majorEastAsia" w:eastAsiaTheme="majorEastAsia"/>
                <w:bCs/>
                <w:color w:val="000000" w:themeColor="text1"/>
                <w:kern w:val="0"/>
                <w:sz w:val="24"/>
              </w:rPr>
              <w:t>数量</w:t>
            </w:r>
          </w:p>
        </w:tc>
        <w:tc>
          <w:tcPr>
            <w:tcW w:w="5506" w:type="dxa"/>
            <w:tcBorders>
              <w:right w:val="single" w:color="auto" w:sz="4" w:space="0"/>
            </w:tcBorders>
            <w:vAlign w:val="center"/>
          </w:tcPr>
          <w:p>
            <w:pPr>
              <w:spacing w:line="460" w:lineRule="exact"/>
              <w:jc w:val="center"/>
              <w:rPr>
                <w:rFonts w:cs="新宋体" w:asciiTheme="majorEastAsia" w:hAnsiTheme="majorEastAsia" w:eastAsiaTheme="majorEastAsia"/>
                <w:bCs/>
                <w:sz w:val="24"/>
              </w:rPr>
            </w:pPr>
            <w:r>
              <w:rPr>
                <w:rFonts w:hint="eastAsia" w:cs="新宋体" w:asciiTheme="majorEastAsia" w:hAnsiTheme="majorEastAsia" w:eastAsiaTheme="majorEastAsia"/>
                <w:bCs/>
                <w:sz w:val="24"/>
              </w:rPr>
              <w:t>服务内容及要求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45" w:hRule="atLeast"/>
        </w:trPr>
        <w:tc>
          <w:tcPr>
            <w:tcW w:w="782" w:type="dxa"/>
            <w:vAlign w:val="center"/>
          </w:tcPr>
          <w:p>
            <w:pPr>
              <w:spacing w:line="460" w:lineRule="exact"/>
              <w:jc w:val="center"/>
              <w:rPr>
                <w:rFonts w:cs="新宋体" w:asciiTheme="majorEastAsia" w:hAnsiTheme="majorEastAsia" w:eastAsiaTheme="majorEastAsia"/>
                <w:bCs/>
                <w:color w:val="000000" w:themeColor="text1"/>
                <w:sz w:val="24"/>
              </w:rPr>
            </w:pPr>
            <w:r>
              <w:rPr>
                <w:rFonts w:hint="eastAsia" w:cs="新宋体" w:asciiTheme="majorEastAsia" w:hAnsiTheme="majorEastAsia" w:eastAsiaTheme="majorEastAsia"/>
                <w:bCs/>
                <w:color w:val="000000" w:themeColor="text1"/>
                <w:sz w:val="24"/>
              </w:rPr>
              <w:t>1</w:t>
            </w:r>
          </w:p>
        </w:tc>
        <w:tc>
          <w:tcPr>
            <w:tcW w:w="2169" w:type="dxa"/>
            <w:vAlign w:val="center"/>
          </w:tcPr>
          <w:p>
            <w:pPr>
              <w:spacing w:line="460" w:lineRule="exact"/>
              <w:rPr>
                <w:rFonts w:cs="新宋体" w:asciiTheme="majorEastAsia" w:hAnsiTheme="majorEastAsia" w:eastAsiaTheme="majorEastAsia"/>
                <w:bCs/>
                <w:color w:val="000000" w:themeColor="text1"/>
                <w:sz w:val="24"/>
              </w:rPr>
            </w:pPr>
            <w:r>
              <w:rPr>
                <w:rFonts w:hint="eastAsia" w:cs="宋体" w:asciiTheme="majorEastAsia" w:hAnsiTheme="majorEastAsia" w:eastAsiaTheme="majorEastAsia"/>
                <w:color w:val="000000" w:themeColor="text1"/>
                <w:sz w:val="24"/>
              </w:rPr>
              <w:t>住房保障信息系统专线租用</w:t>
            </w:r>
          </w:p>
        </w:tc>
        <w:tc>
          <w:tcPr>
            <w:tcW w:w="1120" w:type="dxa"/>
            <w:vAlign w:val="center"/>
          </w:tcPr>
          <w:p>
            <w:pPr>
              <w:spacing w:line="460" w:lineRule="exact"/>
              <w:ind w:firstLine="240" w:firstLineChars="100"/>
              <w:rPr>
                <w:rFonts w:cs="新宋体" w:asciiTheme="majorEastAsia" w:hAnsiTheme="majorEastAsia" w:eastAsiaTheme="majorEastAsia"/>
                <w:bCs/>
                <w:color w:val="000000" w:themeColor="text1"/>
                <w:sz w:val="24"/>
              </w:rPr>
            </w:pPr>
            <w:r>
              <w:rPr>
                <w:rFonts w:hint="eastAsia" w:cs="新宋体" w:asciiTheme="majorEastAsia" w:hAnsiTheme="majorEastAsia" w:eastAsiaTheme="majorEastAsia"/>
                <w:bCs/>
                <w:color w:val="000000" w:themeColor="text1"/>
                <w:sz w:val="24"/>
              </w:rPr>
              <w:t>1项</w:t>
            </w:r>
          </w:p>
        </w:tc>
        <w:tc>
          <w:tcPr>
            <w:tcW w:w="5506" w:type="dxa"/>
            <w:tcBorders>
              <w:right w:val="single" w:color="auto" w:sz="4" w:space="0"/>
            </w:tcBorders>
            <w:vAlign w:val="center"/>
          </w:tcPr>
          <w:p>
            <w:pPr>
              <w:rPr>
                <w:rFonts w:cs="新宋体" w:asciiTheme="majorEastAsia" w:hAnsiTheme="majorEastAsia" w:eastAsiaTheme="majorEastAsia"/>
                <w:sz w:val="24"/>
              </w:rPr>
            </w:pPr>
            <w:r>
              <w:rPr>
                <w:rFonts w:hint="eastAsia" w:cs="新宋体" w:asciiTheme="majorEastAsia" w:hAnsiTheme="majorEastAsia" w:eastAsiaTheme="majorEastAsia"/>
                <w:sz w:val="24"/>
              </w:rPr>
              <w:t>一、项目概况</w:t>
            </w:r>
          </w:p>
          <w:p>
            <w:pPr>
              <w:rPr>
                <w:rFonts w:cs="新宋体" w:asciiTheme="majorEastAsia" w:hAnsiTheme="majorEastAsia" w:eastAsiaTheme="majorEastAsia"/>
                <w:sz w:val="24"/>
              </w:rPr>
            </w:pPr>
            <w:r>
              <w:rPr>
                <w:rFonts w:hint="eastAsia" w:cs="新宋体" w:asciiTheme="majorEastAsia" w:hAnsiTheme="majorEastAsia" w:eastAsiaTheme="majorEastAsia"/>
                <w:sz w:val="24"/>
              </w:rPr>
              <w:t>根据业务需要，采购人需在南宁市街道办、房管所共82个点到南宁市住房和城乡建设局之间架设多条网络专线，用于多地机房之间网络连接。</w:t>
            </w:r>
          </w:p>
          <w:p>
            <w:pPr>
              <w:rPr>
                <w:rFonts w:cs="新宋体" w:asciiTheme="majorEastAsia" w:hAnsiTheme="majorEastAsia" w:eastAsiaTheme="majorEastAsia"/>
                <w:sz w:val="24"/>
              </w:rPr>
            </w:pPr>
            <w:r>
              <w:rPr>
                <w:rFonts w:hint="eastAsia" w:cs="新宋体" w:asciiTheme="majorEastAsia" w:hAnsiTheme="majorEastAsia" w:eastAsiaTheme="majorEastAsia"/>
                <w:sz w:val="24"/>
              </w:rPr>
              <w:t>二、项目目标</w:t>
            </w:r>
          </w:p>
          <w:p>
            <w:pPr>
              <w:rPr>
                <w:rFonts w:cs="新宋体" w:asciiTheme="majorEastAsia" w:hAnsiTheme="majorEastAsia" w:eastAsiaTheme="majorEastAsia"/>
                <w:sz w:val="24"/>
              </w:rPr>
            </w:pPr>
            <w:r>
              <w:rPr>
                <w:rFonts w:hint="eastAsia" w:cs="新宋体" w:asciiTheme="majorEastAsia" w:hAnsiTheme="majorEastAsia" w:eastAsiaTheme="majorEastAsia"/>
                <w:sz w:val="24"/>
              </w:rPr>
              <w:t>通过租用南宁市街道办、房管所共82个点至南宁市住房和城乡建设局机房的点对点光纤专线，实现系统数据能够互相传递、共享。</w:t>
            </w:r>
          </w:p>
          <w:p>
            <w:pPr>
              <w:rPr>
                <w:rFonts w:cs="新宋体" w:asciiTheme="majorEastAsia" w:hAnsiTheme="majorEastAsia" w:eastAsiaTheme="majorEastAsia"/>
                <w:sz w:val="24"/>
              </w:rPr>
            </w:pPr>
            <w:r>
              <w:rPr>
                <w:rFonts w:hint="eastAsia" w:cs="新宋体" w:asciiTheme="majorEastAsia" w:hAnsiTheme="majorEastAsia" w:eastAsiaTheme="majorEastAsia"/>
                <w:sz w:val="24"/>
              </w:rPr>
              <w:t>......</w:t>
            </w:r>
          </w:p>
        </w:tc>
      </w:tr>
    </w:tbl>
    <w:p>
      <w:pPr>
        <w:spacing w:line="460" w:lineRule="exact"/>
        <w:ind w:firstLine="480" w:firstLineChars="200"/>
        <w:rPr>
          <w:rFonts w:cs="宋体" w:asciiTheme="majorEastAsia" w:hAnsiTheme="majorEastAsia" w:eastAsiaTheme="majorEastAsia"/>
          <w:color w:val="000000" w:themeColor="text1"/>
          <w:sz w:val="24"/>
          <w:u w:val="single"/>
        </w:rPr>
      </w:pPr>
      <w:r>
        <w:rPr>
          <w:rFonts w:hint="eastAsia" w:cs="宋体" w:asciiTheme="majorEastAsia" w:hAnsiTheme="majorEastAsia" w:eastAsiaTheme="majorEastAsia"/>
          <w:color w:val="000000" w:themeColor="text1"/>
          <w:sz w:val="24"/>
        </w:rPr>
        <w:t>合同履行期限：详见竞争性磋商文件。</w:t>
      </w:r>
    </w:p>
    <w:p>
      <w:pPr>
        <w:widowControl/>
        <w:numPr>
          <w:ilvl w:val="255"/>
          <w:numId w:val="0"/>
        </w:numPr>
        <w:tabs>
          <w:tab w:val="left" w:pos="1021"/>
        </w:tabs>
        <w:spacing w:line="460" w:lineRule="exact"/>
        <w:ind w:left="425"/>
        <w:rPr>
          <w:rFonts w:cs="宋体" w:asciiTheme="majorEastAsia" w:hAnsiTheme="majorEastAsia" w:eastAsiaTheme="majorEastAsia"/>
          <w:color w:val="000000" w:themeColor="text1"/>
          <w:sz w:val="24"/>
        </w:rPr>
      </w:pPr>
      <w:r>
        <w:rPr>
          <w:rFonts w:hint="eastAsia" w:cs="宋体" w:asciiTheme="majorEastAsia" w:hAnsiTheme="majorEastAsia" w:eastAsiaTheme="majorEastAsia"/>
          <w:color w:val="000000" w:themeColor="text1"/>
          <w:sz w:val="24"/>
        </w:rPr>
        <w:t>二、申请人的资格要求：</w:t>
      </w:r>
    </w:p>
    <w:p>
      <w:pPr>
        <w:spacing w:line="460" w:lineRule="exact"/>
        <w:ind w:firstLine="480" w:firstLineChars="200"/>
        <w:rPr>
          <w:rFonts w:cs="宋体" w:asciiTheme="majorEastAsia" w:hAnsiTheme="majorEastAsia" w:eastAsiaTheme="majorEastAsia"/>
          <w:color w:val="000000" w:themeColor="text1"/>
          <w:sz w:val="24"/>
        </w:rPr>
      </w:pPr>
      <w:r>
        <w:rPr>
          <w:rFonts w:hint="eastAsia" w:cs="宋体" w:asciiTheme="majorEastAsia" w:hAnsiTheme="majorEastAsia" w:eastAsiaTheme="majorEastAsia"/>
          <w:color w:val="000000" w:themeColor="text1"/>
          <w:sz w:val="24"/>
        </w:rPr>
        <w:t>1、满足《中华人民共和国政府采购法》第二十二条规定；</w:t>
      </w:r>
    </w:p>
    <w:p>
      <w:pPr>
        <w:spacing w:line="460" w:lineRule="exact"/>
        <w:ind w:firstLine="480" w:firstLineChars="200"/>
        <w:rPr>
          <w:rFonts w:cs="宋体" w:asciiTheme="majorEastAsia" w:hAnsiTheme="majorEastAsia" w:eastAsiaTheme="majorEastAsia"/>
          <w:color w:val="000000" w:themeColor="text1"/>
          <w:sz w:val="24"/>
        </w:rPr>
      </w:pPr>
      <w:r>
        <w:rPr>
          <w:rFonts w:hint="eastAsia" w:cs="宋体" w:asciiTheme="majorEastAsia" w:hAnsiTheme="majorEastAsia" w:eastAsiaTheme="majorEastAsia"/>
          <w:color w:val="000000" w:themeColor="text1"/>
          <w:sz w:val="24"/>
        </w:rPr>
        <w:t>2、落实政府采购政策需满足的资格要求：本项目适用政府采购促进中小企业、监狱企业发展、促进残疾人就业等有关政策，具体详见竞争性磋商文件；</w:t>
      </w:r>
    </w:p>
    <w:p>
      <w:pPr>
        <w:numPr>
          <w:ilvl w:val="255"/>
          <w:numId w:val="0"/>
        </w:numPr>
        <w:spacing w:line="460" w:lineRule="exact"/>
        <w:ind w:firstLine="480" w:firstLineChars="200"/>
        <w:rPr>
          <w:rFonts w:cs="宋体" w:asciiTheme="majorEastAsia" w:hAnsiTheme="majorEastAsia" w:eastAsiaTheme="majorEastAsia"/>
          <w:color w:val="000000" w:themeColor="text1"/>
          <w:sz w:val="24"/>
        </w:rPr>
      </w:pPr>
      <w:r>
        <w:rPr>
          <w:rFonts w:hint="eastAsia" w:cs="宋体" w:asciiTheme="majorEastAsia" w:hAnsiTheme="majorEastAsia" w:eastAsiaTheme="majorEastAsia"/>
          <w:color w:val="000000" w:themeColor="text1"/>
          <w:sz w:val="24"/>
        </w:rPr>
        <w:t>3、本项目的特定资格要求：无</w:t>
      </w:r>
    </w:p>
    <w:p>
      <w:pPr>
        <w:numPr>
          <w:ilvl w:val="255"/>
          <w:numId w:val="0"/>
        </w:numPr>
        <w:spacing w:line="460" w:lineRule="exact"/>
        <w:ind w:firstLine="480" w:firstLineChars="200"/>
        <w:rPr>
          <w:rFonts w:cs="宋体" w:asciiTheme="majorEastAsia" w:hAnsiTheme="majorEastAsia" w:eastAsiaTheme="majorEastAsia"/>
          <w:sz w:val="24"/>
        </w:rPr>
      </w:pPr>
      <w:r>
        <w:rPr>
          <w:rFonts w:hint="eastAsia" w:cs="宋体" w:asciiTheme="majorEastAsia" w:hAnsiTheme="majorEastAsia" w:eastAsiaTheme="majorEastAsia"/>
          <w:sz w:val="24"/>
        </w:rPr>
        <w:t>4、供应商需为国内注册（指按国家有关规定要求注册的）的基础电信运营商或其分支机构（含下属子公司或分公司），或注册经营范围内满足本项目采购服务需求的供应商，或与基础电信运营商（或其分支机构，含下属子公司或分公司）已签订线路租用协议依法能提供本次采购服务的供应商。</w:t>
      </w:r>
    </w:p>
    <w:p>
      <w:pPr>
        <w:spacing w:line="460" w:lineRule="exact"/>
        <w:ind w:firstLine="480" w:firstLineChars="200"/>
        <w:rPr>
          <w:rFonts w:cs="宋体" w:asciiTheme="majorEastAsia" w:hAnsiTheme="majorEastAsia" w:eastAsiaTheme="majorEastAsia"/>
          <w:color w:val="000000" w:themeColor="text1"/>
          <w:sz w:val="24"/>
        </w:rPr>
      </w:pPr>
      <w:r>
        <w:rPr>
          <w:rFonts w:hint="eastAsia" w:cs="宋体" w:asciiTheme="majorEastAsia" w:hAnsiTheme="majorEastAsia" w:eastAsiaTheme="majorEastAsia"/>
          <w:color w:val="000000" w:themeColor="text1"/>
          <w:sz w:val="24"/>
        </w:rPr>
        <w:t>5、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将被拒绝参与本次政府采购活动；</w:t>
      </w:r>
    </w:p>
    <w:p>
      <w:pPr>
        <w:spacing w:line="460" w:lineRule="exact"/>
        <w:ind w:firstLine="480" w:firstLineChars="200"/>
        <w:rPr>
          <w:rFonts w:cs="宋体" w:asciiTheme="majorEastAsia" w:hAnsiTheme="majorEastAsia" w:eastAsiaTheme="majorEastAsia"/>
          <w:color w:val="000000" w:themeColor="text1"/>
          <w:sz w:val="24"/>
        </w:rPr>
      </w:pPr>
      <w:r>
        <w:rPr>
          <w:rFonts w:hint="eastAsia" w:cs="宋体" w:asciiTheme="majorEastAsia" w:hAnsiTheme="majorEastAsia" w:eastAsiaTheme="majorEastAsia"/>
          <w:color w:val="000000" w:themeColor="text1"/>
          <w:sz w:val="24"/>
        </w:rPr>
        <w:t>6、单位负责人为同一人或者存在直接控股、管理关系的不同供应商，不得参加同一合同项下的采购活动。除单一来源采购项目外，为采购项目提供整体设计、规范编制或者项目管理、监理、检测等服务的供应商，不得再参加该采购项目的其他采购活动；</w:t>
      </w:r>
    </w:p>
    <w:p>
      <w:pPr>
        <w:spacing w:line="460" w:lineRule="exact"/>
        <w:ind w:firstLine="480" w:firstLineChars="200"/>
        <w:rPr>
          <w:rFonts w:cs="宋体" w:asciiTheme="majorEastAsia" w:hAnsiTheme="majorEastAsia" w:eastAsiaTheme="majorEastAsia"/>
          <w:color w:val="000000" w:themeColor="text1"/>
          <w:sz w:val="24"/>
        </w:rPr>
      </w:pPr>
      <w:r>
        <w:rPr>
          <w:rFonts w:hint="eastAsia" w:cs="宋体" w:asciiTheme="majorEastAsia" w:hAnsiTheme="majorEastAsia" w:eastAsiaTheme="majorEastAsia"/>
          <w:color w:val="000000" w:themeColor="text1"/>
          <w:sz w:val="24"/>
        </w:rPr>
        <w:t>7、不接受联合体响应。</w:t>
      </w:r>
    </w:p>
    <w:p>
      <w:pPr>
        <w:widowControl/>
        <w:numPr>
          <w:ilvl w:val="255"/>
          <w:numId w:val="0"/>
        </w:numPr>
        <w:tabs>
          <w:tab w:val="left" w:pos="1021"/>
        </w:tabs>
        <w:spacing w:line="460" w:lineRule="exact"/>
        <w:ind w:left="425"/>
        <w:rPr>
          <w:rFonts w:cs="宋体" w:asciiTheme="majorEastAsia" w:hAnsiTheme="majorEastAsia" w:eastAsiaTheme="majorEastAsia"/>
          <w:color w:val="000000" w:themeColor="text1"/>
          <w:sz w:val="24"/>
        </w:rPr>
      </w:pPr>
      <w:r>
        <w:rPr>
          <w:rFonts w:hint="eastAsia" w:cs="宋体" w:asciiTheme="majorEastAsia" w:hAnsiTheme="majorEastAsia" w:eastAsiaTheme="majorEastAsia"/>
          <w:color w:val="000000" w:themeColor="text1"/>
          <w:sz w:val="24"/>
        </w:rPr>
        <w:t>三、获取采购文件</w:t>
      </w:r>
    </w:p>
    <w:p>
      <w:pPr>
        <w:spacing w:line="460" w:lineRule="exact"/>
        <w:ind w:firstLine="540"/>
        <w:rPr>
          <w:rFonts w:cs="宋体" w:asciiTheme="majorEastAsia" w:hAnsiTheme="majorEastAsia" w:eastAsiaTheme="majorEastAsia"/>
          <w:color w:val="000000" w:themeColor="text1"/>
          <w:sz w:val="24"/>
        </w:rPr>
      </w:pPr>
      <w:r>
        <w:rPr>
          <w:rFonts w:hint="eastAsia" w:cs="宋体" w:asciiTheme="majorEastAsia" w:hAnsiTheme="majorEastAsia" w:eastAsiaTheme="majorEastAsia"/>
          <w:color w:val="000000" w:themeColor="text1"/>
          <w:sz w:val="24"/>
        </w:rPr>
        <w:t>时间：</w:t>
      </w:r>
      <w:r>
        <w:rPr>
          <w:rFonts w:hint="eastAsia" w:cs="宋体" w:asciiTheme="majorEastAsia" w:hAnsiTheme="majorEastAsia" w:eastAsiaTheme="majorEastAsia"/>
          <w:color w:val="000000" w:themeColor="text1"/>
          <w:sz w:val="24"/>
          <w:u w:val="single"/>
        </w:rPr>
        <w:t>2020年</w:t>
      </w:r>
      <w:r>
        <w:rPr>
          <w:rFonts w:hint="eastAsia" w:cs="宋体" w:asciiTheme="majorEastAsia" w:hAnsiTheme="majorEastAsia" w:eastAsiaTheme="majorEastAsia"/>
          <w:color w:val="000000" w:themeColor="text1"/>
          <w:sz w:val="24"/>
          <w:u w:val="single"/>
          <w:lang w:val="en-US" w:eastAsia="zh-CN"/>
        </w:rPr>
        <w:t>11</w:t>
      </w:r>
      <w:r>
        <w:rPr>
          <w:rFonts w:hint="eastAsia" w:cs="宋体" w:asciiTheme="majorEastAsia" w:hAnsiTheme="majorEastAsia" w:eastAsiaTheme="majorEastAsia"/>
          <w:color w:val="000000" w:themeColor="text1"/>
          <w:sz w:val="24"/>
          <w:u w:val="single"/>
        </w:rPr>
        <w:t>月</w:t>
      </w:r>
      <w:r>
        <w:rPr>
          <w:rFonts w:hint="eastAsia" w:cs="宋体" w:asciiTheme="majorEastAsia" w:hAnsiTheme="majorEastAsia" w:eastAsiaTheme="majorEastAsia"/>
          <w:color w:val="000000" w:themeColor="text1"/>
          <w:sz w:val="24"/>
          <w:u w:val="single"/>
          <w:lang w:val="en-US" w:eastAsia="zh-CN"/>
        </w:rPr>
        <w:t>05</w:t>
      </w:r>
      <w:r>
        <w:rPr>
          <w:rFonts w:hint="eastAsia" w:cs="宋体" w:asciiTheme="majorEastAsia" w:hAnsiTheme="majorEastAsia" w:eastAsiaTheme="majorEastAsia"/>
          <w:color w:val="000000" w:themeColor="text1"/>
          <w:sz w:val="24"/>
          <w:u w:val="single"/>
        </w:rPr>
        <w:t>日</w:t>
      </w:r>
      <w:r>
        <w:rPr>
          <w:rFonts w:hint="eastAsia" w:cs="宋体" w:asciiTheme="majorEastAsia" w:hAnsiTheme="majorEastAsia" w:eastAsiaTheme="majorEastAsia"/>
          <w:color w:val="000000" w:themeColor="text1"/>
          <w:sz w:val="24"/>
        </w:rPr>
        <w:t>至</w:t>
      </w:r>
      <w:r>
        <w:rPr>
          <w:rFonts w:hint="eastAsia" w:cs="宋体" w:asciiTheme="majorEastAsia" w:hAnsiTheme="majorEastAsia" w:eastAsiaTheme="majorEastAsia"/>
          <w:color w:val="000000" w:themeColor="text1"/>
          <w:sz w:val="24"/>
          <w:u w:val="single"/>
        </w:rPr>
        <w:t>2020年</w:t>
      </w:r>
      <w:r>
        <w:rPr>
          <w:rFonts w:hint="eastAsia" w:cs="宋体" w:asciiTheme="majorEastAsia" w:hAnsiTheme="majorEastAsia" w:eastAsiaTheme="majorEastAsia"/>
          <w:color w:val="000000" w:themeColor="text1"/>
          <w:sz w:val="24"/>
          <w:u w:val="single"/>
          <w:lang w:val="en-US" w:eastAsia="zh-CN"/>
        </w:rPr>
        <w:t>11</w:t>
      </w:r>
      <w:r>
        <w:rPr>
          <w:rFonts w:hint="eastAsia" w:cs="宋体" w:asciiTheme="majorEastAsia" w:hAnsiTheme="majorEastAsia" w:eastAsiaTheme="majorEastAsia"/>
          <w:color w:val="000000" w:themeColor="text1"/>
          <w:sz w:val="24"/>
          <w:u w:val="single"/>
        </w:rPr>
        <w:t>月</w:t>
      </w:r>
      <w:r>
        <w:rPr>
          <w:rFonts w:hint="eastAsia" w:cs="宋体" w:asciiTheme="majorEastAsia" w:hAnsiTheme="majorEastAsia" w:eastAsiaTheme="majorEastAsia"/>
          <w:color w:val="000000" w:themeColor="text1"/>
          <w:sz w:val="24"/>
          <w:u w:val="single"/>
          <w:lang w:val="en-US" w:eastAsia="zh-CN"/>
        </w:rPr>
        <w:t>11</w:t>
      </w:r>
      <w:r>
        <w:rPr>
          <w:rFonts w:hint="eastAsia" w:cs="宋体" w:asciiTheme="majorEastAsia" w:hAnsiTheme="majorEastAsia" w:eastAsiaTheme="majorEastAsia"/>
          <w:color w:val="000000" w:themeColor="text1"/>
          <w:sz w:val="24"/>
          <w:u w:val="single"/>
        </w:rPr>
        <w:t>日</w:t>
      </w:r>
      <w:r>
        <w:rPr>
          <w:rFonts w:hint="eastAsia" w:cs="宋体" w:asciiTheme="majorEastAsia" w:hAnsiTheme="majorEastAsia" w:eastAsiaTheme="majorEastAsia"/>
          <w:color w:val="000000" w:themeColor="text1"/>
          <w:sz w:val="24"/>
        </w:rPr>
        <w:t>，（北京时间，法定节假日除外 ）。</w:t>
      </w:r>
    </w:p>
    <w:p>
      <w:pPr>
        <w:spacing w:line="460" w:lineRule="exact"/>
        <w:ind w:firstLine="540"/>
        <w:rPr>
          <w:rFonts w:cs="宋体" w:asciiTheme="majorEastAsia" w:hAnsiTheme="majorEastAsia" w:eastAsiaTheme="majorEastAsia"/>
          <w:color w:val="000000" w:themeColor="text1"/>
          <w:sz w:val="24"/>
          <w:u w:val="single"/>
        </w:rPr>
      </w:pPr>
      <w:r>
        <w:rPr>
          <w:rFonts w:hint="eastAsia" w:cs="宋体" w:asciiTheme="majorEastAsia" w:hAnsiTheme="majorEastAsia" w:eastAsiaTheme="majorEastAsia"/>
          <w:color w:val="000000" w:themeColor="text1"/>
          <w:sz w:val="24"/>
        </w:rPr>
        <w:t>地点：南宁市公共资源交易平台(https://www.nnggzy.org.cn/gxnnhy)的信息公告处。</w:t>
      </w:r>
    </w:p>
    <w:p>
      <w:pPr>
        <w:pStyle w:val="15"/>
        <w:spacing w:before="75" w:beforeAutospacing="0" w:after="75" w:afterAutospacing="0" w:line="460" w:lineRule="exact"/>
        <w:ind w:firstLine="420"/>
        <w:jc w:val="both"/>
        <w:rPr>
          <w:rFonts w:asciiTheme="majorEastAsia" w:hAnsiTheme="majorEastAsia" w:eastAsiaTheme="majorEastAsia"/>
          <w:color w:val="000000" w:themeColor="text1"/>
          <w:kern w:val="2"/>
          <w:u w:val="single"/>
        </w:rPr>
      </w:pPr>
      <w:r>
        <w:rPr>
          <w:rFonts w:hint="eastAsia" w:asciiTheme="majorEastAsia" w:hAnsiTheme="majorEastAsia" w:eastAsiaTheme="majorEastAsia"/>
          <w:color w:val="000000" w:themeColor="text1"/>
          <w:kern w:val="2"/>
        </w:rPr>
        <w:t>方式：</w:t>
      </w:r>
      <w:r>
        <w:rPr>
          <w:rFonts w:hint="eastAsia" w:asciiTheme="majorEastAsia" w:hAnsiTheme="majorEastAsia" w:eastAsiaTheme="majorEastAsia"/>
          <w:color w:val="000000" w:themeColor="text1"/>
        </w:rPr>
        <w:t>本项目不发放纸质文件，供应商自行在南宁市公共资源交易平台(https://www.nnggzy.org.cn/gxnnhy)的信息公告处下载采购文件。</w:t>
      </w:r>
    </w:p>
    <w:p>
      <w:pPr>
        <w:spacing w:line="460" w:lineRule="exact"/>
        <w:ind w:firstLine="540"/>
        <w:rPr>
          <w:rFonts w:cs="宋体" w:asciiTheme="majorEastAsia" w:hAnsiTheme="majorEastAsia" w:eastAsiaTheme="majorEastAsia"/>
          <w:color w:val="000000" w:themeColor="text1"/>
          <w:sz w:val="24"/>
        </w:rPr>
      </w:pPr>
      <w:r>
        <w:rPr>
          <w:rFonts w:hint="eastAsia" w:cs="宋体" w:asciiTheme="majorEastAsia" w:hAnsiTheme="majorEastAsia" w:eastAsiaTheme="majorEastAsia"/>
          <w:color w:val="000000" w:themeColor="text1"/>
          <w:sz w:val="24"/>
        </w:rPr>
        <w:t>售价：0元</w:t>
      </w:r>
    </w:p>
    <w:p>
      <w:pPr>
        <w:widowControl/>
        <w:numPr>
          <w:ilvl w:val="255"/>
          <w:numId w:val="0"/>
        </w:numPr>
        <w:tabs>
          <w:tab w:val="left" w:pos="1021"/>
        </w:tabs>
        <w:spacing w:line="460" w:lineRule="exact"/>
        <w:ind w:left="425"/>
        <w:rPr>
          <w:rFonts w:cs="宋体" w:asciiTheme="majorEastAsia" w:hAnsiTheme="majorEastAsia" w:eastAsiaTheme="majorEastAsia"/>
          <w:color w:val="000000" w:themeColor="text1"/>
          <w:sz w:val="24"/>
        </w:rPr>
      </w:pPr>
      <w:r>
        <w:rPr>
          <w:rFonts w:hint="eastAsia" w:cs="宋体" w:asciiTheme="majorEastAsia" w:hAnsiTheme="majorEastAsia" w:eastAsiaTheme="majorEastAsia"/>
          <w:color w:val="000000" w:themeColor="text1"/>
          <w:sz w:val="24"/>
        </w:rPr>
        <w:t>四、响应文件提交</w:t>
      </w:r>
    </w:p>
    <w:p>
      <w:pPr>
        <w:spacing w:line="460" w:lineRule="exact"/>
        <w:ind w:firstLine="480" w:firstLineChars="200"/>
        <w:rPr>
          <w:rFonts w:cs="宋体" w:asciiTheme="majorEastAsia" w:hAnsiTheme="majorEastAsia" w:eastAsiaTheme="majorEastAsia"/>
          <w:color w:val="000000" w:themeColor="text1"/>
          <w:sz w:val="24"/>
        </w:rPr>
      </w:pPr>
      <w:r>
        <w:rPr>
          <w:rFonts w:hint="eastAsia" w:cs="宋体" w:asciiTheme="majorEastAsia" w:hAnsiTheme="majorEastAsia" w:eastAsiaTheme="majorEastAsia"/>
          <w:color w:val="000000" w:themeColor="text1"/>
          <w:sz w:val="24"/>
        </w:rPr>
        <w:t>截止时间：</w:t>
      </w:r>
      <w:r>
        <w:rPr>
          <w:rFonts w:hint="eastAsia" w:cs="宋体" w:asciiTheme="majorEastAsia" w:hAnsiTheme="majorEastAsia" w:eastAsiaTheme="majorEastAsia"/>
          <w:color w:val="000000" w:themeColor="text1"/>
          <w:sz w:val="24"/>
          <w:u w:val="single"/>
        </w:rPr>
        <w:t>2020年</w:t>
      </w:r>
      <w:r>
        <w:rPr>
          <w:rFonts w:hint="eastAsia" w:cs="宋体" w:asciiTheme="majorEastAsia" w:hAnsiTheme="majorEastAsia" w:eastAsiaTheme="majorEastAsia"/>
          <w:color w:val="000000" w:themeColor="text1"/>
          <w:sz w:val="24"/>
          <w:u w:val="single"/>
          <w:lang w:val="en-US" w:eastAsia="zh-CN"/>
        </w:rPr>
        <w:t>11</w:t>
      </w:r>
      <w:r>
        <w:rPr>
          <w:rFonts w:hint="eastAsia" w:cs="宋体" w:asciiTheme="majorEastAsia" w:hAnsiTheme="majorEastAsia" w:eastAsiaTheme="majorEastAsia"/>
          <w:color w:val="000000" w:themeColor="text1"/>
          <w:sz w:val="24"/>
          <w:u w:val="single"/>
        </w:rPr>
        <w:t>月</w:t>
      </w:r>
      <w:r>
        <w:rPr>
          <w:rFonts w:hint="eastAsia" w:cs="宋体" w:asciiTheme="majorEastAsia" w:hAnsiTheme="majorEastAsia" w:eastAsiaTheme="majorEastAsia"/>
          <w:color w:val="000000" w:themeColor="text1"/>
          <w:sz w:val="24"/>
          <w:u w:val="single"/>
          <w:lang w:val="en-US" w:eastAsia="zh-CN"/>
        </w:rPr>
        <w:t>16</w:t>
      </w:r>
      <w:r>
        <w:rPr>
          <w:rFonts w:hint="eastAsia" w:cs="宋体" w:asciiTheme="majorEastAsia" w:hAnsiTheme="majorEastAsia" w:eastAsiaTheme="majorEastAsia"/>
          <w:color w:val="000000" w:themeColor="text1"/>
          <w:sz w:val="24"/>
          <w:u w:val="single"/>
        </w:rPr>
        <w:t>日</w:t>
      </w:r>
      <w:r>
        <w:rPr>
          <w:rFonts w:hint="eastAsia" w:cs="宋体" w:asciiTheme="majorEastAsia" w:hAnsiTheme="majorEastAsia" w:eastAsiaTheme="majorEastAsia"/>
          <w:color w:val="000000" w:themeColor="text1"/>
          <w:sz w:val="24"/>
          <w:u w:val="single"/>
          <w:lang w:val="en-US" w:eastAsia="zh-CN"/>
        </w:rPr>
        <w:t>13</w:t>
      </w:r>
      <w:r>
        <w:rPr>
          <w:rFonts w:hint="eastAsia" w:cs="宋体" w:asciiTheme="majorEastAsia" w:hAnsiTheme="majorEastAsia" w:eastAsiaTheme="majorEastAsia"/>
          <w:color w:val="000000" w:themeColor="text1"/>
          <w:sz w:val="24"/>
          <w:u w:val="single"/>
        </w:rPr>
        <w:t>点</w:t>
      </w:r>
      <w:r>
        <w:rPr>
          <w:rFonts w:hint="eastAsia" w:cs="宋体" w:asciiTheme="majorEastAsia" w:hAnsiTheme="majorEastAsia" w:eastAsiaTheme="majorEastAsia"/>
          <w:color w:val="000000" w:themeColor="text1"/>
          <w:sz w:val="24"/>
          <w:u w:val="single"/>
          <w:lang w:val="en-US" w:eastAsia="zh-CN"/>
        </w:rPr>
        <w:t>00</w:t>
      </w:r>
      <w:r>
        <w:rPr>
          <w:rFonts w:hint="eastAsia" w:cs="宋体" w:asciiTheme="majorEastAsia" w:hAnsiTheme="majorEastAsia" w:eastAsiaTheme="majorEastAsia"/>
          <w:color w:val="000000" w:themeColor="text1"/>
          <w:sz w:val="24"/>
          <w:u w:val="single"/>
        </w:rPr>
        <w:t>分</w:t>
      </w:r>
      <w:r>
        <w:rPr>
          <w:rFonts w:hint="eastAsia" w:cs="宋体" w:asciiTheme="majorEastAsia" w:hAnsiTheme="majorEastAsia" w:eastAsiaTheme="majorEastAsia"/>
          <w:color w:val="000000" w:themeColor="text1"/>
          <w:sz w:val="24"/>
        </w:rPr>
        <w:t>（北京时间）</w:t>
      </w:r>
    </w:p>
    <w:p>
      <w:pPr>
        <w:pStyle w:val="15"/>
        <w:spacing w:before="75" w:beforeAutospacing="0" w:after="75" w:afterAutospacing="0" w:line="460" w:lineRule="exact"/>
        <w:ind w:firstLine="480" w:firstLineChars="200"/>
        <w:jc w:val="both"/>
        <w:rPr>
          <w:rFonts w:asciiTheme="majorEastAsia" w:hAnsiTheme="majorEastAsia" w:eastAsiaTheme="majorEastAsia"/>
          <w:color w:val="000000" w:themeColor="text1"/>
          <w:kern w:val="2"/>
          <w:u w:val="single"/>
        </w:rPr>
      </w:pPr>
      <w:r>
        <w:rPr>
          <w:rFonts w:hint="eastAsia" w:asciiTheme="majorEastAsia" w:hAnsiTheme="majorEastAsia" w:eastAsiaTheme="majorEastAsia"/>
          <w:color w:val="000000" w:themeColor="text1"/>
          <w:kern w:val="2"/>
        </w:rPr>
        <w:t>地点：</w:t>
      </w:r>
      <w:r>
        <w:rPr>
          <w:rFonts w:hint="eastAsia" w:asciiTheme="majorEastAsia" w:hAnsiTheme="majorEastAsia" w:eastAsiaTheme="majorEastAsia"/>
          <w:color w:val="000000" w:themeColor="text1"/>
        </w:rPr>
        <w:t>南宁市良庆区玉洞大道33号（青少年活动中心旁）市民中心9楼南宁市公共资源交易中心（具体详见9楼电子显示屏场地安排）。</w:t>
      </w:r>
      <w:r>
        <w:rPr>
          <w:rFonts w:hint="eastAsia" w:asciiTheme="majorEastAsia" w:hAnsiTheme="majorEastAsia" w:eastAsiaTheme="majorEastAsia"/>
          <w:b/>
          <w:bCs/>
          <w:color w:val="000000" w:themeColor="text1"/>
        </w:rPr>
        <w:t>为做好疫情防控工作，本项目的响应文件通过邮寄快递的方式送达，具体要求详见关于响应文件邮寄形式的通知。</w:t>
      </w:r>
    </w:p>
    <w:p>
      <w:pPr>
        <w:widowControl/>
        <w:numPr>
          <w:ilvl w:val="255"/>
          <w:numId w:val="0"/>
        </w:numPr>
        <w:tabs>
          <w:tab w:val="left" w:pos="1021"/>
        </w:tabs>
        <w:spacing w:line="460" w:lineRule="exact"/>
        <w:ind w:left="425"/>
        <w:rPr>
          <w:rFonts w:cs="宋体" w:asciiTheme="majorEastAsia" w:hAnsiTheme="majorEastAsia" w:eastAsiaTheme="majorEastAsia"/>
          <w:color w:val="000000" w:themeColor="text1"/>
          <w:sz w:val="24"/>
        </w:rPr>
      </w:pPr>
      <w:r>
        <w:rPr>
          <w:rFonts w:hint="eastAsia" w:cs="宋体" w:asciiTheme="majorEastAsia" w:hAnsiTheme="majorEastAsia" w:eastAsiaTheme="majorEastAsia"/>
          <w:color w:val="000000" w:themeColor="text1"/>
          <w:sz w:val="24"/>
        </w:rPr>
        <w:t>五、开启</w:t>
      </w:r>
    </w:p>
    <w:p>
      <w:pPr>
        <w:spacing w:line="460" w:lineRule="exact"/>
        <w:ind w:firstLine="480" w:firstLineChars="200"/>
        <w:rPr>
          <w:rFonts w:cs="宋体" w:asciiTheme="majorEastAsia" w:hAnsiTheme="majorEastAsia" w:eastAsiaTheme="majorEastAsia"/>
          <w:color w:val="000000" w:themeColor="text1"/>
          <w:sz w:val="24"/>
          <w:u w:val="single"/>
        </w:rPr>
      </w:pPr>
      <w:r>
        <w:rPr>
          <w:rFonts w:hint="eastAsia" w:cs="宋体" w:asciiTheme="majorEastAsia" w:hAnsiTheme="majorEastAsia" w:eastAsiaTheme="majorEastAsia"/>
          <w:color w:val="000000" w:themeColor="text1"/>
          <w:sz w:val="24"/>
        </w:rPr>
        <w:t>时间：</w:t>
      </w:r>
      <w:r>
        <w:rPr>
          <w:rFonts w:hint="eastAsia" w:cs="宋体" w:asciiTheme="majorEastAsia" w:hAnsiTheme="majorEastAsia" w:eastAsiaTheme="majorEastAsia"/>
          <w:color w:val="000000" w:themeColor="text1"/>
          <w:sz w:val="24"/>
          <w:u w:val="single"/>
        </w:rPr>
        <w:t>2020年</w:t>
      </w:r>
      <w:r>
        <w:rPr>
          <w:rFonts w:hint="eastAsia" w:cs="宋体" w:asciiTheme="majorEastAsia" w:hAnsiTheme="majorEastAsia" w:eastAsiaTheme="majorEastAsia"/>
          <w:color w:val="000000" w:themeColor="text1"/>
          <w:sz w:val="24"/>
          <w:u w:val="single"/>
          <w:lang w:val="en-US" w:eastAsia="zh-CN"/>
        </w:rPr>
        <w:t>11</w:t>
      </w:r>
      <w:r>
        <w:rPr>
          <w:rFonts w:hint="eastAsia" w:cs="宋体" w:asciiTheme="majorEastAsia" w:hAnsiTheme="majorEastAsia" w:eastAsiaTheme="majorEastAsia"/>
          <w:color w:val="000000" w:themeColor="text1"/>
          <w:sz w:val="24"/>
          <w:u w:val="single"/>
        </w:rPr>
        <w:t>月</w:t>
      </w:r>
      <w:r>
        <w:rPr>
          <w:rFonts w:hint="eastAsia" w:cs="宋体" w:asciiTheme="majorEastAsia" w:hAnsiTheme="majorEastAsia" w:eastAsiaTheme="majorEastAsia"/>
          <w:color w:val="000000" w:themeColor="text1"/>
          <w:sz w:val="24"/>
          <w:u w:val="single"/>
          <w:lang w:val="en-US" w:eastAsia="zh-CN"/>
        </w:rPr>
        <w:t>16</w:t>
      </w:r>
      <w:r>
        <w:rPr>
          <w:rFonts w:hint="eastAsia" w:cs="宋体" w:asciiTheme="majorEastAsia" w:hAnsiTheme="majorEastAsia" w:eastAsiaTheme="majorEastAsia"/>
          <w:color w:val="000000" w:themeColor="text1"/>
          <w:sz w:val="24"/>
          <w:u w:val="single"/>
        </w:rPr>
        <w:t>日</w:t>
      </w:r>
      <w:r>
        <w:rPr>
          <w:rFonts w:hint="eastAsia" w:cs="宋体" w:asciiTheme="majorEastAsia" w:hAnsiTheme="majorEastAsia" w:eastAsiaTheme="majorEastAsia"/>
          <w:color w:val="000000" w:themeColor="text1"/>
          <w:sz w:val="24"/>
          <w:u w:val="single"/>
          <w:lang w:val="en-US" w:eastAsia="zh-CN"/>
        </w:rPr>
        <w:t>13</w:t>
      </w:r>
      <w:r>
        <w:rPr>
          <w:rFonts w:hint="eastAsia" w:cs="宋体" w:asciiTheme="majorEastAsia" w:hAnsiTheme="majorEastAsia" w:eastAsiaTheme="majorEastAsia"/>
          <w:color w:val="000000" w:themeColor="text1"/>
          <w:sz w:val="24"/>
          <w:u w:val="single"/>
        </w:rPr>
        <w:t>点</w:t>
      </w:r>
      <w:r>
        <w:rPr>
          <w:rFonts w:hint="eastAsia" w:cs="宋体" w:asciiTheme="majorEastAsia" w:hAnsiTheme="majorEastAsia" w:eastAsiaTheme="majorEastAsia"/>
          <w:color w:val="000000" w:themeColor="text1"/>
          <w:sz w:val="24"/>
          <w:u w:val="single"/>
          <w:lang w:val="en-US" w:eastAsia="zh-CN"/>
        </w:rPr>
        <w:t>00</w:t>
      </w:r>
      <w:r>
        <w:rPr>
          <w:rFonts w:hint="eastAsia" w:cs="宋体" w:asciiTheme="majorEastAsia" w:hAnsiTheme="majorEastAsia" w:eastAsiaTheme="majorEastAsia"/>
          <w:color w:val="000000" w:themeColor="text1"/>
          <w:sz w:val="24"/>
          <w:u w:val="single"/>
        </w:rPr>
        <w:t>分</w:t>
      </w:r>
      <w:r>
        <w:rPr>
          <w:rFonts w:hint="eastAsia" w:cs="宋体" w:asciiTheme="majorEastAsia" w:hAnsiTheme="majorEastAsia" w:eastAsiaTheme="majorEastAsia"/>
          <w:color w:val="000000" w:themeColor="text1"/>
          <w:sz w:val="24"/>
        </w:rPr>
        <w:t>（北京时间）</w:t>
      </w:r>
    </w:p>
    <w:p>
      <w:pPr>
        <w:spacing w:line="460" w:lineRule="exact"/>
        <w:ind w:firstLine="480" w:firstLineChars="200"/>
        <w:rPr>
          <w:rFonts w:cs="宋体" w:asciiTheme="majorEastAsia" w:hAnsiTheme="majorEastAsia" w:eastAsiaTheme="majorEastAsia"/>
          <w:color w:val="000000" w:themeColor="text1"/>
          <w:sz w:val="24"/>
          <w:u w:val="single"/>
        </w:rPr>
      </w:pPr>
      <w:r>
        <w:rPr>
          <w:rFonts w:hint="eastAsia" w:cs="宋体" w:asciiTheme="majorEastAsia" w:hAnsiTheme="majorEastAsia" w:eastAsiaTheme="majorEastAsia"/>
          <w:color w:val="000000" w:themeColor="text1"/>
          <w:sz w:val="24"/>
        </w:rPr>
        <w:t>地点：南宁市良庆区玉洞大道33号（青少年活动中心旁）市民中心9楼南宁市公共资源交易中心（具体详见9楼电子显示屏场地安排）。</w:t>
      </w:r>
    </w:p>
    <w:p>
      <w:pPr>
        <w:widowControl/>
        <w:numPr>
          <w:ilvl w:val="1"/>
          <w:numId w:val="0"/>
        </w:numPr>
        <w:tabs>
          <w:tab w:val="left" w:pos="1021"/>
        </w:tabs>
        <w:spacing w:line="460" w:lineRule="exact"/>
        <w:ind w:firstLine="480" w:firstLineChars="200"/>
        <w:rPr>
          <w:rFonts w:cs="宋体" w:asciiTheme="majorEastAsia" w:hAnsiTheme="majorEastAsia" w:eastAsiaTheme="majorEastAsia"/>
          <w:bCs/>
          <w:color w:val="000000" w:themeColor="text1"/>
          <w:kern w:val="0"/>
          <w:sz w:val="24"/>
        </w:rPr>
      </w:pPr>
      <w:r>
        <w:rPr>
          <w:rFonts w:hint="eastAsia" w:cs="宋体" w:asciiTheme="majorEastAsia" w:hAnsiTheme="majorEastAsia" w:eastAsiaTheme="majorEastAsia"/>
          <w:color w:val="000000" w:themeColor="text1"/>
          <w:sz w:val="24"/>
        </w:rPr>
        <w:t>六、公告期限：</w:t>
      </w:r>
      <w:r>
        <w:rPr>
          <w:rFonts w:hint="eastAsia" w:cs="宋体" w:asciiTheme="majorEastAsia" w:hAnsiTheme="majorEastAsia" w:eastAsiaTheme="majorEastAsia"/>
          <w:bCs/>
          <w:color w:val="000000" w:themeColor="text1"/>
          <w:kern w:val="0"/>
          <w:sz w:val="24"/>
        </w:rPr>
        <w:t>自本公告发布之日起5个工作日</w:t>
      </w:r>
      <w:r>
        <w:rPr>
          <w:rFonts w:hint="eastAsia" w:cs="宋体" w:asciiTheme="majorEastAsia" w:hAnsiTheme="majorEastAsia" w:eastAsiaTheme="majorEastAsia"/>
          <w:bCs/>
          <w:color w:val="000000" w:themeColor="text1"/>
          <w:sz w:val="24"/>
        </w:rPr>
        <w:t>（2020年</w:t>
      </w:r>
      <w:r>
        <w:rPr>
          <w:rFonts w:hint="eastAsia" w:cs="宋体" w:asciiTheme="majorEastAsia" w:hAnsiTheme="majorEastAsia" w:eastAsiaTheme="majorEastAsia"/>
          <w:bCs/>
          <w:color w:val="000000" w:themeColor="text1"/>
          <w:sz w:val="24"/>
          <w:lang w:val="en-US" w:eastAsia="zh-CN"/>
        </w:rPr>
        <w:t>11</w:t>
      </w:r>
      <w:r>
        <w:rPr>
          <w:rFonts w:hint="eastAsia" w:cs="宋体" w:asciiTheme="majorEastAsia" w:hAnsiTheme="majorEastAsia" w:eastAsiaTheme="majorEastAsia"/>
          <w:bCs/>
          <w:color w:val="000000" w:themeColor="text1"/>
          <w:sz w:val="24"/>
        </w:rPr>
        <w:t>月</w:t>
      </w:r>
      <w:r>
        <w:rPr>
          <w:rFonts w:hint="eastAsia" w:cs="宋体" w:asciiTheme="majorEastAsia" w:hAnsiTheme="majorEastAsia" w:eastAsiaTheme="majorEastAsia"/>
          <w:bCs/>
          <w:color w:val="000000" w:themeColor="text1"/>
          <w:sz w:val="24"/>
          <w:lang w:val="en-US" w:eastAsia="zh-CN"/>
        </w:rPr>
        <w:t>05</w:t>
      </w:r>
      <w:r>
        <w:rPr>
          <w:rFonts w:hint="eastAsia" w:cs="宋体" w:asciiTheme="majorEastAsia" w:hAnsiTheme="majorEastAsia" w:eastAsiaTheme="majorEastAsia"/>
          <w:bCs/>
          <w:color w:val="000000" w:themeColor="text1"/>
          <w:sz w:val="24"/>
        </w:rPr>
        <w:t>日至2020年</w:t>
      </w:r>
      <w:r>
        <w:rPr>
          <w:rFonts w:hint="eastAsia" w:cs="宋体" w:asciiTheme="majorEastAsia" w:hAnsiTheme="majorEastAsia" w:eastAsiaTheme="majorEastAsia"/>
          <w:bCs/>
          <w:color w:val="000000" w:themeColor="text1"/>
          <w:sz w:val="24"/>
          <w:lang w:val="en-US" w:eastAsia="zh-CN"/>
        </w:rPr>
        <w:t>11</w:t>
      </w:r>
      <w:r>
        <w:rPr>
          <w:rFonts w:hint="eastAsia" w:cs="宋体" w:asciiTheme="majorEastAsia" w:hAnsiTheme="majorEastAsia" w:eastAsiaTheme="majorEastAsia"/>
          <w:bCs/>
          <w:color w:val="000000" w:themeColor="text1"/>
          <w:sz w:val="24"/>
        </w:rPr>
        <w:t>月</w:t>
      </w:r>
      <w:r>
        <w:rPr>
          <w:rFonts w:hint="eastAsia" w:cs="宋体" w:asciiTheme="majorEastAsia" w:hAnsiTheme="majorEastAsia" w:eastAsiaTheme="majorEastAsia"/>
          <w:bCs/>
          <w:color w:val="000000" w:themeColor="text1"/>
          <w:sz w:val="24"/>
          <w:lang w:val="en-US" w:eastAsia="zh-CN"/>
        </w:rPr>
        <w:t>11</w:t>
      </w:r>
      <w:r>
        <w:rPr>
          <w:rFonts w:hint="eastAsia" w:cs="宋体" w:asciiTheme="majorEastAsia" w:hAnsiTheme="majorEastAsia" w:eastAsiaTheme="majorEastAsia"/>
          <w:bCs/>
          <w:color w:val="000000" w:themeColor="text1"/>
          <w:sz w:val="24"/>
        </w:rPr>
        <w:t>日结束）</w:t>
      </w:r>
      <w:r>
        <w:rPr>
          <w:rFonts w:hint="eastAsia" w:cs="宋体" w:asciiTheme="majorEastAsia" w:hAnsiTheme="majorEastAsia" w:eastAsiaTheme="majorEastAsia"/>
          <w:bCs/>
          <w:color w:val="000000" w:themeColor="text1"/>
          <w:kern w:val="0"/>
          <w:sz w:val="24"/>
        </w:rPr>
        <w:t>。</w:t>
      </w:r>
    </w:p>
    <w:p>
      <w:pPr>
        <w:widowControl/>
        <w:numPr>
          <w:ilvl w:val="255"/>
          <w:numId w:val="0"/>
        </w:numPr>
        <w:tabs>
          <w:tab w:val="left" w:pos="1021"/>
        </w:tabs>
        <w:spacing w:line="460" w:lineRule="exact"/>
        <w:ind w:left="425"/>
        <w:rPr>
          <w:rFonts w:cs="宋体" w:asciiTheme="majorEastAsia" w:hAnsiTheme="majorEastAsia" w:eastAsiaTheme="majorEastAsia"/>
          <w:color w:val="000000" w:themeColor="text1"/>
          <w:sz w:val="24"/>
        </w:rPr>
      </w:pPr>
      <w:r>
        <w:rPr>
          <w:rFonts w:hint="eastAsia" w:cs="宋体" w:asciiTheme="majorEastAsia" w:hAnsiTheme="majorEastAsia" w:eastAsiaTheme="majorEastAsia"/>
          <w:color w:val="000000" w:themeColor="text1"/>
          <w:sz w:val="24"/>
        </w:rPr>
        <w:t>七、其他补充事宜：</w:t>
      </w:r>
    </w:p>
    <w:p>
      <w:pPr>
        <w:widowControl/>
        <w:numPr>
          <w:ilvl w:val="1"/>
          <w:numId w:val="0"/>
        </w:numPr>
        <w:tabs>
          <w:tab w:val="left" w:pos="1021"/>
        </w:tabs>
        <w:adjustRightInd w:val="0"/>
        <w:spacing w:line="460" w:lineRule="exact"/>
        <w:ind w:left="425"/>
        <w:textAlignment w:val="baseline"/>
        <w:rPr>
          <w:rFonts w:cs="宋体" w:asciiTheme="majorEastAsia" w:hAnsiTheme="majorEastAsia" w:eastAsiaTheme="majorEastAsia"/>
          <w:color w:val="000000" w:themeColor="text1"/>
          <w:sz w:val="24"/>
        </w:rPr>
      </w:pPr>
      <w:r>
        <w:rPr>
          <w:rFonts w:hint="eastAsia" w:cs="宋体" w:asciiTheme="majorEastAsia" w:hAnsiTheme="majorEastAsia" w:eastAsiaTheme="majorEastAsia"/>
          <w:color w:val="000000" w:themeColor="text1"/>
          <w:sz w:val="24"/>
        </w:rPr>
        <w:t>网上查询地址：</w:t>
      </w:r>
      <w:r>
        <w:fldChar w:fldCharType="begin"/>
      </w:r>
      <w:r>
        <w:instrText xml:space="preserve"> HYPERLINK </w:instrText>
      </w:r>
      <w:r>
        <w:fldChar w:fldCharType="separate"/>
      </w:r>
      <w:r>
        <w:rPr>
          <w:rFonts w:hint="eastAsia" w:cs="宋体" w:asciiTheme="majorEastAsia" w:hAnsiTheme="majorEastAsia" w:eastAsiaTheme="majorEastAsia"/>
          <w:color w:val="000000" w:themeColor="text1"/>
          <w:sz w:val="24"/>
        </w:rPr>
        <w:t>http://zfcg.gxzf.gov.cn/（广西壮族自治区政府采购网），https://www.nnggzy.org.cn/gxnnzbw/（南宁市公共资源交易中心网）</w:t>
      </w:r>
      <w:r>
        <w:rPr>
          <w:rFonts w:hint="eastAsia" w:cs="宋体" w:asciiTheme="majorEastAsia" w:hAnsiTheme="majorEastAsia" w:eastAsiaTheme="majorEastAsia"/>
          <w:color w:val="000000" w:themeColor="text1"/>
          <w:sz w:val="24"/>
        </w:rPr>
        <w:fldChar w:fldCharType="end"/>
      </w:r>
    </w:p>
    <w:p>
      <w:pPr>
        <w:widowControl/>
        <w:numPr>
          <w:ilvl w:val="255"/>
          <w:numId w:val="0"/>
        </w:numPr>
        <w:tabs>
          <w:tab w:val="left" w:pos="1021"/>
        </w:tabs>
        <w:spacing w:line="460" w:lineRule="exact"/>
        <w:ind w:left="425"/>
        <w:rPr>
          <w:rFonts w:cs="宋体" w:asciiTheme="majorEastAsia" w:hAnsiTheme="majorEastAsia" w:eastAsiaTheme="majorEastAsia"/>
          <w:color w:val="000000" w:themeColor="text1"/>
          <w:sz w:val="24"/>
        </w:rPr>
      </w:pPr>
      <w:r>
        <w:rPr>
          <w:rFonts w:hint="eastAsia" w:cs="宋体" w:asciiTheme="majorEastAsia" w:hAnsiTheme="majorEastAsia" w:eastAsiaTheme="majorEastAsia"/>
          <w:color w:val="000000" w:themeColor="text1"/>
          <w:sz w:val="24"/>
        </w:rPr>
        <w:t>八、凡对本次采购提出询问，请按以下方式联系。</w:t>
      </w:r>
    </w:p>
    <w:p>
      <w:pPr>
        <w:widowControl/>
        <w:numPr>
          <w:ilvl w:val="255"/>
          <w:numId w:val="0"/>
        </w:numPr>
        <w:tabs>
          <w:tab w:val="left" w:pos="1021"/>
        </w:tabs>
        <w:spacing w:line="460" w:lineRule="exact"/>
        <w:ind w:left="630" w:leftChars="300"/>
        <w:rPr>
          <w:rFonts w:cs="宋体" w:asciiTheme="majorEastAsia" w:hAnsiTheme="majorEastAsia" w:eastAsiaTheme="majorEastAsia"/>
          <w:color w:val="000000" w:themeColor="text1"/>
          <w:sz w:val="24"/>
        </w:rPr>
      </w:pPr>
      <w:bookmarkStart w:id="7" w:name="_Toc1019"/>
      <w:bookmarkStart w:id="8" w:name="_Toc23955"/>
      <w:r>
        <w:rPr>
          <w:rFonts w:hint="eastAsia" w:cs="宋体" w:asciiTheme="majorEastAsia" w:hAnsiTheme="majorEastAsia" w:eastAsiaTheme="majorEastAsia"/>
          <w:color w:val="000000" w:themeColor="text1"/>
          <w:sz w:val="24"/>
        </w:rPr>
        <w:t>1.采购人信息</w:t>
      </w:r>
      <w:bookmarkEnd w:id="7"/>
      <w:bookmarkEnd w:id="8"/>
    </w:p>
    <w:p>
      <w:pPr>
        <w:spacing w:line="460" w:lineRule="exact"/>
        <w:ind w:left="1079" w:leftChars="371" w:hanging="300" w:hangingChars="125"/>
        <w:jc w:val="left"/>
        <w:rPr>
          <w:rFonts w:cs="宋体" w:asciiTheme="majorEastAsia" w:hAnsiTheme="majorEastAsia" w:eastAsiaTheme="majorEastAsia"/>
          <w:color w:val="000000" w:themeColor="text1"/>
          <w:sz w:val="24"/>
        </w:rPr>
      </w:pPr>
      <w:r>
        <w:rPr>
          <w:rFonts w:hint="eastAsia" w:cs="宋体" w:asciiTheme="majorEastAsia" w:hAnsiTheme="majorEastAsia" w:eastAsiaTheme="majorEastAsia"/>
          <w:color w:val="000000" w:themeColor="text1"/>
          <w:sz w:val="24"/>
        </w:rPr>
        <w:t>名    称：</w:t>
      </w:r>
      <w:r>
        <w:rPr>
          <w:rFonts w:hint="eastAsia" w:cs="宋体" w:asciiTheme="majorEastAsia" w:hAnsiTheme="majorEastAsia" w:eastAsiaTheme="majorEastAsia"/>
          <w:color w:val="000000" w:themeColor="text1"/>
          <w:sz w:val="24"/>
          <w:u w:val="single"/>
        </w:rPr>
        <w:t xml:space="preserve"> 南宁市住房和城乡建设局  </w:t>
      </w:r>
    </w:p>
    <w:p>
      <w:pPr>
        <w:spacing w:line="460" w:lineRule="exact"/>
        <w:ind w:left="1079" w:leftChars="371" w:hanging="300" w:hangingChars="125"/>
        <w:jc w:val="left"/>
        <w:rPr>
          <w:rFonts w:cs="宋体" w:asciiTheme="majorEastAsia" w:hAnsiTheme="majorEastAsia" w:eastAsiaTheme="majorEastAsia"/>
          <w:color w:val="000000" w:themeColor="text1"/>
          <w:sz w:val="24"/>
          <w:u w:val="single"/>
        </w:rPr>
      </w:pPr>
      <w:r>
        <w:rPr>
          <w:rFonts w:hint="eastAsia" w:cs="宋体" w:asciiTheme="majorEastAsia" w:hAnsiTheme="majorEastAsia" w:eastAsiaTheme="majorEastAsia"/>
          <w:color w:val="000000" w:themeColor="text1"/>
          <w:sz w:val="24"/>
        </w:rPr>
        <w:t>地    址：</w:t>
      </w:r>
      <w:r>
        <w:rPr>
          <w:rFonts w:hint="eastAsia" w:cs="宋体" w:asciiTheme="majorEastAsia" w:hAnsiTheme="majorEastAsia" w:eastAsiaTheme="majorEastAsia"/>
          <w:color w:val="000000" w:themeColor="text1"/>
          <w:sz w:val="24"/>
          <w:u w:val="single"/>
        </w:rPr>
        <w:t xml:space="preserve"> 南宁市青秀区金湖路59-1号</w:t>
      </w:r>
    </w:p>
    <w:p>
      <w:pPr>
        <w:spacing w:line="460" w:lineRule="exact"/>
        <w:ind w:left="1079" w:leftChars="371" w:hanging="300" w:hangingChars="125"/>
        <w:jc w:val="left"/>
        <w:rPr>
          <w:rFonts w:cs="宋体" w:asciiTheme="majorEastAsia" w:hAnsiTheme="majorEastAsia" w:eastAsiaTheme="majorEastAsia"/>
          <w:color w:val="000000" w:themeColor="text1"/>
          <w:sz w:val="24"/>
        </w:rPr>
      </w:pPr>
      <w:r>
        <w:rPr>
          <w:rFonts w:hint="eastAsia" w:cs="宋体" w:asciiTheme="majorEastAsia" w:hAnsiTheme="majorEastAsia" w:eastAsiaTheme="majorEastAsia"/>
          <w:color w:val="000000" w:themeColor="text1"/>
          <w:sz w:val="24"/>
        </w:rPr>
        <w:t>联系方式：</w:t>
      </w:r>
      <w:r>
        <w:rPr>
          <w:rFonts w:hint="eastAsia" w:cs="宋体" w:asciiTheme="majorEastAsia" w:hAnsiTheme="majorEastAsia" w:eastAsiaTheme="majorEastAsia"/>
          <w:color w:val="000000" w:themeColor="text1"/>
          <w:sz w:val="24"/>
          <w:u w:val="single"/>
        </w:rPr>
        <w:t xml:space="preserve"> 农云浩   0771-5527061 </w:t>
      </w:r>
    </w:p>
    <w:p>
      <w:pPr>
        <w:widowControl/>
        <w:numPr>
          <w:ilvl w:val="255"/>
          <w:numId w:val="0"/>
        </w:numPr>
        <w:tabs>
          <w:tab w:val="left" w:pos="1021"/>
        </w:tabs>
        <w:spacing w:line="460" w:lineRule="exact"/>
        <w:ind w:left="630" w:leftChars="300"/>
        <w:rPr>
          <w:rFonts w:cs="宋体" w:asciiTheme="majorEastAsia" w:hAnsiTheme="majorEastAsia" w:eastAsiaTheme="majorEastAsia"/>
          <w:color w:val="000000" w:themeColor="text1"/>
          <w:sz w:val="24"/>
        </w:rPr>
      </w:pPr>
      <w:bookmarkStart w:id="9" w:name="_Toc8684"/>
      <w:bookmarkStart w:id="10" w:name="_Toc31103"/>
      <w:r>
        <w:rPr>
          <w:rFonts w:hint="eastAsia" w:cs="宋体" w:asciiTheme="majorEastAsia" w:hAnsiTheme="majorEastAsia" w:eastAsiaTheme="majorEastAsia"/>
          <w:color w:val="000000" w:themeColor="text1"/>
          <w:sz w:val="24"/>
        </w:rPr>
        <w:t>2.采购代理机构信息</w:t>
      </w:r>
      <w:bookmarkEnd w:id="9"/>
      <w:bookmarkEnd w:id="10"/>
    </w:p>
    <w:p>
      <w:pPr>
        <w:spacing w:line="460" w:lineRule="exact"/>
        <w:ind w:firstLine="720" w:firstLineChars="300"/>
        <w:rPr>
          <w:rFonts w:cs="宋体" w:asciiTheme="majorEastAsia" w:hAnsiTheme="majorEastAsia" w:eastAsiaTheme="majorEastAsia"/>
          <w:color w:val="000000" w:themeColor="text1"/>
          <w:sz w:val="24"/>
        </w:rPr>
      </w:pPr>
      <w:r>
        <w:rPr>
          <w:rFonts w:hint="eastAsia" w:cs="宋体" w:asciiTheme="majorEastAsia" w:hAnsiTheme="majorEastAsia" w:eastAsiaTheme="majorEastAsia"/>
          <w:color w:val="000000" w:themeColor="text1"/>
          <w:sz w:val="24"/>
        </w:rPr>
        <w:t>名    称：</w:t>
      </w:r>
      <w:r>
        <w:rPr>
          <w:rFonts w:hint="eastAsia" w:cs="宋体" w:asciiTheme="majorEastAsia" w:hAnsiTheme="majorEastAsia" w:eastAsiaTheme="majorEastAsia"/>
          <w:color w:val="000000" w:themeColor="text1"/>
          <w:sz w:val="24"/>
          <w:u w:val="single"/>
        </w:rPr>
        <w:t xml:space="preserve"> 广西邕政采购代理有限公司     </w:t>
      </w:r>
    </w:p>
    <w:p>
      <w:pPr>
        <w:spacing w:line="460" w:lineRule="exact"/>
        <w:ind w:firstLine="720" w:firstLineChars="300"/>
        <w:rPr>
          <w:rFonts w:cs="宋体" w:asciiTheme="majorEastAsia" w:hAnsiTheme="majorEastAsia" w:eastAsiaTheme="majorEastAsia"/>
          <w:color w:val="000000" w:themeColor="text1"/>
          <w:sz w:val="24"/>
        </w:rPr>
      </w:pPr>
      <w:r>
        <w:rPr>
          <w:rFonts w:hint="eastAsia" w:cs="宋体" w:asciiTheme="majorEastAsia" w:hAnsiTheme="majorEastAsia" w:eastAsiaTheme="majorEastAsia"/>
          <w:color w:val="000000" w:themeColor="text1"/>
          <w:sz w:val="24"/>
        </w:rPr>
        <w:t>地  址：</w:t>
      </w:r>
      <w:r>
        <w:rPr>
          <w:rFonts w:hint="eastAsia" w:cs="宋体" w:asciiTheme="majorEastAsia" w:hAnsiTheme="majorEastAsia" w:eastAsiaTheme="majorEastAsia"/>
          <w:color w:val="000000" w:themeColor="text1"/>
          <w:sz w:val="24"/>
          <w:u w:val="single"/>
        </w:rPr>
        <w:t xml:space="preserve"> 南宁市思贤路45号创投中心16A层</w:t>
      </w:r>
    </w:p>
    <w:p>
      <w:pPr>
        <w:pStyle w:val="23"/>
        <w:spacing w:afterLines="0" w:line="460" w:lineRule="exact"/>
        <w:ind w:firstLine="720" w:firstLineChars="300"/>
        <w:jc w:val="left"/>
        <w:rPr>
          <w:rFonts w:asciiTheme="majorEastAsia" w:hAnsiTheme="majorEastAsia" w:eastAsiaTheme="majorEastAsia" w:cstheme="majorEastAsia"/>
          <w:color w:val="000000" w:themeColor="text1"/>
          <w:szCs w:val="24"/>
        </w:rPr>
      </w:pPr>
      <w:r>
        <w:rPr>
          <w:rFonts w:hint="eastAsia" w:cs="宋体" w:asciiTheme="majorEastAsia" w:hAnsiTheme="majorEastAsia" w:eastAsiaTheme="majorEastAsia"/>
          <w:color w:val="000000" w:themeColor="text1"/>
          <w:kern w:val="2"/>
          <w:szCs w:val="24"/>
        </w:rPr>
        <w:t>联系方式：</w:t>
      </w:r>
      <w:r>
        <w:rPr>
          <w:rFonts w:hint="eastAsia" w:cs="宋体" w:asciiTheme="majorEastAsia" w:hAnsiTheme="majorEastAsia" w:eastAsiaTheme="majorEastAsia"/>
          <w:color w:val="000000" w:themeColor="text1"/>
          <w:kern w:val="2"/>
          <w:szCs w:val="24"/>
          <w:u w:val="single"/>
        </w:rPr>
        <w:t xml:space="preserve"> 蔺工、罗工  0771-2442850     </w:t>
      </w:r>
    </w:p>
    <w:p>
      <w:pPr>
        <w:widowControl/>
        <w:numPr>
          <w:ilvl w:val="255"/>
          <w:numId w:val="0"/>
        </w:numPr>
        <w:tabs>
          <w:tab w:val="left" w:pos="1021"/>
        </w:tabs>
        <w:spacing w:line="460" w:lineRule="exact"/>
        <w:ind w:firstLine="480" w:firstLineChars="200"/>
        <w:rPr>
          <w:rFonts w:cs="宋体" w:asciiTheme="majorEastAsia" w:hAnsiTheme="majorEastAsia" w:eastAsiaTheme="majorEastAsia"/>
          <w:color w:val="000000" w:themeColor="text1"/>
          <w:sz w:val="24"/>
        </w:rPr>
      </w:pPr>
      <w:bookmarkStart w:id="11" w:name="_Toc11360"/>
      <w:bookmarkStart w:id="12" w:name="_Toc20753"/>
      <w:r>
        <w:rPr>
          <w:rFonts w:hint="eastAsia" w:cs="宋体" w:asciiTheme="majorEastAsia" w:hAnsiTheme="majorEastAsia" w:eastAsiaTheme="majorEastAsia"/>
          <w:color w:val="000000" w:themeColor="text1"/>
          <w:sz w:val="24"/>
        </w:rPr>
        <w:t>3.项目联系方式</w:t>
      </w:r>
      <w:bookmarkEnd w:id="11"/>
      <w:bookmarkEnd w:id="12"/>
    </w:p>
    <w:p>
      <w:pPr>
        <w:pStyle w:val="10"/>
        <w:widowControl/>
        <w:spacing w:line="460" w:lineRule="exact"/>
        <w:ind w:firstLine="720" w:firstLineChars="300"/>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项目联系人：</w:t>
      </w:r>
      <w:r>
        <w:rPr>
          <w:rFonts w:cs="宋体" w:asciiTheme="majorEastAsia" w:hAnsiTheme="majorEastAsia" w:eastAsiaTheme="majorEastAsia"/>
          <w:color w:val="000000" w:themeColor="text1"/>
          <w:sz w:val="24"/>
          <w:szCs w:val="24"/>
          <w:u w:val="single"/>
        </w:rPr>
        <w:t xml:space="preserve"> </w:t>
      </w:r>
      <w:r>
        <w:rPr>
          <w:rFonts w:hint="eastAsia" w:cs="宋体" w:asciiTheme="majorEastAsia" w:hAnsiTheme="majorEastAsia" w:eastAsiaTheme="majorEastAsia"/>
          <w:color w:val="000000" w:themeColor="text1"/>
          <w:sz w:val="24"/>
          <w:szCs w:val="24"/>
          <w:u w:val="single"/>
        </w:rPr>
        <w:t>蔺工、罗工</w:t>
      </w:r>
      <w:r>
        <w:rPr>
          <w:rFonts w:cs="宋体" w:asciiTheme="majorEastAsia" w:hAnsiTheme="majorEastAsia" w:eastAsiaTheme="majorEastAsia"/>
          <w:color w:val="000000" w:themeColor="text1"/>
          <w:sz w:val="24"/>
          <w:szCs w:val="24"/>
          <w:u w:val="single"/>
        </w:rPr>
        <w:t xml:space="preserve">  0771-2442850  </w:t>
      </w:r>
    </w:p>
    <w:p>
      <w:pPr>
        <w:spacing w:line="460" w:lineRule="exact"/>
        <w:ind w:firstLine="720" w:firstLineChars="300"/>
        <w:rPr>
          <w:rFonts w:cs="宋体" w:asciiTheme="majorEastAsia" w:hAnsiTheme="majorEastAsia" w:eastAsiaTheme="majorEastAsia"/>
          <w:color w:val="000000" w:themeColor="text1"/>
          <w:sz w:val="24"/>
          <w:u w:val="single"/>
        </w:rPr>
      </w:pPr>
      <w:r>
        <w:rPr>
          <w:rFonts w:hint="eastAsia" w:cs="宋体" w:asciiTheme="majorEastAsia" w:hAnsiTheme="majorEastAsia" w:eastAsiaTheme="majorEastAsia"/>
          <w:color w:val="000000" w:themeColor="text1"/>
          <w:sz w:val="24"/>
        </w:rPr>
        <w:t>电   话：</w:t>
      </w:r>
      <w:r>
        <w:rPr>
          <w:rFonts w:hint="eastAsia" w:cs="宋体" w:asciiTheme="majorEastAsia" w:hAnsiTheme="majorEastAsia" w:eastAsiaTheme="majorEastAsia"/>
          <w:color w:val="000000" w:themeColor="text1"/>
          <w:sz w:val="24"/>
          <w:u w:val="single"/>
        </w:rPr>
        <w:t xml:space="preserve"> 0771-2442850  </w:t>
      </w:r>
    </w:p>
    <w:p>
      <w:pPr>
        <w:spacing w:line="460" w:lineRule="exact"/>
        <w:ind w:firstLine="480" w:firstLineChars="200"/>
        <w:jc w:val="left"/>
        <w:rPr>
          <w:rFonts w:asciiTheme="majorEastAsia" w:hAnsiTheme="majorEastAsia" w:eastAsiaTheme="majorEastAsia" w:cstheme="majorEastAsia"/>
          <w:color w:val="000000" w:themeColor="text1"/>
          <w:kern w:val="0"/>
          <w:sz w:val="24"/>
        </w:rPr>
      </w:pPr>
    </w:p>
    <w:p>
      <w:pPr>
        <w:spacing w:line="480" w:lineRule="exact"/>
        <w:ind w:firstLine="4680" w:firstLineChars="1950"/>
        <w:jc w:val="right"/>
        <w:rPr>
          <w:rFonts w:asciiTheme="majorEastAsia" w:hAnsiTheme="majorEastAsia" w:eastAsiaTheme="majorEastAsia" w:cstheme="majorEastAsia"/>
          <w:color w:val="000000" w:themeColor="text1"/>
          <w:kern w:val="0"/>
          <w:sz w:val="24"/>
        </w:rPr>
      </w:pPr>
      <w:r>
        <w:rPr>
          <w:rFonts w:hint="eastAsia" w:asciiTheme="majorEastAsia" w:hAnsiTheme="majorEastAsia" w:eastAsiaTheme="majorEastAsia" w:cstheme="majorEastAsia"/>
          <w:color w:val="000000" w:themeColor="text1"/>
          <w:kern w:val="0"/>
          <w:sz w:val="24"/>
        </w:rPr>
        <w:t xml:space="preserve">                                                 </w:t>
      </w:r>
    </w:p>
    <w:p>
      <w:pPr>
        <w:spacing w:line="480" w:lineRule="exact"/>
        <w:ind w:firstLine="4680" w:firstLineChars="1950"/>
        <w:jc w:val="right"/>
        <w:rPr>
          <w:rFonts w:asciiTheme="majorEastAsia" w:hAnsiTheme="majorEastAsia" w:eastAsiaTheme="majorEastAsia" w:cstheme="majorEastAsia"/>
          <w:color w:val="000000" w:themeColor="text1"/>
          <w:kern w:val="0"/>
          <w:sz w:val="24"/>
        </w:rPr>
      </w:pPr>
    </w:p>
    <w:p>
      <w:pPr>
        <w:spacing w:line="480" w:lineRule="exact"/>
        <w:ind w:firstLine="4680" w:firstLineChars="1950"/>
        <w:jc w:val="right"/>
        <w:rPr>
          <w:rFonts w:asciiTheme="majorEastAsia" w:hAnsiTheme="majorEastAsia" w:eastAsiaTheme="majorEastAsia" w:cstheme="majorEastAsia"/>
          <w:color w:val="000000" w:themeColor="text1"/>
          <w:kern w:val="0"/>
          <w:sz w:val="24"/>
        </w:rPr>
      </w:pPr>
    </w:p>
    <w:p>
      <w:pPr>
        <w:spacing w:line="480" w:lineRule="exact"/>
        <w:ind w:firstLine="4680" w:firstLineChars="1950"/>
        <w:jc w:val="right"/>
        <w:rPr>
          <w:rFonts w:asciiTheme="majorEastAsia" w:hAnsiTheme="majorEastAsia" w:eastAsiaTheme="majorEastAsia" w:cstheme="majorEastAsia"/>
          <w:color w:val="000000" w:themeColor="text1"/>
          <w:kern w:val="0"/>
          <w:sz w:val="24"/>
        </w:rPr>
      </w:pPr>
      <w:r>
        <w:rPr>
          <w:rFonts w:hint="eastAsia" w:asciiTheme="majorEastAsia" w:hAnsiTheme="majorEastAsia" w:eastAsiaTheme="majorEastAsia" w:cstheme="majorEastAsia"/>
          <w:color w:val="000000" w:themeColor="text1"/>
          <w:kern w:val="0"/>
          <w:sz w:val="24"/>
        </w:rPr>
        <w:t>发布日期：2020年</w:t>
      </w:r>
      <w:r>
        <w:rPr>
          <w:rFonts w:hint="eastAsia" w:asciiTheme="majorEastAsia" w:hAnsiTheme="majorEastAsia" w:eastAsiaTheme="majorEastAsia" w:cstheme="majorEastAsia"/>
          <w:color w:val="000000" w:themeColor="text1"/>
          <w:kern w:val="0"/>
          <w:sz w:val="24"/>
          <w:lang w:val="en-US" w:eastAsia="zh-CN"/>
        </w:rPr>
        <w:t>11</w:t>
      </w:r>
      <w:r>
        <w:rPr>
          <w:rFonts w:hint="eastAsia" w:asciiTheme="majorEastAsia" w:hAnsiTheme="majorEastAsia" w:eastAsiaTheme="majorEastAsia" w:cstheme="majorEastAsia"/>
          <w:color w:val="000000" w:themeColor="text1"/>
          <w:kern w:val="0"/>
          <w:sz w:val="24"/>
        </w:rPr>
        <w:t>月</w:t>
      </w:r>
      <w:r>
        <w:rPr>
          <w:rFonts w:hint="eastAsia" w:asciiTheme="majorEastAsia" w:hAnsiTheme="majorEastAsia" w:eastAsiaTheme="majorEastAsia" w:cstheme="majorEastAsia"/>
          <w:color w:val="000000" w:themeColor="text1"/>
          <w:kern w:val="0"/>
          <w:sz w:val="24"/>
          <w:lang w:val="en-US" w:eastAsia="zh-CN"/>
        </w:rPr>
        <w:t>04</w:t>
      </w:r>
      <w:r>
        <w:rPr>
          <w:rFonts w:hint="eastAsia" w:asciiTheme="majorEastAsia" w:hAnsiTheme="majorEastAsia" w:eastAsiaTheme="majorEastAsia" w:cstheme="majorEastAsia"/>
          <w:color w:val="000000" w:themeColor="text1"/>
          <w:kern w:val="0"/>
          <w:sz w:val="24"/>
        </w:rPr>
        <w:t>日</w:t>
      </w:r>
    </w:p>
    <w:p>
      <w:pPr>
        <w:widowControl/>
        <w:jc w:val="center"/>
        <w:rPr>
          <w:rFonts w:asciiTheme="majorEastAsia" w:hAnsiTheme="majorEastAsia" w:eastAsiaTheme="majorEastAsia" w:cstheme="majorEastAsia"/>
          <w:b/>
          <w:bCs/>
          <w:color w:val="000000" w:themeColor="text1"/>
          <w:sz w:val="32"/>
          <w:szCs w:val="40"/>
        </w:rPr>
        <w:sectPr>
          <w:headerReference r:id="rId9" w:type="default"/>
          <w:footerReference r:id="rId10" w:type="default"/>
          <w:pgSz w:w="11906" w:h="16838"/>
          <w:pgMar w:top="1440" w:right="1080" w:bottom="1118" w:left="1080" w:header="720" w:footer="720" w:gutter="0"/>
          <w:cols w:space="720" w:num="1"/>
          <w:docGrid w:type="lines" w:linePitch="331" w:charSpace="0"/>
        </w:sectPr>
      </w:pPr>
      <w:bookmarkStart w:id="13" w:name="_Toc460253699"/>
      <w:bookmarkStart w:id="14" w:name="_Toc485920201"/>
      <w:bookmarkStart w:id="15" w:name="_Toc213325921"/>
      <w:bookmarkStart w:id="16" w:name="_Toc139966431"/>
      <w:bookmarkStart w:id="17" w:name="_Toc213326412"/>
      <w:bookmarkStart w:id="18" w:name="_Toc139967215"/>
      <w:bookmarkStart w:id="19" w:name="_Toc213206172"/>
    </w:p>
    <w:p>
      <w:pPr>
        <w:widowControl/>
        <w:jc w:val="center"/>
        <w:outlineLvl w:val="0"/>
        <w:rPr>
          <w:rFonts w:asciiTheme="majorEastAsia" w:hAnsiTheme="majorEastAsia" w:eastAsiaTheme="majorEastAsia" w:cstheme="majorEastAsia"/>
          <w:b/>
          <w:bCs/>
          <w:caps/>
          <w:color w:val="000000" w:themeColor="text1"/>
          <w:sz w:val="32"/>
          <w:szCs w:val="40"/>
        </w:rPr>
      </w:pPr>
      <w:bookmarkStart w:id="20" w:name="_Toc15101"/>
      <w:bookmarkStart w:id="21" w:name="_Toc30530"/>
      <w:bookmarkStart w:id="22" w:name="_Toc6237"/>
      <w:r>
        <w:rPr>
          <w:rFonts w:hint="eastAsia" w:asciiTheme="majorEastAsia" w:hAnsiTheme="majorEastAsia" w:eastAsiaTheme="majorEastAsia" w:cstheme="majorEastAsia"/>
          <w:b/>
          <w:bCs/>
          <w:color w:val="000000" w:themeColor="text1"/>
          <w:sz w:val="32"/>
          <w:szCs w:val="40"/>
        </w:rPr>
        <w:t>第二章  服务需求一览表</w:t>
      </w:r>
      <w:bookmarkEnd w:id="13"/>
      <w:bookmarkEnd w:id="14"/>
      <w:bookmarkEnd w:id="20"/>
      <w:bookmarkEnd w:id="21"/>
      <w:bookmarkEnd w:id="22"/>
    </w:p>
    <w:p>
      <w:pPr>
        <w:spacing w:line="360" w:lineRule="auto"/>
        <w:rPr>
          <w:rFonts w:asciiTheme="majorEastAsia" w:hAnsiTheme="majorEastAsia" w:eastAsiaTheme="majorEastAsia" w:cstheme="majorEastAsia"/>
          <w:b/>
          <w:color w:val="000000" w:themeColor="text1"/>
          <w:sz w:val="24"/>
        </w:rPr>
      </w:pPr>
      <w:r>
        <w:rPr>
          <w:rFonts w:hint="eastAsia" w:asciiTheme="majorEastAsia" w:hAnsiTheme="majorEastAsia" w:eastAsiaTheme="majorEastAsia" w:cstheme="majorEastAsia"/>
          <w:b/>
          <w:color w:val="000000" w:themeColor="text1"/>
          <w:sz w:val="24"/>
        </w:rPr>
        <w:t>说明：</w:t>
      </w:r>
    </w:p>
    <w:p>
      <w:pPr>
        <w:spacing w:line="360" w:lineRule="auto"/>
        <w:ind w:firstLine="602" w:firstLineChars="250"/>
        <w:rPr>
          <w:rFonts w:asciiTheme="majorEastAsia" w:hAnsiTheme="majorEastAsia" w:eastAsiaTheme="majorEastAsia" w:cstheme="majorEastAsia"/>
          <w:b/>
          <w:bCs/>
          <w:color w:val="000000" w:themeColor="text1"/>
          <w:sz w:val="24"/>
        </w:rPr>
      </w:pPr>
      <w:r>
        <w:rPr>
          <w:rFonts w:hint="eastAsia" w:asciiTheme="majorEastAsia" w:hAnsiTheme="majorEastAsia" w:eastAsiaTheme="majorEastAsia" w:cstheme="majorEastAsia"/>
          <w:b/>
          <w:bCs/>
          <w:color w:val="000000" w:themeColor="text1"/>
          <w:sz w:val="24"/>
        </w:rPr>
        <w:t>1、本服务需求一览表中标注★号的部分为实质性要求和条件。</w:t>
      </w:r>
    </w:p>
    <w:p>
      <w:pPr>
        <w:spacing w:line="360" w:lineRule="auto"/>
        <w:ind w:firstLine="600" w:firstLineChars="250"/>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t>2、本服务需求一览表中内容如与第六章“合同条款及格式”相关条款不一致的，以本表为准。</w:t>
      </w:r>
    </w:p>
    <w:p>
      <w:pPr>
        <w:spacing w:line="360" w:lineRule="auto"/>
        <w:ind w:firstLine="602" w:firstLineChars="250"/>
        <w:rPr>
          <w:rFonts w:asciiTheme="majorEastAsia" w:hAnsiTheme="majorEastAsia" w:eastAsiaTheme="majorEastAsia" w:cstheme="majorEastAsia"/>
          <w:b/>
          <w:bCs/>
          <w:color w:val="000000" w:themeColor="text1"/>
          <w:sz w:val="24"/>
        </w:rPr>
      </w:pPr>
      <w:r>
        <w:rPr>
          <w:rFonts w:hint="eastAsia" w:asciiTheme="majorEastAsia" w:hAnsiTheme="majorEastAsia" w:eastAsiaTheme="majorEastAsia" w:cstheme="majorEastAsia"/>
          <w:b/>
          <w:bCs/>
          <w:color w:val="000000" w:themeColor="text1"/>
          <w:sz w:val="24"/>
        </w:rPr>
        <w:t>3、本次服务采购最高限价为：人民币捌拾捌万伍仟陆佰元整（¥885600.00元）</w:t>
      </w:r>
    </w:p>
    <w:bookmarkEnd w:id="15"/>
    <w:bookmarkEnd w:id="16"/>
    <w:bookmarkEnd w:id="17"/>
    <w:bookmarkEnd w:id="18"/>
    <w:bookmarkEnd w:id="19"/>
    <w:tbl>
      <w:tblPr>
        <w:tblStyle w:val="18"/>
        <w:tblW w:w="102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
        <w:gridCol w:w="1350"/>
        <w:gridCol w:w="937"/>
        <w:gridCol w:w="7212"/>
        <w:gridCol w:w="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0" w:type="dxa"/>
          <w:trHeight w:val="285" w:hRule="atLeast"/>
        </w:trPr>
        <w:tc>
          <w:tcPr>
            <w:tcW w:w="725" w:type="dxa"/>
            <w:vAlign w:val="center"/>
          </w:tcPr>
          <w:p>
            <w:pPr>
              <w:widowControl/>
              <w:spacing w:line="360" w:lineRule="auto"/>
              <w:ind w:right="-107" w:rightChars="-51"/>
              <w:jc w:val="center"/>
              <w:rPr>
                <w:rFonts w:ascii="新宋体" w:hAnsi="新宋体" w:eastAsia="新宋体" w:cs="新宋体"/>
                <w:b/>
                <w:color w:val="000000" w:themeColor="text1"/>
                <w:kern w:val="0"/>
                <w:sz w:val="24"/>
              </w:rPr>
            </w:pPr>
            <w:bookmarkStart w:id="23" w:name="_Toc485920211"/>
            <w:bookmarkStart w:id="24" w:name="_Toc213326413"/>
            <w:bookmarkStart w:id="25" w:name="_Toc213325922"/>
            <w:bookmarkStart w:id="26" w:name="_Toc139967216"/>
            <w:bookmarkStart w:id="27" w:name="_Toc139966432"/>
            <w:bookmarkStart w:id="28" w:name="_Toc213206173"/>
            <w:bookmarkStart w:id="29" w:name="_Toc460253700"/>
            <w:r>
              <w:rPr>
                <w:rFonts w:hint="eastAsia" w:ascii="新宋体" w:hAnsi="新宋体" w:eastAsia="新宋体" w:cs="新宋体"/>
                <w:b/>
                <w:color w:val="000000" w:themeColor="text1"/>
                <w:kern w:val="0"/>
                <w:sz w:val="24"/>
              </w:rPr>
              <w:t>项号</w:t>
            </w:r>
          </w:p>
        </w:tc>
        <w:tc>
          <w:tcPr>
            <w:tcW w:w="1350" w:type="dxa"/>
            <w:vAlign w:val="center"/>
          </w:tcPr>
          <w:p>
            <w:pPr>
              <w:widowControl/>
              <w:spacing w:line="360" w:lineRule="auto"/>
              <w:jc w:val="center"/>
              <w:rPr>
                <w:rFonts w:ascii="新宋体" w:hAnsi="新宋体" w:eastAsia="新宋体" w:cs="新宋体"/>
                <w:b/>
                <w:color w:val="000000" w:themeColor="text1"/>
                <w:kern w:val="0"/>
                <w:sz w:val="24"/>
              </w:rPr>
            </w:pPr>
            <w:r>
              <w:rPr>
                <w:rFonts w:hint="eastAsia" w:ascii="新宋体" w:hAnsi="新宋体" w:eastAsia="新宋体" w:cs="新宋体"/>
                <w:b/>
                <w:color w:val="000000" w:themeColor="text1"/>
                <w:kern w:val="0"/>
                <w:sz w:val="24"/>
              </w:rPr>
              <w:t>服务名称</w:t>
            </w:r>
          </w:p>
        </w:tc>
        <w:tc>
          <w:tcPr>
            <w:tcW w:w="937" w:type="dxa"/>
            <w:vAlign w:val="center"/>
          </w:tcPr>
          <w:p>
            <w:pPr>
              <w:widowControl/>
              <w:spacing w:line="360" w:lineRule="auto"/>
              <w:jc w:val="center"/>
              <w:rPr>
                <w:rFonts w:ascii="新宋体" w:hAnsi="新宋体" w:eastAsia="新宋体" w:cs="新宋体"/>
                <w:b/>
                <w:color w:val="000000" w:themeColor="text1"/>
                <w:kern w:val="0"/>
                <w:sz w:val="24"/>
              </w:rPr>
            </w:pPr>
            <w:r>
              <w:rPr>
                <w:rFonts w:hint="eastAsia" w:ascii="新宋体" w:hAnsi="新宋体" w:eastAsia="新宋体" w:cs="新宋体"/>
                <w:b/>
                <w:color w:val="000000" w:themeColor="text1"/>
                <w:kern w:val="0"/>
                <w:sz w:val="24"/>
              </w:rPr>
              <w:t>数量</w:t>
            </w:r>
          </w:p>
        </w:tc>
        <w:tc>
          <w:tcPr>
            <w:tcW w:w="7212" w:type="dxa"/>
            <w:vAlign w:val="center"/>
          </w:tcPr>
          <w:p>
            <w:pPr>
              <w:widowControl/>
              <w:spacing w:line="360" w:lineRule="auto"/>
              <w:jc w:val="center"/>
              <w:rPr>
                <w:rFonts w:ascii="新宋体" w:hAnsi="新宋体" w:eastAsia="新宋体" w:cs="新宋体"/>
                <w:b/>
                <w:color w:val="000000" w:themeColor="text1"/>
                <w:kern w:val="0"/>
                <w:sz w:val="24"/>
              </w:rPr>
            </w:pPr>
            <w:r>
              <w:rPr>
                <w:rFonts w:hint="eastAsia" w:ascii="新宋体" w:hAnsi="新宋体" w:eastAsia="新宋体" w:cs="新宋体"/>
                <w:b/>
                <w:color w:val="000000" w:themeColor="text1"/>
                <w:kern w:val="0"/>
                <w:sz w:val="24"/>
              </w:rPr>
              <w:t>服务内容及要求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0" w:type="dxa"/>
          <w:trHeight w:val="90" w:hRule="atLeast"/>
        </w:trPr>
        <w:tc>
          <w:tcPr>
            <w:tcW w:w="725" w:type="dxa"/>
            <w:vAlign w:val="center"/>
          </w:tcPr>
          <w:p>
            <w:pPr>
              <w:spacing w:line="360" w:lineRule="auto"/>
              <w:jc w:val="center"/>
              <w:rPr>
                <w:rFonts w:ascii="新宋体" w:hAnsi="新宋体" w:eastAsia="新宋体" w:cs="新宋体"/>
                <w:color w:val="000000" w:themeColor="text1"/>
                <w:kern w:val="0"/>
                <w:sz w:val="24"/>
              </w:rPr>
            </w:pPr>
            <w:r>
              <w:rPr>
                <w:rFonts w:hint="eastAsia" w:ascii="新宋体" w:hAnsi="新宋体" w:eastAsia="新宋体" w:cs="新宋体"/>
                <w:bCs/>
                <w:color w:val="000000" w:themeColor="text1"/>
                <w:sz w:val="24"/>
              </w:rPr>
              <w:t>1</w:t>
            </w:r>
          </w:p>
        </w:tc>
        <w:tc>
          <w:tcPr>
            <w:tcW w:w="1350" w:type="dxa"/>
            <w:vAlign w:val="center"/>
          </w:tcPr>
          <w:p>
            <w:pPr>
              <w:spacing w:line="360" w:lineRule="auto"/>
              <w:rPr>
                <w:rFonts w:ascii="新宋体" w:hAnsi="新宋体" w:eastAsia="新宋体" w:cs="新宋体"/>
                <w:color w:val="000000" w:themeColor="text1"/>
                <w:kern w:val="0"/>
                <w:sz w:val="24"/>
              </w:rPr>
            </w:pPr>
            <w:r>
              <w:rPr>
                <w:rFonts w:hint="eastAsia" w:ascii="新宋体" w:hAnsi="新宋体" w:eastAsia="新宋体" w:cs="新宋体"/>
                <w:color w:val="000000" w:themeColor="text1"/>
                <w:sz w:val="24"/>
              </w:rPr>
              <w:t>住房保障信息系统专线租用</w:t>
            </w:r>
          </w:p>
        </w:tc>
        <w:tc>
          <w:tcPr>
            <w:tcW w:w="937" w:type="dxa"/>
            <w:vAlign w:val="center"/>
          </w:tcPr>
          <w:p>
            <w:pPr>
              <w:spacing w:line="360" w:lineRule="auto"/>
              <w:jc w:val="center"/>
              <w:rPr>
                <w:rFonts w:ascii="新宋体" w:hAnsi="新宋体" w:eastAsia="新宋体" w:cs="新宋体"/>
                <w:color w:val="000000" w:themeColor="text1"/>
                <w:kern w:val="0"/>
                <w:sz w:val="24"/>
              </w:rPr>
            </w:pPr>
            <w:r>
              <w:rPr>
                <w:rFonts w:hint="eastAsia" w:ascii="新宋体" w:hAnsi="新宋体" w:eastAsia="新宋体" w:cs="新宋体"/>
                <w:sz w:val="24"/>
              </w:rPr>
              <w:t>1项</w:t>
            </w:r>
          </w:p>
        </w:tc>
        <w:tc>
          <w:tcPr>
            <w:tcW w:w="7212" w:type="dxa"/>
            <w:vAlign w:val="center"/>
          </w:tcPr>
          <w:p>
            <w:pPr>
              <w:spacing w:line="360" w:lineRule="auto"/>
              <w:rPr>
                <w:rFonts w:ascii="新宋体" w:hAnsi="新宋体" w:eastAsia="新宋体" w:cs="新宋体"/>
                <w:sz w:val="24"/>
              </w:rPr>
            </w:pPr>
            <w:r>
              <w:rPr>
                <w:rFonts w:hint="eastAsia" w:ascii="新宋体" w:hAnsi="新宋体" w:eastAsia="新宋体" w:cs="新宋体"/>
                <w:sz w:val="24"/>
              </w:rPr>
              <w:t>一、项目概况</w:t>
            </w:r>
          </w:p>
          <w:p>
            <w:pPr>
              <w:spacing w:line="360" w:lineRule="auto"/>
              <w:rPr>
                <w:rFonts w:ascii="新宋体" w:hAnsi="新宋体" w:eastAsia="新宋体" w:cs="新宋体"/>
                <w:sz w:val="24"/>
              </w:rPr>
            </w:pPr>
            <w:r>
              <w:rPr>
                <w:rFonts w:hint="eastAsia" w:ascii="新宋体" w:hAnsi="新宋体" w:eastAsia="新宋体" w:cs="新宋体"/>
                <w:sz w:val="24"/>
              </w:rPr>
              <w:t>根据业务需要，采购人需在南宁市街道办、房管所共82个点到南宁市住房和城乡建设局之间架设多条网络专线，用于多地机房之间网络连接。</w:t>
            </w:r>
          </w:p>
          <w:p>
            <w:pPr>
              <w:spacing w:line="360" w:lineRule="auto"/>
              <w:rPr>
                <w:rFonts w:ascii="新宋体" w:hAnsi="新宋体" w:eastAsia="新宋体" w:cs="新宋体"/>
                <w:sz w:val="24"/>
              </w:rPr>
            </w:pPr>
            <w:r>
              <w:rPr>
                <w:rFonts w:hint="eastAsia" w:ascii="新宋体" w:hAnsi="新宋体" w:eastAsia="新宋体" w:cs="新宋体"/>
                <w:sz w:val="24"/>
              </w:rPr>
              <w:t>二、项目目标</w:t>
            </w:r>
          </w:p>
          <w:p>
            <w:pPr>
              <w:spacing w:line="360" w:lineRule="auto"/>
              <w:rPr>
                <w:rFonts w:ascii="新宋体" w:hAnsi="新宋体" w:eastAsia="新宋体" w:cs="新宋体"/>
                <w:sz w:val="24"/>
              </w:rPr>
            </w:pPr>
            <w:r>
              <w:rPr>
                <w:rFonts w:hint="eastAsia" w:ascii="新宋体" w:hAnsi="新宋体" w:eastAsia="新宋体" w:cs="新宋体"/>
                <w:sz w:val="24"/>
              </w:rPr>
              <w:t>通过租用南宁市街道办、房管所共82个点至南宁市住房和城乡建设局机房的点对点光纤专线，实现系统数据能够互相传递、共享。</w:t>
            </w:r>
          </w:p>
          <w:p>
            <w:pPr>
              <w:spacing w:line="360" w:lineRule="auto"/>
              <w:rPr>
                <w:rFonts w:ascii="新宋体" w:hAnsi="新宋体" w:eastAsia="新宋体" w:cs="新宋体"/>
                <w:sz w:val="24"/>
              </w:rPr>
            </w:pPr>
            <w:r>
              <w:rPr>
                <w:rFonts w:hint="eastAsia" w:ascii="新宋体" w:hAnsi="新宋体" w:eastAsia="新宋体" w:cs="新宋体"/>
                <w:sz w:val="24"/>
              </w:rPr>
              <w:t>三、服务范围</w:t>
            </w:r>
          </w:p>
          <w:p>
            <w:pPr>
              <w:spacing w:line="360" w:lineRule="auto"/>
              <w:rPr>
                <w:rFonts w:ascii="新宋体" w:hAnsi="新宋体" w:eastAsia="新宋体" w:cs="新宋体"/>
                <w:sz w:val="24"/>
              </w:rPr>
            </w:pPr>
            <w:r>
              <w:rPr>
                <w:rFonts w:hint="eastAsia" w:ascii="新宋体" w:hAnsi="新宋体" w:eastAsia="新宋体" w:cs="新宋体"/>
                <w:sz w:val="24"/>
              </w:rPr>
              <w:t>点对点专线涉及的南宁市街道办、房管所等共82个点、南宁市住房和城乡建设局机房及相关的信息系统。</w:t>
            </w:r>
          </w:p>
          <w:p>
            <w:pPr>
              <w:spacing w:line="360" w:lineRule="auto"/>
              <w:rPr>
                <w:rFonts w:ascii="新宋体" w:hAnsi="新宋体" w:eastAsia="新宋体" w:cs="新宋体"/>
                <w:sz w:val="24"/>
              </w:rPr>
            </w:pPr>
            <w:r>
              <w:rPr>
                <w:rFonts w:hint="eastAsia" w:ascii="新宋体" w:hAnsi="新宋体" w:eastAsia="新宋体" w:cs="新宋体"/>
                <w:sz w:val="24"/>
              </w:rPr>
              <w:t>四、服务内容及要求</w:t>
            </w:r>
          </w:p>
          <w:p>
            <w:pPr>
              <w:spacing w:line="360" w:lineRule="auto"/>
              <w:rPr>
                <w:rFonts w:ascii="新宋体" w:hAnsi="新宋体" w:eastAsia="新宋体" w:cs="新宋体"/>
                <w:sz w:val="24"/>
              </w:rPr>
            </w:pPr>
            <w:r>
              <w:rPr>
                <w:rFonts w:hint="eastAsia" w:ascii="新宋体" w:hAnsi="新宋体" w:eastAsia="新宋体" w:cs="新宋体"/>
                <w:sz w:val="24"/>
              </w:rPr>
              <w:t>★1、提供≥8M带宽的点对点光纤专线接入。</w:t>
            </w:r>
          </w:p>
          <w:p>
            <w:pPr>
              <w:spacing w:line="360" w:lineRule="auto"/>
              <w:rPr>
                <w:rFonts w:ascii="新宋体" w:hAnsi="新宋体" w:eastAsia="新宋体" w:cs="新宋体"/>
                <w:sz w:val="24"/>
              </w:rPr>
            </w:pPr>
            <w:r>
              <w:rPr>
                <w:rFonts w:hint="eastAsia" w:ascii="新宋体" w:hAnsi="新宋体" w:eastAsia="新宋体" w:cs="新宋体"/>
                <w:b/>
                <w:sz w:val="24"/>
              </w:rPr>
              <w:t>★</w:t>
            </w:r>
            <w:r>
              <w:rPr>
                <w:rFonts w:hint="eastAsia" w:ascii="新宋体" w:hAnsi="新宋体" w:eastAsia="新宋体" w:cs="新宋体"/>
                <w:sz w:val="24"/>
              </w:rPr>
              <w:t xml:space="preserve">2、地点：南宁市街道办、房管所共82个点（详细地址由采购方指定，线路铺设由中标方自行勘探）接到南宁市住房和城乡建设局。 </w:t>
            </w:r>
          </w:p>
          <w:p>
            <w:pPr>
              <w:spacing w:line="360" w:lineRule="auto"/>
              <w:rPr>
                <w:rFonts w:ascii="新宋体" w:hAnsi="新宋体" w:eastAsia="新宋体" w:cs="新宋体"/>
                <w:sz w:val="24"/>
              </w:rPr>
            </w:pPr>
            <w:r>
              <w:rPr>
                <w:rFonts w:hint="eastAsia" w:ascii="新宋体" w:hAnsi="新宋体" w:eastAsia="新宋体" w:cs="新宋体"/>
                <w:sz w:val="24"/>
              </w:rPr>
              <w:t>3、由中标方后续有偿承担南宁市住房和城乡建设局智慧楼宇改造光纤改造迁移过程中所需设备及光纤铺设改造。此外，后续智慧楼宇5G信号覆盖及其相关改造升级需配合南宁市住房和城乡建设局免费给出解决方案建议。</w:t>
            </w:r>
          </w:p>
          <w:p>
            <w:pPr>
              <w:spacing w:line="360" w:lineRule="auto"/>
              <w:rPr>
                <w:rFonts w:ascii="新宋体" w:hAnsi="新宋体" w:eastAsia="新宋体" w:cs="新宋体"/>
                <w:sz w:val="24"/>
              </w:rPr>
            </w:pPr>
            <w:r>
              <w:rPr>
                <w:rFonts w:hint="eastAsia" w:ascii="新宋体" w:hAnsi="新宋体" w:eastAsia="新宋体" w:cs="新宋体"/>
                <w:sz w:val="24"/>
              </w:rPr>
              <w:t>4、传输接入层至骨干层均为自愈网状保护，传输设备具有全网网管监控功能，并实行7*24小时实时监控。传输接入层至骨干层均为自愈环保护；</w:t>
            </w:r>
          </w:p>
          <w:p>
            <w:pPr>
              <w:spacing w:line="360" w:lineRule="auto"/>
              <w:rPr>
                <w:rFonts w:ascii="新宋体" w:hAnsi="新宋体" w:eastAsia="新宋体" w:cs="新宋体"/>
                <w:sz w:val="24"/>
              </w:rPr>
            </w:pPr>
            <w:r>
              <w:rPr>
                <w:rFonts w:hint="eastAsia" w:ascii="新宋体" w:hAnsi="新宋体" w:eastAsia="新宋体" w:cs="新宋体"/>
                <w:sz w:val="24"/>
              </w:rPr>
              <w:t>5、数字电路与互联网（公网）物理隔离；</w:t>
            </w:r>
          </w:p>
          <w:p>
            <w:pPr>
              <w:spacing w:line="360" w:lineRule="auto"/>
              <w:rPr>
                <w:rFonts w:ascii="新宋体" w:hAnsi="新宋体" w:eastAsia="新宋体" w:cs="新宋体"/>
                <w:sz w:val="24"/>
              </w:rPr>
            </w:pPr>
            <w:r>
              <w:rPr>
                <w:rFonts w:hint="eastAsia" w:ascii="新宋体" w:hAnsi="新宋体" w:eastAsia="新宋体" w:cs="新宋体"/>
                <w:sz w:val="24"/>
              </w:rPr>
              <w:t>6、接口类型：可提供RJ45接口类型；</w:t>
            </w:r>
          </w:p>
          <w:p>
            <w:pPr>
              <w:spacing w:line="360" w:lineRule="auto"/>
              <w:rPr>
                <w:rFonts w:ascii="新宋体" w:hAnsi="新宋体" w:eastAsia="新宋体" w:cs="新宋体"/>
                <w:sz w:val="24"/>
              </w:rPr>
            </w:pPr>
            <w:r>
              <w:rPr>
                <w:rFonts w:hint="eastAsia" w:ascii="新宋体" w:hAnsi="新宋体" w:eastAsia="新宋体" w:cs="新宋体"/>
                <w:sz w:val="24"/>
              </w:rPr>
              <w:t>★7、专线接入方式：采用GPON、SDH、MSTP、PTN或更先进的网络技术进行组网。</w:t>
            </w:r>
          </w:p>
          <w:p>
            <w:pPr>
              <w:spacing w:line="360" w:lineRule="auto"/>
              <w:rPr>
                <w:rFonts w:ascii="新宋体" w:hAnsi="新宋体" w:eastAsia="新宋体" w:cs="新宋体"/>
                <w:sz w:val="24"/>
              </w:rPr>
            </w:pPr>
            <w:r>
              <w:rPr>
                <w:rFonts w:hint="eastAsia" w:ascii="新宋体" w:hAnsi="新宋体" w:eastAsia="新宋体" w:cs="新宋体"/>
                <w:sz w:val="24"/>
              </w:rPr>
              <w:t>8、各接入单位的专线要求具备网络扩容平滑升级能力和可扩展性。</w:t>
            </w:r>
          </w:p>
          <w:p>
            <w:pPr>
              <w:spacing w:line="360" w:lineRule="auto"/>
              <w:rPr>
                <w:rFonts w:ascii="新宋体" w:hAnsi="新宋体" w:eastAsia="新宋体" w:cs="新宋体"/>
                <w:sz w:val="24"/>
              </w:rPr>
            </w:pPr>
            <w:r>
              <w:rPr>
                <w:rFonts w:hint="eastAsia" w:ascii="新宋体" w:hAnsi="新宋体" w:eastAsia="新宋体" w:cs="新宋体"/>
                <w:sz w:val="24"/>
              </w:rPr>
              <w:t>9、线路延时：终端网络接入ping测1M报文时间小于10毫秒。</w:t>
            </w:r>
          </w:p>
          <w:p>
            <w:pPr>
              <w:spacing w:line="360" w:lineRule="auto"/>
              <w:rPr>
                <w:rFonts w:ascii="新宋体" w:hAnsi="新宋体" w:eastAsia="新宋体" w:cs="新宋体"/>
                <w:sz w:val="24"/>
              </w:rPr>
            </w:pPr>
            <w:r>
              <w:rPr>
                <w:rFonts w:hint="eastAsia" w:ascii="新宋体" w:hAnsi="新宋体" w:eastAsia="新宋体" w:cs="新宋体"/>
                <w:sz w:val="24"/>
              </w:rPr>
              <w:t>10、线路丢帧率：小于0.5%，且不允许出现连续丢包。</w:t>
            </w:r>
          </w:p>
          <w:p>
            <w:pPr>
              <w:spacing w:line="360" w:lineRule="auto"/>
              <w:rPr>
                <w:rFonts w:ascii="新宋体" w:hAnsi="新宋体" w:eastAsia="新宋体" w:cs="新宋体"/>
                <w:sz w:val="24"/>
              </w:rPr>
            </w:pPr>
            <w:r>
              <w:rPr>
                <w:rFonts w:hint="eastAsia" w:ascii="新宋体" w:hAnsi="新宋体" w:eastAsia="新宋体" w:cs="新宋体"/>
                <w:sz w:val="24"/>
              </w:rPr>
              <w:t>11、每个季度网络进行一次巡检，检查网络设备和主干光缆的运行情况，提交巡检报告。</w:t>
            </w:r>
          </w:p>
          <w:p>
            <w:pPr>
              <w:spacing w:line="360" w:lineRule="auto"/>
              <w:rPr>
                <w:rFonts w:ascii="新宋体" w:hAnsi="新宋体" w:eastAsia="新宋体" w:cs="新宋体"/>
                <w:sz w:val="24"/>
              </w:rPr>
            </w:pPr>
            <w:r>
              <w:rPr>
                <w:rFonts w:hint="eastAsia" w:ascii="新宋体" w:hAnsi="新宋体" w:eastAsia="新宋体" w:cs="新宋体"/>
                <w:sz w:val="24"/>
              </w:rPr>
              <w:t>12、当采购人网络需要扩展或升级时，负责免费提供相应解决方案等技术支持。</w:t>
            </w:r>
          </w:p>
          <w:p>
            <w:pPr>
              <w:spacing w:line="360" w:lineRule="auto"/>
              <w:rPr>
                <w:rFonts w:ascii="新宋体" w:hAnsi="新宋体" w:eastAsia="新宋体" w:cs="新宋体"/>
                <w:sz w:val="24"/>
              </w:rPr>
            </w:pPr>
            <w:r>
              <w:rPr>
                <w:rFonts w:hint="eastAsia" w:ascii="新宋体" w:hAnsi="新宋体" w:eastAsia="新宋体" w:cs="新宋体"/>
                <w:sz w:val="24"/>
              </w:rPr>
              <w:t>★13、租用时间：交付使用开始12个月。</w:t>
            </w:r>
          </w:p>
          <w:p>
            <w:pPr>
              <w:spacing w:line="360" w:lineRule="auto"/>
              <w:rPr>
                <w:rFonts w:ascii="新宋体" w:hAnsi="新宋体" w:eastAsia="新宋体" w:cs="新宋体"/>
                <w:sz w:val="24"/>
              </w:rPr>
            </w:pPr>
            <w:r>
              <w:rPr>
                <w:rFonts w:hint="eastAsia" w:ascii="新宋体" w:hAnsi="新宋体" w:eastAsia="新宋体" w:cs="新宋体"/>
                <w:sz w:val="24"/>
              </w:rPr>
              <w:t>★14、采购方不提供任何接入设备，需要增加接入设备，均由中标方自行负责。</w:t>
            </w:r>
          </w:p>
          <w:p>
            <w:pPr>
              <w:tabs>
                <w:tab w:val="left" w:pos="720"/>
              </w:tabs>
              <w:spacing w:line="360" w:lineRule="auto"/>
              <w:rPr>
                <w:rFonts w:ascii="新宋体" w:hAnsi="新宋体" w:eastAsia="新宋体" w:cs="新宋体"/>
                <w:color w:val="000000" w:themeColor="text1"/>
                <w:kern w:val="0"/>
                <w:sz w:val="24"/>
              </w:rPr>
            </w:pPr>
            <w:r>
              <w:rPr>
                <w:rFonts w:hint="eastAsia" w:ascii="新宋体" w:hAnsi="新宋体" w:eastAsia="新宋体" w:cs="新宋体"/>
                <w:sz w:val="24"/>
              </w:rPr>
              <w:t>★15、合同期内，每个接入点提供一次免费迁移的服务。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3012" w:type="dxa"/>
            <w:gridSpan w:val="3"/>
            <w:vAlign w:val="center"/>
          </w:tcPr>
          <w:p>
            <w:pPr>
              <w:spacing w:line="360" w:lineRule="auto"/>
              <w:jc w:val="center"/>
              <w:rPr>
                <w:rFonts w:ascii="新宋体" w:hAnsi="新宋体" w:eastAsia="新宋体" w:cs="新宋体"/>
                <w:color w:val="000000" w:themeColor="text1"/>
                <w:sz w:val="24"/>
              </w:rPr>
            </w:pPr>
            <w:r>
              <w:rPr>
                <w:rFonts w:hint="eastAsia" w:ascii="新宋体" w:hAnsi="新宋体" w:eastAsia="新宋体" w:cs="新宋体"/>
                <w:b/>
                <w:color w:val="000000" w:themeColor="text1"/>
                <w:sz w:val="24"/>
              </w:rPr>
              <w:t>分项最高限价合计（元）</w:t>
            </w:r>
          </w:p>
        </w:tc>
        <w:tc>
          <w:tcPr>
            <w:tcW w:w="7252" w:type="dxa"/>
            <w:gridSpan w:val="2"/>
            <w:vAlign w:val="center"/>
          </w:tcPr>
          <w:p>
            <w:pPr>
              <w:spacing w:line="360" w:lineRule="auto"/>
              <w:rPr>
                <w:rFonts w:ascii="新宋体" w:hAnsi="新宋体" w:eastAsia="新宋体" w:cs="新宋体"/>
                <w:color w:val="000000" w:themeColor="text1"/>
                <w:sz w:val="24"/>
              </w:rPr>
            </w:pPr>
            <w:r>
              <w:rPr>
                <w:rFonts w:hint="eastAsia" w:ascii="新宋体" w:hAnsi="新宋体" w:eastAsia="新宋体" w:cs="新宋体"/>
                <w:color w:val="000000" w:themeColor="text1"/>
                <w:sz w:val="24"/>
              </w:rPr>
              <w:t>￥885600.00元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725" w:type="dxa"/>
            <w:vAlign w:val="center"/>
          </w:tcPr>
          <w:p>
            <w:pPr>
              <w:spacing w:line="360" w:lineRule="auto"/>
              <w:jc w:val="center"/>
              <w:rPr>
                <w:rFonts w:ascii="新宋体" w:hAnsi="新宋体" w:eastAsia="新宋体" w:cs="新宋体"/>
                <w:b/>
                <w:color w:val="000000" w:themeColor="text1"/>
                <w:sz w:val="24"/>
              </w:rPr>
            </w:pPr>
            <w:r>
              <w:rPr>
                <w:rFonts w:hint="eastAsia" w:ascii="新宋体" w:hAnsi="新宋体" w:eastAsia="新宋体" w:cs="新宋体"/>
                <w:b/>
                <w:color w:val="000000" w:themeColor="text1"/>
                <w:sz w:val="24"/>
              </w:rPr>
              <w:t>商 务</w:t>
            </w:r>
          </w:p>
          <w:p>
            <w:pPr>
              <w:spacing w:line="360" w:lineRule="auto"/>
              <w:jc w:val="center"/>
              <w:rPr>
                <w:rFonts w:ascii="新宋体" w:hAnsi="新宋体" w:eastAsia="新宋体" w:cs="新宋体"/>
                <w:b/>
                <w:bCs/>
                <w:color w:val="000000" w:themeColor="text1"/>
                <w:sz w:val="24"/>
              </w:rPr>
            </w:pPr>
            <w:r>
              <w:rPr>
                <w:rFonts w:hint="eastAsia" w:ascii="新宋体" w:hAnsi="新宋体" w:eastAsia="新宋体" w:cs="新宋体"/>
                <w:b/>
                <w:color w:val="000000" w:themeColor="text1"/>
                <w:sz w:val="24"/>
              </w:rPr>
              <w:t>条 款</w:t>
            </w:r>
          </w:p>
        </w:tc>
        <w:tc>
          <w:tcPr>
            <w:tcW w:w="9539" w:type="dxa"/>
            <w:gridSpan w:val="4"/>
          </w:tcPr>
          <w:p>
            <w:pPr>
              <w:widowControl/>
              <w:spacing w:line="360" w:lineRule="auto"/>
              <w:rPr>
                <w:rFonts w:ascii="新宋体" w:hAnsi="新宋体" w:eastAsia="新宋体" w:cs="新宋体"/>
                <w:color w:val="000000" w:themeColor="text1"/>
                <w:sz w:val="24"/>
              </w:rPr>
            </w:pPr>
            <w:r>
              <w:rPr>
                <w:rFonts w:hint="eastAsia" w:ascii="新宋体" w:hAnsi="新宋体" w:eastAsia="新宋体" w:cs="新宋体"/>
                <w:color w:val="000000" w:themeColor="text1"/>
                <w:sz w:val="24"/>
              </w:rPr>
              <w:t>一、合同签订期：自成交通知书发出之日起 7个工作日内。</w:t>
            </w:r>
          </w:p>
          <w:p>
            <w:pPr>
              <w:widowControl/>
              <w:spacing w:line="360" w:lineRule="auto"/>
              <w:rPr>
                <w:rFonts w:ascii="新宋体" w:hAnsi="新宋体" w:eastAsia="新宋体" w:cs="新宋体"/>
                <w:color w:val="000000" w:themeColor="text1"/>
                <w:sz w:val="24"/>
              </w:rPr>
            </w:pPr>
            <w:r>
              <w:rPr>
                <w:rFonts w:hint="eastAsia" w:ascii="新宋体" w:hAnsi="新宋体" w:eastAsia="新宋体" w:cs="新宋体"/>
                <w:color w:val="000000" w:themeColor="text1"/>
                <w:sz w:val="24"/>
              </w:rPr>
              <w:t xml:space="preserve">★二、提交服务成果时间：自合同签订之日起5个工作日内。   </w:t>
            </w:r>
          </w:p>
          <w:p>
            <w:pPr>
              <w:widowControl/>
              <w:spacing w:line="360" w:lineRule="auto"/>
              <w:rPr>
                <w:rFonts w:ascii="新宋体" w:hAnsi="新宋体" w:eastAsia="新宋体" w:cs="新宋体"/>
                <w:color w:val="000000" w:themeColor="text1"/>
                <w:sz w:val="24"/>
              </w:rPr>
            </w:pPr>
            <w:r>
              <w:rPr>
                <w:rFonts w:hint="eastAsia" w:ascii="新宋体" w:hAnsi="新宋体" w:eastAsia="新宋体" w:cs="新宋体"/>
                <w:color w:val="000000" w:themeColor="text1"/>
                <w:sz w:val="24"/>
              </w:rPr>
              <w:t xml:space="preserve">三、提交服务成果地点：南宁市（采购人指定地点）。      </w:t>
            </w:r>
          </w:p>
          <w:p>
            <w:pPr>
              <w:widowControl/>
              <w:spacing w:line="360" w:lineRule="auto"/>
              <w:rPr>
                <w:rFonts w:ascii="新宋体" w:hAnsi="新宋体" w:eastAsia="新宋体" w:cs="新宋体"/>
                <w:color w:val="000000" w:themeColor="text1"/>
                <w:sz w:val="24"/>
              </w:rPr>
            </w:pPr>
            <w:r>
              <w:rPr>
                <w:rFonts w:hint="eastAsia" w:ascii="新宋体" w:hAnsi="新宋体" w:eastAsia="新宋体" w:cs="新宋体"/>
                <w:color w:val="000000" w:themeColor="text1"/>
                <w:sz w:val="24"/>
              </w:rPr>
              <w:t>四、售后服务要求：</w:t>
            </w:r>
          </w:p>
          <w:p>
            <w:pPr>
              <w:widowControl/>
              <w:spacing w:line="360" w:lineRule="auto"/>
              <w:rPr>
                <w:rFonts w:ascii="新宋体" w:hAnsi="新宋体" w:eastAsia="新宋体" w:cs="新宋体"/>
                <w:color w:val="000000" w:themeColor="text1"/>
                <w:sz w:val="24"/>
              </w:rPr>
            </w:pPr>
            <w:r>
              <w:rPr>
                <w:rFonts w:hint="eastAsia" w:ascii="新宋体" w:hAnsi="新宋体" w:eastAsia="新宋体" w:cs="新宋体"/>
                <w:color w:val="000000" w:themeColor="text1"/>
                <w:sz w:val="24"/>
              </w:rPr>
              <w:t>★1、质量保证期 1 年（自提交服务成果并验收合格之日起计）。</w:t>
            </w:r>
          </w:p>
          <w:p>
            <w:pPr>
              <w:widowControl/>
              <w:spacing w:line="360" w:lineRule="auto"/>
              <w:rPr>
                <w:rFonts w:ascii="新宋体" w:hAnsi="新宋体" w:eastAsia="新宋体" w:cs="新宋体"/>
                <w:color w:val="000000" w:themeColor="text1"/>
                <w:sz w:val="24"/>
              </w:rPr>
            </w:pPr>
            <w:r>
              <w:rPr>
                <w:rFonts w:hint="eastAsia" w:ascii="新宋体" w:hAnsi="新宋体" w:eastAsia="新宋体" w:cs="新宋体"/>
                <w:color w:val="000000" w:themeColor="text1"/>
                <w:sz w:val="24"/>
              </w:rPr>
              <w:t>2、处理问题响应时间：售后服务电话响应时间要求7*24小时，现场响应时间要求不超过2小时，问题解决时间要求不超过1个工作日；</w:t>
            </w:r>
          </w:p>
          <w:p>
            <w:pPr>
              <w:widowControl/>
              <w:spacing w:line="360" w:lineRule="auto"/>
              <w:rPr>
                <w:rFonts w:ascii="新宋体" w:hAnsi="新宋体" w:eastAsia="新宋体" w:cs="新宋体"/>
                <w:color w:val="000000" w:themeColor="text1"/>
                <w:sz w:val="24"/>
              </w:rPr>
            </w:pPr>
            <w:r>
              <w:rPr>
                <w:rFonts w:hint="eastAsia" w:ascii="新宋体" w:hAnsi="新宋体" w:eastAsia="新宋体" w:cs="新宋体"/>
                <w:color w:val="000000" w:themeColor="text1"/>
                <w:sz w:val="24"/>
              </w:rPr>
              <w:t>3、服务人员要求：服务人员相对固定，提供本项目主管人员、运维技术人员名单及联系方式。</w:t>
            </w:r>
          </w:p>
          <w:p>
            <w:pPr>
              <w:widowControl/>
              <w:spacing w:line="360" w:lineRule="auto"/>
              <w:rPr>
                <w:rFonts w:ascii="新宋体" w:hAnsi="新宋体" w:eastAsia="新宋体" w:cs="新宋体"/>
                <w:color w:val="000000" w:themeColor="text1"/>
                <w:sz w:val="24"/>
              </w:rPr>
            </w:pPr>
            <w:r>
              <w:rPr>
                <w:rFonts w:hint="eastAsia" w:ascii="新宋体" w:hAnsi="新宋体" w:eastAsia="新宋体" w:cs="新宋体"/>
                <w:color w:val="000000" w:themeColor="text1"/>
                <w:sz w:val="24"/>
              </w:rPr>
              <w:t>4、服务配套设备要求：服务期间对网络线路进行维护测试所需要使用的工具及软件由成交供应商自备，不能要求采购人另行采购或提供。</w:t>
            </w:r>
          </w:p>
          <w:p>
            <w:pPr>
              <w:widowControl/>
              <w:spacing w:line="360" w:lineRule="auto"/>
              <w:rPr>
                <w:rFonts w:ascii="新宋体" w:hAnsi="新宋体" w:eastAsia="新宋体" w:cs="新宋体"/>
                <w:color w:val="000000" w:themeColor="text1"/>
                <w:sz w:val="24"/>
              </w:rPr>
            </w:pPr>
            <w:r>
              <w:rPr>
                <w:rFonts w:hint="eastAsia" w:ascii="新宋体" w:hAnsi="新宋体" w:eastAsia="新宋体" w:cs="新宋体"/>
                <w:color w:val="000000" w:themeColor="text1"/>
                <w:sz w:val="24"/>
              </w:rPr>
              <w:t>5、此次采购为三年期采购的第一阶段，服务期1年（自提交服务成果并验收合格之日起计），成交供应商需保证交付线路的不间断性及可延续性，需保证有能力对后续第二阶段采购继续提供线路服务。</w:t>
            </w:r>
          </w:p>
          <w:p>
            <w:pPr>
              <w:widowControl/>
              <w:spacing w:line="360" w:lineRule="auto"/>
              <w:rPr>
                <w:rFonts w:ascii="新宋体" w:hAnsi="新宋体" w:eastAsia="新宋体" w:cs="新宋体"/>
                <w:color w:val="000000" w:themeColor="text1"/>
                <w:sz w:val="24"/>
              </w:rPr>
            </w:pPr>
            <w:r>
              <w:rPr>
                <w:rFonts w:hint="eastAsia" w:ascii="新宋体" w:hAnsi="新宋体" w:eastAsia="新宋体" w:cs="新宋体"/>
                <w:color w:val="000000" w:themeColor="text1"/>
                <w:sz w:val="24"/>
              </w:rPr>
              <w:t>★5、入场服务要求：</w:t>
            </w:r>
          </w:p>
          <w:p>
            <w:pPr>
              <w:widowControl/>
              <w:spacing w:line="360" w:lineRule="auto"/>
              <w:rPr>
                <w:rFonts w:ascii="新宋体" w:hAnsi="新宋体" w:eastAsia="新宋体" w:cs="新宋体"/>
                <w:color w:val="000000" w:themeColor="text1"/>
                <w:sz w:val="24"/>
              </w:rPr>
            </w:pPr>
            <w:r>
              <w:rPr>
                <w:rFonts w:hint="eastAsia" w:ascii="新宋体" w:hAnsi="新宋体" w:eastAsia="新宋体" w:cs="新宋体"/>
                <w:color w:val="000000" w:themeColor="text1"/>
                <w:sz w:val="24"/>
              </w:rPr>
              <w:t>(1)在服务期限内，成交供应商应严格遵守《中华人民共和国电信条例》，维护双方权益，应按工信部颁布的《电信服务标准》的电路质量要求，保证采购人租用线路畅通及安全使用；</w:t>
            </w:r>
          </w:p>
          <w:p>
            <w:pPr>
              <w:widowControl/>
              <w:spacing w:line="360" w:lineRule="auto"/>
              <w:rPr>
                <w:rFonts w:ascii="新宋体" w:hAnsi="新宋体" w:eastAsia="新宋体" w:cs="新宋体"/>
                <w:color w:val="000000" w:themeColor="text1"/>
                <w:sz w:val="24"/>
              </w:rPr>
            </w:pPr>
            <w:r>
              <w:rPr>
                <w:rFonts w:hint="eastAsia" w:ascii="新宋体" w:hAnsi="新宋体" w:eastAsia="新宋体" w:cs="新宋体"/>
                <w:color w:val="000000" w:themeColor="text1"/>
                <w:sz w:val="24"/>
              </w:rPr>
              <w:t>(2) 成交供应商须提供针对本项目为采购人服务的客户经理及维护人员的联系电话；</w:t>
            </w:r>
          </w:p>
          <w:p>
            <w:pPr>
              <w:widowControl/>
              <w:spacing w:line="360" w:lineRule="auto"/>
              <w:rPr>
                <w:rFonts w:ascii="新宋体" w:hAnsi="新宋体" w:eastAsia="新宋体" w:cs="新宋体"/>
                <w:color w:val="000000" w:themeColor="text1"/>
                <w:sz w:val="24"/>
              </w:rPr>
            </w:pPr>
            <w:r>
              <w:rPr>
                <w:rFonts w:hint="eastAsia" w:ascii="新宋体" w:hAnsi="新宋体" w:eastAsia="新宋体" w:cs="新宋体"/>
                <w:color w:val="000000" w:themeColor="text1"/>
                <w:sz w:val="24"/>
              </w:rPr>
              <w:t>(3)成交供应商所提供的线路及设缆应有清晰明确、符合相关规范的身份标识、设备及线路标签，标识标签上应清楚标注故障应急响应的联系电话。</w:t>
            </w:r>
          </w:p>
          <w:p>
            <w:pPr>
              <w:widowControl/>
              <w:spacing w:line="360" w:lineRule="auto"/>
              <w:rPr>
                <w:rFonts w:ascii="新宋体" w:hAnsi="新宋体" w:eastAsia="新宋体" w:cs="新宋体"/>
                <w:color w:val="000000" w:themeColor="text1"/>
                <w:sz w:val="24"/>
              </w:rPr>
            </w:pPr>
            <w:r>
              <w:rPr>
                <w:rFonts w:hint="eastAsia" w:ascii="新宋体" w:hAnsi="新宋体" w:eastAsia="新宋体" w:cs="新宋体"/>
                <w:color w:val="000000" w:themeColor="text1"/>
                <w:sz w:val="24"/>
              </w:rPr>
              <w:t>6、验收要求：</w:t>
            </w:r>
          </w:p>
          <w:p>
            <w:pPr>
              <w:widowControl/>
              <w:spacing w:line="360" w:lineRule="auto"/>
              <w:rPr>
                <w:rFonts w:ascii="新宋体" w:hAnsi="新宋体" w:eastAsia="新宋体" w:cs="新宋体"/>
                <w:color w:val="000000" w:themeColor="text1"/>
                <w:sz w:val="24"/>
              </w:rPr>
            </w:pPr>
            <w:r>
              <w:rPr>
                <w:rFonts w:hint="eastAsia" w:ascii="新宋体" w:hAnsi="新宋体" w:eastAsia="新宋体" w:cs="新宋体"/>
                <w:color w:val="000000" w:themeColor="text1"/>
                <w:sz w:val="24"/>
              </w:rPr>
              <w:t>成交供应商提供的网络租用服务，正常稳定运行7个工作日以上，经双方现场测试，满足采购人线路技术参数要求并经采购人签字确认，才能通过验收。</w:t>
            </w:r>
          </w:p>
          <w:p>
            <w:pPr>
              <w:widowControl/>
              <w:spacing w:line="360" w:lineRule="auto"/>
              <w:rPr>
                <w:rFonts w:ascii="新宋体" w:hAnsi="新宋体" w:eastAsia="新宋体" w:cs="新宋体"/>
                <w:color w:val="000000" w:themeColor="text1"/>
                <w:sz w:val="24"/>
              </w:rPr>
            </w:pPr>
            <w:r>
              <w:rPr>
                <w:rFonts w:hint="eastAsia" w:ascii="新宋体" w:hAnsi="新宋体" w:eastAsia="新宋体" w:cs="新宋体"/>
                <w:color w:val="000000" w:themeColor="text1"/>
                <w:sz w:val="24"/>
              </w:rPr>
              <w:t>7、培训要求：</w:t>
            </w:r>
          </w:p>
          <w:p>
            <w:pPr>
              <w:widowControl/>
              <w:spacing w:line="360" w:lineRule="auto"/>
              <w:rPr>
                <w:rFonts w:ascii="新宋体" w:hAnsi="新宋体" w:eastAsia="新宋体" w:cs="新宋体"/>
                <w:color w:val="000000" w:themeColor="text1"/>
                <w:sz w:val="24"/>
              </w:rPr>
            </w:pPr>
            <w:r>
              <w:rPr>
                <w:rFonts w:hint="eastAsia" w:ascii="新宋体" w:hAnsi="新宋体" w:eastAsia="新宋体" w:cs="新宋体"/>
                <w:color w:val="000000" w:themeColor="text1"/>
                <w:sz w:val="24"/>
              </w:rPr>
              <w:t>免费提供完善的操作培训或技术培训方案，免费现场培训技术员2名以上,保证熟练掌握全部功能为止。</w:t>
            </w:r>
          </w:p>
          <w:p>
            <w:pPr>
              <w:widowControl/>
              <w:spacing w:line="360" w:lineRule="auto"/>
              <w:rPr>
                <w:rFonts w:ascii="新宋体" w:hAnsi="新宋体" w:eastAsia="新宋体" w:cs="新宋体"/>
                <w:color w:val="000000" w:themeColor="text1"/>
                <w:sz w:val="24"/>
              </w:rPr>
            </w:pPr>
            <w:r>
              <w:rPr>
                <w:rFonts w:hint="eastAsia" w:ascii="新宋体" w:hAnsi="新宋体" w:eastAsia="新宋体" w:cs="新宋体"/>
                <w:color w:val="000000" w:themeColor="text1"/>
                <w:sz w:val="24"/>
              </w:rPr>
              <w:t>8、安全与保密要求：</w:t>
            </w:r>
          </w:p>
          <w:p>
            <w:pPr>
              <w:widowControl/>
              <w:spacing w:line="360" w:lineRule="auto"/>
              <w:rPr>
                <w:rFonts w:ascii="新宋体" w:hAnsi="新宋体" w:eastAsia="新宋体" w:cs="新宋体"/>
                <w:color w:val="000000" w:themeColor="text1"/>
                <w:sz w:val="24"/>
              </w:rPr>
            </w:pPr>
            <w:r>
              <w:rPr>
                <w:rFonts w:hint="eastAsia" w:ascii="新宋体" w:hAnsi="新宋体" w:eastAsia="新宋体" w:cs="新宋体"/>
                <w:color w:val="000000" w:themeColor="text1"/>
                <w:sz w:val="24"/>
              </w:rPr>
              <w:t>成交供应商必须提供详细的技术方案、项目实施方案、保密承诺等，并提供售后服务承诺书及售后服务机构及联系人名单，制定专门的客户技术支持经理。</w:t>
            </w:r>
          </w:p>
          <w:p>
            <w:pPr>
              <w:widowControl/>
              <w:spacing w:line="360" w:lineRule="auto"/>
              <w:rPr>
                <w:rFonts w:ascii="新宋体" w:hAnsi="新宋体" w:eastAsia="新宋体" w:cs="新宋体"/>
                <w:color w:val="000000" w:themeColor="text1"/>
                <w:sz w:val="24"/>
              </w:rPr>
            </w:pPr>
            <w:r>
              <w:rPr>
                <w:rFonts w:hint="eastAsia" w:ascii="新宋体" w:hAnsi="新宋体" w:eastAsia="新宋体" w:cs="新宋体"/>
                <w:color w:val="000000" w:themeColor="text1"/>
                <w:sz w:val="24"/>
              </w:rPr>
              <w:t>五、其他要求：</w:t>
            </w:r>
          </w:p>
          <w:p>
            <w:pPr>
              <w:widowControl/>
              <w:spacing w:line="360" w:lineRule="auto"/>
              <w:rPr>
                <w:rFonts w:ascii="新宋体" w:hAnsi="新宋体" w:eastAsia="新宋体" w:cs="新宋体"/>
                <w:color w:val="000000" w:themeColor="text1"/>
                <w:sz w:val="24"/>
              </w:rPr>
            </w:pPr>
            <w:r>
              <w:rPr>
                <w:rFonts w:hint="eastAsia" w:ascii="新宋体" w:hAnsi="新宋体" w:eastAsia="新宋体" w:cs="新宋体"/>
                <w:color w:val="000000" w:themeColor="text1"/>
                <w:sz w:val="24"/>
              </w:rPr>
              <w:t>★1、报价必须含以下部分，包括：</w:t>
            </w:r>
          </w:p>
          <w:p>
            <w:pPr>
              <w:widowControl/>
              <w:spacing w:line="360" w:lineRule="auto"/>
              <w:rPr>
                <w:rFonts w:ascii="新宋体" w:hAnsi="新宋体" w:eastAsia="新宋体" w:cs="新宋体"/>
                <w:color w:val="000000" w:themeColor="text1"/>
                <w:sz w:val="24"/>
              </w:rPr>
            </w:pPr>
            <w:r>
              <w:rPr>
                <w:rFonts w:hint="eastAsia" w:ascii="新宋体" w:hAnsi="新宋体" w:eastAsia="新宋体" w:cs="新宋体"/>
                <w:color w:val="000000" w:themeColor="text1"/>
                <w:sz w:val="24"/>
              </w:rPr>
              <w:t>（1）租用服务的价格；</w:t>
            </w:r>
          </w:p>
          <w:p>
            <w:pPr>
              <w:widowControl/>
              <w:spacing w:line="360" w:lineRule="auto"/>
              <w:rPr>
                <w:rFonts w:ascii="新宋体" w:hAnsi="新宋体" w:eastAsia="新宋体" w:cs="新宋体"/>
                <w:color w:val="000000" w:themeColor="text1"/>
                <w:sz w:val="24"/>
              </w:rPr>
            </w:pPr>
            <w:r>
              <w:rPr>
                <w:rFonts w:hint="eastAsia" w:ascii="新宋体" w:hAnsi="新宋体" w:eastAsia="新宋体" w:cs="新宋体"/>
                <w:color w:val="000000" w:themeColor="text1"/>
                <w:sz w:val="24"/>
              </w:rPr>
              <w:t>（2）必要的保险费用和各项税金；</w:t>
            </w:r>
          </w:p>
          <w:p>
            <w:pPr>
              <w:widowControl/>
              <w:spacing w:line="360" w:lineRule="auto"/>
              <w:rPr>
                <w:rFonts w:ascii="新宋体" w:hAnsi="新宋体" w:eastAsia="新宋体" w:cs="新宋体"/>
                <w:color w:val="000000" w:themeColor="text1"/>
                <w:sz w:val="24"/>
              </w:rPr>
            </w:pPr>
            <w:r>
              <w:rPr>
                <w:rFonts w:hint="eastAsia" w:ascii="新宋体" w:hAnsi="新宋体" w:eastAsia="新宋体" w:cs="新宋体"/>
                <w:color w:val="000000" w:themeColor="text1"/>
                <w:sz w:val="24"/>
              </w:rPr>
              <w:t xml:space="preserve">（3）其他：运输、装卸、安装、迁移、调试、培训、技术支持、售后服务、更新升级等费用。 </w:t>
            </w:r>
          </w:p>
          <w:p>
            <w:pPr>
              <w:widowControl/>
              <w:spacing w:line="360" w:lineRule="auto"/>
              <w:rPr>
                <w:rFonts w:ascii="新宋体" w:hAnsi="新宋体" w:eastAsia="新宋体" w:cs="新宋体"/>
                <w:color w:val="000000" w:themeColor="text1"/>
                <w:sz w:val="24"/>
              </w:rPr>
            </w:pPr>
            <w:r>
              <w:rPr>
                <w:rFonts w:hint="eastAsia" w:ascii="新宋体" w:hAnsi="新宋体" w:eastAsia="新宋体" w:cs="新宋体"/>
                <w:color w:val="000000" w:themeColor="text1"/>
                <w:sz w:val="24"/>
              </w:rPr>
              <w:t>★2、付款方式：本项目无预付款，成交供应商所提交的服务经采购人书面验收合格后，一次性支付合同款。</w:t>
            </w:r>
          </w:p>
          <w:p>
            <w:pPr>
              <w:widowControl/>
              <w:spacing w:line="360" w:lineRule="auto"/>
              <w:rPr>
                <w:rFonts w:ascii="新宋体" w:hAnsi="新宋体" w:eastAsia="新宋体" w:cs="新宋体"/>
                <w:color w:val="000000" w:themeColor="text1"/>
                <w:sz w:val="24"/>
              </w:rPr>
            </w:pPr>
            <w:r>
              <w:rPr>
                <w:rFonts w:hint="eastAsia" w:ascii="新宋体" w:hAnsi="新宋体" w:eastAsia="新宋体" w:cs="新宋体"/>
                <w:color w:val="000000" w:themeColor="text1"/>
                <w:sz w:val="24"/>
              </w:rPr>
              <w:t>★3、对磋商供应商的要求：响应时提供售后服务承诺书、维护服务方案，在当地有专人实施电路的售后服务，提供售后服务机构及联系人名单，列明详细地址及联系方式，并提出维护能力的有利证明。</w:t>
            </w:r>
          </w:p>
        </w:tc>
      </w:tr>
      <w:bookmarkEnd w:id="23"/>
    </w:tbl>
    <w:p>
      <w:pPr>
        <w:pStyle w:val="8"/>
        <w:rPr>
          <w:rFonts w:asciiTheme="majorEastAsia" w:hAnsiTheme="majorEastAsia" w:eastAsiaTheme="majorEastAsia"/>
          <w:color w:val="000000" w:themeColor="text1"/>
        </w:rPr>
        <w:sectPr>
          <w:pgSz w:w="11906" w:h="16838"/>
          <w:pgMar w:top="1440" w:right="1080" w:bottom="1118" w:left="1080" w:header="720" w:footer="720" w:gutter="0"/>
          <w:cols w:space="720" w:num="1"/>
          <w:docGrid w:type="lines" w:linePitch="331" w:charSpace="0"/>
        </w:sectPr>
      </w:pPr>
    </w:p>
    <w:p>
      <w:pPr>
        <w:widowControl/>
        <w:jc w:val="center"/>
        <w:outlineLvl w:val="0"/>
        <w:rPr>
          <w:rFonts w:asciiTheme="majorEastAsia" w:hAnsiTheme="majorEastAsia" w:eastAsiaTheme="majorEastAsia" w:cstheme="majorEastAsia"/>
          <w:color w:val="000000" w:themeColor="text1"/>
        </w:rPr>
      </w:pPr>
      <w:bookmarkStart w:id="30" w:name="_Toc10048"/>
      <w:bookmarkStart w:id="31" w:name="_Toc508092927"/>
      <w:bookmarkStart w:id="32" w:name="_Toc13451"/>
      <w:bookmarkStart w:id="33" w:name="_Toc2911"/>
      <w:bookmarkStart w:id="34" w:name="_Toc29190"/>
      <w:r>
        <w:rPr>
          <w:rFonts w:hint="eastAsia" w:asciiTheme="majorEastAsia" w:hAnsiTheme="majorEastAsia" w:eastAsiaTheme="majorEastAsia" w:cstheme="majorEastAsia"/>
          <w:b/>
          <w:color w:val="000000" w:themeColor="text1"/>
          <w:sz w:val="36"/>
        </w:rPr>
        <w:t>第三章  评审方法</w:t>
      </w:r>
      <w:bookmarkEnd w:id="30"/>
      <w:bookmarkEnd w:id="31"/>
      <w:bookmarkEnd w:id="32"/>
      <w:bookmarkEnd w:id="33"/>
      <w:bookmarkEnd w:id="34"/>
    </w:p>
    <w:p>
      <w:pPr>
        <w:pStyle w:val="10"/>
        <w:spacing w:line="324" w:lineRule="auto"/>
        <w:jc w:val="center"/>
        <w:rPr>
          <w:rFonts w:asciiTheme="majorEastAsia" w:hAnsiTheme="majorEastAsia" w:eastAsiaTheme="majorEastAsia"/>
          <w:b/>
          <w:color w:val="000000" w:themeColor="text1"/>
          <w:sz w:val="36"/>
        </w:rPr>
      </w:pPr>
      <w:r>
        <w:rPr>
          <w:rFonts w:asciiTheme="majorEastAsia" w:hAnsiTheme="majorEastAsia" w:eastAsiaTheme="majorEastAsia"/>
          <w:b/>
          <w:color w:val="000000" w:themeColor="text1"/>
          <w:sz w:val="30"/>
          <w:szCs w:val="30"/>
        </w:rPr>
        <w:t>综合评分法</w:t>
      </w:r>
    </w:p>
    <w:p>
      <w:pPr>
        <w:spacing w:line="324" w:lineRule="auto"/>
        <w:ind w:firstLine="480" w:firstLineChars="200"/>
        <w:rPr>
          <w:rFonts w:cs="宋体"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w:t>
      </w:r>
      <w:r>
        <w:rPr>
          <w:rFonts w:hint="eastAsia" w:cs="宋体" w:asciiTheme="majorEastAsia" w:hAnsiTheme="majorEastAsia" w:eastAsiaTheme="majorEastAsia"/>
          <w:color w:val="000000" w:themeColor="text1"/>
          <w:sz w:val="24"/>
        </w:rPr>
        <w:t>一）磋商小组以采购文件为依据，对响应文件进行评审，对磋商供应商的响应报价、技术文件、商务文件等三部分内容按百分制打分，其中价格20分；技术50分；商务30分。（对于带有主观因素的评分，由磋商小组在打分前确定方案档次标准后，对各磋商供应商技术文件各部分的优劣程度应由各评委独立进行评价、打分。）</w:t>
      </w:r>
    </w:p>
    <w:p>
      <w:pPr>
        <w:spacing w:line="324" w:lineRule="auto"/>
        <w:ind w:firstLine="480" w:firstLineChars="200"/>
        <w:rPr>
          <w:rFonts w:cs="宋体" w:asciiTheme="majorEastAsia" w:hAnsiTheme="majorEastAsia" w:eastAsiaTheme="majorEastAsia"/>
          <w:color w:val="000000" w:themeColor="text1"/>
          <w:sz w:val="24"/>
        </w:rPr>
      </w:pPr>
      <w:r>
        <w:rPr>
          <w:rFonts w:hint="eastAsia" w:cs="宋体" w:asciiTheme="majorEastAsia" w:hAnsiTheme="majorEastAsia" w:eastAsiaTheme="majorEastAsia"/>
          <w:color w:val="000000" w:themeColor="text1"/>
          <w:sz w:val="24"/>
        </w:rPr>
        <w:t>（二）评分细则：（按四舍五入取至百分位）</w:t>
      </w:r>
    </w:p>
    <w:p>
      <w:pPr>
        <w:spacing w:line="324" w:lineRule="auto"/>
        <w:ind w:firstLine="482" w:firstLineChars="200"/>
        <w:rPr>
          <w:rFonts w:asciiTheme="majorEastAsia" w:hAnsiTheme="majorEastAsia" w:eastAsiaTheme="majorEastAsia"/>
          <w:b/>
          <w:color w:val="000000" w:themeColor="text1"/>
          <w:sz w:val="24"/>
        </w:rPr>
      </w:pPr>
      <w:r>
        <w:rPr>
          <w:rFonts w:hint="eastAsia" w:asciiTheme="majorEastAsia" w:hAnsiTheme="majorEastAsia" w:eastAsiaTheme="majorEastAsia"/>
          <w:b/>
          <w:color w:val="000000" w:themeColor="text1"/>
          <w:sz w:val="24"/>
        </w:rPr>
        <w:t>1、价格分………………………………………………………………………………20分</w:t>
      </w:r>
    </w:p>
    <w:p>
      <w:pPr>
        <w:pStyle w:val="10"/>
        <w:spacing w:line="324" w:lineRule="auto"/>
        <w:ind w:firstLine="480" w:firstLineChars="200"/>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1）对于非专门面向中小企业的项目，对小型和微型企业产品的价格给予10%的价格扣除，扣除后的价格为评标价，即评标价＝响应报价×（1-10%）；（以磋商供应商按第五章“响应文件格式”要求提供的《报价表》和《中小企业声明函》为评分依据）</w:t>
      </w:r>
    </w:p>
    <w:p>
      <w:pPr>
        <w:pStyle w:val="10"/>
        <w:spacing w:line="324" w:lineRule="auto"/>
        <w:ind w:firstLine="480" w:firstLineChars="200"/>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2）对大中型企业和其他自然人、法人或者其他组织与小型、微型企业组成联合体，且联合体协议中约定小型、微型企业的协议合同金额占到联合体协议合同总金额30%以上的，给予2%的价格扣除，扣除后的价格为评标价，即评标价＝响应报价×（1-2%）；（以磋商供应商按第五章“响应文件格式”要求提供的《报价表》、《中小企业声明函》和《联合体协议书》为评分依据）</w:t>
      </w:r>
    </w:p>
    <w:p>
      <w:pPr>
        <w:pStyle w:val="10"/>
        <w:spacing w:line="324" w:lineRule="auto"/>
        <w:ind w:firstLine="480" w:firstLineChars="200"/>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3）响应产品提供企业按《关于政府采购支持监狱企业发展有关问题的通知》(财库[2014]68号)认定为监狱企业的，在政府采购活动中，监狱企业视同小型、微型企业。（以磋商供应商按第五章“响应文件格式”要求提供的《报价表》和由省级以上监狱管理局、戒毒管理局(含新疆生产建设兵团)出具的属于监狱企业的证明文件为评分依据。</w:t>
      </w:r>
    </w:p>
    <w:p>
      <w:pPr>
        <w:pStyle w:val="10"/>
        <w:spacing w:line="324" w:lineRule="auto"/>
        <w:ind w:firstLine="480" w:firstLineChars="200"/>
        <w:rPr>
          <w:rFonts w:asciiTheme="majorEastAsia" w:hAnsiTheme="majorEastAsia" w:eastAsiaTheme="majorEastAsia" w:cstheme="majorEastAsia"/>
          <w:color w:val="000000" w:themeColor="text1"/>
          <w:sz w:val="24"/>
          <w:szCs w:val="24"/>
        </w:rPr>
      </w:pPr>
      <w:r>
        <w:rPr>
          <w:rFonts w:asciiTheme="majorEastAsia" w:hAnsiTheme="majorEastAsia" w:eastAsiaTheme="majorEastAsia" w:cstheme="majorEastAsia"/>
          <w:color w:val="000000" w:themeColor="text1"/>
          <w:sz w:val="24"/>
          <w:szCs w:val="24"/>
        </w:rPr>
        <w:t>（4）投标产品提供企业按《关于促进残疾人就业政府采购政策的通知》(财库〔2017〕141号)认定为残疾人福利性单位的，在政府采购活动中，残疾人福利性单位视同小型、微型企业。</w:t>
      </w:r>
      <w:r>
        <w:rPr>
          <w:rFonts w:hint="eastAsia" w:asciiTheme="majorEastAsia" w:hAnsiTheme="majorEastAsia" w:eastAsiaTheme="majorEastAsia" w:cstheme="majorEastAsia"/>
          <w:color w:val="000000" w:themeColor="text1"/>
          <w:sz w:val="24"/>
          <w:szCs w:val="24"/>
        </w:rPr>
        <w:t>残疾人福利性单位参加政府采购活动时，应当提供该通知规定的《残疾人福利性单位声明函》，并对声明的真实性负责。声明函应随成交结果同时公告，接受社会监督。</w:t>
      </w:r>
      <w:r>
        <w:rPr>
          <w:rFonts w:asciiTheme="majorEastAsia" w:hAnsiTheme="majorEastAsia" w:eastAsiaTheme="majorEastAsia" w:cstheme="majorEastAsia"/>
          <w:color w:val="000000" w:themeColor="text1"/>
          <w:sz w:val="24"/>
          <w:szCs w:val="24"/>
        </w:rPr>
        <w:t>（以磋商供应商按第五章“投标文件格式”要求提供的《报价表》和《残疾人福利性单位声明函》为评分依据）</w:t>
      </w:r>
      <w:r>
        <w:rPr>
          <w:rFonts w:hint="eastAsia" w:asciiTheme="majorEastAsia" w:hAnsiTheme="majorEastAsia" w:eastAsiaTheme="majorEastAsia" w:cstheme="majorEastAsia"/>
          <w:color w:val="000000" w:themeColor="text1"/>
          <w:sz w:val="24"/>
          <w:szCs w:val="24"/>
        </w:rPr>
        <w:t>。</w:t>
      </w:r>
    </w:p>
    <w:p>
      <w:pPr>
        <w:pStyle w:val="10"/>
        <w:spacing w:line="324" w:lineRule="auto"/>
        <w:ind w:firstLine="480" w:firstLineChars="200"/>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（5）除上述情况外，评标价＝响应报价；</w:t>
      </w:r>
    </w:p>
    <w:p>
      <w:pPr>
        <w:spacing w:line="324" w:lineRule="auto"/>
        <w:ind w:firstLine="480" w:firstLineChars="200"/>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t>（6）价格分计算公式：</w:t>
      </w:r>
    </w:p>
    <w:p>
      <w:pPr>
        <w:pStyle w:val="9"/>
        <w:spacing w:line="324" w:lineRule="auto"/>
        <w:ind w:firstLine="3840" w:firstLineChars="1600"/>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pacing w:val="0"/>
          <w:sz w:val="24"/>
          <w:szCs w:val="24"/>
        </w:rPr>
        <w:t>磋商供应商最低评</w:t>
      </w:r>
      <w:r>
        <w:rPr>
          <w:rFonts w:hint="eastAsia" w:asciiTheme="majorEastAsia" w:hAnsiTheme="majorEastAsia" w:eastAsiaTheme="majorEastAsia" w:cstheme="majorEastAsia"/>
          <w:color w:val="000000" w:themeColor="text1"/>
          <w:sz w:val="24"/>
          <w:szCs w:val="24"/>
        </w:rPr>
        <w:t>标价金额</w:t>
      </w:r>
    </w:p>
    <w:p>
      <w:pPr>
        <w:pStyle w:val="9"/>
        <w:spacing w:line="324" w:lineRule="auto"/>
        <w:ind w:firstLine="1200" w:firstLineChars="500"/>
        <w:rPr>
          <w:rFonts w:asciiTheme="majorEastAsia" w:hAnsiTheme="majorEastAsia" w:eastAsiaTheme="majorEastAsia" w:cstheme="majorEastAsia"/>
          <w:color w:val="000000" w:themeColor="text1"/>
          <w:sz w:val="24"/>
          <w:szCs w:val="24"/>
        </w:rPr>
      </w:pPr>
      <w:r>
        <w:rPr>
          <w:rFonts w:asciiTheme="majorEastAsia" w:hAnsiTheme="majorEastAsia" w:eastAsiaTheme="majorEastAsia" w:cstheme="majorEastAsia"/>
          <w:color w:val="000000" w:themeColor="text1"/>
          <w:spacing w:val="0"/>
          <w:sz w:val="24"/>
          <w:szCs w:val="24"/>
        </w:rPr>
        <w:pict>
          <v:line id="_x0000_s1026" o:spid="_x0000_s1026" o:spt="20" style="position:absolute;left:0pt;margin-left:199.5pt;margin-top:12.7pt;height:0pt;width:131.55pt;z-index:251660288;mso-width-relative:page;mso-height-relative:page;" coordsize="21600,21600" o:gfxdata="UEsDBAoAAAAAAIdO4kAAAAAAAAAAAAAAAAAEAAAAZHJzL1BLAwQUAAAACACHTuJAXvrCPNcAAAAJ&#10;AQAADwAAAGRycy9kb3ducmV2LnhtbE2PzU7DMBCE70i8g7VIXCpqJ6URTeP0AOTGhRbEdRsvSdR4&#10;ncbuDzw9Rj3AcXZGs98Uq7PtxZFG3znWkEwVCOLamY4bDW+b6u4BhA/IBnvHpOGLPKzK66sCc+NO&#10;/ErHdWhELGGfo4Y2hCGX0tctWfRTNxBH79ONFkOUYyPNiKdYbnuZKpVJix3HDy0O9NhSvVsfrAZf&#10;vdO++p7UE/Uxaxyl+6eXZ9T69iZRSxCBzuEvDL/4ER3KyLR1BzZe9Bpmi0XcEjSk83sQMZBlaQJi&#10;eznIspD/F5Q/UEsDBBQAAAAIAIdO4kAInu1G6gEAALgDAAAOAAAAZHJzL2Uyb0RvYy54bWytU81u&#10;EzEQviPxDpbvZDeREsoqmx4SlUuBSC0PMPF6sxa2x7KdbPISvAASNzhx5M7bUB6DsfNDaS89dA+W&#10;xzPzzXzfzE4vd0azrfRBoa35cFByJq3ARtl1zT/eXr264CxEsA1otLLmexn45ezli2nvKjnCDnUj&#10;PSMQG6re1byL0VVFEUQnDYQBOmnJ2aI3EMn066Lx0BO60cWoLCdFj75xHoUMgV4XByc/IvqnAGLb&#10;KiEXKDZG2nhA9VJDJEqhUy7wWe62baWIH9o2yMh0zYlpzCcVofsqncVsCtXag+uUOLYAT2nhAScD&#10;ylLRM9QCIrCNV4+gjBIeA7ZxINAUByJZEWIxLB9oc9OBk5kLSR3cWfTwfLDi/XbpmWpqPuLMgqGB&#10;3335+fvztz+/vtJ59+M7GyWRehcqip3bpU80xc7euGsUnwKzOO/ArmVu9nbvCGGYMor/UpIRHJVa&#10;9e+woRjYRMyK7VpvEiRpwXZ5MPvzYOQuMkGPw8nrcnIx5kycfAVUp0TnQ3wr0bB0qblWNmkGFWyv&#10;Q0yNQHUKSc8Wr5TWee7asr7mb8ajcU4IqFWTnCks+PVqrj3bQtqc/GVW5Lkf5nFjm0MRbVOezEt3&#10;rHxifdBvhc1+6U/S0EBzb8flSxtz384C/vvhZn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XvrC&#10;PNcAAAAJAQAADwAAAAAAAAABACAAAAAiAAAAZHJzL2Rvd25yZXYueG1sUEsBAhQAFAAAAAgAh07i&#10;QAie7UbqAQAAuAMAAA4AAAAAAAAAAQAgAAAAJgEAAGRycy9lMm9Eb2MueG1sUEsFBgAAAAAGAAYA&#10;WQEAAIIFAAAAAA==&#10;">
            <v:path arrowok="t"/>
            <v:fill focussize="0,0"/>
            <v:stroke/>
            <v:imagedata o:title=""/>
            <o:lock v:ext="edit"/>
          </v:line>
        </w:pict>
      </w:r>
      <w:r>
        <w:rPr>
          <w:rFonts w:hint="eastAsia" w:asciiTheme="majorEastAsia" w:hAnsiTheme="majorEastAsia" w:eastAsiaTheme="majorEastAsia" w:cstheme="majorEastAsia"/>
          <w:color w:val="000000" w:themeColor="text1"/>
          <w:spacing w:val="0"/>
          <w:sz w:val="24"/>
          <w:szCs w:val="24"/>
        </w:rPr>
        <w:t>某磋商供应商价格</w:t>
      </w:r>
      <w:r>
        <w:rPr>
          <w:rFonts w:hint="eastAsia" w:asciiTheme="majorEastAsia" w:hAnsiTheme="majorEastAsia" w:eastAsiaTheme="majorEastAsia" w:cstheme="majorEastAsia"/>
          <w:color w:val="000000" w:themeColor="text1"/>
          <w:sz w:val="24"/>
          <w:szCs w:val="24"/>
        </w:rPr>
        <w:t>分 ＝                             × 20分</w:t>
      </w:r>
    </w:p>
    <w:p>
      <w:pPr>
        <w:pStyle w:val="9"/>
        <w:spacing w:line="324" w:lineRule="auto"/>
        <w:ind w:firstLine="464" w:firstLineChars="200"/>
        <w:rPr>
          <w:rFonts w:asciiTheme="majorEastAsia" w:hAnsiTheme="majorEastAsia" w:eastAsiaTheme="majorEastAsia" w:cstheme="majorEastAsia"/>
          <w:color w:val="000000" w:themeColor="text1"/>
          <w:kern w:val="0"/>
          <w:sz w:val="24"/>
        </w:rPr>
      </w:pPr>
      <w:r>
        <w:rPr>
          <w:rFonts w:hint="eastAsia" w:asciiTheme="majorEastAsia" w:hAnsiTheme="majorEastAsia" w:eastAsiaTheme="majorEastAsia" w:cstheme="majorEastAsia"/>
          <w:color w:val="000000" w:themeColor="text1"/>
          <w:sz w:val="24"/>
          <w:szCs w:val="24"/>
        </w:rPr>
        <w:t xml:space="preserve">                   　          </w:t>
      </w:r>
      <w:r>
        <w:rPr>
          <w:rFonts w:hint="eastAsia" w:asciiTheme="majorEastAsia" w:hAnsiTheme="majorEastAsia" w:eastAsiaTheme="majorEastAsia" w:cstheme="majorEastAsia"/>
          <w:color w:val="000000" w:themeColor="text1"/>
          <w:spacing w:val="0"/>
          <w:sz w:val="24"/>
          <w:szCs w:val="24"/>
        </w:rPr>
        <w:t>某磋商供应商评标</w:t>
      </w:r>
      <w:r>
        <w:rPr>
          <w:rFonts w:hint="eastAsia" w:asciiTheme="majorEastAsia" w:hAnsiTheme="majorEastAsia" w:eastAsiaTheme="majorEastAsia" w:cstheme="majorEastAsia"/>
          <w:color w:val="000000" w:themeColor="text1"/>
          <w:sz w:val="24"/>
          <w:szCs w:val="24"/>
        </w:rPr>
        <w:t>价金额</w:t>
      </w:r>
    </w:p>
    <w:p>
      <w:pPr>
        <w:spacing w:line="351" w:lineRule="auto"/>
        <w:ind w:firstLine="482" w:firstLineChars="200"/>
      </w:pPr>
      <w:r>
        <w:rPr>
          <w:rFonts w:hint="eastAsia" w:ascii="新宋体" w:hAnsi="新宋体" w:eastAsia="新宋体" w:cs="新宋体"/>
          <w:b/>
          <w:sz w:val="24"/>
        </w:rPr>
        <w:t>2、技术分………………………………………………………………………………50分</w:t>
      </w:r>
    </w:p>
    <w:p>
      <w:pPr>
        <w:spacing w:line="351" w:lineRule="auto"/>
        <w:ind w:firstLine="480" w:firstLineChars="200"/>
        <w:rPr>
          <w:rFonts w:ascii="宋体" w:hAnsi="宋体" w:cs="宋体"/>
          <w:sz w:val="24"/>
        </w:rPr>
      </w:pPr>
      <w:r>
        <w:rPr>
          <w:rFonts w:hint="eastAsia" w:ascii="宋体" w:hAnsi="宋体" w:cs="宋体"/>
          <w:sz w:val="24"/>
        </w:rPr>
        <w:t>（本项评分由磋商小组各评审专家独立定档进行打分）</w:t>
      </w:r>
    </w:p>
    <w:p>
      <w:pPr>
        <w:spacing w:line="351" w:lineRule="auto"/>
        <w:ind w:firstLine="482" w:firstLineChars="200"/>
        <w:rPr>
          <w:rFonts w:ascii="宋体" w:hAnsi="宋体" w:cs="宋体"/>
          <w:b/>
          <w:bCs/>
          <w:sz w:val="24"/>
        </w:rPr>
      </w:pPr>
      <w:r>
        <w:rPr>
          <w:rFonts w:hint="eastAsia" w:ascii="宋体" w:hAnsi="宋体" w:cs="宋体"/>
          <w:b/>
          <w:bCs/>
          <w:sz w:val="24"/>
        </w:rPr>
        <w:t>（1）技术方案分（满分30分，不提供方案或不满足一档不得分。）</w:t>
      </w:r>
    </w:p>
    <w:p>
      <w:pPr>
        <w:spacing w:line="384" w:lineRule="auto"/>
        <w:ind w:firstLine="480" w:firstLineChars="200"/>
        <w:rPr>
          <w:rFonts w:ascii="宋体" w:hAnsi="宋体" w:cs="宋体"/>
          <w:color w:val="000000"/>
          <w:sz w:val="24"/>
        </w:rPr>
      </w:pPr>
      <w:r>
        <w:rPr>
          <w:rFonts w:hint="eastAsia" w:ascii="宋体" w:hAnsi="宋体" w:cs="宋体"/>
          <w:sz w:val="24"/>
        </w:rPr>
        <w:t>一档（10分）：</w:t>
      </w:r>
      <w:r>
        <w:rPr>
          <w:rFonts w:hint="eastAsia" w:ascii="宋体" w:hAnsi="宋体" w:cs="宋体"/>
          <w:color w:val="000000"/>
          <w:sz w:val="24"/>
        </w:rPr>
        <w:t>技术参数全部满足采购文件要求，采用基于分组复用、动态寻址方式等网络技术进行组网，可应对采购人突发的带宽增长需求，说明组网结构及所用主要网络设备的，进入一档。</w:t>
      </w:r>
    </w:p>
    <w:p>
      <w:pPr>
        <w:spacing w:line="360" w:lineRule="auto"/>
        <w:ind w:firstLine="480" w:firstLineChars="200"/>
        <w:rPr>
          <w:rFonts w:ascii="宋体" w:hAnsi="宋体" w:cs="宋体"/>
          <w:color w:val="000000"/>
          <w:sz w:val="24"/>
        </w:rPr>
      </w:pPr>
      <w:r>
        <w:rPr>
          <w:rFonts w:hint="eastAsia" w:ascii="宋体" w:hAnsi="宋体" w:cs="宋体"/>
          <w:sz w:val="24"/>
        </w:rPr>
        <w:t>二档（20分）：</w:t>
      </w:r>
      <w:r>
        <w:rPr>
          <w:rFonts w:hint="eastAsia" w:ascii="宋体" w:hAnsi="宋体" w:cs="宋体"/>
          <w:color w:val="000000"/>
          <w:sz w:val="24"/>
        </w:rPr>
        <w:t>技术参数全部满足采购文件要求，为保证系统的与原网络的兼容性，采用基于分组复用、静态寻址方式等网络技术进行组网(提供本地网络现网网管系统的主拓扑截图，并加盖磋商供应商公章)，可应对采购人突发的带宽增长需求，</w:t>
      </w:r>
      <w:r>
        <w:rPr>
          <w:rFonts w:hint="eastAsia" w:ascii="宋体" w:hAnsi="宋体" w:cs="宋体"/>
          <w:sz w:val="24"/>
        </w:rPr>
        <w:t>所建设的网络对各网元具有网管监控功能，可实区域总流量及环流量报表、基于环的端口利用率报表、对设备单板性能及及激光器光功率性能有质量报表、可生成客户流量趋势及环带宽利用率趋势报表（提供现网网管界面截图，并由磋商供应商盖章），</w:t>
      </w:r>
      <w:r>
        <w:rPr>
          <w:rFonts w:hint="eastAsia" w:ascii="宋体" w:hAnsi="宋体" w:cs="宋体"/>
          <w:color w:val="000000"/>
          <w:sz w:val="24"/>
        </w:rPr>
        <w:t>说明组网结构及所用主要网络设备的（提供主要网络设备入网许可证复印件，并加盖磋商供应商公章）的，进入二档。</w:t>
      </w:r>
    </w:p>
    <w:p>
      <w:pPr>
        <w:spacing w:line="360" w:lineRule="auto"/>
        <w:ind w:firstLine="480" w:firstLineChars="200"/>
        <w:rPr>
          <w:rFonts w:ascii="宋体" w:hAnsi="宋体" w:cs="宋体"/>
          <w:sz w:val="24"/>
        </w:rPr>
      </w:pPr>
      <w:r>
        <w:rPr>
          <w:rFonts w:hint="eastAsia" w:ascii="宋体" w:hAnsi="宋体" w:cs="宋体"/>
          <w:sz w:val="24"/>
        </w:rPr>
        <w:t>三档（30分）：</w:t>
      </w:r>
      <w:r>
        <w:rPr>
          <w:rFonts w:hint="eastAsia" w:ascii="宋体" w:hAnsi="宋体" w:cs="宋体"/>
          <w:color w:val="000000"/>
          <w:sz w:val="24"/>
        </w:rPr>
        <w:t>技术参数全部满足采购文件要求，为保证系统的与原网络的兼容性，采用基于分组复用、静态寻址方式等网络技术进行组网(提供本地</w:t>
      </w:r>
      <w:r>
        <w:rPr>
          <w:rFonts w:hint="eastAsia" w:ascii="宋体" w:hAnsi="宋体" w:cs="宋体"/>
          <w:sz w:val="24"/>
        </w:rPr>
        <w:t>网络现网网管系统的主拓扑截图，并加盖磋商供应商公章)，可应对采购人突发的带宽增长需求，所建设的网络对各网元具有网管监控功能，可实区域总流量及环流量报表、基于环的端口利用率报表、对设备单板性能及及激光器光功率性能有质量报表、可生成客户流量趋势及环带宽利用率趋势报表（提供现网网管界面截图，并由磋商供应商盖章），可对网络QOS能力进行灵活管控，可设置CAR策略模板，CIR(峰值带宽)、CAR（保证带宽）带宽粒度达64Kpbs(提供本地网络现网网管系统的新建CAR策略模板截图，并加盖磋商供应商公章)，</w:t>
      </w:r>
      <w:r>
        <w:rPr>
          <w:rFonts w:hint="eastAsia" w:ascii="宋体" w:hAnsi="宋体" w:cs="宋体"/>
          <w:bCs/>
          <w:sz w:val="24"/>
        </w:rPr>
        <w:t>具备在本地大规模使用分组复用网络技术组网的能力(提供本地网络现网网管系统的网元截图不低于10000个)，</w:t>
      </w:r>
      <w:r>
        <w:rPr>
          <w:rFonts w:hint="eastAsia" w:ascii="宋体" w:hAnsi="宋体" w:cs="宋体"/>
          <w:sz w:val="24"/>
        </w:rPr>
        <w:t>说明组网结构及所用主要网络设备的（提供</w:t>
      </w:r>
      <w:r>
        <w:rPr>
          <w:rFonts w:hint="eastAsia" w:ascii="宋体" w:hAnsi="宋体" w:cs="宋体"/>
          <w:color w:val="000000"/>
          <w:sz w:val="24"/>
        </w:rPr>
        <w:t>PTN</w:t>
      </w:r>
      <w:r>
        <w:rPr>
          <w:rFonts w:hint="eastAsia" w:ascii="宋体" w:hAnsi="宋体" w:cs="宋体"/>
          <w:sz w:val="24"/>
        </w:rPr>
        <w:t>主要网络设备入网许可证复印件，并加盖磋商供应商公章），同时所建设网络具备平滑扩容至大颗粒业务调度的功能，支持CES业务、L3VPN业务（静态、动态）、L2VPN业务（含E-Line/E-LAN/E-TREE）等多种业务模型的原理和实现方式。（对上述各功能需提供设备产品手册截图，并由磋商供应商盖章）的，进入三档。</w:t>
      </w:r>
    </w:p>
    <w:p>
      <w:pPr>
        <w:spacing w:line="360" w:lineRule="auto"/>
        <w:ind w:firstLine="482" w:firstLineChars="200"/>
        <w:rPr>
          <w:rFonts w:ascii="宋体" w:hAnsi="宋体" w:cs="宋体"/>
          <w:color w:val="FF0000"/>
          <w:sz w:val="24"/>
          <w:lang w:val="zh-CN"/>
        </w:rPr>
      </w:pPr>
      <w:r>
        <w:rPr>
          <w:rFonts w:hint="eastAsia" w:ascii="宋体" w:hAnsi="宋体" w:cs="宋体"/>
          <w:b/>
          <w:bCs/>
          <w:sz w:val="24"/>
          <w:lang w:val="zh-CN"/>
        </w:rPr>
        <w:t>（2）项目施工进度与实施方案分（满分20分，不提供或不满足一档不得分。）</w:t>
      </w:r>
    </w:p>
    <w:p>
      <w:pPr>
        <w:spacing w:line="360" w:lineRule="auto"/>
        <w:ind w:firstLine="480" w:firstLineChars="200"/>
        <w:rPr>
          <w:rFonts w:ascii="宋体" w:hAnsi="宋体" w:cs="宋体"/>
          <w:sz w:val="24"/>
        </w:rPr>
      </w:pPr>
      <w:r>
        <w:rPr>
          <w:rFonts w:hint="eastAsia" w:ascii="宋体" w:hAnsi="宋体" w:cs="宋体"/>
          <w:sz w:val="24"/>
        </w:rPr>
        <w:t>第一档（7分）评定范围：</w:t>
      </w:r>
      <w:r>
        <w:rPr>
          <w:rFonts w:hint="eastAsia" w:ascii="宋体" w:hAnsi="宋体" w:cs="宋体"/>
          <w:bCs/>
          <w:sz w:val="24"/>
        </w:rPr>
        <w:t>实施方案能说明各个阶段工作安排，有人员安排及施工进度的</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第二档（14分）评定范围：</w:t>
      </w:r>
      <w:r>
        <w:rPr>
          <w:rFonts w:hint="eastAsia" w:ascii="宋体" w:hAnsi="宋体" w:cs="宋体"/>
          <w:bCs/>
          <w:sz w:val="24"/>
        </w:rPr>
        <w:t>实施方案形成项目管理文档计划，有项目管理组织机构图，能说明各个阶段工作安排，有人员安排及施工进度，有工程实施安全保障措施、工程进度图并有赶工措施、工程质量保证措施、项目风险管理措施的。</w:t>
      </w:r>
      <w:r>
        <w:rPr>
          <w:rFonts w:hint="eastAsia" w:ascii="宋体" w:hAnsi="宋体" w:cs="宋体"/>
          <w:sz w:val="24"/>
        </w:rPr>
        <w:t>能够提前2个日历日完成专线开通的（提供按时开通交付承诺函）。</w:t>
      </w:r>
    </w:p>
    <w:p>
      <w:pPr>
        <w:spacing w:line="360" w:lineRule="auto"/>
        <w:ind w:firstLine="480" w:firstLineChars="200"/>
        <w:rPr>
          <w:rFonts w:ascii="宋体" w:hAnsi="宋体" w:cs="宋体"/>
          <w:sz w:val="24"/>
        </w:rPr>
      </w:pPr>
      <w:r>
        <w:rPr>
          <w:rFonts w:hint="eastAsia" w:ascii="宋体" w:hAnsi="宋体" w:cs="宋体"/>
          <w:sz w:val="24"/>
        </w:rPr>
        <w:t>第三档（20分）评定范围：</w:t>
      </w:r>
      <w:r>
        <w:rPr>
          <w:rFonts w:hint="eastAsia" w:ascii="宋体" w:hAnsi="宋体" w:cs="宋体"/>
          <w:bCs/>
          <w:sz w:val="24"/>
        </w:rPr>
        <w:t>实施方案形成项目管理文档计划，有项目管理组织机构图，能说明各个阶段工作安排，有人员安排及施工进度，有工程实施安全保障措施、工程进度图并有赶工措施、工程质量保证措施、项目风险管理措施、文明施工管理措施，能提供系统联调及验收方案</w:t>
      </w:r>
      <w:r>
        <w:rPr>
          <w:rFonts w:hint="eastAsia" w:ascii="宋体" w:hAnsi="宋体" w:cs="宋体"/>
          <w:sz w:val="24"/>
        </w:rPr>
        <w:t>，并提前4个日历日完成专线开通的（提供按时开通交付承诺函）。</w:t>
      </w:r>
    </w:p>
    <w:p>
      <w:pPr>
        <w:spacing w:line="360" w:lineRule="auto"/>
        <w:ind w:firstLine="482" w:firstLineChars="200"/>
        <w:rPr>
          <w:rFonts w:ascii="宋体" w:hAnsi="宋体" w:cs="宋体"/>
          <w:b/>
          <w:bCs/>
          <w:color w:val="FF0000"/>
          <w:sz w:val="24"/>
        </w:rPr>
      </w:pPr>
      <w:r>
        <w:rPr>
          <w:rFonts w:hint="eastAsia" w:ascii="宋体" w:hAnsi="宋体" w:cs="宋体"/>
          <w:b/>
          <w:bCs/>
          <w:sz w:val="24"/>
        </w:rPr>
        <w:t>3、商务分………………………………………………………………………………30分</w:t>
      </w:r>
    </w:p>
    <w:p>
      <w:pPr>
        <w:pStyle w:val="10"/>
        <w:spacing w:line="360" w:lineRule="auto"/>
        <w:ind w:firstLine="480" w:firstLineChars="200"/>
        <w:rPr>
          <w:rFonts w:hAnsi="宋体" w:cs="宋体"/>
          <w:sz w:val="24"/>
          <w:szCs w:val="24"/>
        </w:rPr>
      </w:pPr>
      <w:r>
        <w:rPr>
          <w:rFonts w:hint="eastAsia" w:hAnsi="宋体" w:cs="宋体"/>
          <w:sz w:val="24"/>
          <w:szCs w:val="24"/>
        </w:rPr>
        <w:t>（1）磋商供应商2017年以来同类业绩分（以中标通知书或合同复印件为准），每项得1分，满分4分。</w:t>
      </w:r>
    </w:p>
    <w:p>
      <w:pPr>
        <w:pStyle w:val="10"/>
        <w:spacing w:line="360" w:lineRule="auto"/>
        <w:ind w:firstLine="480" w:firstLineChars="200"/>
        <w:rPr>
          <w:rFonts w:hAnsi="宋体" w:cs="宋体"/>
          <w:sz w:val="24"/>
          <w:szCs w:val="24"/>
        </w:rPr>
      </w:pPr>
      <w:r>
        <w:rPr>
          <w:rFonts w:hint="eastAsia" w:hAnsi="宋体" w:cs="宋体"/>
          <w:sz w:val="24"/>
          <w:szCs w:val="24"/>
          <w:lang w:val="zh-CN"/>
        </w:rPr>
        <w:t>（2）</w:t>
      </w:r>
      <w:r>
        <w:rPr>
          <w:rFonts w:hint="eastAsia" w:hAnsi="宋体" w:cs="宋体"/>
          <w:sz w:val="24"/>
          <w:szCs w:val="24"/>
        </w:rPr>
        <w:t>磋商供应商</w:t>
      </w:r>
      <w:r>
        <w:rPr>
          <w:rFonts w:hint="eastAsia" w:hAnsi="宋体" w:cs="宋体"/>
          <w:bCs/>
          <w:color w:val="000000"/>
          <w:sz w:val="24"/>
          <w:szCs w:val="24"/>
        </w:rPr>
        <w:t>通过ISO9001质量管理体系认证（提供认证证书复印件，并加盖磋商供应商公章），得2分，满分2分。</w:t>
      </w:r>
    </w:p>
    <w:p>
      <w:pPr>
        <w:pStyle w:val="10"/>
        <w:spacing w:line="360" w:lineRule="auto"/>
        <w:ind w:firstLine="480" w:firstLineChars="200"/>
        <w:rPr>
          <w:rFonts w:hAnsi="宋体" w:cs="宋体"/>
          <w:sz w:val="24"/>
          <w:szCs w:val="24"/>
        </w:rPr>
      </w:pPr>
      <w:r>
        <w:rPr>
          <w:rFonts w:hint="eastAsia" w:hAnsi="宋体" w:cs="宋体"/>
          <w:sz w:val="24"/>
          <w:szCs w:val="24"/>
        </w:rPr>
        <w:t>（3）磋商供应商或磋商供应商上级机构2016年以来获得省级科学进步特等奖的，得2分；获得国家级科学进步特等奖的，得4分（投标文件提供证书并加盖磋商供应商公章），满分4分。</w:t>
      </w:r>
    </w:p>
    <w:p>
      <w:pPr>
        <w:pStyle w:val="10"/>
        <w:spacing w:line="360" w:lineRule="auto"/>
        <w:ind w:firstLine="480" w:firstLineChars="200"/>
        <w:rPr>
          <w:rFonts w:hAnsi="宋体" w:cs="宋体"/>
          <w:color w:val="000000" w:themeColor="text1"/>
          <w:sz w:val="24"/>
          <w:szCs w:val="24"/>
          <w:lang w:val="zh-CN"/>
        </w:rPr>
      </w:pPr>
      <w:r>
        <w:rPr>
          <w:rFonts w:hint="eastAsia" w:hAnsi="宋体" w:cs="宋体"/>
          <w:sz w:val="24"/>
          <w:szCs w:val="24"/>
          <w:lang w:val="zh-CN"/>
        </w:rPr>
        <w:t>（4）磋商供应商近年来连续两年广西区内基础电信企业总体满意度指数均在75.00分以上的（提供广西壮族自治区通信管理局官网截图，并加盖磋商供应商公章），得2分，满分2</w:t>
      </w:r>
      <w:r>
        <w:rPr>
          <w:rFonts w:hint="eastAsia" w:hAnsi="宋体" w:cs="宋体"/>
          <w:color w:val="000000" w:themeColor="text1"/>
          <w:sz w:val="24"/>
          <w:szCs w:val="24"/>
          <w:lang w:val="zh-CN"/>
        </w:rPr>
        <w:t>分。</w:t>
      </w:r>
    </w:p>
    <w:p>
      <w:pPr>
        <w:pStyle w:val="10"/>
        <w:spacing w:line="360" w:lineRule="auto"/>
        <w:ind w:firstLine="480" w:firstLineChars="200"/>
        <w:rPr>
          <w:rFonts w:hint="eastAsia" w:hAnsi="宋体" w:cs="宋体"/>
          <w:color w:val="000000" w:themeColor="text1"/>
          <w:sz w:val="24"/>
          <w:szCs w:val="24"/>
          <w:lang w:val="zh-CN"/>
        </w:rPr>
      </w:pPr>
      <w:r>
        <w:rPr>
          <w:rFonts w:hint="eastAsia" w:hAnsi="宋体" w:cs="宋体"/>
          <w:color w:val="000000" w:themeColor="text1"/>
          <w:sz w:val="24"/>
          <w:szCs w:val="24"/>
          <w:lang w:val="zh-CN"/>
        </w:rPr>
        <w:t>（5）投标人201</w:t>
      </w:r>
      <w:r>
        <w:rPr>
          <w:rFonts w:hint="eastAsia" w:hAnsi="宋体" w:cs="宋体"/>
          <w:color w:val="000000" w:themeColor="text1"/>
          <w:sz w:val="24"/>
          <w:szCs w:val="24"/>
          <w:lang w:val="en-US" w:eastAsia="zh-CN"/>
        </w:rPr>
        <w:t>7</w:t>
      </w:r>
      <w:r>
        <w:rPr>
          <w:rFonts w:hint="eastAsia" w:hAnsi="宋体" w:cs="宋体"/>
          <w:color w:val="000000" w:themeColor="text1"/>
          <w:sz w:val="24"/>
          <w:szCs w:val="24"/>
          <w:lang w:val="zh-CN"/>
        </w:rPr>
        <w:t>年以来入围过广西服务企业30强的，得1分；入围过广西服务企业10强的，得2分；（投标文件提供广西企业与企业家联合会官网截图，并加盖投标人公章）。满分2分。</w:t>
      </w:r>
    </w:p>
    <w:p>
      <w:pPr>
        <w:pStyle w:val="10"/>
        <w:spacing w:line="360" w:lineRule="auto"/>
        <w:ind w:firstLine="480" w:firstLineChars="200"/>
        <w:rPr>
          <w:rFonts w:hAnsi="宋体" w:cs="宋体"/>
          <w:sz w:val="24"/>
          <w:szCs w:val="24"/>
        </w:rPr>
      </w:pPr>
      <w:r>
        <w:rPr>
          <w:rFonts w:hint="eastAsia" w:hAnsi="宋体" w:cs="宋体"/>
          <w:color w:val="000000" w:themeColor="text1"/>
          <w:sz w:val="24"/>
          <w:szCs w:val="24"/>
        </w:rPr>
        <w:t>（6）为确保网络传输</w:t>
      </w:r>
      <w:r>
        <w:rPr>
          <w:rFonts w:hint="eastAsia" w:hAnsi="宋体" w:cs="宋体"/>
          <w:sz w:val="24"/>
          <w:szCs w:val="24"/>
        </w:rPr>
        <w:t>的可靠性和安全性，磋商供应商用于承载本项目网络设备的IDC机房具备信息系统安全三级保护证明，得2分，满分2分（提供等级保护备案表和备案证明）。</w:t>
      </w:r>
    </w:p>
    <w:p>
      <w:pPr>
        <w:pStyle w:val="10"/>
        <w:spacing w:line="360" w:lineRule="auto"/>
        <w:ind w:firstLine="480" w:firstLineChars="200"/>
        <w:rPr>
          <w:rFonts w:hAnsi="宋体" w:cs="宋体"/>
          <w:sz w:val="24"/>
          <w:szCs w:val="24"/>
        </w:rPr>
      </w:pPr>
      <w:r>
        <w:rPr>
          <w:rFonts w:hint="eastAsia" w:hAnsi="宋体" w:cs="宋体"/>
          <w:sz w:val="24"/>
          <w:szCs w:val="24"/>
        </w:rPr>
        <w:t>（7）磋商供应商拟投入本项目的主要技术管理人员中同时具有“信息系统项目管理师”及“EXIN EPI CDCE 数据中心专家”证书的，每人得1分，满分2分。（</w:t>
      </w:r>
      <w:r>
        <w:rPr>
          <w:rFonts w:hint="eastAsia" w:hAnsi="宋体" w:cs="宋体"/>
          <w:sz w:val="24"/>
        </w:rPr>
        <w:t>需提交响应截止时间前连续</w:t>
      </w:r>
      <w:r>
        <w:rPr>
          <w:rFonts w:hint="eastAsia" w:hAnsi="宋体" w:cs="Courier New"/>
          <w:bCs/>
          <w:sz w:val="24"/>
        </w:rPr>
        <w:t>三个月的社保缴纳证明复印件</w:t>
      </w:r>
      <w:r>
        <w:rPr>
          <w:rFonts w:hint="eastAsia" w:hAnsi="宋体" w:cs="宋体"/>
          <w:sz w:val="24"/>
          <w:szCs w:val="24"/>
        </w:rPr>
        <w:t>）</w:t>
      </w:r>
    </w:p>
    <w:p>
      <w:pPr>
        <w:pStyle w:val="10"/>
        <w:spacing w:line="360" w:lineRule="auto"/>
        <w:ind w:firstLine="480" w:firstLineChars="200"/>
        <w:rPr>
          <w:rFonts w:hAnsi="宋体" w:cs="宋体"/>
          <w:sz w:val="24"/>
          <w:szCs w:val="24"/>
        </w:rPr>
      </w:pPr>
      <w:r>
        <w:rPr>
          <w:rFonts w:hint="eastAsia" w:hAnsi="宋体" w:cs="宋体"/>
          <w:sz w:val="24"/>
          <w:szCs w:val="24"/>
        </w:rPr>
        <w:t>（8）售后服务分（满分12分，不提供或不满足一档不得分。）</w:t>
      </w:r>
    </w:p>
    <w:p>
      <w:pPr>
        <w:pStyle w:val="10"/>
        <w:spacing w:line="360" w:lineRule="auto"/>
        <w:ind w:firstLine="480" w:firstLineChars="200"/>
        <w:rPr>
          <w:rFonts w:hAnsi="宋体" w:cs="宋体"/>
          <w:sz w:val="24"/>
          <w:szCs w:val="24"/>
        </w:rPr>
      </w:pPr>
      <w:r>
        <w:rPr>
          <w:rFonts w:hint="eastAsia" w:hAnsi="宋体" w:cs="宋体"/>
          <w:sz w:val="24"/>
          <w:szCs w:val="24"/>
        </w:rPr>
        <w:t>①一档（4分）评定范围为：满足采购文件售后服务要求，提供有服务方案，方案包含有项目售后维护和应急保障方案，且方案可行的定为一档；</w:t>
      </w:r>
    </w:p>
    <w:p>
      <w:pPr>
        <w:pStyle w:val="10"/>
        <w:spacing w:line="360" w:lineRule="auto"/>
        <w:ind w:firstLine="480" w:firstLineChars="200"/>
        <w:rPr>
          <w:rFonts w:hAnsi="宋体" w:cs="宋体"/>
          <w:sz w:val="24"/>
          <w:szCs w:val="24"/>
        </w:rPr>
      </w:pPr>
      <w:r>
        <w:rPr>
          <w:rFonts w:hint="eastAsia" w:hAnsi="宋体" w:cs="宋体"/>
          <w:sz w:val="24"/>
          <w:szCs w:val="24"/>
        </w:rPr>
        <w:t>②二挡（8分）评定范围为：满足招标文件售后服务要求，提供故障处理流程、维护保障流程及组织架构的，有免费服务电话，磋商供应商能快速响应故障，</w:t>
      </w:r>
      <w:r>
        <w:rPr>
          <w:rFonts w:hAnsi="宋体" w:cs="宋体"/>
          <w:sz w:val="24"/>
          <w:szCs w:val="24"/>
        </w:rPr>
        <w:t>提供中标后能确保</w:t>
      </w:r>
      <w:r>
        <w:rPr>
          <w:rFonts w:hint="eastAsia" w:hAnsi="宋体" w:cs="宋体"/>
          <w:sz w:val="24"/>
          <w:szCs w:val="24"/>
        </w:rPr>
        <w:t>在南宁市各城区、县、镇共设立有不低于55家自有服务机构</w:t>
      </w:r>
      <w:r>
        <w:rPr>
          <w:rFonts w:hAnsi="宋体" w:cs="宋体"/>
          <w:sz w:val="24"/>
          <w:szCs w:val="24"/>
        </w:rPr>
        <w:t>的承诺函（采购人有权在合同期间随时抽查上述情况，若发现与投标承诺函不符，则按虚假应标处理）</w:t>
      </w:r>
      <w:r>
        <w:rPr>
          <w:rFonts w:hint="eastAsia" w:hAnsi="宋体" w:cs="宋体"/>
          <w:sz w:val="24"/>
          <w:szCs w:val="24"/>
        </w:rPr>
        <w:t>，故障时有替代产品且有备件库；</w:t>
      </w:r>
    </w:p>
    <w:p>
      <w:pPr>
        <w:spacing w:line="360" w:lineRule="auto"/>
        <w:ind w:firstLine="480" w:firstLineChars="200"/>
        <w:rPr>
          <w:rFonts w:ascii="宋体" w:hAnsi="宋体" w:cs="宋体"/>
          <w:sz w:val="24"/>
        </w:rPr>
      </w:pPr>
      <w:r>
        <w:rPr>
          <w:rFonts w:hint="eastAsia" w:ascii="宋体" w:hAnsi="宋体" w:cs="宋体"/>
          <w:sz w:val="24"/>
        </w:rPr>
        <w:t>③三挡（12分）评定范围为：</w:t>
      </w:r>
      <w:r>
        <w:rPr>
          <w:rFonts w:hint="eastAsia" w:ascii="宋体" w:hAnsi="宋体" w:cs="宋体"/>
          <w:sz w:val="24"/>
          <w:lang w:val="zh-CN"/>
        </w:rPr>
        <w:t>满足招标文件售后服务要求，提供故障处理流程、维护</w:t>
      </w:r>
      <w:r>
        <w:rPr>
          <w:rFonts w:hint="eastAsia" w:ascii="宋体" w:hAnsi="宋体" w:cs="宋体"/>
          <w:sz w:val="24"/>
        </w:rPr>
        <w:t>保障流程及组织架构的，有免费服务电话，磋商供应商能快速响应故障，</w:t>
      </w:r>
      <w:r>
        <w:rPr>
          <w:rFonts w:ascii="宋体" w:hAnsi="宋体" w:cs="宋体"/>
          <w:sz w:val="24"/>
        </w:rPr>
        <w:t>提供中标后能确保</w:t>
      </w:r>
      <w:r>
        <w:rPr>
          <w:rFonts w:hint="eastAsia" w:ascii="宋体" w:hAnsi="宋体" w:cs="宋体"/>
          <w:sz w:val="24"/>
        </w:rPr>
        <w:t>在南宁市各城区、县、镇共设立有不低于55家自有服务机构</w:t>
      </w:r>
      <w:r>
        <w:rPr>
          <w:rFonts w:ascii="宋体" w:hAnsi="宋体" w:cs="宋体"/>
          <w:sz w:val="24"/>
        </w:rPr>
        <w:t>的承诺函（采购人有权在合同期间随时抽查上述情况，若发现与投标承诺函不符，则按虚假应标处理）</w:t>
      </w:r>
      <w:r>
        <w:rPr>
          <w:rFonts w:hint="eastAsia" w:ascii="宋体" w:hAnsi="宋体" w:cs="宋体"/>
          <w:sz w:val="24"/>
        </w:rPr>
        <w:t>，故障时有替代产品且有备件库的，售后服务承诺、售后服务流程内容详细、具体、可行性高，提供有针对性服务措施，对项目有保障。</w:t>
      </w:r>
    </w:p>
    <w:p>
      <w:pPr>
        <w:pStyle w:val="10"/>
        <w:spacing w:line="351" w:lineRule="auto"/>
        <w:ind w:firstLine="480" w:firstLineChars="200"/>
      </w:pPr>
      <w:r>
        <w:rPr>
          <w:rFonts w:hint="eastAsia" w:hAnsi="宋体" w:cs="宋体"/>
          <w:sz w:val="24"/>
          <w:szCs w:val="24"/>
        </w:rPr>
        <w:t>（9）诚信分：</w:t>
      </w:r>
      <w:r>
        <w:rPr>
          <w:rFonts w:hint="eastAsia" w:hAnsi="宋体" w:cs="宋体"/>
          <w:bCs/>
          <w:sz w:val="24"/>
          <w:szCs w:val="24"/>
        </w:rPr>
        <w:t>磋商供应商</w:t>
      </w:r>
      <w:r>
        <w:rPr>
          <w:rFonts w:hint="eastAsia" w:hAnsi="宋体" w:cs="宋体"/>
          <w:sz w:val="24"/>
          <w:szCs w:val="24"/>
        </w:rPr>
        <w:t>在截标日前1年内在政府采购活动中存在违约违规情形的（以财政部门出具的书面材料为评分依据），每次扣除3分，最高扣分6分扣完为止。</w:t>
      </w:r>
    </w:p>
    <w:p>
      <w:pPr>
        <w:spacing w:line="351" w:lineRule="auto"/>
        <w:ind w:firstLine="480" w:firstLineChars="200"/>
        <w:rPr>
          <w:rFonts w:ascii="新宋体" w:hAnsi="新宋体" w:eastAsia="新宋体" w:cs="新宋体"/>
          <w:sz w:val="24"/>
        </w:rPr>
      </w:pPr>
      <w:r>
        <w:rPr>
          <w:rFonts w:hint="eastAsia" w:ascii="新宋体" w:hAnsi="新宋体" w:eastAsia="新宋体" w:cs="新宋体"/>
          <w:sz w:val="24"/>
        </w:rPr>
        <w:t>（四）总得分＝1＋2＋3</w:t>
      </w:r>
    </w:p>
    <w:p>
      <w:pPr>
        <w:spacing w:line="351" w:lineRule="auto"/>
        <w:jc w:val="left"/>
        <w:rPr>
          <w:rFonts w:asciiTheme="majorEastAsia" w:hAnsiTheme="majorEastAsia" w:eastAsiaTheme="majorEastAsia" w:cstheme="majorEastAsia"/>
          <w:b/>
          <w:color w:val="000000" w:themeColor="text1"/>
          <w:sz w:val="24"/>
        </w:rPr>
      </w:pPr>
      <w:r>
        <w:rPr>
          <w:rFonts w:hint="eastAsia" w:asciiTheme="majorEastAsia" w:hAnsiTheme="majorEastAsia" w:eastAsiaTheme="majorEastAsia" w:cstheme="majorEastAsia"/>
          <w:b/>
          <w:color w:val="000000" w:themeColor="text1"/>
          <w:sz w:val="24"/>
        </w:rPr>
        <w:t>（四）成交候选供应商推荐原则</w:t>
      </w:r>
    </w:p>
    <w:bookmarkEnd w:id="0"/>
    <w:bookmarkEnd w:id="1"/>
    <w:bookmarkEnd w:id="24"/>
    <w:bookmarkEnd w:id="25"/>
    <w:bookmarkEnd w:id="26"/>
    <w:bookmarkEnd w:id="27"/>
    <w:bookmarkEnd w:id="28"/>
    <w:bookmarkEnd w:id="29"/>
    <w:p>
      <w:pPr>
        <w:spacing w:line="351" w:lineRule="auto"/>
        <w:ind w:firstLine="480" w:firstLineChars="200"/>
        <w:rPr>
          <w:rFonts w:cs="宋体" w:asciiTheme="majorEastAsia" w:hAnsiTheme="majorEastAsia" w:eastAsiaTheme="majorEastAsia"/>
          <w:color w:val="000000" w:themeColor="text1"/>
          <w:kern w:val="0"/>
          <w:sz w:val="24"/>
        </w:rPr>
      </w:pPr>
      <w:bookmarkStart w:id="35" w:name="_Toc213206174"/>
      <w:bookmarkStart w:id="36" w:name="_Toc485920212"/>
      <w:bookmarkStart w:id="37" w:name="_Toc213326414"/>
      <w:bookmarkStart w:id="38" w:name="_Toc460253701"/>
      <w:bookmarkStart w:id="39" w:name="_Toc213325923"/>
      <w:r>
        <w:rPr>
          <w:rFonts w:asciiTheme="majorEastAsia" w:hAnsiTheme="majorEastAsia" w:eastAsiaTheme="majorEastAsia"/>
          <w:color w:val="000000" w:themeColor="text1"/>
          <w:sz w:val="24"/>
        </w:rPr>
        <w:t>1</w:t>
      </w:r>
      <w:r>
        <w:rPr>
          <w:rFonts w:hint="eastAsia" w:asciiTheme="majorEastAsia" w:hAnsiTheme="majorEastAsia" w:eastAsiaTheme="majorEastAsia"/>
          <w:color w:val="000000" w:themeColor="text1"/>
          <w:sz w:val="24"/>
        </w:rPr>
        <w:t>、</w:t>
      </w:r>
      <w:r>
        <w:rPr>
          <w:rFonts w:hint="eastAsia" w:cs="宋体" w:asciiTheme="majorEastAsia" w:hAnsiTheme="majorEastAsia" w:eastAsiaTheme="majorEastAsia"/>
          <w:color w:val="000000" w:themeColor="text1"/>
          <w:kern w:val="0"/>
          <w:sz w:val="24"/>
        </w:rPr>
        <w:t>磋商小组将按总得分由高到低排列成交候选供</w:t>
      </w:r>
      <w:r>
        <w:rPr>
          <w:rFonts w:hint="eastAsia" w:asciiTheme="majorEastAsia" w:hAnsiTheme="majorEastAsia" w:eastAsiaTheme="majorEastAsia"/>
          <w:color w:val="000000" w:themeColor="text1"/>
          <w:sz w:val="24"/>
        </w:rPr>
        <w:t>应商顺序（</w:t>
      </w:r>
      <w:r>
        <w:rPr>
          <w:rFonts w:asciiTheme="majorEastAsia" w:hAnsiTheme="majorEastAsia" w:eastAsiaTheme="majorEastAsia"/>
          <w:color w:val="000000" w:themeColor="text1"/>
          <w:sz w:val="24"/>
        </w:rPr>
        <w:t>评标价相同时，依次按节能环保产品优先、技术指标高优先、质量保证期长优先、故障响应时间短优先的顺序排列</w:t>
      </w:r>
      <w:r>
        <w:rPr>
          <w:rFonts w:hint="eastAsia" w:asciiTheme="majorEastAsia" w:hAnsiTheme="majorEastAsia" w:eastAsiaTheme="majorEastAsia"/>
          <w:color w:val="000000" w:themeColor="text1"/>
          <w:sz w:val="24"/>
        </w:rPr>
        <w:t>；前述指标均相同时，由磋商小组各成员对供应商当场投票表决，得票多者优先；按前述程序仍无法确定供应商排名顺序的，由磋商小组抽签决定），并依照次序确定成交供</w:t>
      </w:r>
      <w:r>
        <w:rPr>
          <w:rFonts w:hint="eastAsia" w:cs="宋体" w:asciiTheme="majorEastAsia" w:hAnsiTheme="majorEastAsia" w:eastAsiaTheme="majorEastAsia"/>
          <w:color w:val="000000" w:themeColor="text1"/>
          <w:kern w:val="0"/>
          <w:sz w:val="24"/>
        </w:rPr>
        <w:t>应商。</w:t>
      </w:r>
    </w:p>
    <w:p>
      <w:pPr>
        <w:spacing w:line="351" w:lineRule="auto"/>
        <w:ind w:firstLine="480" w:firstLineChars="200"/>
        <w:rPr>
          <w:rFonts w:cs="宋体" w:asciiTheme="majorEastAsia" w:hAnsiTheme="majorEastAsia" w:eastAsiaTheme="majorEastAsia"/>
          <w:color w:val="000000" w:themeColor="text1"/>
          <w:sz w:val="24"/>
          <w:szCs w:val="22"/>
        </w:rPr>
      </w:pPr>
      <w:r>
        <w:rPr>
          <w:rFonts w:hint="eastAsia" w:cs="宋体" w:asciiTheme="majorEastAsia" w:hAnsiTheme="majorEastAsia" w:eastAsiaTheme="majorEastAsia"/>
          <w:color w:val="000000" w:themeColor="text1"/>
          <w:sz w:val="24"/>
          <w:szCs w:val="22"/>
        </w:rPr>
        <w:t>2、根据《财政部关于政府采购竞争性磋商采购方式管理暂行办法有关问题的补充通知》（财库【2015】124号）规定：采用竞争性磋商采购方式的政府购买服务项目或政府和社会资本合作项目，在采购过程中符合要求的供应商只有2家的，其采购活动可以继续进行。</w:t>
      </w:r>
    </w:p>
    <w:p>
      <w:pPr>
        <w:spacing w:line="351" w:lineRule="auto"/>
        <w:ind w:firstLine="480" w:firstLineChars="200"/>
        <w:rPr>
          <w:rFonts w:cs="宋体" w:asciiTheme="majorEastAsia" w:hAnsiTheme="majorEastAsia" w:eastAsiaTheme="majorEastAsia"/>
          <w:color w:val="000000" w:themeColor="text1"/>
          <w:sz w:val="24"/>
          <w:szCs w:val="22"/>
        </w:rPr>
      </w:pPr>
      <w:r>
        <w:rPr>
          <w:rFonts w:hint="eastAsia" w:cs="宋体" w:asciiTheme="majorEastAsia" w:hAnsiTheme="majorEastAsia" w:eastAsiaTheme="majorEastAsia"/>
          <w:color w:val="000000" w:themeColor="text1"/>
          <w:sz w:val="24"/>
          <w:szCs w:val="22"/>
        </w:rPr>
        <w:t>3、根据《政府采购竞争性磋商采购方式管理暂行办法》（财库【2014】214号）规定并结合《政府采购货物和服务招标投标管理办法》南财采【2019】36号文的要求：采用竞争性磋商采购方式的市场竞争不充分的科研项目或需要扶持科技成果转化项目，在符合专业条件的供应商或者对招标文件作实质响应的供应商不少三家前提下，且提交最后报价的供应商有2家的，其采购活动可以继续进行。</w:t>
      </w:r>
    </w:p>
    <w:p>
      <w:pPr>
        <w:spacing w:line="351" w:lineRule="auto"/>
        <w:ind w:firstLine="482" w:firstLineChars="200"/>
        <w:rPr>
          <w:rFonts w:asciiTheme="majorEastAsia" w:hAnsiTheme="majorEastAsia" w:eastAsiaTheme="majorEastAsia"/>
          <w:color w:val="000000" w:themeColor="text1"/>
          <w:sz w:val="24"/>
        </w:rPr>
      </w:pPr>
      <w:r>
        <w:rPr>
          <w:rFonts w:hint="eastAsia" w:asciiTheme="majorEastAsia" w:hAnsiTheme="majorEastAsia" w:eastAsiaTheme="majorEastAsia"/>
          <w:b/>
          <w:bCs/>
          <w:color w:val="000000" w:themeColor="text1"/>
          <w:sz w:val="24"/>
        </w:rPr>
        <w:t>4、磋</w:t>
      </w:r>
      <w:r>
        <w:rPr>
          <w:rFonts w:hint="eastAsia" w:asciiTheme="majorEastAsia" w:hAnsiTheme="majorEastAsia" w:eastAsiaTheme="majorEastAsia"/>
          <w:b/>
          <w:color w:val="000000" w:themeColor="text1"/>
          <w:sz w:val="24"/>
        </w:rPr>
        <w:t>商小组认为，某磋商供应商的最低磋商报价明显不合理或者低于成本，有可能影响服务质量和不能诚信履约的，应当要求其在规定的期限内提供书面文件予以解释说明，并提交相关证明材料。磋商供应不能合理说明或者不能提供相关证明材料的，视作该磋商供应商以低于成本报价响应，其响应无效。</w:t>
      </w:r>
    </w:p>
    <w:p>
      <w:pPr>
        <w:jc w:val="center"/>
        <w:rPr>
          <w:rFonts w:asciiTheme="majorEastAsia" w:hAnsiTheme="majorEastAsia" w:eastAsiaTheme="majorEastAsia" w:cstheme="majorEastAsia"/>
          <w:b/>
          <w:color w:val="000000" w:themeColor="text1"/>
          <w:sz w:val="32"/>
          <w:szCs w:val="32"/>
        </w:rPr>
      </w:pPr>
    </w:p>
    <w:p>
      <w:pPr>
        <w:pStyle w:val="3"/>
        <w:sectPr>
          <w:pgSz w:w="11906" w:h="16838"/>
          <w:pgMar w:top="1440" w:right="1080" w:bottom="1440" w:left="1080" w:header="720" w:footer="720" w:gutter="0"/>
          <w:cols w:space="720" w:num="1"/>
          <w:docGrid w:type="lines" w:linePitch="331" w:charSpace="0"/>
        </w:sectPr>
      </w:pPr>
    </w:p>
    <w:p>
      <w:pPr>
        <w:pStyle w:val="3"/>
        <w:jc w:val="center"/>
        <w:rPr>
          <w:rFonts w:asciiTheme="majorEastAsia" w:hAnsiTheme="majorEastAsia" w:eastAsiaTheme="majorEastAsia" w:cstheme="majorEastAsia"/>
          <w:b/>
          <w:bCs/>
          <w:color w:val="000000" w:themeColor="text1"/>
          <w:sz w:val="32"/>
          <w:szCs w:val="32"/>
        </w:rPr>
      </w:pPr>
      <w:bookmarkStart w:id="40" w:name="_Toc24864"/>
      <w:bookmarkStart w:id="41" w:name="_Toc6053"/>
      <w:bookmarkStart w:id="42" w:name="_Toc17008"/>
      <w:r>
        <w:rPr>
          <w:rFonts w:hint="eastAsia" w:asciiTheme="majorEastAsia" w:hAnsiTheme="majorEastAsia" w:eastAsiaTheme="majorEastAsia" w:cstheme="majorEastAsia"/>
          <w:b/>
          <w:color w:val="000000" w:themeColor="text1"/>
          <w:sz w:val="32"/>
          <w:szCs w:val="32"/>
        </w:rPr>
        <w:t>第四章   磋商供应商须知</w:t>
      </w:r>
      <w:bookmarkEnd w:id="35"/>
      <w:bookmarkEnd w:id="36"/>
      <w:bookmarkEnd w:id="37"/>
      <w:bookmarkEnd w:id="38"/>
      <w:bookmarkEnd w:id="39"/>
      <w:bookmarkEnd w:id="40"/>
      <w:bookmarkEnd w:id="41"/>
      <w:bookmarkEnd w:id="42"/>
      <w:bookmarkStart w:id="43" w:name="_Toc213326415"/>
    </w:p>
    <w:bookmarkEnd w:id="43"/>
    <w:p>
      <w:pPr>
        <w:pStyle w:val="10"/>
        <w:spacing w:line="360" w:lineRule="auto"/>
        <w:ind w:firstLine="482" w:firstLineChars="200"/>
        <w:jc w:val="left"/>
        <w:rPr>
          <w:rFonts w:asciiTheme="majorEastAsia" w:hAnsiTheme="majorEastAsia" w:eastAsiaTheme="majorEastAsia" w:cstheme="majorEastAsia"/>
          <w:b/>
          <w:color w:val="000000" w:themeColor="text1"/>
          <w:sz w:val="24"/>
          <w:szCs w:val="24"/>
        </w:rPr>
      </w:pPr>
      <w:bookmarkStart w:id="44" w:name="_Toc460253702"/>
      <w:r>
        <w:rPr>
          <w:rFonts w:hint="eastAsia" w:asciiTheme="majorEastAsia" w:hAnsiTheme="majorEastAsia" w:eastAsiaTheme="majorEastAsia" w:cstheme="majorEastAsia"/>
          <w:b/>
          <w:color w:val="000000" w:themeColor="text1"/>
          <w:sz w:val="24"/>
          <w:szCs w:val="24"/>
        </w:rPr>
        <w:t>本表是关于本次采购项目的具体资料，是对后列条款的具体补充和修改。所有与本次采购有关的事宜，以本表规定的为准。</w:t>
      </w:r>
      <w:bookmarkEnd w:id="44"/>
    </w:p>
    <w:tbl>
      <w:tblPr>
        <w:tblStyle w:val="18"/>
        <w:tblW w:w="104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1"/>
        <w:gridCol w:w="2640"/>
        <w:gridCol w:w="6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1" w:type="dxa"/>
            <w:vAlign w:val="center"/>
          </w:tcPr>
          <w:p>
            <w:pPr>
              <w:pStyle w:val="10"/>
              <w:snapToGrid w:val="0"/>
              <w:spacing w:afterLines="50" w:line="440" w:lineRule="exact"/>
              <w:jc w:val="center"/>
              <w:rPr>
                <w:rFonts w:asciiTheme="majorEastAsia" w:hAnsiTheme="majorEastAsia" w:eastAsiaTheme="majorEastAsia" w:cstheme="majorEastAsia"/>
                <w:b/>
                <w:color w:val="000000" w:themeColor="text1"/>
                <w:kern w:val="0"/>
                <w:sz w:val="24"/>
                <w:szCs w:val="24"/>
              </w:rPr>
            </w:pPr>
            <w:r>
              <w:rPr>
                <w:rFonts w:hint="eastAsia" w:asciiTheme="majorEastAsia" w:hAnsiTheme="majorEastAsia" w:eastAsiaTheme="majorEastAsia" w:cstheme="majorEastAsia"/>
                <w:b/>
                <w:color w:val="000000" w:themeColor="text1"/>
                <w:kern w:val="0"/>
                <w:sz w:val="24"/>
                <w:szCs w:val="24"/>
              </w:rPr>
              <w:t>条款号</w:t>
            </w:r>
          </w:p>
        </w:tc>
        <w:tc>
          <w:tcPr>
            <w:tcW w:w="2640" w:type="dxa"/>
            <w:vAlign w:val="center"/>
          </w:tcPr>
          <w:p>
            <w:pPr>
              <w:pStyle w:val="10"/>
              <w:snapToGrid w:val="0"/>
              <w:spacing w:afterLines="50" w:line="440" w:lineRule="exact"/>
              <w:jc w:val="center"/>
              <w:rPr>
                <w:rFonts w:asciiTheme="majorEastAsia" w:hAnsiTheme="majorEastAsia" w:eastAsiaTheme="majorEastAsia" w:cstheme="majorEastAsia"/>
                <w:b/>
                <w:color w:val="000000" w:themeColor="text1"/>
                <w:kern w:val="0"/>
                <w:sz w:val="24"/>
                <w:szCs w:val="24"/>
              </w:rPr>
            </w:pPr>
            <w:r>
              <w:rPr>
                <w:rFonts w:hint="eastAsia" w:asciiTheme="majorEastAsia" w:hAnsiTheme="majorEastAsia" w:eastAsiaTheme="majorEastAsia" w:cstheme="majorEastAsia"/>
                <w:b/>
                <w:color w:val="000000" w:themeColor="text1"/>
                <w:kern w:val="0"/>
                <w:sz w:val="24"/>
                <w:szCs w:val="24"/>
              </w:rPr>
              <w:t>条款名称</w:t>
            </w:r>
          </w:p>
        </w:tc>
        <w:tc>
          <w:tcPr>
            <w:tcW w:w="6459" w:type="dxa"/>
            <w:vAlign w:val="center"/>
          </w:tcPr>
          <w:p>
            <w:pPr>
              <w:pStyle w:val="10"/>
              <w:snapToGrid w:val="0"/>
              <w:spacing w:afterLines="50" w:line="440" w:lineRule="exact"/>
              <w:jc w:val="center"/>
              <w:rPr>
                <w:rFonts w:asciiTheme="majorEastAsia" w:hAnsiTheme="majorEastAsia" w:eastAsiaTheme="majorEastAsia" w:cstheme="majorEastAsia"/>
                <w:b/>
                <w:color w:val="000000" w:themeColor="text1"/>
                <w:kern w:val="0"/>
                <w:sz w:val="24"/>
                <w:szCs w:val="24"/>
              </w:rPr>
            </w:pPr>
            <w:r>
              <w:rPr>
                <w:rFonts w:hint="eastAsia" w:asciiTheme="majorEastAsia" w:hAnsiTheme="majorEastAsia" w:eastAsiaTheme="majorEastAsia" w:cstheme="majorEastAsia"/>
                <w:b/>
                <w:color w:val="000000" w:themeColor="text1"/>
                <w:kern w:val="0"/>
                <w:sz w:val="24"/>
                <w:szCs w:val="24"/>
              </w:rPr>
              <w:t>详细内容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1" w:type="dxa"/>
            <w:vAlign w:val="center"/>
          </w:tcPr>
          <w:p>
            <w:pPr>
              <w:pStyle w:val="10"/>
              <w:snapToGrid w:val="0"/>
              <w:spacing w:afterLines="50" w:line="440" w:lineRule="exact"/>
              <w:jc w:val="center"/>
              <w:rPr>
                <w:rFonts w:asciiTheme="majorEastAsia" w:hAnsiTheme="majorEastAsia" w:eastAsiaTheme="majorEastAsia" w:cstheme="majorEastAsia"/>
                <w:color w:val="000000" w:themeColor="text1"/>
                <w:kern w:val="0"/>
                <w:sz w:val="24"/>
                <w:szCs w:val="24"/>
              </w:rPr>
            </w:pPr>
            <w:r>
              <w:rPr>
                <w:rFonts w:hint="eastAsia" w:asciiTheme="majorEastAsia" w:hAnsiTheme="majorEastAsia" w:eastAsiaTheme="majorEastAsia" w:cstheme="majorEastAsia"/>
                <w:color w:val="000000" w:themeColor="text1"/>
                <w:kern w:val="0"/>
                <w:sz w:val="24"/>
                <w:szCs w:val="24"/>
              </w:rPr>
              <w:t>1.1</w:t>
            </w:r>
          </w:p>
        </w:tc>
        <w:tc>
          <w:tcPr>
            <w:tcW w:w="2640" w:type="dxa"/>
            <w:vAlign w:val="center"/>
          </w:tcPr>
          <w:p>
            <w:pPr>
              <w:pStyle w:val="10"/>
              <w:snapToGrid w:val="0"/>
              <w:spacing w:afterLines="50" w:line="440" w:lineRule="exact"/>
              <w:jc w:val="center"/>
              <w:rPr>
                <w:rFonts w:asciiTheme="majorEastAsia" w:hAnsiTheme="majorEastAsia" w:eastAsiaTheme="majorEastAsia" w:cstheme="majorEastAsia"/>
                <w:color w:val="000000" w:themeColor="text1"/>
                <w:kern w:val="0"/>
                <w:sz w:val="24"/>
                <w:szCs w:val="24"/>
              </w:rPr>
            </w:pPr>
            <w:r>
              <w:rPr>
                <w:rFonts w:hint="eastAsia" w:asciiTheme="majorEastAsia" w:hAnsiTheme="majorEastAsia" w:eastAsiaTheme="majorEastAsia" w:cstheme="majorEastAsia"/>
                <w:color w:val="000000" w:themeColor="text1"/>
                <w:kern w:val="0"/>
                <w:sz w:val="24"/>
                <w:szCs w:val="24"/>
              </w:rPr>
              <w:t>采购人</w:t>
            </w:r>
          </w:p>
        </w:tc>
        <w:tc>
          <w:tcPr>
            <w:tcW w:w="6459" w:type="dxa"/>
            <w:vAlign w:val="center"/>
          </w:tcPr>
          <w:p>
            <w:pPr>
              <w:pStyle w:val="10"/>
              <w:spacing w:line="440" w:lineRule="exact"/>
              <w:rPr>
                <w:rFonts w:asciiTheme="majorEastAsia" w:hAnsiTheme="majorEastAsia" w:eastAsiaTheme="majorEastAsia" w:cstheme="majorEastAsia"/>
                <w:color w:val="000000" w:themeColor="text1"/>
                <w:kern w:val="0"/>
                <w:sz w:val="24"/>
              </w:rPr>
            </w:pPr>
            <w:r>
              <w:rPr>
                <w:rFonts w:hint="eastAsia" w:asciiTheme="majorEastAsia" w:hAnsiTheme="majorEastAsia" w:eastAsiaTheme="majorEastAsia" w:cstheme="majorEastAsia"/>
                <w:color w:val="000000" w:themeColor="text1"/>
                <w:kern w:val="0"/>
                <w:sz w:val="24"/>
              </w:rPr>
              <w:t>名称：南宁市住房和城乡建设局</w:t>
            </w:r>
          </w:p>
          <w:p>
            <w:pPr>
              <w:pStyle w:val="10"/>
              <w:spacing w:line="440" w:lineRule="exact"/>
              <w:rPr>
                <w:rFonts w:asciiTheme="majorEastAsia" w:hAnsiTheme="majorEastAsia" w:eastAsiaTheme="majorEastAsia" w:cstheme="majorEastAsia"/>
                <w:color w:val="000000" w:themeColor="text1"/>
                <w:kern w:val="0"/>
                <w:sz w:val="24"/>
              </w:rPr>
            </w:pPr>
            <w:r>
              <w:rPr>
                <w:rFonts w:hint="eastAsia" w:asciiTheme="majorEastAsia" w:hAnsiTheme="majorEastAsia" w:eastAsiaTheme="majorEastAsia" w:cstheme="majorEastAsia"/>
                <w:color w:val="000000" w:themeColor="text1"/>
                <w:kern w:val="0"/>
                <w:sz w:val="24"/>
              </w:rPr>
              <w:t xml:space="preserve">地址：南宁市嘉宾路1号市政府大楼10楼 </w:t>
            </w:r>
          </w:p>
          <w:p>
            <w:pPr>
              <w:pStyle w:val="10"/>
              <w:spacing w:line="440" w:lineRule="exact"/>
              <w:rPr>
                <w:rFonts w:asciiTheme="majorEastAsia" w:hAnsiTheme="majorEastAsia" w:eastAsiaTheme="majorEastAsia" w:cstheme="majorEastAsia"/>
                <w:color w:val="000000" w:themeColor="text1"/>
                <w:kern w:val="0"/>
                <w:sz w:val="24"/>
              </w:rPr>
            </w:pPr>
            <w:r>
              <w:rPr>
                <w:rFonts w:hint="eastAsia" w:asciiTheme="majorEastAsia" w:hAnsiTheme="majorEastAsia" w:eastAsiaTheme="majorEastAsia" w:cstheme="majorEastAsia"/>
                <w:color w:val="000000" w:themeColor="text1"/>
                <w:kern w:val="0"/>
                <w:sz w:val="24"/>
              </w:rPr>
              <w:t xml:space="preserve">联系人： 农云浩  </w:t>
            </w:r>
          </w:p>
          <w:p>
            <w:pPr>
              <w:pStyle w:val="10"/>
              <w:spacing w:line="440" w:lineRule="exact"/>
              <w:rPr>
                <w:rFonts w:asciiTheme="majorEastAsia" w:hAnsiTheme="majorEastAsia" w:eastAsiaTheme="majorEastAsia" w:cstheme="majorEastAsia"/>
                <w:color w:val="000000" w:themeColor="text1"/>
                <w:kern w:val="0"/>
                <w:sz w:val="24"/>
              </w:rPr>
            </w:pPr>
            <w:r>
              <w:rPr>
                <w:rFonts w:hint="eastAsia" w:asciiTheme="majorEastAsia" w:hAnsiTheme="majorEastAsia" w:eastAsiaTheme="majorEastAsia" w:cstheme="majorEastAsia"/>
                <w:color w:val="000000" w:themeColor="text1"/>
                <w:kern w:val="0"/>
                <w:sz w:val="24"/>
              </w:rPr>
              <w:t>联系电话：0771-5527061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1" w:type="dxa"/>
            <w:vAlign w:val="center"/>
          </w:tcPr>
          <w:p>
            <w:pPr>
              <w:pStyle w:val="10"/>
              <w:snapToGrid w:val="0"/>
              <w:spacing w:afterLines="50" w:line="440" w:lineRule="exact"/>
              <w:jc w:val="center"/>
              <w:rPr>
                <w:rFonts w:asciiTheme="majorEastAsia" w:hAnsiTheme="majorEastAsia" w:eastAsiaTheme="majorEastAsia" w:cstheme="majorEastAsia"/>
                <w:color w:val="000000" w:themeColor="text1"/>
                <w:kern w:val="0"/>
                <w:sz w:val="24"/>
                <w:szCs w:val="24"/>
              </w:rPr>
            </w:pPr>
            <w:r>
              <w:rPr>
                <w:rFonts w:hint="eastAsia" w:asciiTheme="majorEastAsia" w:hAnsiTheme="majorEastAsia" w:eastAsiaTheme="majorEastAsia" w:cstheme="majorEastAsia"/>
                <w:color w:val="000000" w:themeColor="text1"/>
                <w:kern w:val="0"/>
                <w:sz w:val="24"/>
                <w:szCs w:val="24"/>
              </w:rPr>
              <w:t>1.2</w:t>
            </w:r>
          </w:p>
        </w:tc>
        <w:tc>
          <w:tcPr>
            <w:tcW w:w="2640" w:type="dxa"/>
            <w:vAlign w:val="center"/>
          </w:tcPr>
          <w:p>
            <w:pPr>
              <w:pStyle w:val="10"/>
              <w:snapToGrid w:val="0"/>
              <w:spacing w:afterLines="50" w:line="440" w:lineRule="exact"/>
              <w:jc w:val="center"/>
              <w:rPr>
                <w:rFonts w:asciiTheme="majorEastAsia" w:hAnsiTheme="majorEastAsia" w:eastAsiaTheme="majorEastAsia" w:cstheme="majorEastAsia"/>
                <w:color w:val="000000" w:themeColor="text1"/>
                <w:kern w:val="0"/>
                <w:sz w:val="24"/>
                <w:szCs w:val="24"/>
              </w:rPr>
            </w:pPr>
            <w:r>
              <w:rPr>
                <w:rFonts w:hint="eastAsia" w:asciiTheme="majorEastAsia" w:hAnsiTheme="majorEastAsia" w:eastAsiaTheme="majorEastAsia" w:cstheme="majorEastAsia"/>
                <w:color w:val="000000" w:themeColor="text1"/>
                <w:kern w:val="0"/>
                <w:sz w:val="24"/>
                <w:szCs w:val="24"/>
              </w:rPr>
              <w:t>采购代理机构</w:t>
            </w:r>
          </w:p>
        </w:tc>
        <w:tc>
          <w:tcPr>
            <w:tcW w:w="6459" w:type="dxa"/>
            <w:vAlign w:val="center"/>
          </w:tcPr>
          <w:p>
            <w:pPr>
              <w:pStyle w:val="10"/>
              <w:spacing w:line="440" w:lineRule="exact"/>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名称：广西邕政采购代理有限公司</w:t>
            </w:r>
          </w:p>
          <w:p>
            <w:pPr>
              <w:pStyle w:val="10"/>
              <w:spacing w:line="440" w:lineRule="exact"/>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地址：南宁市青秀区思贤路45号创投中心16A层  </w:t>
            </w:r>
          </w:p>
          <w:p>
            <w:pPr>
              <w:pStyle w:val="10"/>
              <w:spacing w:line="440" w:lineRule="exact"/>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项目联系人：蔺工、罗工</w:t>
            </w:r>
          </w:p>
          <w:p>
            <w:pPr>
              <w:pStyle w:val="10"/>
              <w:spacing w:line="440" w:lineRule="exact"/>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 xml:space="preserve">联系电话：0771-2442850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361" w:type="dxa"/>
            <w:vAlign w:val="center"/>
          </w:tcPr>
          <w:p>
            <w:pPr>
              <w:pStyle w:val="10"/>
              <w:snapToGrid w:val="0"/>
              <w:spacing w:afterLines="50" w:line="440" w:lineRule="exact"/>
              <w:jc w:val="center"/>
              <w:rPr>
                <w:rFonts w:asciiTheme="majorEastAsia" w:hAnsiTheme="majorEastAsia" w:eastAsiaTheme="majorEastAsia" w:cstheme="majorEastAsia"/>
                <w:color w:val="000000" w:themeColor="text1"/>
                <w:kern w:val="0"/>
                <w:sz w:val="24"/>
                <w:szCs w:val="24"/>
              </w:rPr>
            </w:pPr>
            <w:r>
              <w:rPr>
                <w:rFonts w:hint="eastAsia" w:asciiTheme="majorEastAsia" w:hAnsiTheme="majorEastAsia" w:eastAsiaTheme="majorEastAsia" w:cstheme="majorEastAsia"/>
                <w:color w:val="000000" w:themeColor="text1"/>
                <w:kern w:val="0"/>
                <w:sz w:val="24"/>
                <w:szCs w:val="24"/>
              </w:rPr>
              <w:t>1.3</w:t>
            </w:r>
          </w:p>
        </w:tc>
        <w:tc>
          <w:tcPr>
            <w:tcW w:w="2640" w:type="dxa"/>
            <w:vAlign w:val="center"/>
          </w:tcPr>
          <w:p>
            <w:pPr>
              <w:pStyle w:val="10"/>
              <w:snapToGrid w:val="0"/>
              <w:spacing w:afterLines="50" w:line="440" w:lineRule="exact"/>
              <w:jc w:val="center"/>
              <w:rPr>
                <w:rFonts w:asciiTheme="majorEastAsia" w:hAnsiTheme="majorEastAsia" w:eastAsiaTheme="majorEastAsia" w:cstheme="majorEastAsia"/>
                <w:color w:val="000000" w:themeColor="text1"/>
                <w:kern w:val="0"/>
                <w:sz w:val="24"/>
                <w:szCs w:val="24"/>
              </w:rPr>
            </w:pPr>
            <w:r>
              <w:rPr>
                <w:rFonts w:hint="eastAsia" w:asciiTheme="majorEastAsia" w:hAnsiTheme="majorEastAsia" w:eastAsiaTheme="majorEastAsia" w:cstheme="majorEastAsia"/>
                <w:color w:val="000000" w:themeColor="text1"/>
                <w:kern w:val="0"/>
                <w:sz w:val="24"/>
                <w:szCs w:val="24"/>
              </w:rPr>
              <w:t>项目名称</w:t>
            </w:r>
          </w:p>
        </w:tc>
        <w:tc>
          <w:tcPr>
            <w:tcW w:w="6459" w:type="dxa"/>
            <w:vAlign w:val="center"/>
          </w:tcPr>
          <w:p>
            <w:pPr>
              <w:pStyle w:val="10"/>
              <w:snapToGrid w:val="0"/>
              <w:spacing w:afterLines="50" w:line="440" w:lineRule="exact"/>
              <w:jc w:val="left"/>
              <w:rPr>
                <w:rFonts w:asciiTheme="majorEastAsia" w:hAnsiTheme="majorEastAsia" w:eastAsiaTheme="majorEastAsia" w:cstheme="majorEastAsia"/>
                <w:color w:val="000000" w:themeColor="text1"/>
                <w:kern w:val="0"/>
                <w:sz w:val="24"/>
                <w:szCs w:val="24"/>
              </w:rPr>
            </w:pPr>
            <w:r>
              <w:rPr>
                <w:rFonts w:hint="eastAsia" w:asciiTheme="majorEastAsia" w:hAnsiTheme="majorEastAsia" w:eastAsiaTheme="majorEastAsia" w:cstheme="majorEastAsia"/>
                <w:color w:val="000000" w:themeColor="text1"/>
                <w:kern w:val="0"/>
                <w:sz w:val="24"/>
              </w:rPr>
              <w:t>住房保障信息系统专线租用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1361" w:type="dxa"/>
            <w:vAlign w:val="center"/>
          </w:tcPr>
          <w:p>
            <w:pPr>
              <w:pStyle w:val="10"/>
              <w:snapToGrid w:val="0"/>
              <w:spacing w:afterLines="50" w:line="440" w:lineRule="exact"/>
              <w:jc w:val="center"/>
              <w:rPr>
                <w:rFonts w:asciiTheme="majorEastAsia" w:hAnsiTheme="majorEastAsia" w:eastAsiaTheme="majorEastAsia" w:cstheme="majorEastAsia"/>
                <w:color w:val="000000" w:themeColor="text1"/>
                <w:kern w:val="0"/>
                <w:sz w:val="24"/>
                <w:szCs w:val="24"/>
              </w:rPr>
            </w:pPr>
            <w:r>
              <w:rPr>
                <w:rFonts w:hint="eastAsia" w:asciiTheme="majorEastAsia" w:hAnsiTheme="majorEastAsia" w:eastAsiaTheme="majorEastAsia" w:cstheme="majorEastAsia"/>
                <w:color w:val="000000" w:themeColor="text1"/>
                <w:kern w:val="0"/>
                <w:sz w:val="24"/>
                <w:szCs w:val="24"/>
              </w:rPr>
              <w:t>1.4</w:t>
            </w:r>
          </w:p>
        </w:tc>
        <w:tc>
          <w:tcPr>
            <w:tcW w:w="2640" w:type="dxa"/>
            <w:vAlign w:val="center"/>
          </w:tcPr>
          <w:p>
            <w:pPr>
              <w:pStyle w:val="10"/>
              <w:snapToGrid w:val="0"/>
              <w:spacing w:afterLines="50" w:line="440" w:lineRule="exact"/>
              <w:jc w:val="center"/>
              <w:rPr>
                <w:rFonts w:asciiTheme="majorEastAsia" w:hAnsiTheme="majorEastAsia" w:eastAsiaTheme="majorEastAsia" w:cstheme="majorEastAsia"/>
                <w:color w:val="000000" w:themeColor="text1"/>
                <w:kern w:val="0"/>
                <w:sz w:val="24"/>
                <w:szCs w:val="24"/>
              </w:rPr>
            </w:pPr>
            <w:r>
              <w:rPr>
                <w:rFonts w:hint="eastAsia" w:asciiTheme="majorEastAsia" w:hAnsiTheme="majorEastAsia" w:eastAsiaTheme="majorEastAsia" w:cstheme="majorEastAsia"/>
                <w:color w:val="000000" w:themeColor="text1"/>
                <w:kern w:val="0"/>
                <w:sz w:val="24"/>
                <w:szCs w:val="24"/>
              </w:rPr>
              <w:t>项目编号</w:t>
            </w:r>
          </w:p>
        </w:tc>
        <w:tc>
          <w:tcPr>
            <w:tcW w:w="6459" w:type="dxa"/>
            <w:vAlign w:val="center"/>
          </w:tcPr>
          <w:p>
            <w:pPr>
              <w:pStyle w:val="10"/>
              <w:snapToGrid w:val="0"/>
              <w:spacing w:afterLines="50" w:line="440" w:lineRule="exact"/>
              <w:jc w:val="left"/>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NNZC2020-C3-990370-GXYZ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1" w:type="dxa"/>
            <w:vAlign w:val="center"/>
          </w:tcPr>
          <w:p>
            <w:pPr>
              <w:pStyle w:val="10"/>
              <w:snapToGrid w:val="0"/>
              <w:spacing w:afterLines="50" w:line="440" w:lineRule="exact"/>
              <w:jc w:val="center"/>
              <w:rPr>
                <w:rFonts w:asciiTheme="majorEastAsia" w:hAnsiTheme="majorEastAsia" w:eastAsiaTheme="majorEastAsia" w:cstheme="majorEastAsia"/>
                <w:color w:val="000000" w:themeColor="text1"/>
                <w:kern w:val="0"/>
                <w:sz w:val="24"/>
                <w:szCs w:val="24"/>
              </w:rPr>
            </w:pPr>
            <w:r>
              <w:rPr>
                <w:rFonts w:hint="eastAsia" w:asciiTheme="majorEastAsia" w:hAnsiTheme="majorEastAsia" w:eastAsiaTheme="majorEastAsia" w:cstheme="majorEastAsia"/>
                <w:color w:val="000000" w:themeColor="text1"/>
                <w:kern w:val="0"/>
                <w:sz w:val="24"/>
                <w:szCs w:val="24"/>
              </w:rPr>
              <w:t>1.5</w:t>
            </w:r>
          </w:p>
        </w:tc>
        <w:tc>
          <w:tcPr>
            <w:tcW w:w="2640" w:type="dxa"/>
            <w:vAlign w:val="center"/>
          </w:tcPr>
          <w:p>
            <w:pPr>
              <w:pStyle w:val="10"/>
              <w:snapToGrid w:val="0"/>
              <w:spacing w:afterLines="50" w:line="440" w:lineRule="exact"/>
              <w:jc w:val="center"/>
              <w:rPr>
                <w:rFonts w:asciiTheme="majorEastAsia" w:hAnsiTheme="majorEastAsia" w:eastAsiaTheme="majorEastAsia" w:cstheme="majorEastAsia"/>
                <w:color w:val="000000" w:themeColor="text1"/>
                <w:kern w:val="0"/>
                <w:sz w:val="24"/>
                <w:szCs w:val="24"/>
              </w:rPr>
            </w:pPr>
            <w:r>
              <w:rPr>
                <w:rFonts w:hint="eastAsia" w:asciiTheme="majorEastAsia" w:hAnsiTheme="majorEastAsia" w:eastAsiaTheme="majorEastAsia" w:cstheme="majorEastAsia"/>
                <w:color w:val="000000" w:themeColor="text1"/>
                <w:kern w:val="0"/>
                <w:sz w:val="24"/>
                <w:szCs w:val="24"/>
              </w:rPr>
              <w:t>采购预算</w:t>
            </w:r>
          </w:p>
        </w:tc>
        <w:tc>
          <w:tcPr>
            <w:tcW w:w="6459" w:type="dxa"/>
            <w:vAlign w:val="center"/>
          </w:tcPr>
          <w:p>
            <w:pPr>
              <w:pStyle w:val="10"/>
              <w:spacing w:line="440" w:lineRule="exact"/>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t>人民币捌拾捌万伍仟陆佰元整（¥885600.00元）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1" w:type="dxa"/>
            <w:vAlign w:val="center"/>
          </w:tcPr>
          <w:p>
            <w:pPr>
              <w:pStyle w:val="10"/>
              <w:snapToGrid w:val="0"/>
              <w:spacing w:afterLines="50" w:line="440" w:lineRule="exact"/>
              <w:jc w:val="center"/>
              <w:rPr>
                <w:rFonts w:asciiTheme="majorEastAsia" w:hAnsiTheme="majorEastAsia" w:eastAsiaTheme="majorEastAsia" w:cstheme="majorEastAsia"/>
                <w:color w:val="000000" w:themeColor="text1"/>
                <w:kern w:val="0"/>
                <w:sz w:val="24"/>
                <w:szCs w:val="24"/>
              </w:rPr>
            </w:pPr>
            <w:r>
              <w:rPr>
                <w:rFonts w:hint="eastAsia" w:asciiTheme="majorEastAsia" w:hAnsiTheme="majorEastAsia" w:eastAsiaTheme="majorEastAsia" w:cstheme="majorEastAsia"/>
                <w:color w:val="000000" w:themeColor="text1"/>
                <w:kern w:val="0"/>
                <w:sz w:val="24"/>
                <w:szCs w:val="24"/>
              </w:rPr>
              <w:t>1.7</w:t>
            </w:r>
          </w:p>
        </w:tc>
        <w:tc>
          <w:tcPr>
            <w:tcW w:w="2640" w:type="dxa"/>
            <w:vAlign w:val="center"/>
          </w:tcPr>
          <w:p>
            <w:pPr>
              <w:pStyle w:val="10"/>
              <w:snapToGrid w:val="0"/>
              <w:spacing w:afterLines="50" w:line="440" w:lineRule="exact"/>
              <w:jc w:val="center"/>
              <w:rPr>
                <w:rFonts w:asciiTheme="majorEastAsia" w:hAnsiTheme="majorEastAsia" w:eastAsiaTheme="majorEastAsia" w:cstheme="majorEastAsia"/>
                <w:color w:val="000000" w:themeColor="text1"/>
                <w:kern w:val="0"/>
                <w:sz w:val="24"/>
                <w:szCs w:val="24"/>
              </w:rPr>
            </w:pPr>
            <w:r>
              <w:rPr>
                <w:rFonts w:hint="eastAsia" w:asciiTheme="majorEastAsia" w:hAnsiTheme="majorEastAsia" w:eastAsiaTheme="majorEastAsia" w:cstheme="majorEastAsia"/>
                <w:color w:val="000000" w:themeColor="text1"/>
                <w:sz w:val="24"/>
                <w:szCs w:val="24"/>
              </w:rPr>
              <w:t>获取招标文件的方式</w:t>
            </w:r>
          </w:p>
        </w:tc>
        <w:tc>
          <w:tcPr>
            <w:tcW w:w="6459" w:type="dxa"/>
            <w:vAlign w:val="center"/>
          </w:tcPr>
          <w:p>
            <w:pPr>
              <w:pStyle w:val="10"/>
              <w:spacing w:line="440" w:lineRule="exact"/>
              <w:jc w:val="left"/>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1、本项目不发放纸质文件，磋商供应商自行在南宁市公共资源交易平台(https://www.nnggzy.org.cn/gxnnzbw/)的信息公告处下载采购文件。</w:t>
            </w:r>
          </w:p>
          <w:p>
            <w:pPr>
              <w:pStyle w:val="10"/>
              <w:spacing w:line="440" w:lineRule="exact"/>
              <w:jc w:val="left"/>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2、采购文件每套售价0元。</w:t>
            </w:r>
          </w:p>
          <w:p>
            <w:pPr>
              <w:pStyle w:val="10"/>
              <w:spacing w:line="440" w:lineRule="exact"/>
              <w:jc w:val="left"/>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3、本项目竞争性磋商公告期限为公告发布之日起5个工作日（2020年</w:t>
            </w:r>
            <w:r>
              <w:rPr>
                <w:rFonts w:hint="eastAsia" w:asciiTheme="majorEastAsia" w:hAnsiTheme="majorEastAsia" w:eastAsiaTheme="majorEastAsia" w:cstheme="majorEastAsia"/>
                <w:color w:val="000000" w:themeColor="text1"/>
                <w:sz w:val="24"/>
                <w:szCs w:val="24"/>
                <w:lang w:val="en-US" w:eastAsia="zh-CN"/>
              </w:rPr>
              <w:t>11</w:t>
            </w:r>
            <w:r>
              <w:rPr>
                <w:rFonts w:hint="eastAsia" w:asciiTheme="majorEastAsia" w:hAnsiTheme="majorEastAsia" w:eastAsiaTheme="majorEastAsia" w:cstheme="majorEastAsia"/>
                <w:color w:val="000000" w:themeColor="text1"/>
                <w:sz w:val="24"/>
                <w:szCs w:val="24"/>
              </w:rPr>
              <w:t>月</w:t>
            </w:r>
            <w:r>
              <w:rPr>
                <w:rFonts w:hint="eastAsia" w:asciiTheme="majorEastAsia" w:hAnsiTheme="majorEastAsia" w:eastAsiaTheme="majorEastAsia" w:cstheme="majorEastAsia"/>
                <w:color w:val="000000" w:themeColor="text1"/>
                <w:sz w:val="24"/>
                <w:szCs w:val="24"/>
                <w:lang w:val="en-US" w:eastAsia="zh-CN"/>
              </w:rPr>
              <w:t>05</w:t>
            </w:r>
            <w:r>
              <w:rPr>
                <w:rFonts w:hint="eastAsia" w:asciiTheme="majorEastAsia" w:hAnsiTheme="majorEastAsia" w:eastAsiaTheme="majorEastAsia" w:cstheme="majorEastAsia"/>
                <w:color w:val="000000" w:themeColor="text1"/>
                <w:sz w:val="24"/>
                <w:szCs w:val="24"/>
              </w:rPr>
              <w:t>日至2020年</w:t>
            </w:r>
            <w:r>
              <w:rPr>
                <w:rFonts w:hint="eastAsia" w:asciiTheme="majorEastAsia" w:hAnsiTheme="majorEastAsia" w:eastAsiaTheme="majorEastAsia" w:cstheme="majorEastAsia"/>
                <w:color w:val="000000" w:themeColor="text1"/>
                <w:sz w:val="24"/>
                <w:szCs w:val="24"/>
                <w:lang w:val="en-US" w:eastAsia="zh-CN"/>
              </w:rPr>
              <w:t>11</w:t>
            </w:r>
            <w:r>
              <w:rPr>
                <w:rFonts w:hint="eastAsia" w:asciiTheme="majorEastAsia" w:hAnsiTheme="majorEastAsia" w:eastAsiaTheme="majorEastAsia" w:cstheme="majorEastAsia"/>
                <w:color w:val="000000" w:themeColor="text1"/>
                <w:sz w:val="24"/>
                <w:szCs w:val="24"/>
              </w:rPr>
              <w:t>月</w:t>
            </w:r>
            <w:r>
              <w:rPr>
                <w:rFonts w:hint="eastAsia" w:asciiTheme="majorEastAsia" w:hAnsiTheme="majorEastAsia" w:eastAsiaTheme="majorEastAsia" w:cstheme="majorEastAsia"/>
                <w:color w:val="000000" w:themeColor="text1"/>
                <w:sz w:val="24"/>
                <w:szCs w:val="24"/>
                <w:lang w:val="en-US" w:eastAsia="zh-CN"/>
              </w:rPr>
              <w:t>11</w:t>
            </w:r>
            <w:r>
              <w:rPr>
                <w:rFonts w:hint="eastAsia" w:asciiTheme="majorEastAsia" w:hAnsiTheme="majorEastAsia" w:eastAsiaTheme="majorEastAsia" w:cstheme="majorEastAsia"/>
                <w:color w:val="000000" w:themeColor="text1"/>
                <w:sz w:val="24"/>
                <w:szCs w:val="24"/>
              </w:rPr>
              <w:t>日结束）。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1" w:type="dxa"/>
            <w:vAlign w:val="center"/>
          </w:tcPr>
          <w:p>
            <w:pPr>
              <w:pStyle w:val="10"/>
              <w:spacing w:line="440" w:lineRule="exact"/>
              <w:jc w:val="center"/>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1.8</w:t>
            </w:r>
          </w:p>
        </w:tc>
        <w:tc>
          <w:tcPr>
            <w:tcW w:w="2640" w:type="dxa"/>
            <w:vAlign w:val="center"/>
          </w:tcPr>
          <w:p>
            <w:pPr>
              <w:pStyle w:val="10"/>
              <w:spacing w:line="440" w:lineRule="exact"/>
              <w:jc w:val="center"/>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预留采购份额</w:t>
            </w:r>
          </w:p>
        </w:tc>
        <w:tc>
          <w:tcPr>
            <w:tcW w:w="6459" w:type="dxa"/>
            <w:vAlign w:val="center"/>
          </w:tcPr>
          <w:p>
            <w:pPr>
              <w:snapToGrid w:val="0"/>
              <w:spacing w:line="440" w:lineRule="exact"/>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t>本项目非专门面向中小企业采购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361" w:type="dxa"/>
            <w:vAlign w:val="center"/>
          </w:tcPr>
          <w:p>
            <w:pPr>
              <w:pStyle w:val="10"/>
              <w:snapToGrid w:val="0"/>
              <w:spacing w:afterLines="50" w:line="440" w:lineRule="exact"/>
              <w:jc w:val="center"/>
              <w:rPr>
                <w:rFonts w:asciiTheme="majorEastAsia" w:hAnsiTheme="majorEastAsia" w:eastAsiaTheme="majorEastAsia" w:cstheme="majorEastAsia"/>
                <w:color w:val="000000" w:themeColor="text1"/>
                <w:kern w:val="0"/>
                <w:sz w:val="24"/>
                <w:szCs w:val="24"/>
              </w:rPr>
            </w:pPr>
            <w:r>
              <w:rPr>
                <w:rFonts w:hint="eastAsia" w:asciiTheme="majorEastAsia" w:hAnsiTheme="majorEastAsia" w:eastAsiaTheme="majorEastAsia" w:cstheme="majorEastAsia"/>
                <w:color w:val="000000" w:themeColor="text1"/>
                <w:kern w:val="0"/>
                <w:sz w:val="24"/>
                <w:szCs w:val="24"/>
              </w:rPr>
              <w:t>3.2</w:t>
            </w:r>
          </w:p>
        </w:tc>
        <w:tc>
          <w:tcPr>
            <w:tcW w:w="2640" w:type="dxa"/>
            <w:vAlign w:val="center"/>
          </w:tcPr>
          <w:p>
            <w:pPr>
              <w:pStyle w:val="10"/>
              <w:snapToGrid w:val="0"/>
              <w:spacing w:afterLines="50" w:line="440" w:lineRule="exact"/>
              <w:jc w:val="center"/>
              <w:rPr>
                <w:rFonts w:asciiTheme="majorEastAsia" w:hAnsiTheme="majorEastAsia" w:eastAsiaTheme="majorEastAsia" w:cstheme="majorEastAsia"/>
                <w:color w:val="000000" w:themeColor="text1"/>
                <w:kern w:val="0"/>
                <w:sz w:val="24"/>
                <w:szCs w:val="24"/>
              </w:rPr>
            </w:pPr>
            <w:r>
              <w:rPr>
                <w:rFonts w:hint="eastAsia" w:asciiTheme="majorEastAsia" w:hAnsiTheme="majorEastAsia" w:eastAsiaTheme="majorEastAsia" w:cstheme="majorEastAsia"/>
                <w:color w:val="000000" w:themeColor="text1"/>
                <w:kern w:val="0"/>
                <w:sz w:val="24"/>
                <w:szCs w:val="24"/>
              </w:rPr>
              <w:t>磋商供应商应具备的资格条件</w:t>
            </w:r>
          </w:p>
        </w:tc>
        <w:tc>
          <w:tcPr>
            <w:tcW w:w="6459" w:type="dxa"/>
            <w:vAlign w:val="center"/>
          </w:tcPr>
          <w:p>
            <w:pPr>
              <w:spacing w:line="500" w:lineRule="exact"/>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1、满足《中华人民共和国政府采购法》第二十二条规定；</w:t>
            </w:r>
          </w:p>
          <w:p>
            <w:pPr>
              <w:spacing w:line="500" w:lineRule="exact"/>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2、落实政府采购政策需满足的资格要求：本项目适用政府采购促进中小企业、监狱企业发展、促进残疾人就业等有关政策，具体详见竞争性磋商文件；</w:t>
            </w:r>
          </w:p>
          <w:p>
            <w:pPr>
              <w:spacing w:line="500" w:lineRule="exact"/>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3、本项目的特定资格要求：无</w:t>
            </w:r>
          </w:p>
          <w:p>
            <w:pPr>
              <w:spacing w:line="500" w:lineRule="exact"/>
              <w:jc w:val="left"/>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t>4、供应商需为国内注册（指按国家有关规定要求注册的）的基础电信运营商或其分支机构（含下属子公司或分公司），或注册经营范围内满足本项目采购服务需求的供应商，或与基础电信运营商（或其分支机构，含下属子公司或分公司）已签订线路租用协议依法能提供本次采购服务的供应商。</w:t>
            </w:r>
          </w:p>
          <w:p>
            <w:pPr>
              <w:spacing w:line="500" w:lineRule="exact"/>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5、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将被拒绝参与本次政府采购活动；</w:t>
            </w:r>
          </w:p>
          <w:p>
            <w:pPr>
              <w:spacing w:line="500" w:lineRule="exact"/>
              <w:jc w:val="left"/>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sz w:val="24"/>
              </w:rPr>
              <w:t>6、单位负责人为同一人或者存在直接控股、管理关系的不同供应商，不得参加同一合同项下的采购活动。除单一来源采购项目外，为采购项目提供整体设计、规范编制或者项目管理、监理、检测等服务的供应商，不得再参加该采购项目的其他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1" w:type="dxa"/>
            <w:vAlign w:val="center"/>
          </w:tcPr>
          <w:p>
            <w:pPr>
              <w:pStyle w:val="10"/>
              <w:snapToGrid w:val="0"/>
              <w:spacing w:afterLines="50" w:line="440" w:lineRule="exact"/>
              <w:jc w:val="center"/>
              <w:rPr>
                <w:rFonts w:asciiTheme="majorEastAsia" w:hAnsiTheme="majorEastAsia" w:eastAsiaTheme="majorEastAsia" w:cstheme="majorEastAsia"/>
                <w:color w:val="000000" w:themeColor="text1"/>
                <w:kern w:val="0"/>
                <w:sz w:val="24"/>
                <w:szCs w:val="24"/>
              </w:rPr>
            </w:pPr>
            <w:r>
              <w:rPr>
                <w:rFonts w:hint="eastAsia" w:asciiTheme="majorEastAsia" w:hAnsiTheme="majorEastAsia" w:eastAsiaTheme="majorEastAsia" w:cstheme="majorEastAsia"/>
                <w:color w:val="000000" w:themeColor="text1"/>
                <w:kern w:val="0"/>
                <w:sz w:val="24"/>
                <w:szCs w:val="24"/>
              </w:rPr>
              <w:t>3.3</w:t>
            </w:r>
          </w:p>
        </w:tc>
        <w:tc>
          <w:tcPr>
            <w:tcW w:w="2640" w:type="dxa"/>
            <w:vAlign w:val="center"/>
          </w:tcPr>
          <w:p>
            <w:pPr>
              <w:pStyle w:val="10"/>
              <w:snapToGrid w:val="0"/>
              <w:spacing w:afterLines="50" w:line="440" w:lineRule="exact"/>
              <w:jc w:val="center"/>
              <w:rPr>
                <w:rFonts w:asciiTheme="majorEastAsia" w:hAnsiTheme="majorEastAsia" w:eastAsiaTheme="majorEastAsia" w:cstheme="majorEastAsia"/>
                <w:color w:val="000000" w:themeColor="text1"/>
                <w:kern w:val="0"/>
                <w:sz w:val="24"/>
                <w:szCs w:val="24"/>
              </w:rPr>
            </w:pPr>
            <w:r>
              <w:rPr>
                <w:rFonts w:hint="eastAsia" w:asciiTheme="majorEastAsia" w:hAnsiTheme="majorEastAsia" w:eastAsiaTheme="majorEastAsia" w:cstheme="majorEastAsia"/>
                <w:color w:val="000000" w:themeColor="text1"/>
                <w:kern w:val="0"/>
                <w:sz w:val="24"/>
                <w:szCs w:val="24"/>
              </w:rPr>
              <w:t>是否接受联合体</w:t>
            </w:r>
          </w:p>
        </w:tc>
        <w:tc>
          <w:tcPr>
            <w:tcW w:w="6459" w:type="dxa"/>
            <w:vAlign w:val="center"/>
          </w:tcPr>
          <w:p>
            <w:pPr>
              <w:pStyle w:val="10"/>
              <w:tabs>
                <w:tab w:val="right" w:pos="6461"/>
              </w:tabs>
              <w:spacing w:line="440" w:lineRule="exact"/>
              <w:jc w:val="left"/>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rPr>
              <w:t>不接受联合体响应。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1" w:type="dxa"/>
            <w:vAlign w:val="center"/>
          </w:tcPr>
          <w:p>
            <w:pPr>
              <w:pStyle w:val="10"/>
              <w:snapToGrid w:val="0"/>
              <w:spacing w:afterLines="50" w:line="440" w:lineRule="exact"/>
              <w:jc w:val="center"/>
              <w:rPr>
                <w:rFonts w:asciiTheme="majorEastAsia" w:hAnsiTheme="majorEastAsia" w:eastAsiaTheme="majorEastAsia" w:cstheme="majorEastAsia"/>
                <w:color w:val="000000" w:themeColor="text1"/>
                <w:kern w:val="0"/>
                <w:sz w:val="24"/>
                <w:szCs w:val="24"/>
              </w:rPr>
            </w:pPr>
            <w:r>
              <w:rPr>
                <w:rFonts w:hint="eastAsia" w:asciiTheme="majorEastAsia" w:hAnsiTheme="majorEastAsia" w:eastAsiaTheme="majorEastAsia" w:cstheme="majorEastAsia"/>
                <w:color w:val="000000" w:themeColor="text1"/>
                <w:kern w:val="0"/>
                <w:sz w:val="24"/>
                <w:szCs w:val="24"/>
              </w:rPr>
              <w:t>4.1</w:t>
            </w:r>
          </w:p>
        </w:tc>
        <w:tc>
          <w:tcPr>
            <w:tcW w:w="2640" w:type="dxa"/>
            <w:vAlign w:val="center"/>
          </w:tcPr>
          <w:p>
            <w:pPr>
              <w:pStyle w:val="10"/>
              <w:snapToGrid w:val="0"/>
              <w:spacing w:afterLines="50" w:line="440" w:lineRule="exact"/>
              <w:jc w:val="center"/>
              <w:rPr>
                <w:rFonts w:asciiTheme="majorEastAsia" w:hAnsiTheme="majorEastAsia" w:eastAsiaTheme="majorEastAsia" w:cstheme="majorEastAsia"/>
                <w:color w:val="000000" w:themeColor="text1"/>
                <w:kern w:val="0"/>
                <w:sz w:val="24"/>
                <w:szCs w:val="24"/>
              </w:rPr>
            </w:pPr>
            <w:r>
              <w:rPr>
                <w:rFonts w:hint="eastAsia" w:asciiTheme="majorEastAsia" w:hAnsiTheme="majorEastAsia" w:eastAsiaTheme="majorEastAsia" w:cstheme="majorEastAsia"/>
                <w:color w:val="000000" w:themeColor="text1"/>
                <w:kern w:val="0"/>
                <w:sz w:val="24"/>
                <w:szCs w:val="24"/>
              </w:rPr>
              <w:t>质疑受理</w:t>
            </w:r>
          </w:p>
        </w:tc>
        <w:tc>
          <w:tcPr>
            <w:tcW w:w="6459" w:type="dxa"/>
            <w:vAlign w:val="center"/>
          </w:tcPr>
          <w:p>
            <w:pPr>
              <w:pStyle w:val="10"/>
              <w:spacing w:line="440" w:lineRule="exact"/>
              <w:jc w:val="left"/>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质疑书的提交地点：广西邕政采购代理有限公司（南宁市思贤路45号创投中心16A层）</w:t>
            </w:r>
          </w:p>
          <w:p>
            <w:pPr>
              <w:pStyle w:val="10"/>
              <w:spacing w:line="440" w:lineRule="exact"/>
              <w:jc w:val="left"/>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质疑受理电话：0771-2442850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1" w:type="dxa"/>
            <w:vAlign w:val="center"/>
          </w:tcPr>
          <w:p>
            <w:pPr>
              <w:pStyle w:val="10"/>
              <w:snapToGrid w:val="0"/>
              <w:spacing w:afterLines="50" w:line="440" w:lineRule="exact"/>
              <w:jc w:val="center"/>
              <w:rPr>
                <w:rFonts w:asciiTheme="majorEastAsia" w:hAnsiTheme="majorEastAsia" w:eastAsiaTheme="majorEastAsia" w:cstheme="majorEastAsia"/>
                <w:color w:val="000000" w:themeColor="text1"/>
                <w:kern w:val="0"/>
                <w:sz w:val="24"/>
                <w:szCs w:val="24"/>
              </w:rPr>
            </w:pPr>
            <w:r>
              <w:rPr>
                <w:rFonts w:hint="eastAsia" w:asciiTheme="majorEastAsia" w:hAnsiTheme="majorEastAsia" w:eastAsiaTheme="majorEastAsia" w:cstheme="majorEastAsia"/>
                <w:color w:val="000000" w:themeColor="text1"/>
                <w:kern w:val="0"/>
                <w:sz w:val="24"/>
                <w:szCs w:val="24"/>
              </w:rPr>
              <w:t>8.8</w:t>
            </w:r>
          </w:p>
        </w:tc>
        <w:tc>
          <w:tcPr>
            <w:tcW w:w="2640" w:type="dxa"/>
            <w:vAlign w:val="center"/>
          </w:tcPr>
          <w:p>
            <w:pPr>
              <w:pStyle w:val="10"/>
              <w:snapToGrid w:val="0"/>
              <w:spacing w:afterLines="50" w:line="440" w:lineRule="exact"/>
              <w:jc w:val="center"/>
              <w:rPr>
                <w:rFonts w:asciiTheme="majorEastAsia" w:hAnsiTheme="majorEastAsia" w:eastAsiaTheme="majorEastAsia" w:cstheme="majorEastAsia"/>
                <w:color w:val="000000" w:themeColor="text1"/>
                <w:kern w:val="0"/>
                <w:sz w:val="24"/>
                <w:szCs w:val="24"/>
              </w:rPr>
            </w:pPr>
            <w:r>
              <w:rPr>
                <w:rFonts w:hint="eastAsia" w:asciiTheme="majorEastAsia" w:hAnsiTheme="majorEastAsia" w:eastAsiaTheme="majorEastAsia" w:cstheme="majorEastAsia"/>
                <w:color w:val="000000" w:themeColor="text1"/>
                <w:kern w:val="0"/>
                <w:sz w:val="24"/>
                <w:szCs w:val="24"/>
              </w:rPr>
              <w:t>响应文件份数</w:t>
            </w:r>
          </w:p>
        </w:tc>
        <w:tc>
          <w:tcPr>
            <w:tcW w:w="6459" w:type="dxa"/>
            <w:vAlign w:val="center"/>
          </w:tcPr>
          <w:p>
            <w:pPr>
              <w:pStyle w:val="10"/>
              <w:spacing w:line="440" w:lineRule="exact"/>
              <w:jc w:val="left"/>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首次报价文件：正本1份，副本4份</w:t>
            </w:r>
          </w:p>
          <w:p>
            <w:pPr>
              <w:pStyle w:val="10"/>
              <w:spacing w:line="440" w:lineRule="exact"/>
              <w:jc w:val="left"/>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商务文件：正本1份，副本4份</w:t>
            </w:r>
          </w:p>
          <w:p>
            <w:pPr>
              <w:pStyle w:val="10"/>
              <w:spacing w:line="440" w:lineRule="exact"/>
              <w:jc w:val="left"/>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技术文件：正本1份，副本4份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361" w:type="dxa"/>
            <w:vAlign w:val="center"/>
          </w:tcPr>
          <w:p>
            <w:pPr>
              <w:pStyle w:val="10"/>
              <w:snapToGrid w:val="0"/>
              <w:spacing w:afterLines="50" w:line="440" w:lineRule="exact"/>
              <w:jc w:val="center"/>
              <w:rPr>
                <w:rFonts w:asciiTheme="majorEastAsia" w:hAnsiTheme="majorEastAsia" w:eastAsiaTheme="majorEastAsia" w:cstheme="majorEastAsia"/>
                <w:color w:val="000000" w:themeColor="text1"/>
                <w:kern w:val="0"/>
                <w:sz w:val="24"/>
                <w:szCs w:val="24"/>
              </w:rPr>
            </w:pPr>
            <w:r>
              <w:rPr>
                <w:rFonts w:hint="eastAsia" w:asciiTheme="majorEastAsia" w:hAnsiTheme="majorEastAsia" w:eastAsiaTheme="majorEastAsia" w:cstheme="majorEastAsia"/>
                <w:color w:val="000000" w:themeColor="text1"/>
                <w:kern w:val="0"/>
                <w:sz w:val="24"/>
                <w:szCs w:val="24"/>
              </w:rPr>
              <w:t>11.4</w:t>
            </w:r>
          </w:p>
        </w:tc>
        <w:tc>
          <w:tcPr>
            <w:tcW w:w="2640" w:type="dxa"/>
            <w:vAlign w:val="center"/>
          </w:tcPr>
          <w:p>
            <w:pPr>
              <w:pStyle w:val="10"/>
              <w:snapToGrid w:val="0"/>
              <w:spacing w:afterLines="50" w:line="440" w:lineRule="exact"/>
              <w:jc w:val="center"/>
              <w:rPr>
                <w:rFonts w:asciiTheme="majorEastAsia" w:hAnsiTheme="majorEastAsia" w:eastAsiaTheme="majorEastAsia" w:cstheme="majorEastAsia"/>
                <w:color w:val="000000" w:themeColor="text1"/>
                <w:kern w:val="0"/>
                <w:sz w:val="24"/>
                <w:szCs w:val="24"/>
              </w:rPr>
            </w:pPr>
            <w:r>
              <w:rPr>
                <w:rFonts w:hint="eastAsia" w:asciiTheme="majorEastAsia" w:hAnsiTheme="majorEastAsia" w:eastAsiaTheme="majorEastAsia" w:cstheme="majorEastAsia"/>
                <w:color w:val="000000" w:themeColor="text1"/>
                <w:kern w:val="0"/>
                <w:sz w:val="24"/>
                <w:szCs w:val="24"/>
              </w:rPr>
              <w:t>采购代理服务费</w:t>
            </w:r>
          </w:p>
        </w:tc>
        <w:tc>
          <w:tcPr>
            <w:tcW w:w="6459" w:type="dxa"/>
            <w:vAlign w:val="center"/>
          </w:tcPr>
          <w:p>
            <w:pPr>
              <w:pStyle w:val="10"/>
              <w:spacing w:line="440" w:lineRule="exact"/>
              <w:jc w:val="left"/>
              <w:rPr>
                <w:rFonts w:cs="宋体" w:asciiTheme="majorEastAsia" w:hAnsiTheme="majorEastAsia" w:eastAsiaTheme="majorEastAsia"/>
                <w:color w:val="000000" w:themeColor="text1"/>
                <w:sz w:val="24"/>
                <w:szCs w:val="24"/>
              </w:rPr>
            </w:pPr>
            <w:r>
              <w:rPr>
                <w:rFonts w:hint="eastAsia" w:cs="宋体" w:asciiTheme="majorEastAsia" w:hAnsiTheme="majorEastAsia" w:eastAsiaTheme="majorEastAsia"/>
                <w:color w:val="000000" w:themeColor="text1"/>
                <w:sz w:val="24"/>
                <w:szCs w:val="24"/>
              </w:rPr>
              <w:t>本项目代理服务费按国家发展计划委员会《招标代理服务费管理暂行办法》（计价格</w:t>
            </w:r>
            <w:r>
              <w:rPr>
                <w:rFonts w:cs="宋体" w:asciiTheme="majorEastAsia" w:hAnsiTheme="majorEastAsia" w:eastAsiaTheme="majorEastAsia"/>
                <w:color w:val="000000" w:themeColor="text1"/>
                <w:sz w:val="24"/>
                <w:szCs w:val="24"/>
              </w:rPr>
              <w:t>[2002]1980</w:t>
            </w:r>
            <w:r>
              <w:rPr>
                <w:rFonts w:hint="eastAsia" w:cs="宋体" w:asciiTheme="majorEastAsia" w:hAnsiTheme="majorEastAsia" w:eastAsiaTheme="majorEastAsia"/>
                <w:color w:val="000000" w:themeColor="text1"/>
                <w:sz w:val="24"/>
                <w:szCs w:val="24"/>
              </w:rPr>
              <w:t>号）收费标准下浮10%计取。由成交单位在领</w:t>
            </w:r>
            <w:r>
              <w:rPr>
                <w:rFonts w:hint="eastAsia" w:cs="宋体" w:asciiTheme="majorEastAsia" w:hAnsiTheme="majorEastAsia" w:eastAsiaTheme="majorEastAsia"/>
                <w:color w:val="000000" w:themeColor="text1"/>
                <w:kern w:val="0"/>
                <w:sz w:val="24"/>
              </w:rPr>
              <w:t>成交</w:t>
            </w:r>
            <w:r>
              <w:rPr>
                <w:rFonts w:hint="eastAsia" w:cs="宋体" w:asciiTheme="majorEastAsia" w:hAnsiTheme="majorEastAsia" w:eastAsiaTheme="majorEastAsia"/>
                <w:color w:val="000000" w:themeColor="text1"/>
                <w:sz w:val="24"/>
                <w:szCs w:val="24"/>
              </w:rPr>
              <w:t>通知书时一次性支付采购代理服务费。</w:t>
            </w:r>
            <w:r>
              <w:rPr>
                <w:rFonts w:cs="宋体" w:asciiTheme="majorEastAsia" w:hAnsiTheme="majorEastAsia" w:eastAsiaTheme="majorEastAsia"/>
                <w:color w:val="000000" w:themeColor="text1"/>
                <w:sz w:val="24"/>
                <w:szCs w:val="24"/>
              </w:rPr>
              <w:t xml:space="preserve"> </w:t>
            </w:r>
          </w:p>
          <w:tbl>
            <w:tblPr>
              <w:tblStyle w:val="18"/>
              <w:tblW w:w="43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0"/>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2830" w:type="dxa"/>
                  <w:vAlign w:val="center"/>
                </w:tcPr>
                <w:p>
                  <w:pPr>
                    <w:pStyle w:val="10"/>
                    <w:spacing w:line="440" w:lineRule="exact"/>
                    <w:jc w:val="center"/>
                    <w:rPr>
                      <w:rFonts w:asciiTheme="majorEastAsia" w:hAnsiTheme="majorEastAsia" w:eastAsiaTheme="majorEastAsia"/>
                      <w:color w:val="000000" w:themeColor="text1"/>
                      <w:sz w:val="24"/>
                      <w:szCs w:val="24"/>
                    </w:rPr>
                  </w:pPr>
                  <w:r>
                    <w:rPr>
                      <w:rFonts w:asciiTheme="majorEastAsia" w:hAnsiTheme="majorEastAsia" w:eastAsiaTheme="majorEastAsia"/>
                      <w:color w:val="000000" w:themeColor="text1"/>
                      <w:sz w:val="24"/>
                      <w:szCs w:val="24"/>
                    </w:rPr>
                    <w:t>某</w:t>
                  </w:r>
                  <w:r>
                    <w:rPr>
                      <w:rFonts w:hint="eastAsia" w:cs="宋体" w:asciiTheme="majorEastAsia" w:hAnsiTheme="majorEastAsia" w:eastAsiaTheme="majorEastAsia"/>
                      <w:color w:val="000000" w:themeColor="text1"/>
                      <w:kern w:val="0"/>
                      <w:sz w:val="24"/>
                    </w:rPr>
                    <w:t>成交</w:t>
                  </w:r>
                  <w:r>
                    <w:rPr>
                      <w:rFonts w:asciiTheme="majorEastAsia" w:hAnsiTheme="majorEastAsia" w:eastAsiaTheme="majorEastAsia"/>
                      <w:color w:val="000000" w:themeColor="text1"/>
                      <w:sz w:val="24"/>
                      <w:szCs w:val="24"/>
                    </w:rPr>
                    <w:t>金额（万元）</w:t>
                  </w:r>
                </w:p>
              </w:tc>
              <w:tc>
                <w:tcPr>
                  <w:tcW w:w="1560" w:type="dxa"/>
                  <w:vAlign w:val="center"/>
                </w:tcPr>
                <w:p>
                  <w:pPr>
                    <w:pStyle w:val="10"/>
                    <w:spacing w:line="440" w:lineRule="exact"/>
                    <w:jc w:val="center"/>
                    <w:rPr>
                      <w:rFonts w:asciiTheme="majorEastAsia" w:hAnsiTheme="majorEastAsia" w:eastAsiaTheme="majorEastAsia"/>
                      <w:color w:val="000000" w:themeColor="text1"/>
                      <w:sz w:val="24"/>
                      <w:szCs w:val="24"/>
                    </w:rPr>
                  </w:pPr>
                  <w:r>
                    <w:rPr>
                      <w:rFonts w:asciiTheme="majorEastAsia" w:hAnsiTheme="majorEastAsia" w:eastAsiaTheme="majorEastAsia"/>
                      <w:color w:val="000000" w:themeColor="text1"/>
                      <w:sz w:val="24"/>
                      <w:szCs w:val="24"/>
                    </w:rPr>
                    <w:t>费  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2830" w:type="dxa"/>
                </w:tcPr>
                <w:p>
                  <w:pPr>
                    <w:pStyle w:val="10"/>
                    <w:spacing w:line="440" w:lineRule="exact"/>
                    <w:jc w:val="center"/>
                    <w:rPr>
                      <w:rFonts w:asciiTheme="majorEastAsia" w:hAnsiTheme="majorEastAsia" w:eastAsiaTheme="majorEastAsia"/>
                      <w:color w:val="000000" w:themeColor="text1"/>
                      <w:sz w:val="24"/>
                      <w:szCs w:val="24"/>
                    </w:rPr>
                  </w:pPr>
                  <w:r>
                    <w:rPr>
                      <w:rFonts w:asciiTheme="majorEastAsia" w:hAnsiTheme="majorEastAsia" w:eastAsiaTheme="majorEastAsia"/>
                      <w:color w:val="000000" w:themeColor="text1"/>
                      <w:sz w:val="24"/>
                      <w:szCs w:val="24"/>
                    </w:rPr>
                    <w:t>100以下</w:t>
                  </w:r>
                </w:p>
              </w:tc>
              <w:tc>
                <w:tcPr>
                  <w:tcW w:w="1560" w:type="dxa"/>
                </w:tcPr>
                <w:p>
                  <w:pPr>
                    <w:pStyle w:val="10"/>
                    <w:spacing w:line="440" w:lineRule="exact"/>
                    <w:jc w:val="center"/>
                    <w:rPr>
                      <w:rFonts w:asciiTheme="majorEastAsia" w:hAnsiTheme="majorEastAsia" w:eastAsiaTheme="majorEastAsia"/>
                      <w:color w:val="000000" w:themeColor="text1"/>
                      <w:sz w:val="24"/>
                      <w:szCs w:val="24"/>
                    </w:rPr>
                  </w:pPr>
                  <w:r>
                    <w:rPr>
                      <w:rFonts w:asciiTheme="majorEastAsia" w:hAnsiTheme="majorEastAsia" w:eastAsiaTheme="majorEastAsia"/>
                      <w:color w:val="000000" w:themeColor="text1"/>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pStyle w:val="10"/>
                    <w:spacing w:line="440" w:lineRule="exact"/>
                    <w:jc w:val="center"/>
                    <w:rPr>
                      <w:rFonts w:asciiTheme="majorEastAsia" w:hAnsiTheme="majorEastAsia" w:eastAsiaTheme="majorEastAsia"/>
                      <w:color w:val="000000" w:themeColor="text1"/>
                      <w:sz w:val="24"/>
                      <w:szCs w:val="24"/>
                    </w:rPr>
                  </w:pPr>
                  <w:r>
                    <w:rPr>
                      <w:rFonts w:asciiTheme="majorEastAsia" w:hAnsiTheme="majorEastAsia" w:eastAsiaTheme="majorEastAsia"/>
                      <w:color w:val="000000" w:themeColor="text1"/>
                      <w:sz w:val="24"/>
                      <w:szCs w:val="24"/>
                    </w:rPr>
                    <w:t>100-500</w:t>
                  </w:r>
                </w:p>
              </w:tc>
              <w:tc>
                <w:tcPr>
                  <w:tcW w:w="1560" w:type="dxa"/>
                </w:tcPr>
                <w:p>
                  <w:pPr>
                    <w:pStyle w:val="10"/>
                    <w:spacing w:line="440" w:lineRule="exact"/>
                    <w:jc w:val="center"/>
                    <w:rPr>
                      <w:rFonts w:asciiTheme="majorEastAsia" w:hAnsiTheme="majorEastAsia" w:eastAsiaTheme="majorEastAsia"/>
                      <w:color w:val="000000" w:themeColor="text1"/>
                      <w:sz w:val="24"/>
                      <w:szCs w:val="24"/>
                    </w:rPr>
                  </w:pPr>
                  <w:r>
                    <w:rPr>
                      <w:rFonts w:asciiTheme="majorEastAsia" w:hAnsiTheme="majorEastAsia" w:eastAsiaTheme="majorEastAsia"/>
                      <w:color w:val="000000" w:themeColor="text1"/>
                      <w:sz w:val="24"/>
                      <w:szCs w:val="24"/>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pStyle w:val="10"/>
                    <w:spacing w:line="440" w:lineRule="exact"/>
                    <w:jc w:val="center"/>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500-1000</w:t>
                  </w:r>
                </w:p>
              </w:tc>
              <w:tc>
                <w:tcPr>
                  <w:tcW w:w="1560" w:type="dxa"/>
                </w:tcPr>
                <w:p>
                  <w:pPr>
                    <w:pStyle w:val="10"/>
                    <w:spacing w:line="440" w:lineRule="exact"/>
                    <w:jc w:val="center"/>
                    <w:rPr>
                      <w:rFonts w:cs="宋体" w:asciiTheme="majorEastAsia" w:hAnsiTheme="majorEastAsia" w:eastAsiaTheme="majorEastAsia"/>
                      <w:color w:val="000000" w:themeColor="text1"/>
                      <w:sz w:val="24"/>
                      <w:szCs w:val="24"/>
                    </w:rPr>
                  </w:pPr>
                  <w:r>
                    <w:rPr>
                      <w:rFonts w:cs="宋体" w:asciiTheme="majorEastAsia" w:hAnsiTheme="majorEastAsia" w:eastAsiaTheme="majorEastAsia"/>
                      <w:color w:val="000000" w:themeColor="text1"/>
                      <w:sz w:val="24"/>
                      <w:szCs w:val="24"/>
                    </w:rPr>
                    <w:t>0.45%</w:t>
                  </w:r>
                </w:p>
              </w:tc>
            </w:tr>
          </w:tbl>
          <w:p>
            <w:pPr>
              <w:pStyle w:val="10"/>
              <w:spacing w:line="440" w:lineRule="exact"/>
              <w:jc w:val="left"/>
              <w:rPr>
                <w:rFonts w:cs="宋体" w:asciiTheme="majorEastAsia" w:hAnsiTheme="majorEastAsia" w:eastAsiaTheme="majorEastAsia"/>
                <w:color w:val="000000" w:themeColor="text1"/>
                <w:sz w:val="24"/>
                <w:szCs w:val="24"/>
              </w:rPr>
            </w:pPr>
            <w:r>
              <w:rPr>
                <w:rFonts w:hint="eastAsia" w:cs="宋体" w:asciiTheme="majorEastAsia" w:hAnsiTheme="majorEastAsia" w:eastAsiaTheme="majorEastAsia"/>
                <w:color w:val="000000" w:themeColor="text1"/>
                <w:sz w:val="24"/>
                <w:szCs w:val="24"/>
              </w:rPr>
              <w:t>注：招标代理服务费按差额定率累进法计算。</w:t>
            </w:r>
          </w:p>
          <w:p>
            <w:pPr>
              <w:pStyle w:val="10"/>
              <w:spacing w:line="440" w:lineRule="exact"/>
              <w:jc w:val="left"/>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开户名称：广西邕政采购代理有限公司</w:t>
            </w:r>
          </w:p>
          <w:p>
            <w:pPr>
              <w:pStyle w:val="10"/>
              <w:spacing w:line="440" w:lineRule="exact"/>
              <w:jc w:val="left"/>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开户银行：交通银行南宁东葛西支行</w:t>
            </w:r>
          </w:p>
          <w:p>
            <w:pPr>
              <w:pStyle w:val="10"/>
              <w:spacing w:line="440" w:lineRule="exact"/>
              <w:jc w:val="left"/>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账号：</w:t>
            </w:r>
            <w:r>
              <w:rPr>
                <w:rFonts w:asciiTheme="majorEastAsia" w:hAnsiTheme="majorEastAsia" w:eastAsiaTheme="majorEastAsia" w:cstheme="majorEastAsia"/>
                <w:color w:val="000000" w:themeColor="text1"/>
                <w:sz w:val="24"/>
                <w:szCs w:val="24"/>
              </w:rPr>
              <w:t>4510 6070 1018 1602 32818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1" w:type="dxa"/>
            <w:vAlign w:val="center"/>
          </w:tcPr>
          <w:p>
            <w:pPr>
              <w:pStyle w:val="10"/>
              <w:snapToGrid w:val="0"/>
              <w:spacing w:afterLines="50" w:line="440" w:lineRule="exact"/>
              <w:jc w:val="center"/>
              <w:rPr>
                <w:rFonts w:asciiTheme="majorEastAsia" w:hAnsiTheme="majorEastAsia" w:eastAsiaTheme="majorEastAsia" w:cstheme="majorEastAsia"/>
                <w:color w:val="000000" w:themeColor="text1"/>
                <w:kern w:val="0"/>
                <w:sz w:val="24"/>
                <w:szCs w:val="24"/>
              </w:rPr>
            </w:pPr>
            <w:r>
              <w:rPr>
                <w:rFonts w:hint="eastAsia" w:asciiTheme="majorEastAsia" w:hAnsiTheme="majorEastAsia" w:eastAsiaTheme="majorEastAsia" w:cstheme="majorEastAsia"/>
                <w:color w:val="000000" w:themeColor="text1"/>
                <w:kern w:val="0"/>
                <w:sz w:val="24"/>
                <w:szCs w:val="24"/>
              </w:rPr>
              <w:t>12.1</w:t>
            </w:r>
          </w:p>
        </w:tc>
        <w:tc>
          <w:tcPr>
            <w:tcW w:w="2640" w:type="dxa"/>
            <w:vAlign w:val="center"/>
          </w:tcPr>
          <w:p>
            <w:pPr>
              <w:pStyle w:val="10"/>
              <w:snapToGrid w:val="0"/>
              <w:spacing w:afterLines="50" w:line="440" w:lineRule="exact"/>
              <w:jc w:val="center"/>
              <w:rPr>
                <w:rFonts w:asciiTheme="majorEastAsia" w:hAnsiTheme="majorEastAsia" w:eastAsiaTheme="majorEastAsia" w:cstheme="majorEastAsia"/>
                <w:color w:val="000000" w:themeColor="text1"/>
                <w:kern w:val="0"/>
                <w:sz w:val="24"/>
                <w:szCs w:val="24"/>
              </w:rPr>
            </w:pPr>
            <w:r>
              <w:rPr>
                <w:rFonts w:hint="eastAsia" w:asciiTheme="majorEastAsia" w:hAnsiTheme="majorEastAsia" w:eastAsiaTheme="majorEastAsia" w:cstheme="majorEastAsia"/>
                <w:color w:val="000000" w:themeColor="text1"/>
                <w:kern w:val="0"/>
                <w:sz w:val="24"/>
                <w:szCs w:val="24"/>
              </w:rPr>
              <w:t>响应有效期</w:t>
            </w:r>
          </w:p>
        </w:tc>
        <w:tc>
          <w:tcPr>
            <w:tcW w:w="6459" w:type="dxa"/>
            <w:vAlign w:val="center"/>
          </w:tcPr>
          <w:p>
            <w:pPr>
              <w:pStyle w:val="10"/>
              <w:snapToGrid w:val="0"/>
              <w:spacing w:afterLines="50" w:line="440" w:lineRule="exact"/>
              <w:jc w:val="left"/>
              <w:rPr>
                <w:rFonts w:asciiTheme="majorEastAsia" w:hAnsiTheme="majorEastAsia" w:eastAsiaTheme="majorEastAsia" w:cstheme="majorEastAsia"/>
                <w:color w:val="000000" w:themeColor="text1"/>
                <w:kern w:val="0"/>
                <w:sz w:val="24"/>
                <w:szCs w:val="24"/>
              </w:rPr>
            </w:pPr>
            <w:r>
              <w:rPr>
                <w:rFonts w:hint="eastAsia" w:asciiTheme="majorEastAsia" w:hAnsiTheme="majorEastAsia" w:eastAsiaTheme="majorEastAsia" w:cstheme="majorEastAsia"/>
                <w:color w:val="000000" w:themeColor="text1"/>
                <w:kern w:val="0"/>
                <w:sz w:val="24"/>
                <w:szCs w:val="24"/>
              </w:rPr>
              <w:t>自提交响应文件截止时间起 60 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361" w:type="dxa"/>
            <w:vAlign w:val="center"/>
          </w:tcPr>
          <w:p>
            <w:pPr>
              <w:pStyle w:val="10"/>
              <w:snapToGrid w:val="0"/>
              <w:spacing w:afterLines="50" w:line="440" w:lineRule="exact"/>
              <w:jc w:val="center"/>
              <w:rPr>
                <w:rFonts w:asciiTheme="majorEastAsia" w:hAnsiTheme="majorEastAsia" w:eastAsiaTheme="majorEastAsia" w:cstheme="majorEastAsia"/>
                <w:color w:val="000000" w:themeColor="text1"/>
                <w:kern w:val="0"/>
                <w:sz w:val="24"/>
                <w:szCs w:val="24"/>
              </w:rPr>
            </w:pPr>
            <w:r>
              <w:rPr>
                <w:rFonts w:hint="eastAsia" w:asciiTheme="majorEastAsia" w:hAnsiTheme="majorEastAsia" w:eastAsiaTheme="majorEastAsia" w:cstheme="majorEastAsia"/>
                <w:color w:val="000000" w:themeColor="text1"/>
                <w:kern w:val="0"/>
                <w:sz w:val="24"/>
                <w:szCs w:val="24"/>
              </w:rPr>
              <w:t>13.1</w:t>
            </w:r>
          </w:p>
        </w:tc>
        <w:tc>
          <w:tcPr>
            <w:tcW w:w="2640" w:type="dxa"/>
            <w:vAlign w:val="center"/>
          </w:tcPr>
          <w:p>
            <w:pPr>
              <w:pStyle w:val="10"/>
              <w:snapToGrid w:val="0"/>
              <w:spacing w:afterLines="50" w:line="440" w:lineRule="exact"/>
              <w:jc w:val="center"/>
              <w:rPr>
                <w:rFonts w:asciiTheme="majorEastAsia" w:hAnsiTheme="majorEastAsia" w:eastAsiaTheme="majorEastAsia" w:cstheme="majorEastAsia"/>
                <w:color w:val="000000" w:themeColor="text1"/>
                <w:kern w:val="0"/>
                <w:sz w:val="24"/>
                <w:szCs w:val="24"/>
              </w:rPr>
            </w:pPr>
            <w:r>
              <w:rPr>
                <w:rFonts w:hint="eastAsia" w:asciiTheme="majorEastAsia" w:hAnsiTheme="majorEastAsia" w:eastAsiaTheme="majorEastAsia" w:cstheme="majorEastAsia"/>
                <w:color w:val="000000" w:themeColor="text1"/>
                <w:kern w:val="0"/>
                <w:sz w:val="24"/>
                <w:szCs w:val="24"/>
              </w:rPr>
              <w:t>磋商保证金金额</w:t>
            </w:r>
          </w:p>
        </w:tc>
        <w:tc>
          <w:tcPr>
            <w:tcW w:w="6459" w:type="dxa"/>
            <w:vAlign w:val="center"/>
          </w:tcPr>
          <w:p>
            <w:pPr>
              <w:pStyle w:val="10"/>
              <w:snapToGrid w:val="0"/>
              <w:spacing w:afterLines="50" w:line="440" w:lineRule="exact"/>
              <w:jc w:val="left"/>
              <w:rPr>
                <w:rFonts w:asciiTheme="majorEastAsia" w:hAnsiTheme="majorEastAsia" w:eastAsiaTheme="majorEastAsia" w:cstheme="majorEastAsia"/>
                <w:color w:val="000000" w:themeColor="text1"/>
                <w:kern w:val="0"/>
                <w:sz w:val="24"/>
                <w:szCs w:val="24"/>
              </w:rPr>
            </w:pPr>
            <w:r>
              <w:rPr>
                <w:rFonts w:hint="eastAsia" w:asciiTheme="majorEastAsia" w:hAnsiTheme="majorEastAsia" w:eastAsiaTheme="majorEastAsia" w:cstheme="majorEastAsia"/>
                <w:color w:val="000000" w:themeColor="text1"/>
                <w:sz w:val="24"/>
                <w:szCs w:val="24"/>
              </w:rPr>
              <w:t>本项目不收取</w:t>
            </w:r>
            <w:r>
              <w:rPr>
                <w:rFonts w:hint="eastAsia" w:asciiTheme="majorEastAsia" w:hAnsiTheme="majorEastAsia" w:eastAsiaTheme="majorEastAsia" w:cstheme="majorEastAsia"/>
                <w:bCs/>
                <w:color w:val="000000" w:themeColor="text1"/>
                <w:sz w:val="24"/>
                <w:szCs w:val="24"/>
              </w:rPr>
              <w:t>磋商</w:t>
            </w:r>
            <w:r>
              <w:rPr>
                <w:rFonts w:hint="eastAsia" w:asciiTheme="majorEastAsia" w:hAnsiTheme="majorEastAsia" w:eastAsiaTheme="majorEastAsia" w:cstheme="majorEastAsia"/>
                <w:color w:val="000000" w:themeColor="text1"/>
                <w:sz w:val="24"/>
                <w:szCs w:val="24"/>
              </w:rPr>
              <w:t>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1361" w:type="dxa"/>
            <w:vAlign w:val="center"/>
          </w:tcPr>
          <w:p>
            <w:pPr>
              <w:pStyle w:val="10"/>
              <w:snapToGrid w:val="0"/>
              <w:spacing w:afterLines="50" w:line="440" w:lineRule="exact"/>
              <w:jc w:val="center"/>
              <w:rPr>
                <w:rFonts w:asciiTheme="majorEastAsia" w:hAnsiTheme="majorEastAsia" w:eastAsiaTheme="majorEastAsia" w:cstheme="majorEastAsia"/>
                <w:color w:val="000000" w:themeColor="text1"/>
                <w:kern w:val="0"/>
                <w:sz w:val="24"/>
                <w:szCs w:val="24"/>
              </w:rPr>
            </w:pPr>
            <w:r>
              <w:rPr>
                <w:rFonts w:hint="eastAsia" w:asciiTheme="majorEastAsia" w:hAnsiTheme="majorEastAsia" w:eastAsiaTheme="majorEastAsia" w:cstheme="majorEastAsia"/>
                <w:color w:val="000000" w:themeColor="text1"/>
                <w:kern w:val="0"/>
                <w:sz w:val="24"/>
                <w:szCs w:val="24"/>
              </w:rPr>
              <w:t>15.1</w:t>
            </w:r>
          </w:p>
        </w:tc>
        <w:tc>
          <w:tcPr>
            <w:tcW w:w="2640" w:type="dxa"/>
            <w:vAlign w:val="center"/>
          </w:tcPr>
          <w:p>
            <w:pPr>
              <w:pStyle w:val="10"/>
              <w:snapToGrid w:val="0"/>
              <w:spacing w:afterLines="50" w:line="440" w:lineRule="exact"/>
              <w:jc w:val="center"/>
              <w:rPr>
                <w:rFonts w:asciiTheme="majorEastAsia" w:hAnsiTheme="majorEastAsia" w:eastAsiaTheme="majorEastAsia" w:cstheme="majorEastAsia"/>
                <w:color w:val="000000" w:themeColor="text1"/>
                <w:kern w:val="0"/>
                <w:sz w:val="24"/>
                <w:szCs w:val="24"/>
              </w:rPr>
            </w:pPr>
            <w:r>
              <w:rPr>
                <w:rFonts w:hint="eastAsia" w:asciiTheme="majorEastAsia" w:hAnsiTheme="majorEastAsia" w:eastAsiaTheme="majorEastAsia" w:cstheme="majorEastAsia"/>
                <w:color w:val="000000" w:themeColor="text1"/>
                <w:kern w:val="0"/>
                <w:sz w:val="24"/>
                <w:szCs w:val="24"/>
              </w:rPr>
              <w:t>提交响应文件截止时间</w:t>
            </w:r>
          </w:p>
        </w:tc>
        <w:tc>
          <w:tcPr>
            <w:tcW w:w="6459" w:type="dxa"/>
            <w:vAlign w:val="center"/>
          </w:tcPr>
          <w:p>
            <w:pPr>
              <w:pStyle w:val="10"/>
              <w:snapToGrid w:val="0"/>
              <w:spacing w:afterLines="50" w:line="440" w:lineRule="exact"/>
              <w:jc w:val="left"/>
              <w:rPr>
                <w:rFonts w:asciiTheme="majorEastAsia" w:hAnsiTheme="majorEastAsia" w:eastAsiaTheme="majorEastAsia" w:cstheme="majorEastAsia"/>
                <w:color w:val="000000" w:themeColor="text1"/>
                <w:kern w:val="0"/>
                <w:sz w:val="24"/>
                <w:szCs w:val="24"/>
              </w:rPr>
            </w:pPr>
            <w:r>
              <w:rPr>
                <w:rFonts w:hint="eastAsia" w:asciiTheme="majorEastAsia" w:hAnsiTheme="majorEastAsia" w:eastAsiaTheme="majorEastAsia" w:cstheme="majorEastAsia"/>
                <w:color w:val="000000" w:themeColor="text1"/>
                <w:kern w:val="0"/>
                <w:sz w:val="24"/>
                <w:szCs w:val="24"/>
              </w:rPr>
              <w:t>2020年</w:t>
            </w:r>
            <w:r>
              <w:rPr>
                <w:rFonts w:hint="eastAsia" w:asciiTheme="majorEastAsia" w:hAnsiTheme="majorEastAsia" w:eastAsiaTheme="majorEastAsia" w:cstheme="majorEastAsia"/>
                <w:color w:val="000000" w:themeColor="text1"/>
                <w:kern w:val="0"/>
                <w:sz w:val="24"/>
                <w:szCs w:val="24"/>
                <w:lang w:val="en-US" w:eastAsia="zh-CN"/>
              </w:rPr>
              <w:t>11</w:t>
            </w:r>
            <w:r>
              <w:rPr>
                <w:rFonts w:hint="eastAsia" w:asciiTheme="majorEastAsia" w:hAnsiTheme="majorEastAsia" w:eastAsiaTheme="majorEastAsia" w:cstheme="majorEastAsia"/>
                <w:color w:val="000000" w:themeColor="text1"/>
                <w:kern w:val="0"/>
                <w:sz w:val="24"/>
                <w:szCs w:val="24"/>
              </w:rPr>
              <w:t>月</w:t>
            </w:r>
            <w:r>
              <w:rPr>
                <w:rFonts w:hint="eastAsia" w:asciiTheme="majorEastAsia" w:hAnsiTheme="majorEastAsia" w:eastAsiaTheme="majorEastAsia" w:cstheme="majorEastAsia"/>
                <w:color w:val="000000" w:themeColor="text1"/>
                <w:kern w:val="0"/>
                <w:sz w:val="24"/>
                <w:szCs w:val="24"/>
                <w:lang w:val="en-US" w:eastAsia="zh-CN"/>
              </w:rPr>
              <w:t>16</w:t>
            </w:r>
            <w:r>
              <w:rPr>
                <w:rFonts w:hint="eastAsia" w:asciiTheme="majorEastAsia" w:hAnsiTheme="majorEastAsia" w:eastAsiaTheme="majorEastAsia" w:cstheme="majorEastAsia"/>
                <w:color w:val="000000" w:themeColor="text1"/>
                <w:kern w:val="0"/>
                <w:sz w:val="24"/>
                <w:szCs w:val="24"/>
              </w:rPr>
              <w:t>日</w:t>
            </w:r>
            <w:r>
              <w:rPr>
                <w:rFonts w:hint="eastAsia" w:asciiTheme="majorEastAsia" w:hAnsiTheme="majorEastAsia" w:eastAsiaTheme="majorEastAsia" w:cstheme="majorEastAsia"/>
                <w:color w:val="000000" w:themeColor="text1"/>
                <w:kern w:val="0"/>
                <w:sz w:val="24"/>
                <w:szCs w:val="24"/>
                <w:lang w:val="en-US" w:eastAsia="zh-CN"/>
              </w:rPr>
              <w:t>13</w:t>
            </w:r>
            <w:r>
              <w:rPr>
                <w:rFonts w:hint="eastAsia" w:asciiTheme="majorEastAsia" w:hAnsiTheme="majorEastAsia" w:eastAsiaTheme="majorEastAsia" w:cstheme="majorEastAsia"/>
                <w:color w:val="000000" w:themeColor="text1"/>
                <w:kern w:val="0"/>
                <w:sz w:val="24"/>
                <w:szCs w:val="24"/>
              </w:rPr>
              <w:t>点</w:t>
            </w:r>
            <w:r>
              <w:rPr>
                <w:rFonts w:hint="eastAsia" w:asciiTheme="majorEastAsia" w:hAnsiTheme="majorEastAsia" w:eastAsiaTheme="majorEastAsia" w:cstheme="majorEastAsia"/>
                <w:color w:val="000000" w:themeColor="text1"/>
                <w:kern w:val="0"/>
                <w:sz w:val="24"/>
                <w:szCs w:val="24"/>
                <w:lang w:val="en-US" w:eastAsia="zh-CN"/>
              </w:rPr>
              <w:t>00</w:t>
            </w:r>
            <w:r>
              <w:rPr>
                <w:rFonts w:hint="eastAsia" w:asciiTheme="majorEastAsia" w:hAnsiTheme="majorEastAsia" w:eastAsiaTheme="majorEastAsia" w:cstheme="majorEastAsia"/>
                <w:color w:val="000000" w:themeColor="text1"/>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1" w:type="dxa"/>
            <w:vAlign w:val="center"/>
          </w:tcPr>
          <w:p>
            <w:pPr>
              <w:pStyle w:val="10"/>
              <w:snapToGrid w:val="0"/>
              <w:spacing w:afterLines="50" w:line="440" w:lineRule="exact"/>
              <w:jc w:val="center"/>
              <w:rPr>
                <w:rFonts w:asciiTheme="majorEastAsia" w:hAnsiTheme="majorEastAsia" w:eastAsiaTheme="majorEastAsia" w:cstheme="majorEastAsia"/>
                <w:color w:val="000000" w:themeColor="text1"/>
                <w:kern w:val="0"/>
                <w:sz w:val="24"/>
                <w:szCs w:val="24"/>
              </w:rPr>
            </w:pPr>
            <w:r>
              <w:rPr>
                <w:rFonts w:hint="eastAsia" w:asciiTheme="majorEastAsia" w:hAnsiTheme="majorEastAsia" w:eastAsiaTheme="majorEastAsia" w:cstheme="majorEastAsia"/>
                <w:color w:val="000000" w:themeColor="text1"/>
                <w:kern w:val="0"/>
                <w:sz w:val="24"/>
                <w:szCs w:val="24"/>
              </w:rPr>
              <w:t>15.2</w:t>
            </w:r>
          </w:p>
        </w:tc>
        <w:tc>
          <w:tcPr>
            <w:tcW w:w="2640" w:type="dxa"/>
            <w:vAlign w:val="center"/>
          </w:tcPr>
          <w:p>
            <w:pPr>
              <w:pStyle w:val="10"/>
              <w:snapToGrid w:val="0"/>
              <w:spacing w:afterLines="50" w:line="440" w:lineRule="exact"/>
              <w:jc w:val="center"/>
              <w:rPr>
                <w:rFonts w:asciiTheme="majorEastAsia" w:hAnsiTheme="majorEastAsia" w:eastAsiaTheme="majorEastAsia" w:cstheme="majorEastAsia"/>
                <w:color w:val="000000" w:themeColor="text1"/>
                <w:kern w:val="0"/>
                <w:sz w:val="24"/>
                <w:szCs w:val="24"/>
              </w:rPr>
            </w:pPr>
            <w:r>
              <w:rPr>
                <w:rFonts w:hint="eastAsia" w:asciiTheme="majorEastAsia" w:hAnsiTheme="majorEastAsia" w:eastAsiaTheme="majorEastAsia" w:cstheme="majorEastAsia"/>
                <w:color w:val="000000" w:themeColor="text1"/>
                <w:kern w:val="0"/>
                <w:sz w:val="24"/>
                <w:szCs w:val="24"/>
              </w:rPr>
              <w:t>提交响应文件地点</w:t>
            </w:r>
          </w:p>
        </w:tc>
        <w:tc>
          <w:tcPr>
            <w:tcW w:w="6459" w:type="dxa"/>
            <w:vAlign w:val="center"/>
          </w:tcPr>
          <w:p>
            <w:pPr>
              <w:pStyle w:val="10"/>
              <w:snapToGrid w:val="0"/>
              <w:spacing w:afterLines="50" w:line="440" w:lineRule="exact"/>
              <w:jc w:val="left"/>
              <w:rPr>
                <w:rFonts w:asciiTheme="majorEastAsia" w:hAnsiTheme="majorEastAsia" w:eastAsiaTheme="majorEastAsia" w:cstheme="majorEastAsia"/>
                <w:color w:val="000000" w:themeColor="text1"/>
                <w:kern w:val="0"/>
                <w:sz w:val="24"/>
                <w:szCs w:val="24"/>
              </w:rPr>
            </w:pPr>
            <w:r>
              <w:rPr>
                <w:rFonts w:hint="eastAsia" w:asciiTheme="majorEastAsia" w:hAnsiTheme="majorEastAsia" w:eastAsiaTheme="majorEastAsia" w:cstheme="majorEastAsia"/>
                <w:color w:val="000000" w:themeColor="text1"/>
                <w:sz w:val="24"/>
                <w:szCs w:val="24"/>
              </w:rPr>
              <w:t>南宁市良庆区玉洞大道33号（青少年活动中心旁）市民中心9楼南宁市公共资源交易中心（具体详见9楼电子显示屏场地安排）</w:t>
            </w:r>
            <w:r>
              <w:rPr>
                <w:rFonts w:hint="eastAsia" w:asciiTheme="majorEastAsia" w:hAnsiTheme="majorEastAsia" w:eastAsiaTheme="majorEastAsia" w:cstheme="majorEastAsia"/>
                <w:color w:val="000000" w:themeColor="text1"/>
                <w:kern w:val="0"/>
                <w:sz w:val="24"/>
              </w:rPr>
              <w:t>，</w:t>
            </w:r>
            <w:r>
              <w:rPr>
                <w:rFonts w:hint="eastAsia" w:asciiTheme="majorEastAsia" w:hAnsiTheme="majorEastAsia" w:eastAsiaTheme="majorEastAsia"/>
                <w:color w:val="000000" w:themeColor="text1"/>
                <w:sz w:val="24"/>
                <w:szCs w:val="24"/>
              </w:rPr>
              <w:t>为做好疫情防控工作，本项目的</w:t>
            </w:r>
            <w:r>
              <w:rPr>
                <w:rFonts w:hint="eastAsia" w:cs="宋体" w:asciiTheme="majorEastAsia" w:hAnsiTheme="majorEastAsia" w:eastAsiaTheme="majorEastAsia"/>
                <w:color w:val="000000" w:themeColor="text1"/>
                <w:kern w:val="0"/>
                <w:sz w:val="24"/>
              </w:rPr>
              <w:t>响应</w:t>
            </w:r>
            <w:r>
              <w:rPr>
                <w:rFonts w:hint="eastAsia" w:asciiTheme="majorEastAsia" w:hAnsiTheme="majorEastAsia" w:eastAsiaTheme="majorEastAsia"/>
                <w:color w:val="000000" w:themeColor="text1"/>
                <w:sz w:val="24"/>
                <w:szCs w:val="24"/>
              </w:rPr>
              <w:t>文件通过邮寄快递的方式送达，具体要求详见采购文件</w:t>
            </w:r>
            <w:r>
              <w:rPr>
                <w:rFonts w:hint="eastAsia" w:asciiTheme="majorEastAsia" w:hAnsiTheme="majorEastAsia" w:eastAsiaTheme="majorEastAsia" w:cstheme="majorEastAsia"/>
                <w:color w:val="000000" w:themeColor="text1"/>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1361" w:type="dxa"/>
            <w:vAlign w:val="center"/>
          </w:tcPr>
          <w:p>
            <w:pPr>
              <w:pStyle w:val="10"/>
              <w:snapToGrid w:val="0"/>
              <w:spacing w:afterLines="50" w:line="440" w:lineRule="exact"/>
              <w:jc w:val="center"/>
              <w:rPr>
                <w:rFonts w:asciiTheme="majorEastAsia" w:hAnsiTheme="majorEastAsia" w:eastAsiaTheme="majorEastAsia" w:cstheme="majorEastAsia"/>
                <w:color w:val="000000" w:themeColor="text1"/>
                <w:kern w:val="0"/>
                <w:sz w:val="24"/>
                <w:szCs w:val="24"/>
              </w:rPr>
            </w:pPr>
            <w:r>
              <w:rPr>
                <w:rFonts w:hint="eastAsia" w:asciiTheme="majorEastAsia" w:hAnsiTheme="majorEastAsia" w:eastAsiaTheme="majorEastAsia" w:cstheme="majorEastAsia"/>
                <w:color w:val="000000" w:themeColor="text1"/>
                <w:kern w:val="0"/>
                <w:sz w:val="24"/>
                <w:szCs w:val="24"/>
              </w:rPr>
              <w:t>17.4.8（1）</w:t>
            </w:r>
          </w:p>
        </w:tc>
        <w:tc>
          <w:tcPr>
            <w:tcW w:w="2640" w:type="dxa"/>
            <w:vAlign w:val="center"/>
          </w:tcPr>
          <w:p>
            <w:pPr>
              <w:pStyle w:val="10"/>
              <w:snapToGrid w:val="0"/>
              <w:spacing w:afterLines="50" w:line="440" w:lineRule="exact"/>
              <w:jc w:val="center"/>
              <w:rPr>
                <w:rFonts w:asciiTheme="majorEastAsia" w:hAnsiTheme="majorEastAsia" w:eastAsiaTheme="majorEastAsia" w:cstheme="majorEastAsia"/>
                <w:color w:val="000000" w:themeColor="text1"/>
                <w:kern w:val="0"/>
                <w:sz w:val="24"/>
                <w:szCs w:val="24"/>
              </w:rPr>
            </w:pPr>
            <w:r>
              <w:rPr>
                <w:rFonts w:hint="eastAsia" w:asciiTheme="majorEastAsia" w:hAnsiTheme="majorEastAsia" w:eastAsiaTheme="majorEastAsia" w:cstheme="majorEastAsia"/>
                <w:color w:val="000000" w:themeColor="text1"/>
                <w:kern w:val="0"/>
                <w:sz w:val="24"/>
                <w:szCs w:val="24"/>
              </w:rPr>
              <w:t>磋商地点</w:t>
            </w:r>
          </w:p>
        </w:tc>
        <w:tc>
          <w:tcPr>
            <w:tcW w:w="6459" w:type="dxa"/>
            <w:vAlign w:val="center"/>
          </w:tcPr>
          <w:p>
            <w:pPr>
              <w:pStyle w:val="10"/>
              <w:snapToGrid w:val="0"/>
              <w:spacing w:afterLines="50" w:line="440" w:lineRule="exact"/>
              <w:jc w:val="left"/>
              <w:rPr>
                <w:rFonts w:asciiTheme="majorEastAsia" w:hAnsiTheme="majorEastAsia" w:eastAsiaTheme="majorEastAsia" w:cstheme="majorEastAsia"/>
                <w:color w:val="000000" w:themeColor="text1"/>
                <w:kern w:val="0"/>
                <w:sz w:val="24"/>
                <w:szCs w:val="24"/>
              </w:rPr>
            </w:pPr>
            <w:r>
              <w:rPr>
                <w:rFonts w:hint="eastAsia" w:asciiTheme="majorEastAsia" w:hAnsiTheme="majorEastAsia" w:eastAsiaTheme="majorEastAsia" w:cstheme="majorEastAsia"/>
                <w:color w:val="000000" w:themeColor="text1"/>
                <w:sz w:val="24"/>
                <w:szCs w:val="24"/>
              </w:rPr>
              <w:t>与递交响应文件地点相同。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1" w:hRule="atLeast"/>
          <w:jc w:val="center"/>
        </w:trPr>
        <w:tc>
          <w:tcPr>
            <w:tcW w:w="1361" w:type="dxa"/>
            <w:vAlign w:val="center"/>
          </w:tcPr>
          <w:p>
            <w:pPr>
              <w:pStyle w:val="10"/>
              <w:snapToGrid w:val="0"/>
              <w:spacing w:afterLines="50" w:line="440" w:lineRule="exact"/>
              <w:jc w:val="center"/>
              <w:rPr>
                <w:rFonts w:asciiTheme="majorEastAsia" w:hAnsiTheme="majorEastAsia" w:eastAsiaTheme="majorEastAsia" w:cstheme="majorEastAsia"/>
                <w:b/>
                <w:color w:val="000000" w:themeColor="text1"/>
                <w:kern w:val="0"/>
                <w:sz w:val="24"/>
                <w:szCs w:val="24"/>
              </w:rPr>
            </w:pPr>
            <w:r>
              <w:rPr>
                <w:rFonts w:hint="eastAsia" w:asciiTheme="majorEastAsia" w:hAnsiTheme="majorEastAsia" w:eastAsiaTheme="majorEastAsia" w:cstheme="majorEastAsia"/>
                <w:b/>
                <w:color w:val="000000" w:themeColor="text1"/>
                <w:kern w:val="0"/>
                <w:sz w:val="24"/>
                <w:szCs w:val="24"/>
              </w:rPr>
              <w:t>30</w:t>
            </w:r>
          </w:p>
        </w:tc>
        <w:tc>
          <w:tcPr>
            <w:tcW w:w="2640" w:type="dxa"/>
            <w:vAlign w:val="center"/>
          </w:tcPr>
          <w:p>
            <w:pPr>
              <w:pStyle w:val="10"/>
              <w:snapToGrid w:val="0"/>
              <w:spacing w:afterLines="50" w:line="440" w:lineRule="exact"/>
              <w:jc w:val="left"/>
              <w:rPr>
                <w:rFonts w:asciiTheme="majorEastAsia" w:hAnsiTheme="majorEastAsia" w:eastAsiaTheme="majorEastAsia" w:cstheme="majorEastAsia"/>
                <w:b/>
                <w:color w:val="000000" w:themeColor="text1"/>
                <w:kern w:val="0"/>
                <w:sz w:val="24"/>
                <w:szCs w:val="24"/>
              </w:rPr>
            </w:pPr>
            <w:r>
              <w:rPr>
                <w:rFonts w:hint="eastAsia" w:asciiTheme="majorEastAsia" w:hAnsiTheme="majorEastAsia" w:eastAsiaTheme="majorEastAsia" w:cstheme="majorEastAsia"/>
                <w:b/>
                <w:color w:val="000000" w:themeColor="text1"/>
                <w:sz w:val="24"/>
                <w:szCs w:val="24"/>
              </w:rPr>
              <w:t>需要补充的其他内容</w:t>
            </w:r>
          </w:p>
        </w:tc>
        <w:tc>
          <w:tcPr>
            <w:tcW w:w="6459" w:type="dxa"/>
            <w:vAlign w:val="center"/>
          </w:tcPr>
          <w:p>
            <w:pPr>
              <w:pStyle w:val="10"/>
              <w:snapToGrid w:val="0"/>
              <w:spacing w:afterLines="50" w:line="440" w:lineRule="exact"/>
              <w:jc w:val="left"/>
              <w:rPr>
                <w:rFonts w:asciiTheme="majorEastAsia" w:hAnsiTheme="majorEastAsia" w:eastAsiaTheme="majorEastAsia" w:cstheme="majorEastAsia"/>
                <w:b/>
                <w:color w:val="000000" w:themeColor="text1"/>
                <w:sz w:val="24"/>
                <w:szCs w:val="24"/>
              </w:rPr>
            </w:pPr>
            <w:r>
              <w:rPr>
                <w:rFonts w:hint="eastAsia" w:asciiTheme="majorEastAsia" w:hAnsiTheme="majorEastAsia" w:eastAsiaTheme="majorEastAsia" w:cstheme="majorEastAsia"/>
                <w:b/>
                <w:color w:val="000000" w:themeColor="text1"/>
                <w:sz w:val="24"/>
                <w:szCs w:val="24"/>
              </w:rPr>
              <w:t>注：为帮助中小微企业解决资金周转或融资困难问题，南宁市政府采购试行政府采购信用融资制度，为中小企业参与政府采购活动提供金融服务。磋商供应商可凭政府采购合同申请政府采购信用融资，具体办理要求与办理方式，详见南宁市公共资源交易中心网‘政府采购信用融资’专栏。</w:t>
            </w:r>
          </w:p>
        </w:tc>
      </w:tr>
    </w:tbl>
    <w:p>
      <w:pPr>
        <w:pStyle w:val="16"/>
        <w:outlineLvl w:val="9"/>
        <w:rPr>
          <w:rFonts w:asciiTheme="majorEastAsia" w:hAnsiTheme="majorEastAsia" w:eastAsiaTheme="majorEastAsia" w:cstheme="majorEastAsia"/>
          <w:color w:val="000000" w:themeColor="text1"/>
        </w:rPr>
        <w:sectPr>
          <w:pgSz w:w="11906" w:h="16838"/>
          <w:pgMar w:top="1440" w:right="1080" w:bottom="1118" w:left="1080" w:header="720" w:footer="720" w:gutter="0"/>
          <w:cols w:space="720" w:num="1"/>
          <w:docGrid w:type="lines" w:linePitch="331" w:charSpace="0"/>
        </w:sectPr>
      </w:pPr>
      <w:bookmarkStart w:id="45" w:name="_Toc213326416"/>
      <w:bookmarkStart w:id="46" w:name="_Toc460253703"/>
      <w:bookmarkStart w:id="47" w:name="_Toc485920213"/>
    </w:p>
    <w:p>
      <w:pPr>
        <w:pStyle w:val="16"/>
        <w:outlineLvl w:val="1"/>
        <w:rPr>
          <w:rFonts w:asciiTheme="majorEastAsia" w:hAnsiTheme="majorEastAsia" w:eastAsiaTheme="majorEastAsia" w:cstheme="majorEastAsia"/>
          <w:color w:val="000000" w:themeColor="text1"/>
        </w:rPr>
      </w:pPr>
      <w:bookmarkStart w:id="48" w:name="_Toc24501"/>
      <w:bookmarkStart w:id="49" w:name="_Toc13597"/>
      <w:bookmarkStart w:id="50" w:name="_Toc11767"/>
      <w:r>
        <w:rPr>
          <w:rFonts w:hint="eastAsia" w:asciiTheme="majorEastAsia" w:hAnsiTheme="majorEastAsia" w:eastAsiaTheme="majorEastAsia" w:cstheme="majorEastAsia"/>
          <w:color w:val="000000" w:themeColor="text1"/>
        </w:rPr>
        <w:t>一   总则</w:t>
      </w:r>
      <w:bookmarkEnd w:id="45"/>
      <w:bookmarkEnd w:id="46"/>
      <w:bookmarkEnd w:id="47"/>
      <w:bookmarkEnd w:id="48"/>
      <w:bookmarkEnd w:id="49"/>
      <w:bookmarkEnd w:id="50"/>
    </w:p>
    <w:p>
      <w:pPr>
        <w:pStyle w:val="10"/>
        <w:spacing w:line="440" w:lineRule="exact"/>
        <w:ind w:left="1"/>
        <w:jc w:val="left"/>
        <w:rPr>
          <w:rFonts w:asciiTheme="majorEastAsia" w:hAnsiTheme="majorEastAsia" w:eastAsiaTheme="majorEastAsia" w:cstheme="majorEastAsia"/>
          <w:bCs/>
          <w:color w:val="000000" w:themeColor="text1"/>
          <w:sz w:val="24"/>
          <w:szCs w:val="24"/>
        </w:rPr>
      </w:pPr>
      <w:r>
        <w:rPr>
          <w:rFonts w:hint="eastAsia" w:asciiTheme="majorEastAsia" w:hAnsiTheme="majorEastAsia" w:eastAsiaTheme="majorEastAsia" w:cstheme="majorEastAsia"/>
          <w:bCs/>
          <w:color w:val="000000" w:themeColor="text1"/>
          <w:sz w:val="24"/>
          <w:szCs w:val="24"/>
        </w:rPr>
        <w:t>1.  项目概况</w:t>
      </w:r>
    </w:p>
    <w:p>
      <w:pPr>
        <w:pStyle w:val="10"/>
        <w:spacing w:line="440" w:lineRule="exact"/>
        <w:ind w:firstLine="480" w:firstLineChars="200"/>
        <w:jc w:val="left"/>
        <w:rPr>
          <w:rFonts w:asciiTheme="majorEastAsia" w:hAnsiTheme="majorEastAsia" w:eastAsiaTheme="majorEastAsia" w:cstheme="majorEastAsia"/>
          <w:bCs/>
          <w:color w:val="000000" w:themeColor="text1"/>
          <w:sz w:val="24"/>
          <w:szCs w:val="24"/>
        </w:rPr>
      </w:pPr>
      <w:r>
        <w:rPr>
          <w:rFonts w:hint="eastAsia" w:asciiTheme="majorEastAsia" w:hAnsiTheme="majorEastAsia" w:eastAsiaTheme="majorEastAsia" w:cstheme="majorEastAsia"/>
          <w:bCs/>
          <w:color w:val="000000" w:themeColor="text1"/>
          <w:sz w:val="24"/>
          <w:szCs w:val="24"/>
        </w:rPr>
        <w:t>1.1  采购人：见</w:t>
      </w:r>
      <w:r>
        <w:rPr>
          <w:rFonts w:hint="eastAsia" w:asciiTheme="majorEastAsia" w:hAnsiTheme="majorEastAsia" w:eastAsiaTheme="majorEastAsia" w:cstheme="majorEastAsia"/>
          <w:color w:val="000000" w:themeColor="text1"/>
          <w:sz w:val="24"/>
          <w:szCs w:val="24"/>
        </w:rPr>
        <w:t>磋商供应商</w:t>
      </w:r>
      <w:r>
        <w:rPr>
          <w:rFonts w:hint="eastAsia" w:asciiTheme="majorEastAsia" w:hAnsiTheme="majorEastAsia" w:eastAsiaTheme="majorEastAsia" w:cstheme="majorEastAsia"/>
          <w:bCs/>
          <w:color w:val="000000" w:themeColor="text1"/>
          <w:sz w:val="24"/>
          <w:szCs w:val="24"/>
        </w:rPr>
        <w:t>须知前附表。</w:t>
      </w:r>
    </w:p>
    <w:p>
      <w:pPr>
        <w:pStyle w:val="10"/>
        <w:spacing w:line="440" w:lineRule="exact"/>
        <w:ind w:firstLine="480" w:firstLineChars="200"/>
        <w:jc w:val="left"/>
        <w:rPr>
          <w:rFonts w:asciiTheme="majorEastAsia" w:hAnsiTheme="majorEastAsia" w:eastAsiaTheme="majorEastAsia" w:cstheme="majorEastAsia"/>
          <w:bCs/>
          <w:color w:val="000000" w:themeColor="text1"/>
          <w:sz w:val="24"/>
          <w:szCs w:val="24"/>
        </w:rPr>
      </w:pPr>
      <w:r>
        <w:rPr>
          <w:rFonts w:hint="eastAsia" w:asciiTheme="majorEastAsia" w:hAnsiTheme="majorEastAsia" w:eastAsiaTheme="majorEastAsia" w:cstheme="majorEastAsia"/>
          <w:bCs/>
          <w:color w:val="000000" w:themeColor="text1"/>
          <w:sz w:val="24"/>
          <w:szCs w:val="24"/>
        </w:rPr>
        <w:t>1.2  采购代理机构：见</w:t>
      </w:r>
      <w:r>
        <w:rPr>
          <w:rFonts w:hint="eastAsia" w:asciiTheme="majorEastAsia" w:hAnsiTheme="majorEastAsia" w:eastAsiaTheme="majorEastAsia" w:cstheme="majorEastAsia"/>
          <w:color w:val="000000" w:themeColor="text1"/>
          <w:sz w:val="24"/>
          <w:szCs w:val="24"/>
        </w:rPr>
        <w:t>磋商供应商</w:t>
      </w:r>
      <w:r>
        <w:rPr>
          <w:rFonts w:hint="eastAsia" w:asciiTheme="majorEastAsia" w:hAnsiTheme="majorEastAsia" w:eastAsiaTheme="majorEastAsia" w:cstheme="majorEastAsia"/>
          <w:bCs/>
          <w:color w:val="000000" w:themeColor="text1"/>
          <w:sz w:val="24"/>
          <w:szCs w:val="24"/>
        </w:rPr>
        <w:t>须知前附表。</w:t>
      </w:r>
    </w:p>
    <w:p>
      <w:pPr>
        <w:pStyle w:val="10"/>
        <w:spacing w:line="440" w:lineRule="exact"/>
        <w:ind w:firstLine="480" w:firstLineChars="200"/>
        <w:jc w:val="left"/>
        <w:rPr>
          <w:rFonts w:asciiTheme="majorEastAsia" w:hAnsiTheme="majorEastAsia" w:eastAsiaTheme="majorEastAsia" w:cstheme="majorEastAsia"/>
          <w:bCs/>
          <w:color w:val="000000" w:themeColor="text1"/>
          <w:sz w:val="24"/>
          <w:szCs w:val="24"/>
        </w:rPr>
      </w:pPr>
      <w:r>
        <w:rPr>
          <w:rFonts w:hint="eastAsia" w:asciiTheme="majorEastAsia" w:hAnsiTheme="majorEastAsia" w:eastAsiaTheme="majorEastAsia" w:cstheme="majorEastAsia"/>
          <w:color w:val="000000" w:themeColor="text1"/>
          <w:sz w:val="24"/>
          <w:szCs w:val="24"/>
        </w:rPr>
        <w:t>1.3  项目名称：</w:t>
      </w:r>
      <w:r>
        <w:rPr>
          <w:rFonts w:hint="eastAsia" w:asciiTheme="majorEastAsia" w:hAnsiTheme="majorEastAsia" w:eastAsiaTheme="majorEastAsia" w:cstheme="majorEastAsia"/>
          <w:bCs/>
          <w:color w:val="000000" w:themeColor="text1"/>
          <w:sz w:val="24"/>
          <w:szCs w:val="24"/>
        </w:rPr>
        <w:t>见</w:t>
      </w:r>
      <w:r>
        <w:rPr>
          <w:rFonts w:hint="eastAsia" w:asciiTheme="majorEastAsia" w:hAnsiTheme="majorEastAsia" w:eastAsiaTheme="majorEastAsia" w:cstheme="majorEastAsia"/>
          <w:color w:val="000000" w:themeColor="text1"/>
          <w:sz w:val="24"/>
          <w:szCs w:val="24"/>
        </w:rPr>
        <w:t>磋商供应商</w:t>
      </w:r>
      <w:r>
        <w:rPr>
          <w:rFonts w:hint="eastAsia" w:asciiTheme="majorEastAsia" w:hAnsiTheme="majorEastAsia" w:eastAsiaTheme="majorEastAsia" w:cstheme="majorEastAsia"/>
          <w:bCs/>
          <w:color w:val="000000" w:themeColor="text1"/>
          <w:sz w:val="24"/>
          <w:szCs w:val="24"/>
        </w:rPr>
        <w:t>须知前附表。</w:t>
      </w:r>
    </w:p>
    <w:p>
      <w:pPr>
        <w:pStyle w:val="10"/>
        <w:spacing w:line="440" w:lineRule="exact"/>
        <w:ind w:firstLine="480" w:firstLineChars="200"/>
        <w:jc w:val="left"/>
        <w:rPr>
          <w:rFonts w:asciiTheme="majorEastAsia" w:hAnsiTheme="majorEastAsia" w:eastAsiaTheme="majorEastAsia" w:cstheme="majorEastAsia"/>
          <w:bCs/>
          <w:color w:val="000000" w:themeColor="text1"/>
          <w:sz w:val="24"/>
          <w:szCs w:val="24"/>
        </w:rPr>
      </w:pPr>
      <w:r>
        <w:rPr>
          <w:rFonts w:hint="eastAsia" w:asciiTheme="majorEastAsia" w:hAnsiTheme="majorEastAsia" w:eastAsiaTheme="majorEastAsia" w:cstheme="majorEastAsia"/>
          <w:color w:val="000000" w:themeColor="text1"/>
          <w:sz w:val="24"/>
          <w:szCs w:val="24"/>
        </w:rPr>
        <w:t>1.4  项目编号：</w:t>
      </w:r>
      <w:r>
        <w:rPr>
          <w:rFonts w:hint="eastAsia" w:asciiTheme="majorEastAsia" w:hAnsiTheme="majorEastAsia" w:eastAsiaTheme="majorEastAsia" w:cstheme="majorEastAsia"/>
          <w:bCs/>
          <w:color w:val="000000" w:themeColor="text1"/>
          <w:sz w:val="24"/>
          <w:szCs w:val="24"/>
        </w:rPr>
        <w:t>见</w:t>
      </w:r>
      <w:r>
        <w:rPr>
          <w:rFonts w:hint="eastAsia" w:asciiTheme="majorEastAsia" w:hAnsiTheme="majorEastAsia" w:eastAsiaTheme="majorEastAsia" w:cstheme="majorEastAsia"/>
          <w:color w:val="000000" w:themeColor="text1"/>
          <w:sz w:val="24"/>
          <w:szCs w:val="24"/>
        </w:rPr>
        <w:t>磋商供应商</w:t>
      </w:r>
      <w:r>
        <w:rPr>
          <w:rFonts w:hint="eastAsia" w:asciiTheme="majorEastAsia" w:hAnsiTheme="majorEastAsia" w:eastAsiaTheme="majorEastAsia" w:cstheme="majorEastAsia"/>
          <w:bCs/>
          <w:color w:val="000000" w:themeColor="text1"/>
          <w:sz w:val="24"/>
          <w:szCs w:val="24"/>
        </w:rPr>
        <w:t>须知前附表。</w:t>
      </w:r>
    </w:p>
    <w:p>
      <w:pPr>
        <w:pStyle w:val="10"/>
        <w:spacing w:line="440" w:lineRule="exact"/>
        <w:ind w:firstLine="480" w:firstLineChars="200"/>
        <w:jc w:val="left"/>
        <w:rPr>
          <w:rFonts w:asciiTheme="majorEastAsia" w:hAnsiTheme="majorEastAsia" w:eastAsiaTheme="majorEastAsia" w:cstheme="majorEastAsia"/>
          <w:bCs/>
          <w:color w:val="000000" w:themeColor="text1"/>
          <w:sz w:val="24"/>
          <w:szCs w:val="24"/>
        </w:rPr>
      </w:pPr>
      <w:r>
        <w:rPr>
          <w:rFonts w:hint="eastAsia" w:asciiTheme="majorEastAsia" w:hAnsiTheme="majorEastAsia" w:eastAsiaTheme="majorEastAsia" w:cstheme="majorEastAsia"/>
          <w:bCs/>
          <w:color w:val="000000" w:themeColor="text1"/>
          <w:sz w:val="24"/>
          <w:szCs w:val="24"/>
        </w:rPr>
        <w:t>1.5  采购预算：见</w:t>
      </w:r>
      <w:r>
        <w:rPr>
          <w:rFonts w:hint="eastAsia" w:asciiTheme="majorEastAsia" w:hAnsiTheme="majorEastAsia" w:eastAsiaTheme="majorEastAsia" w:cstheme="majorEastAsia"/>
          <w:color w:val="000000" w:themeColor="text1"/>
          <w:sz w:val="24"/>
          <w:szCs w:val="24"/>
        </w:rPr>
        <w:t>磋商供应商</w:t>
      </w:r>
      <w:r>
        <w:rPr>
          <w:rFonts w:hint="eastAsia" w:asciiTheme="majorEastAsia" w:hAnsiTheme="majorEastAsia" w:eastAsiaTheme="majorEastAsia" w:cstheme="majorEastAsia"/>
          <w:bCs/>
          <w:color w:val="000000" w:themeColor="text1"/>
          <w:sz w:val="24"/>
          <w:szCs w:val="24"/>
        </w:rPr>
        <w:t>须知前附表。</w:t>
      </w:r>
    </w:p>
    <w:p>
      <w:pPr>
        <w:pStyle w:val="10"/>
        <w:spacing w:line="440" w:lineRule="exact"/>
        <w:ind w:firstLine="480" w:firstLineChars="200"/>
        <w:jc w:val="left"/>
        <w:rPr>
          <w:rFonts w:asciiTheme="majorEastAsia" w:hAnsiTheme="majorEastAsia" w:eastAsiaTheme="majorEastAsia" w:cstheme="majorEastAsia"/>
          <w:bCs/>
          <w:color w:val="000000" w:themeColor="text1"/>
          <w:sz w:val="24"/>
          <w:szCs w:val="24"/>
        </w:rPr>
      </w:pPr>
      <w:r>
        <w:rPr>
          <w:rFonts w:hint="eastAsia" w:asciiTheme="majorEastAsia" w:hAnsiTheme="majorEastAsia" w:eastAsiaTheme="majorEastAsia" w:cstheme="majorEastAsia"/>
          <w:bCs/>
          <w:color w:val="000000" w:themeColor="text1"/>
          <w:sz w:val="24"/>
          <w:szCs w:val="24"/>
        </w:rPr>
        <w:t>1.6  资金来源：政府财政性资金。</w:t>
      </w:r>
    </w:p>
    <w:p>
      <w:pPr>
        <w:pStyle w:val="10"/>
        <w:spacing w:line="440" w:lineRule="exact"/>
        <w:ind w:firstLine="480" w:firstLineChars="200"/>
        <w:jc w:val="left"/>
        <w:rPr>
          <w:rFonts w:asciiTheme="majorEastAsia" w:hAnsiTheme="majorEastAsia" w:eastAsiaTheme="majorEastAsia" w:cstheme="majorEastAsia"/>
          <w:bCs/>
          <w:color w:val="000000" w:themeColor="text1"/>
          <w:sz w:val="24"/>
          <w:szCs w:val="24"/>
        </w:rPr>
      </w:pPr>
      <w:r>
        <w:rPr>
          <w:rFonts w:hint="eastAsia" w:asciiTheme="majorEastAsia" w:hAnsiTheme="majorEastAsia" w:eastAsiaTheme="majorEastAsia" w:cstheme="majorEastAsia"/>
          <w:bCs/>
          <w:color w:val="000000" w:themeColor="text1"/>
          <w:sz w:val="24"/>
          <w:szCs w:val="24"/>
        </w:rPr>
        <w:t xml:space="preserve">1.7  </w:t>
      </w:r>
      <w:r>
        <w:rPr>
          <w:rFonts w:hint="eastAsia" w:asciiTheme="majorEastAsia" w:hAnsiTheme="majorEastAsia" w:eastAsiaTheme="majorEastAsia" w:cstheme="majorEastAsia"/>
          <w:color w:val="000000" w:themeColor="text1"/>
          <w:sz w:val="24"/>
          <w:szCs w:val="24"/>
        </w:rPr>
        <w:t>获取竞争性磋商文件的方式：</w:t>
      </w:r>
      <w:r>
        <w:rPr>
          <w:rFonts w:hint="eastAsia" w:asciiTheme="majorEastAsia" w:hAnsiTheme="majorEastAsia" w:eastAsiaTheme="majorEastAsia" w:cstheme="majorEastAsia"/>
          <w:bCs/>
          <w:color w:val="000000" w:themeColor="text1"/>
          <w:sz w:val="24"/>
          <w:szCs w:val="24"/>
        </w:rPr>
        <w:t>见</w:t>
      </w:r>
      <w:r>
        <w:rPr>
          <w:rFonts w:hint="eastAsia" w:asciiTheme="majorEastAsia" w:hAnsiTheme="majorEastAsia" w:eastAsiaTheme="majorEastAsia" w:cstheme="majorEastAsia"/>
          <w:color w:val="000000" w:themeColor="text1"/>
          <w:sz w:val="24"/>
          <w:szCs w:val="24"/>
        </w:rPr>
        <w:t>磋商供应商</w:t>
      </w:r>
      <w:r>
        <w:rPr>
          <w:rFonts w:hint="eastAsia" w:asciiTheme="majorEastAsia" w:hAnsiTheme="majorEastAsia" w:eastAsiaTheme="majorEastAsia" w:cstheme="majorEastAsia"/>
          <w:bCs/>
          <w:color w:val="000000" w:themeColor="text1"/>
          <w:sz w:val="24"/>
          <w:szCs w:val="24"/>
        </w:rPr>
        <w:t>须知前附表。</w:t>
      </w:r>
    </w:p>
    <w:p>
      <w:pPr>
        <w:pStyle w:val="10"/>
        <w:spacing w:line="440" w:lineRule="exact"/>
        <w:ind w:left="2" w:firstLine="480" w:firstLineChars="200"/>
        <w:jc w:val="left"/>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1.8  预留采购份额：见磋商供应商须知前附表。</w:t>
      </w:r>
    </w:p>
    <w:p>
      <w:pPr>
        <w:pStyle w:val="10"/>
        <w:spacing w:line="440" w:lineRule="exact"/>
        <w:ind w:firstLine="480" w:firstLineChars="200"/>
        <w:jc w:val="left"/>
        <w:rPr>
          <w:rFonts w:asciiTheme="majorEastAsia" w:hAnsiTheme="majorEastAsia" w:eastAsiaTheme="majorEastAsia" w:cstheme="majorEastAsia"/>
          <w:bCs/>
          <w:color w:val="000000" w:themeColor="text1"/>
          <w:sz w:val="24"/>
          <w:szCs w:val="24"/>
        </w:rPr>
      </w:pPr>
    </w:p>
    <w:p>
      <w:pPr>
        <w:pStyle w:val="10"/>
        <w:spacing w:line="440" w:lineRule="exact"/>
        <w:jc w:val="left"/>
        <w:rPr>
          <w:rFonts w:asciiTheme="majorEastAsia" w:hAnsiTheme="majorEastAsia" w:eastAsiaTheme="majorEastAsia" w:cstheme="majorEastAsia"/>
          <w:bCs/>
          <w:color w:val="000000" w:themeColor="text1"/>
          <w:sz w:val="24"/>
          <w:szCs w:val="24"/>
        </w:rPr>
      </w:pPr>
      <w:r>
        <w:rPr>
          <w:rFonts w:hint="eastAsia" w:asciiTheme="majorEastAsia" w:hAnsiTheme="majorEastAsia" w:eastAsiaTheme="majorEastAsia" w:cstheme="majorEastAsia"/>
          <w:bCs/>
          <w:color w:val="000000" w:themeColor="text1"/>
          <w:sz w:val="24"/>
          <w:szCs w:val="24"/>
        </w:rPr>
        <w:t>2.  政府采购信息发布媒体：</w:t>
      </w:r>
    </w:p>
    <w:p>
      <w:pPr>
        <w:snapToGrid w:val="0"/>
        <w:spacing w:line="500" w:lineRule="exact"/>
        <w:ind w:firstLine="480" w:firstLineChars="200"/>
        <w:rPr>
          <w:rFonts w:asciiTheme="majorEastAsia" w:hAnsiTheme="majorEastAsia" w:eastAsiaTheme="majorEastAsia" w:cstheme="majorEastAsia"/>
          <w:bCs/>
          <w:color w:val="000000" w:themeColor="text1"/>
          <w:sz w:val="24"/>
        </w:rPr>
      </w:pPr>
      <w:r>
        <w:rPr>
          <w:rFonts w:hint="eastAsia" w:asciiTheme="majorEastAsia" w:hAnsiTheme="majorEastAsia" w:eastAsiaTheme="majorEastAsia" w:cstheme="majorEastAsia"/>
          <w:bCs/>
          <w:color w:val="000000" w:themeColor="text1"/>
          <w:sz w:val="24"/>
        </w:rPr>
        <w:t>2.1  与本项目相关的政府采购业务信息（包括竞争性磋商公告、成交公告及其更正事项等）将在以下媒体上发布：广西壮族自治区政府采购网、南宁公共资源交易中心网上发布。</w:t>
      </w:r>
    </w:p>
    <w:p>
      <w:pPr>
        <w:snapToGrid w:val="0"/>
        <w:spacing w:line="500" w:lineRule="exact"/>
        <w:ind w:firstLine="480" w:firstLineChars="200"/>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t>2.2  本项目竞争性磋商公告期限为公告发布之日起5个工作日。</w:t>
      </w:r>
    </w:p>
    <w:p>
      <w:pPr>
        <w:pStyle w:val="10"/>
        <w:spacing w:line="440" w:lineRule="exact"/>
        <w:ind w:left="242" w:hanging="242" w:hangingChars="101"/>
        <w:jc w:val="left"/>
        <w:rPr>
          <w:rFonts w:asciiTheme="majorEastAsia" w:hAnsiTheme="majorEastAsia" w:eastAsiaTheme="majorEastAsia" w:cstheme="majorEastAsia"/>
          <w:bCs/>
          <w:color w:val="000000" w:themeColor="text1"/>
          <w:sz w:val="24"/>
          <w:szCs w:val="24"/>
        </w:rPr>
      </w:pPr>
      <w:r>
        <w:rPr>
          <w:rFonts w:hint="eastAsia" w:asciiTheme="majorEastAsia" w:hAnsiTheme="majorEastAsia" w:eastAsiaTheme="majorEastAsia" w:cstheme="majorEastAsia"/>
          <w:bCs/>
          <w:color w:val="000000" w:themeColor="text1"/>
          <w:sz w:val="24"/>
          <w:szCs w:val="24"/>
        </w:rPr>
        <w:t xml:space="preserve">3. </w:t>
      </w:r>
      <w:r>
        <w:rPr>
          <w:rFonts w:hint="eastAsia" w:asciiTheme="majorEastAsia" w:hAnsiTheme="majorEastAsia" w:eastAsiaTheme="majorEastAsia" w:cstheme="majorEastAsia"/>
          <w:color w:val="000000" w:themeColor="text1"/>
          <w:sz w:val="24"/>
          <w:szCs w:val="24"/>
        </w:rPr>
        <w:t>磋商供应商的</w:t>
      </w:r>
      <w:r>
        <w:rPr>
          <w:rFonts w:hint="eastAsia" w:asciiTheme="majorEastAsia" w:hAnsiTheme="majorEastAsia" w:eastAsiaTheme="majorEastAsia" w:cstheme="majorEastAsia"/>
          <w:bCs/>
          <w:color w:val="000000" w:themeColor="text1"/>
          <w:sz w:val="24"/>
          <w:szCs w:val="24"/>
        </w:rPr>
        <w:t>资格要求：</w:t>
      </w:r>
    </w:p>
    <w:p>
      <w:pPr>
        <w:pStyle w:val="10"/>
        <w:spacing w:line="440" w:lineRule="exact"/>
        <w:ind w:firstLine="480" w:firstLineChars="200"/>
        <w:rPr>
          <w:rFonts w:asciiTheme="majorEastAsia" w:hAnsiTheme="majorEastAsia" w:eastAsiaTheme="majorEastAsia" w:cstheme="majorEastAsia"/>
          <w:bCs/>
          <w:color w:val="000000" w:themeColor="text1"/>
          <w:sz w:val="24"/>
          <w:szCs w:val="24"/>
        </w:rPr>
      </w:pPr>
      <w:r>
        <w:rPr>
          <w:rFonts w:hint="eastAsia" w:asciiTheme="majorEastAsia" w:hAnsiTheme="majorEastAsia" w:eastAsiaTheme="majorEastAsia" w:cstheme="majorEastAsia"/>
          <w:bCs/>
          <w:color w:val="000000" w:themeColor="text1"/>
          <w:sz w:val="24"/>
          <w:szCs w:val="24"/>
        </w:rPr>
        <w:t xml:space="preserve">3.1  </w:t>
      </w:r>
      <w:r>
        <w:rPr>
          <w:rFonts w:hint="eastAsia" w:asciiTheme="majorEastAsia" w:hAnsiTheme="majorEastAsia" w:eastAsiaTheme="majorEastAsia" w:cstheme="majorEastAsia"/>
          <w:color w:val="000000" w:themeColor="text1"/>
          <w:sz w:val="24"/>
          <w:szCs w:val="24"/>
        </w:rPr>
        <w:t>磋商</w:t>
      </w:r>
      <w:r>
        <w:rPr>
          <w:rFonts w:hint="eastAsia" w:asciiTheme="majorEastAsia" w:hAnsiTheme="majorEastAsia" w:eastAsiaTheme="majorEastAsia" w:cstheme="majorEastAsia"/>
          <w:color w:val="000000" w:themeColor="text1"/>
          <w:sz w:val="24"/>
        </w:rPr>
        <w:t>供应商未被列入失信被执行人、重大税收违法案件当事人名单、政府采购严重违法失信行为记录名单，且应符合《中华人民共和国政府采购法》第二十二条规定的资格条件</w:t>
      </w:r>
      <w:r>
        <w:rPr>
          <w:rFonts w:hint="eastAsia" w:asciiTheme="majorEastAsia" w:hAnsiTheme="majorEastAsia" w:eastAsiaTheme="majorEastAsia" w:cstheme="majorEastAsia"/>
          <w:bCs/>
          <w:color w:val="000000" w:themeColor="text1"/>
          <w:sz w:val="24"/>
          <w:szCs w:val="24"/>
        </w:rPr>
        <w:t>。</w:t>
      </w:r>
    </w:p>
    <w:p>
      <w:pPr>
        <w:pStyle w:val="10"/>
        <w:spacing w:line="440" w:lineRule="exact"/>
        <w:ind w:firstLine="480" w:firstLineChars="200"/>
        <w:rPr>
          <w:rFonts w:asciiTheme="majorEastAsia" w:hAnsiTheme="majorEastAsia" w:eastAsiaTheme="majorEastAsia" w:cstheme="majorEastAsia"/>
          <w:bCs/>
          <w:color w:val="000000" w:themeColor="text1"/>
          <w:sz w:val="24"/>
          <w:szCs w:val="24"/>
        </w:rPr>
      </w:pPr>
      <w:r>
        <w:rPr>
          <w:rFonts w:hint="eastAsia" w:asciiTheme="majorEastAsia" w:hAnsiTheme="majorEastAsia" w:eastAsiaTheme="majorEastAsia" w:cstheme="majorEastAsia"/>
          <w:bCs/>
          <w:color w:val="000000" w:themeColor="text1"/>
          <w:sz w:val="24"/>
          <w:szCs w:val="24"/>
        </w:rPr>
        <w:t>3.2  针对本项目，</w:t>
      </w:r>
      <w:r>
        <w:rPr>
          <w:rFonts w:hint="eastAsia" w:asciiTheme="majorEastAsia" w:hAnsiTheme="majorEastAsia" w:eastAsiaTheme="majorEastAsia" w:cstheme="majorEastAsia"/>
          <w:color w:val="000000" w:themeColor="text1"/>
          <w:sz w:val="24"/>
          <w:szCs w:val="24"/>
        </w:rPr>
        <w:t>磋商供应商</w:t>
      </w:r>
      <w:r>
        <w:rPr>
          <w:rFonts w:hint="eastAsia" w:asciiTheme="majorEastAsia" w:hAnsiTheme="majorEastAsia" w:eastAsiaTheme="majorEastAsia" w:cstheme="majorEastAsia"/>
          <w:bCs/>
          <w:color w:val="000000" w:themeColor="text1"/>
          <w:sz w:val="24"/>
          <w:szCs w:val="24"/>
        </w:rPr>
        <w:t>应具备的特定条件：见</w:t>
      </w:r>
      <w:r>
        <w:rPr>
          <w:rFonts w:hint="eastAsia" w:asciiTheme="majorEastAsia" w:hAnsiTheme="majorEastAsia" w:eastAsiaTheme="majorEastAsia" w:cstheme="majorEastAsia"/>
          <w:color w:val="000000" w:themeColor="text1"/>
          <w:sz w:val="24"/>
          <w:szCs w:val="24"/>
        </w:rPr>
        <w:t>磋商供应商</w:t>
      </w:r>
      <w:r>
        <w:rPr>
          <w:rFonts w:hint="eastAsia" w:asciiTheme="majorEastAsia" w:hAnsiTheme="majorEastAsia" w:eastAsiaTheme="majorEastAsia" w:cstheme="majorEastAsia"/>
          <w:bCs/>
          <w:color w:val="000000" w:themeColor="text1"/>
          <w:sz w:val="24"/>
          <w:szCs w:val="24"/>
        </w:rPr>
        <w:t>须知前附表。</w:t>
      </w:r>
    </w:p>
    <w:p>
      <w:pPr>
        <w:pStyle w:val="10"/>
        <w:spacing w:line="440" w:lineRule="exact"/>
        <w:ind w:firstLine="480" w:firstLineChars="200"/>
        <w:rPr>
          <w:rFonts w:asciiTheme="majorEastAsia" w:hAnsiTheme="majorEastAsia" w:eastAsiaTheme="majorEastAsia" w:cstheme="majorEastAsia"/>
          <w:bCs/>
          <w:color w:val="000000" w:themeColor="text1"/>
          <w:sz w:val="24"/>
          <w:szCs w:val="24"/>
        </w:rPr>
      </w:pPr>
      <w:r>
        <w:rPr>
          <w:rFonts w:hint="eastAsia" w:asciiTheme="majorEastAsia" w:hAnsiTheme="majorEastAsia" w:eastAsiaTheme="majorEastAsia" w:cstheme="majorEastAsia"/>
          <w:bCs/>
          <w:color w:val="000000" w:themeColor="text1"/>
          <w:sz w:val="24"/>
          <w:szCs w:val="24"/>
        </w:rPr>
        <w:t xml:space="preserve">3.3  </w:t>
      </w:r>
      <w:r>
        <w:rPr>
          <w:rFonts w:hint="eastAsia" w:asciiTheme="majorEastAsia" w:hAnsiTheme="majorEastAsia" w:eastAsiaTheme="majorEastAsia" w:cstheme="majorEastAsia"/>
          <w:color w:val="000000" w:themeColor="text1"/>
          <w:sz w:val="24"/>
          <w:szCs w:val="24"/>
        </w:rPr>
        <w:t>磋商供应商</w:t>
      </w:r>
      <w:r>
        <w:rPr>
          <w:rFonts w:hint="eastAsia" w:asciiTheme="majorEastAsia" w:hAnsiTheme="majorEastAsia" w:eastAsiaTheme="majorEastAsia" w:cstheme="majorEastAsia"/>
          <w:bCs/>
          <w:color w:val="000000" w:themeColor="text1"/>
          <w:sz w:val="24"/>
          <w:szCs w:val="24"/>
        </w:rPr>
        <w:t>须知前附表规定接受联合体磋商的，两个以上</w:t>
      </w:r>
      <w:r>
        <w:rPr>
          <w:rFonts w:hint="eastAsia" w:asciiTheme="majorEastAsia" w:hAnsiTheme="majorEastAsia" w:eastAsiaTheme="majorEastAsia" w:cstheme="majorEastAsia"/>
          <w:color w:val="000000" w:themeColor="text1"/>
          <w:sz w:val="24"/>
          <w:szCs w:val="24"/>
        </w:rPr>
        <w:t>磋商</w:t>
      </w:r>
      <w:r>
        <w:rPr>
          <w:rFonts w:hint="eastAsia" w:asciiTheme="majorEastAsia" w:hAnsiTheme="majorEastAsia" w:eastAsiaTheme="majorEastAsia" w:cstheme="majorEastAsia"/>
          <w:bCs/>
          <w:color w:val="000000" w:themeColor="text1"/>
          <w:sz w:val="24"/>
          <w:szCs w:val="24"/>
        </w:rPr>
        <w:t>供应商可以组成一个</w:t>
      </w:r>
      <w:r>
        <w:rPr>
          <w:rFonts w:hint="eastAsia" w:asciiTheme="majorEastAsia" w:hAnsiTheme="majorEastAsia" w:eastAsiaTheme="majorEastAsia" w:cstheme="majorEastAsia"/>
          <w:color w:val="000000" w:themeColor="text1"/>
          <w:sz w:val="24"/>
          <w:szCs w:val="24"/>
        </w:rPr>
        <w:t>磋商供应商</w:t>
      </w:r>
      <w:r>
        <w:rPr>
          <w:rFonts w:hint="eastAsia" w:asciiTheme="majorEastAsia" w:hAnsiTheme="majorEastAsia" w:eastAsiaTheme="majorEastAsia" w:cstheme="majorEastAsia"/>
          <w:bCs/>
          <w:color w:val="000000" w:themeColor="text1"/>
          <w:sz w:val="24"/>
          <w:szCs w:val="24"/>
        </w:rPr>
        <w:t>联合体，</w:t>
      </w:r>
      <w:r>
        <w:rPr>
          <w:rFonts w:hint="eastAsia" w:asciiTheme="majorEastAsia" w:hAnsiTheme="majorEastAsia" w:eastAsiaTheme="majorEastAsia" w:cstheme="majorEastAsia"/>
          <w:color w:val="000000" w:themeColor="text1"/>
          <w:sz w:val="24"/>
          <w:szCs w:val="24"/>
        </w:rPr>
        <w:t>以一个磋商供应商的身份共同参加磋商</w:t>
      </w:r>
      <w:r>
        <w:rPr>
          <w:rFonts w:hint="eastAsia" w:asciiTheme="majorEastAsia" w:hAnsiTheme="majorEastAsia" w:eastAsiaTheme="majorEastAsia" w:cstheme="majorEastAsia"/>
          <w:bCs/>
          <w:color w:val="000000" w:themeColor="text1"/>
          <w:sz w:val="24"/>
          <w:szCs w:val="24"/>
        </w:rPr>
        <w:t>。以联合体形式参加磋商的，联合体各方均应当符合本章第3.1项的要求，联合体各方中至少应当有一方符合本章第3.2项的要求。由同一专业的组成的联合体，按照资质等级较低的确定资质等级。联合体各方不得再以自己名义单独或组成新的联合体参加同一项目同一分项磋商。</w:t>
      </w:r>
    </w:p>
    <w:p>
      <w:pPr>
        <w:pStyle w:val="10"/>
        <w:spacing w:line="440" w:lineRule="exact"/>
        <w:ind w:firstLine="480" w:firstLineChars="200"/>
        <w:rPr>
          <w:rFonts w:asciiTheme="majorEastAsia" w:hAnsiTheme="majorEastAsia" w:eastAsiaTheme="majorEastAsia" w:cstheme="majorEastAsia"/>
          <w:bCs/>
          <w:color w:val="000000" w:themeColor="text1"/>
          <w:sz w:val="24"/>
          <w:szCs w:val="24"/>
        </w:rPr>
      </w:pPr>
      <w:r>
        <w:rPr>
          <w:rFonts w:hint="eastAsia" w:asciiTheme="majorEastAsia" w:hAnsiTheme="majorEastAsia" w:eastAsiaTheme="majorEastAsia" w:cstheme="majorEastAsia"/>
          <w:bCs/>
          <w:color w:val="000000" w:themeColor="text1"/>
          <w:sz w:val="24"/>
          <w:szCs w:val="24"/>
        </w:rPr>
        <w:t xml:space="preserve">3.4  </w:t>
      </w:r>
      <w:r>
        <w:rPr>
          <w:rFonts w:hint="eastAsia" w:asciiTheme="majorEastAsia" w:hAnsiTheme="majorEastAsia" w:eastAsiaTheme="majorEastAsia" w:cstheme="majorEastAsia"/>
          <w:color w:val="000000" w:themeColor="text1"/>
          <w:sz w:val="24"/>
          <w:szCs w:val="24"/>
        </w:rPr>
        <w:t xml:space="preserve">磋商供应商不得直接或间接地与为本次采购的项目内容进行设计、编制规范和其他文件的咨询公司、采购人、采购代理机构或其附属机构有任何关联。 </w:t>
      </w:r>
    </w:p>
    <w:p>
      <w:pPr>
        <w:pStyle w:val="10"/>
        <w:spacing w:line="360" w:lineRule="auto"/>
        <w:ind w:left="242" w:hanging="242" w:hangingChars="101"/>
        <w:jc w:val="left"/>
        <w:rPr>
          <w:rFonts w:cs="宋体" w:asciiTheme="majorEastAsia" w:hAnsiTheme="majorEastAsia" w:eastAsiaTheme="majorEastAsia"/>
          <w:bCs/>
          <w:sz w:val="24"/>
        </w:rPr>
      </w:pPr>
      <w:r>
        <w:rPr>
          <w:rFonts w:cs="宋体" w:asciiTheme="majorEastAsia" w:hAnsiTheme="majorEastAsia" w:eastAsiaTheme="majorEastAsia"/>
          <w:bCs/>
          <w:sz w:val="24"/>
        </w:rPr>
        <w:t>4.质疑</w:t>
      </w:r>
    </w:p>
    <w:p>
      <w:pPr>
        <w:spacing w:line="440" w:lineRule="exact"/>
        <w:ind w:firstLine="480" w:firstLineChars="200"/>
        <w:rPr>
          <w:rFonts w:asciiTheme="majorEastAsia" w:hAnsiTheme="majorEastAsia" w:eastAsiaTheme="majorEastAsia"/>
          <w:bCs/>
          <w:sz w:val="24"/>
        </w:rPr>
      </w:pPr>
      <w:r>
        <w:rPr>
          <w:rFonts w:hint="eastAsia" w:asciiTheme="majorEastAsia" w:hAnsiTheme="majorEastAsia" w:eastAsiaTheme="majorEastAsia"/>
          <w:bCs/>
          <w:sz w:val="24"/>
        </w:rPr>
        <w:t xml:space="preserve">4.1  </w:t>
      </w:r>
      <w:r>
        <w:rPr>
          <w:rFonts w:asciiTheme="majorEastAsia" w:hAnsiTheme="majorEastAsia" w:eastAsiaTheme="majorEastAsia"/>
          <w:sz w:val="24"/>
        </w:rPr>
        <w:t>投标人</w:t>
      </w:r>
      <w:r>
        <w:rPr>
          <w:rFonts w:hint="eastAsia" w:asciiTheme="majorEastAsia" w:hAnsiTheme="majorEastAsia" w:eastAsiaTheme="majorEastAsia"/>
          <w:bCs/>
          <w:sz w:val="24"/>
        </w:rPr>
        <w:t>认为招标文件、采购过程或中标结果使自己的合法权益受到损害的，应当在知道或者应知其权益受到损害之日起七个工作日内，以书面形式向采购人、采购代理机构提出质疑。</w:t>
      </w:r>
    </w:p>
    <w:p>
      <w:pPr>
        <w:spacing w:line="440" w:lineRule="exact"/>
        <w:ind w:firstLine="480" w:firstLineChars="200"/>
        <w:rPr>
          <w:rFonts w:asciiTheme="majorEastAsia" w:hAnsiTheme="majorEastAsia" w:eastAsiaTheme="majorEastAsia"/>
          <w:bCs/>
          <w:sz w:val="24"/>
        </w:rPr>
      </w:pPr>
      <w:r>
        <w:rPr>
          <w:rFonts w:hint="eastAsia" w:asciiTheme="majorEastAsia" w:hAnsiTheme="majorEastAsia" w:eastAsiaTheme="majorEastAsia"/>
          <w:bCs/>
          <w:sz w:val="24"/>
        </w:rPr>
        <w:t>4.2提出质疑</w:t>
      </w:r>
      <w:r>
        <w:rPr>
          <w:rFonts w:hint="eastAsia" w:ascii="宋体" w:hAnsi="宋体"/>
          <w:bCs/>
          <w:sz w:val="24"/>
        </w:rPr>
        <w:t>的</w:t>
      </w:r>
      <w:r>
        <w:rPr>
          <w:rFonts w:asciiTheme="majorEastAsia" w:hAnsiTheme="majorEastAsia" w:eastAsiaTheme="majorEastAsia"/>
          <w:sz w:val="24"/>
        </w:rPr>
        <w:t>投标人</w:t>
      </w:r>
      <w:r>
        <w:rPr>
          <w:rFonts w:hint="eastAsia" w:ascii="宋体" w:hAnsi="宋体"/>
          <w:bCs/>
          <w:sz w:val="24"/>
        </w:rPr>
        <w:t>应</w:t>
      </w:r>
      <w:r>
        <w:rPr>
          <w:rFonts w:hint="eastAsia" w:asciiTheme="majorEastAsia" w:hAnsiTheme="majorEastAsia" w:eastAsiaTheme="majorEastAsia"/>
          <w:bCs/>
          <w:sz w:val="24"/>
        </w:rPr>
        <w:t>当是参与所质疑项目采购活动的供应商，质疑函应按</w:t>
      </w:r>
      <w:r>
        <w:fldChar w:fldCharType="begin"/>
      </w:r>
      <w:r>
        <w:instrText xml:space="preserve"> HYPERLINK "https://www.baidu.com/link?url=FnEKpEfecgHI29OKpvrr0ThhhsjQDNw-iC11hZexO2s8DSLZMvZjUN1CP-ntt8geS3G5mNVZ0i2D2OwgmglOo6vjFDXXMR3ZdYuFwaHcBwa&amp;wd=&amp;eqid=f309d5cf0000e588000000065a976ec3" \t "_blank" </w:instrText>
      </w:r>
      <w:r>
        <w:fldChar w:fldCharType="separate"/>
      </w:r>
      <w:r>
        <w:rPr>
          <w:rStyle w:val="21"/>
          <w:rFonts w:hint="eastAsia" w:asciiTheme="majorEastAsia" w:hAnsiTheme="majorEastAsia" w:eastAsiaTheme="majorEastAsia"/>
          <w:bCs/>
          <w:color w:val="auto"/>
          <w:sz w:val="24"/>
        </w:rPr>
        <w:t>财政部发布《政府采购供应商质疑函范本》</w:t>
      </w:r>
      <w:r>
        <w:rPr>
          <w:rStyle w:val="21"/>
          <w:rFonts w:hint="eastAsia" w:asciiTheme="majorEastAsia" w:hAnsiTheme="majorEastAsia" w:eastAsiaTheme="majorEastAsia"/>
          <w:bCs/>
          <w:color w:val="auto"/>
          <w:sz w:val="24"/>
        </w:rPr>
        <w:fldChar w:fldCharType="end"/>
      </w:r>
      <w:r>
        <w:rPr>
          <w:rFonts w:hint="eastAsia" w:asciiTheme="majorEastAsia" w:hAnsiTheme="majorEastAsia" w:eastAsiaTheme="majorEastAsia"/>
          <w:bCs/>
          <w:sz w:val="24"/>
        </w:rPr>
        <w:t>编制，质疑函内容或格式不符合其规定的，投标人应按该范本要求进行修改后重新提交。其必须在法定质疑期内一次性提出针对同一采购程序环节的质疑。供应商对同一采购程序环节重复提出质疑的，采购代理机构将不予受理。且其质疑行为和质疑函内容应当符合《政府采购质疑和投诉办法》（中华人民共和国财政部令第94号）规定，</w:t>
      </w:r>
    </w:p>
    <w:p>
      <w:pPr>
        <w:spacing w:line="440" w:lineRule="exact"/>
        <w:ind w:firstLine="480" w:firstLineChars="200"/>
        <w:rPr>
          <w:rFonts w:asciiTheme="majorEastAsia" w:hAnsiTheme="majorEastAsia" w:eastAsiaTheme="majorEastAsia"/>
          <w:bCs/>
          <w:sz w:val="24"/>
        </w:rPr>
      </w:pPr>
      <w:r>
        <w:rPr>
          <w:rFonts w:hint="eastAsia" w:asciiTheme="majorEastAsia" w:hAnsiTheme="majorEastAsia" w:eastAsiaTheme="majorEastAsia"/>
          <w:bCs/>
          <w:sz w:val="24"/>
        </w:rPr>
        <w:t>4.3供应商质疑实行实名制，其质疑应当有具体的质疑事项及事实根据，质疑应当坚持依法依规、诚实信用原则，不得进行虚假、恶意质疑。</w:t>
      </w:r>
    </w:p>
    <w:p>
      <w:pPr>
        <w:spacing w:line="440" w:lineRule="exact"/>
        <w:ind w:firstLine="480" w:firstLineChars="200"/>
        <w:rPr>
          <w:rFonts w:asciiTheme="majorEastAsia" w:hAnsiTheme="majorEastAsia" w:eastAsiaTheme="majorEastAsia"/>
          <w:bCs/>
          <w:sz w:val="24"/>
        </w:rPr>
      </w:pPr>
      <w:r>
        <w:rPr>
          <w:rFonts w:hint="eastAsia" w:asciiTheme="majorEastAsia" w:hAnsiTheme="majorEastAsia" w:eastAsiaTheme="majorEastAsia"/>
          <w:bCs/>
          <w:sz w:val="24"/>
        </w:rPr>
        <w:t>4.4供应商提交质疑应当提交质疑函和必要的证明材料，质疑函应当包括下列内容：</w:t>
      </w:r>
    </w:p>
    <w:p>
      <w:pPr>
        <w:spacing w:line="440" w:lineRule="exact"/>
        <w:ind w:firstLine="480" w:firstLineChars="200"/>
        <w:rPr>
          <w:rFonts w:asciiTheme="majorEastAsia" w:hAnsiTheme="majorEastAsia" w:eastAsiaTheme="majorEastAsia"/>
          <w:bCs/>
          <w:sz w:val="24"/>
        </w:rPr>
      </w:pPr>
      <w:r>
        <w:rPr>
          <w:rFonts w:hint="eastAsia" w:asciiTheme="majorEastAsia" w:hAnsiTheme="majorEastAsia" w:eastAsiaTheme="majorEastAsia"/>
          <w:bCs/>
          <w:sz w:val="24"/>
        </w:rPr>
        <w:t>（1）供应商的姓名或者名称、地址、邮编、联系人及联系电话；</w:t>
      </w:r>
    </w:p>
    <w:p>
      <w:pPr>
        <w:spacing w:line="440" w:lineRule="exact"/>
        <w:ind w:firstLine="480" w:firstLineChars="200"/>
        <w:rPr>
          <w:rFonts w:asciiTheme="majorEastAsia" w:hAnsiTheme="majorEastAsia" w:eastAsiaTheme="majorEastAsia"/>
          <w:bCs/>
          <w:sz w:val="24"/>
        </w:rPr>
      </w:pPr>
      <w:r>
        <w:rPr>
          <w:rFonts w:hint="eastAsia" w:asciiTheme="majorEastAsia" w:hAnsiTheme="majorEastAsia" w:eastAsiaTheme="majorEastAsia"/>
          <w:bCs/>
          <w:sz w:val="24"/>
        </w:rPr>
        <w:t>（2）质疑项目的名称、编号；</w:t>
      </w:r>
    </w:p>
    <w:p>
      <w:pPr>
        <w:spacing w:line="440" w:lineRule="exact"/>
        <w:ind w:firstLine="480" w:firstLineChars="200"/>
        <w:rPr>
          <w:rFonts w:asciiTheme="majorEastAsia" w:hAnsiTheme="majorEastAsia" w:eastAsiaTheme="majorEastAsia"/>
          <w:bCs/>
          <w:sz w:val="24"/>
        </w:rPr>
      </w:pPr>
      <w:r>
        <w:rPr>
          <w:rFonts w:hint="eastAsia" w:asciiTheme="majorEastAsia" w:hAnsiTheme="majorEastAsia" w:eastAsiaTheme="majorEastAsia"/>
          <w:bCs/>
          <w:sz w:val="24"/>
        </w:rPr>
        <w:t>（3）具体、明确的质疑事项和质疑事项相关的请求；</w:t>
      </w:r>
    </w:p>
    <w:p>
      <w:pPr>
        <w:spacing w:line="440" w:lineRule="exact"/>
        <w:ind w:firstLine="480" w:firstLineChars="200"/>
        <w:rPr>
          <w:rFonts w:asciiTheme="majorEastAsia" w:hAnsiTheme="majorEastAsia" w:eastAsiaTheme="majorEastAsia"/>
          <w:bCs/>
          <w:sz w:val="24"/>
        </w:rPr>
      </w:pPr>
      <w:r>
        <w:rPr>
          <w:rFonts w:hint="eastAsia" w:asciiTheme="majorEastAsia" w:hAnsiTheme="majorEastAsia" w:eastAsiaTheme="majorEastAsia"/>
          <w:bCs/>
          <w:sz w:val="24"/>
        </w:rPr>
        <w:t>（4）事实依据；</w:t>
      </w:r>
    </w:p>
    <w:p>
      <w:pPr>
        <w:spacing w:line="440" w:lineRule="exact"/>
        <w:ind w:firstLine="480" w:firstLineChars="200"/>
        <w:rPr>
          <w:rFonts w:asciiTheme="majorEastAsia" w:hAnsiTheme="majorEastAsia" w:eastAsiaTheme="majorEastAsia"/>
          <w:bCs/>
          <w:sz w:val="24"/>
        </w:rPr>
      </w:pPr>
      <w:r>
        <w:rPr>
          <w:rFonts w:hint="eastAsia" w:asciiTheme="majorEastAsia" w:hAnsiTheme="majorEastAsia" w:eastAsiaTheme="majorEastAsia"/>
          <w:bCs/>
          <w:sz w:val="24"/>
        </w:rPr>
        <w:t>（5）必要的法律依据；</w:t>
      </w:r>
    </w:p>
    <w:p>
      <w:pPr>
        <w:spacing w:line="440" w:lineRule="exact"/>
        <w:ind w:firstLine="480" w:firstLineChars="200"/>
        <w:rPr>
          <w:rFonts w:asciiTheme="majorEastAsia" w:hAnsiTheme="majorEastAsia" w:eastAsiaTheme="majorEastAsia"/>
          <w:bCs/>
          <w:sz w:val="24"/>
        </w:rPr>
      </w:pPr>
      <w:r>
        <w:rPr>
          <w:rFonts w:hint="eastAsia" w:asciiTheme="majorEastAsia" w:hAnsiTheme="majorEastAsia" w:eastAsiaTheme="majorEastAsia"/>
          <w:bCs/>
          <w:sz w:val="24"/>
        </w:rPr>
        <w:t>（6）提起质疑的日期；</w:t>
      </w:r>
    </w:p>
    <w:p>
      <w:pPr>
        <w:spacing w:line="440" w:lineRule="exact"/>
        <w:ind w:firstLine="480" w:firstLineChars="200"/>
        <w:rPr>
          <w:rFonts w:asciiTheme="majorEastAsia" w:hAnsiTheme="majorEastAsia" w:eastAsiaTheme="majorEastAsia"/>
          <w:bCs/>
          <w:sz w:val="24"/>
        </w:rPr>
      </w:pPr>
      <w:r>
        <w:rPr>
          <w:rFonts w:hint="eastAsia" w:asciiTheme="majorEastAsia" w:hAnsiTheme="majorEastAsia" w:eastAsiaTheme="majorEastAsia"/>
          <w:bCs/>
          <w:sz w:val="24"/>
        </w:rPr>
        <w:t>质疑书应当署名。供应商为自然人的，应当由本人签字；质疑供应商为法人或者其他组织的，应当由法定代表人、主要负责人签字或其授权代表签字或盖章并加盖公章。</w:t>
      </w:r>
    </w:p>
    <w:p>
      <w:pPr>
        <w:spacing w:line="440" w:lineRule="exact"/>
        <w:ind w:firstLine="480" w:firstLineChars="200"/>
        <w:rPr>
          <w:rFonts w:asciiTheme="majorEastAsia" w:hAnsiTheme="majorEastAsia" w:eastAsiaTheme="majorEastAsia"/>
          <w:bCs/>
          <w:sz w:val="24"/>
        </w:rPr>
      </w:pPr>
      <w:r>
        <w:rPr>
          <w:rFonts w:hint="eastAsia" w:asciiTheme="majorEastAsia" w:hAnsiTheme="majorEastAsia" w:eastAsiaTheme="majorEastAsia"/>
          <w:bCs/>
          <w:sz w:val="24"/>
        </w:rPr>
        <w:t>4.5 质疑供应商可以委托代理人办理质疑事务。委托代理人办理质疑事务时，除提交质疑书外，还应当提交质疑供应商的授权委托书，授权委托书应当载明委托代理的具体权限和事项；提交委托代理人身份证明复印件（原件备查）。</w:t>
      </w:r>
    </w:p>
    <w:p>
      <w:pPr>
        <w:spacing w:line="440" w:lineRule="exact"/>
        <w:ind w:firstLine="480" w:firstLineChars="200"/>
        <w:rPr>
          <w:rFonts w:asciiTheme="majorEastAsia" w:hAnsiTheme="majorEastAsia" w:eastAsiaTheme="majorEastAsia"/>
          <w:bCs/>
          <w:sz w:val="24"/>
        </w:rPr>
      </w:pPr>
      <w:r>
        <w:rPr>
          <w:rFonts w:hint="eastAsia" w:asciiTheme="majorEastAsia" w:hAnsiTheme="majorEastAsia" w:eastAsiaTheme="majorEastAsia"/>
          <w:bCs/>
          <w:sz w:val="24"/>
        </w:rPr>
        <w:t>4.6  质疑供应商提起质疑应当符合下列条件：</w:t>
      </w:r>
    </w:p>
    <w:p>
      <w:pPr>
        <w:spacing w:line="440" w:lineRule="exact"/>
        <w:ind w:firstLine="480" w:firstLineChars="200"/>
        <w:rPr>
          <w:rFonts w:asciiTheme="majorEastAsia" w:hAnsiTheme="majorEastAsia" w:eastAsiaTheme="majorEastAsia"/>
          <w:bCs/>
          <w:sz w:val="24"/>
        </w:rPr>
      </w:pPr>
      <w:r>
        <w:rPr>
          <w:rFonts w:hint="eastAsia" w:asciiTheme="majorEastAsia" w:hAnsiTheme="majorEastAsia" w:eastAsiaTheme="majorEastAsia"/>
          <w:bCs/>
          <w:sz w:val="24"/>
        </w:rPr>
        <w:t>（1）质疑供应商是参与所质疑政府采购活动的供应商，以联合体形式参加政府采购活动的，其质疑应当由组成联合体的所有供应商共同提出；</w:t>
      </w:r>
    </w:p>
    <w:p>
      <w:pPr>
        <w:spacing w:line="440" w:lineRule="exact"/>
        <w:ind w:firstLine="480" w:firstLineChars="200"/>
        <w:rPr>
          <w:rFonts w:asciiTheme="majorEastAsia" w:hAnsiTheme="majorEastAsia" w:eastAsiaTheme="majorEastAsia"/>
          <w:bCs/>
          <w:sz w:val="24"/>
        </w:rPr>
      </w:pPr>
      <w:r>
        <w:rPr>
          <w:rFonts w:hint="eastAsia" w:asciiTheme="majorEastAsia" w:hAnsiTheme="majorEastAsia" w:eastAsiaTheme="majorEastAsia"/>
          <w:bCs/>
          <w:sz w:val="24"/>
        </w:rPr>
        <w:t>（2）质疑函内容符合本章第4.4项的规定；</w:t>
      </w:r>
    </w:p>
    <w:p>
      <w:pPr>
        <w:spacing w:line="440" w:lineRule="exact"/>
        <w:ind w:firstLine="480" w:firstLineChars="200"/>
        <w:rPr>
          <w:rFonts w:asciiTheme="majorEastAsia" w:hAnsiTheme="majorEastAsia" w:eastAsiaTheme="majorEastAsia"/>
          <w:bCs/>
          <w:sz w:val="24"/>
        </w:rPr>
      </w:pPr>
      <w:r>
        <w:rPr>
          <w:rFonts w:hint="eastAsia" w:asciiTheme="majorEastAsia" w:hAnsiTheme="majorEastAsia" w:eastAsiaTheme="majorEastAsia"/>
          <w:bCs/>
          <w:sz w:val="24"/>
        </w:rPr>
        <w:t>（3）在质疑有效期限内提起质疑；</w:t>
      </w:r>
    </w:p>
    <w:p>
      <w:pPr>
        <w:spacing w:line="440" w:lineRule="exact"/>
        <w:ind w:firstLine="480" w:firstLineChars="200"/>
        <w:rPr>
          <w:rFonts w:asciiTheme="majorEastAsia" w:hAnsiTheme="majorEastAsia" w:eastAsiaTheme="majorEastAsia"/>
          <w:bCs/>
          <w:sz w:val="24"/>
        </w:rPr>
      </w:pPr>
      <w:r>
        <w:rPr>
          <w:rFonts w:hint="eastAsia" w:asciiTheme="majorEastAsia" w:hAnsiTheme="majorEastAsia" w:eastAsiaTheme="majorEastAsia"/>
          <w:bCs/>
          <w:sz w:val="24"/>
        </w:rPr>
        <w:t>（4）属于所质疑的采购人或采购人委托的采购代理机构组织的采购活动；</w:t>
      </w:r>
    </w:p>
    <w:p>
      <w:pPr>
        <w:spacing w:line="440" w:lineRule="exact"/>
        <w:ind w:firstLine="480" w:firstLineChars="200"/>
        <w:rPr>
          <w:rFonts w:asciiTheme="majorEastAsia" w:hAnsiTheme="majorEastAsia" w:eastAsiaTheme="majorEastAsia"/>
          <w:bCs/>
          <w:sz w:val="24"/>
        </w:rPr>
      </w:pPr>
      <w:r>
        <w:rPr>
          <w:rFonts w:hint="eastAsia" w:asciiTheme="majorEastAsia" w:hAnsiTheme="majorEastAsia" w:eastAsiaTheme="majorEastAsia"/>
          <w:bCs/>
          <w:sz w:val="24"/>
        </w:rPr>
        <w:t xml:space="preserve">（5）同一质疑事项未经采购人或采购人委托的采购代理机构质疑处理； </w:t>
      </w:r>
    </w:p>
    <w:p>
      <w:pPr>
        <w:spacing w:line="440" w:lineRule="exact"/>
        <w:ind w:firstLine="480" w:firstLineChars="200"/>
        <w:rPr>
          <w:rFonts w:asciiTheme="majorEastAsia" w:hAnsiTheme="majorEastAsia" w:eastAsiaTheme="majorEastAsia"/>
          <w:bCs/>
          <w:sz w:val="24"/>
        </w:rPr>
      </w:pPr>
      <w:r>
        <w:rPr>
          <w:rFonts w:hint="eastAsia" w:asciiTheme="majorEastAsia" w:hAnsiTheme="majorEastAsia" w:eastAsiaTheme="majorEastAsia"/>
          <w:bCs/>
          <w:sz w:val="24"/>
        </w:rPr>
        <w:t>（6）供应商对同一采购程序环节的质疑应当在质疑有效期内一次性提出；</w:t>
      </w:r>
    </w:p>
    <w:p>
      <w:pPr>
        <w:spacing w:line="440" w:lineRule="exact"/>
        <w:ind w:firstLine="480" w:firstLineChars="200"/>
        <w:rPr>
          <w:rFonts w:asciiTheme="majorEastAsia" w:hAnsiTheme="majorEastAsia" w:eastAsiaTheme="majorEastAsia"/>
          <w:bCs/>
          <w:sz w:val="24"/>
        </w:rPr>
      </w:pPr>
      <w:r>
        <w:rPr>
          <w:rFonts w:hint="eastAsia" w:asciiTheme="majorEastAsia" w:hAnsiTheme="majorEastAsia" w:eastAsiaTheme="majorEastAsia"/>
          <w:bCs/>
          <w:sz w:val="24"/>
        </w:rPr>
        <w:t>（7）供应商提交质疑应当提交必要的证明材料，证明材料应以合法手段取得；</w:t>
      </w:r>
    </w:p>
    <w:p>
      <w:pPr>
        <w:spacing w:line="440" w:lineRule="exact"/>
        <w:ind w:firstLine="480" w:firstLineChars="200"/>
        <w:rPr>
          <w:rFonts w:asciiTheme="majorEastAsia" w:hAnsiTheme="majorEastAsia" w:eastAsiaTheme="majorEastAsia"/>
          <w:bCs/>
          <w:sz w:val="24"/>
        </w:rPr>
      </w:pPr>
      <w:r>
        <w:rPr>
          <w:rFonts w:hint="eastAsia" w:asciiTheme="majorEastAsia" w:hAnsiTheme="majorEastAsia" w:eastAsiaTheme="majorEastAsia"/>
          <w:bCs/>
          <w:sz w:val="24"/>
        </w:rPr>
        <w:t>（8）财政部门规定的其他条件。</w:t>
      </w:r>
    </w:p>
    <w:p>
      <w:pPr>
        <w:spacing w:line="440" w:lineRule="exact"/>
        <w:ind w:firstLine="480" w:firstLineChars="200"/>
        <w:rPr>
          <w:rFonts w:asciiTheme="majorEastAsia" w:hAnsiTheme="majorEastAsia" w:eastAsiaTheme="majorEastAsia"/>
          <w:bCs/>
          <w:sz w:val="24"/>
        </w:rPr>
      </w:pPr>
      <w:r>
        <w:rPr>
          <w:rFonts w:hint="eastAsia" w:asciiTheme="majorEastAsia" w:hAnsiTheme="majorEastAsia" w:eastAsiaTheme="majorEastAsia"/>
          <w:bCs/>
          <w:sz w:val="24"/>
        </w:rPr>
        <w:t>4.7  采购人或采购人委托的采购代理机构自受理质疑之日起七个工作日内，对质疑事项作出答复，并以书面形式通知质疑供应商及其他有关供应商。</w:t>
      </w:r>
    </w:p>
    <w:p>
      <w:pPr>
        <w:pStyle w:val="10"/>
        <w:spacing w:line="440" w:lineRule="exact"/>
        <w:ind w:left="542" w:leftChars="201" w:hanging="120" w:hangingChars="50"/>
        <w:jc w:val="left"/>
        <w:rPr>
          <w:rFonts w:asciiTheme="majorEastAsia" w:hAnsiTheme="majorEastAsia" w:eastAsiaTheme="majorEastAsia" w:cstheme="majorEastAsia"/>
          <w:bCs/>
          <w:color w:val="000000" w:themeColor="text1"/>
          <w:sz w:val="24"/>
          <w:szCs w:val="24"/>
        </w:rPr>
      </w:pPr>
      <w:r>
        <w:rPr>
          <w:rFonts w:asciiTheme="majorEastAsia" w:hAnsiTheme="majorEastAsia" w:eastAsiaTheme="majorEastAsia" w:cstheme="majorEastAsia"/>
          <w:bCs/>
          <w:color w:val="000000" w:themeColor="text1"/>
          <w:sz w:val="24"/>
          <w:szCs w:val="24"/>
        </w:rPr>
        <w:t xml:space="preserve">5.  </w:t>
      </w:r>
      <w:r>
        <w:rPr>
          <w:rFonts w:hint="eastAsia" w:asciiTheme="majorEastAsia" w:hAnsiTheme="majorEastAsia" w:eastAsiaTheme="majorEastAsia" w:cstheme="majorEastAsia"/>
          <w:bCs/>
          <w:color w:val="000000" w:themeColor="text1"/>
          <w:sz w:val="24"/>
          <w:szCs w:val="24"/>
        </w:rPr>
        <w:t>投诉</w:t>
      </w:r>
    </w:p>
    <w:p>
      <w:pPr>
        <w:pStyle w:val="10"/>
        <w:spacing w:line="440" w:lineRule="exact"/>
        <w:ind w:firstLine="480" w:firstLineChars="200"/>
        <w:jc w:val="left"/>
        <w:rPr>
          <w:rFonts w:asciiTheme="majorEastAsia" w:hAnsiTheme="majorEastAsia" w:eastAsiaTheme="majorEastAsia" w:cstheme="majorEastAsia"/>
          <w:bCs/>
          <w:color w:val="000000" w:themeColor="text1"/>
          <w:sz w:val="24"/>
          <w:szCs w:val="24"/>
        </w:rPr>
      </w:pPr>
      <w:r>
        <w:rPr>
          <w:rFonts w:asciiTheme="majorEastAsia" w:hAnsiTheme="majorEastAsia" w:eastAsiaTheme="majorEastAsia" w:cstheme="majorEastAsia"/>
          <w:bCs/>
          <w:color w:val="000000" w:themeColor="text1"/>
          <w:sz w:val="24"/>
          <w:szCs w:val="24"/>
        </w:rPr>
        <w:t xml:space="preserve">5.1  </w:t>
      </w:r>
      <w:r>
        <w:rPr>
          <w:rFonts w:hint="eastAsia" w:asciiTheme="majorEastAsia" w:hAnsiTheme="majorEastAsia" w:eastAsiaTheme="majorEastAsia" w:cstheme="majorEastAsia"/>
          <w:bCs/>
          <w:color w:val="000000" w:themeColor="text1"/>
          <w:sz w:val="24"/>
          <w:szCs w:val="24"/>
        </w:rPr>
        <w:t>供应商认为采购文件、采购过程、成交结果使自己的合法权益受到损害的，应当首先依法向采购人或采购人委托的</w:t>
      </w:r>
      <w:r>
        <w:rPr>
          <w:rFonts w:hint="eastAsia" w:asciiTheme="majorEastAsia" w:hAnsiTheme="majorEastAsia" w:eastAsiaTheme="majorEastAsia" w:cstheme="majorEastAsia"/>
          <w:color w:val="000000" w:themeColor="text1"/>
          <w:sz w:val="24"/>
          <w:szCs w:val="24"/>
        </w:rPr>
        <w:t>采购代理机构</w:t>
      </w:r>
      <w:r>
        <w:rPr>
          <w:rFonts w:hint="eastAsia" w:asciiTheme="majorEastAsia" w:hAnsiTheme="majorEastAsia" w:eastAsiaTheme="majorEastAsia" w:cstheme="majorEastAsia"/>
          <w:bCs/>
          <w:color w:val="000000" w:themeColor="text1"/>
          <w:sz w:val="24"/>
          <w:szCs w:val="24"/>
        </w:rPr>
        <w:t>提出质疑。对采购人、</w:t>
      </w:r>
      <w:r>
        <w:rPr>
          <w:rFonts w:hint="eastAsia" w:asciiTheme="majorEastAsia" w:hAnsiTheme="majorEastAsia" w:eastAsiaTheme="majorEastAsia" w:cstheme="majorEastAsia"/>
          <w:color w:val="000000" w:themeColor="text1"/>
          <w:sz w:val="24"/>
          <w:szCs w:val="24"/>
        </w:rPr>
        <w:t>采购代理机构</w:t>
      </w:r>
      <w:r>
        <w:rPr>
          <w:rFonts w:hint="eastAsia" w:asciiTheme="majorEastAsia" w:hAnsiTheme="majorEastAsia" w:eastAsiaTheme="majorEastAsia" w:cstheme="majorEastAsia"/>
          <w:bCs/>
          <w:color w:val="000000" w:themeColor="text1"/>
          <w:sz w:val="24"/>
          <w:szCs w:val="24"/>
        </w:rPr>
        <w:t>的答复不满意，或者采购人、</w:t>
      </w:r>
      <w:r>
        <w:rPr>
          <w:rFonts w:hint="eastAsia" w:asciiTheme="majorEastAsia" w:hAnsiTheme="majorEastAsia" w:eastAsiaTheme="majorEastAsia" w:cstheme="majorEastAsia"/>
          <w:color w:val="000000" w:themeColor="text1"/>
          <w:sz w:val="24"/>
          <w:szCs w:val="24"/>
        </w:rPr>
        <w:t>采购代理机构</w:t>
      </w:r>
      <w:r>
        <w:rPr>
          <w:rFonts w:hint="eastAsia" w:asciiTheme="majorEastAsia" w:hAnsiTheme="majorEastAsia" w:eastAsiaTheme="majorEastAsia" w:cstheme="majorEastAsia"/>
          <w:bCs/>
          <w:color w:val="000000" w:themeColor="text1"/>
          <w:sz w:val="24"/>
          <w:szCs w:val="24"/>
        </w:rPr>
        <w:t>未在规定期限内做出答复的，供应商可以在答复期满后十五个工作日内向</w:t>
      </w:r>
      <w:r>
        <w:rPr>
          <w:rFonts w:hint="eastAsia" w:asciiTheme="majorEastAsia" w:hAnsiTheme="majorEastAsia" w:eastAsiaTheme="majorEastAsia" w:cstheme="majorEastAsia"/>
          <w:color w:val="000000" w:themeColor="text1"/>
          <w:sz w:val="24"/>
          <w:szCs w:val="24"/>
        </w:rPr>
        <w:t>南宁市政府采购监督管理部门</w:t>
      </w:r>
      <w:r>
        <w:rPr>
          <w:rFonts w:hint="eastAsia" w:asciiTheme="majorEastAsia" w:hAnsiTheme="majorEastAsia" w:eastAsiaTheme="majorEastAsia" w:cstheme="majorEastAsia"/>
          <w:bCs/>
          <w:color w:val="000000" w:themeColor="text1"/>
          <w:sz w:val="24"/>
          <w:szCs w:val="24"/>
        </w:rPr>
        <w:t>提起投诉。</w:t>
      </w:r>
    </w:p>
    <w:p>
      <w:pPr>
        <w:pStyle w:val="10"/>
        <w:spacing w:line="440" w:lineRule="exact"/>
        <w:ind w:firstLine="480" w:firstLineChars="200"/>
        <w:jc w:val="left"/>
        <w:rPr>
          <w:rFonts w:asciiTheme="majorEastAsia" w:hAnsiTheme="majorEastAsia" w:eastAsiaTheme="majorEastAsia" w:cstheme="majorEastAsia"/>
          <w:color w:val="000000" w:themeColor="text1"/>
          <w:sz w:val="24"/>
          <w:szCs w:val="24"/>
        </w:rPr>
      </w:pPr>
      <w:r>
        <w:rPr>
          <w:rFonts w:asciiTheme="majorEastAsia" w:hAnsiTheme="majorEastAsia" w:eastAsiaTheme="majorEastAsia" w:cstheme="majorEastAsia"/>
          <w:color w:val="000000" w:themeColor="text1"/>
          <w:sz w:val="24"/>
          <w:szCs w:val="24"/>
        </w:rPr>
        <w:t xml:space="preserve">5.2  </w:t>
      </w:r>
      <w:r>
        <w:rPr>
          <w:rFonts w:hint="eastAsia" w:asciiTheme="majorEastAsia" w:hAnsiTheme="majorEastAsia" w:eastAsiaTheme="majorEastAsia" w:cstheme="majorEastAsia"/>
          <w:color w:val="000000" w:themeColor="text1"/>
          <w:sz w:val="24"/>
          <w:szCs w:val="24"/>
        </w:rPr>
        <w:t>投诉人投诉时，应当提交投诉书，并按照被投诉采购人、采购代理机构和与投诉事项有关的供应商数量提供投诉书的副本。投诉书应当包括下列主要内容（如材料中有外文资料应同时附上对应的中文译本）：</w:t>
      </w:r>
    </w:p>
    <w:p>
      <w:pPr>
        <w:pStyle w:val="10"/>
        <w:spacing w:line="440" w:lineRule="exact"/>
        <w:ind w:firstLine="480" w:firstLineChars="200"/>
        <w:jc w:val="left"/>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w:t>
      </w:r>
      <w:r>
        <w:rPr>
          <w:rFonts w:asciiTheme="majorEastAsia" w:hAnsiTheme="majorEastAsia" w:eastAsiaTheme="majorEastAsia" w:cstheme="majorEastAsia"/>
          <w:color w:val="000000" w:themeColor="text1"/>
          <w:sz w:val="24"/>
          <w:szCs w:val="24"/>
        </w:rPr>
        <w:t xml:space="preserve">1）投诉人和被投诉人的名称、地址、电话等； </w:t>
      </w:r>
    </w:p>
    <w:p>
      <w:pPr>
        <w:pStyle w:val="10"/>
        <w:spacing w:line="440" w:lineRule="exact"/>
        <w:ind w:firstLine="480" w:firstLineChars="200"/>
        <w:jc w:val="left"/>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w:t>
      </w:r>
      <w:r>
        <w:rPr>
          <w:rFonts w:asciiTheme="majorEastAsia" w:hAnsiTheme="majorEastAsia" w:eastAsiaTheme="majorEastAsia" w:cstheme="majorEastAsia"/>
          <w:color w:val="000000" w:themeColor="text1"/>
          <w:sz w:val="24"/>
          <w:szCs w:val="24"/>
        </w:rPr>
        <w:t>2）具体的投诉事项及事实依据；</w:t>
      </w:r>
    </w:p>
    <w:p>
      <w:pPr>
        <w:pStyle w:val="10"/>
        <w:spacing w:line="440" w:lineRule="exact"/>
        <w:ind w:firstLine="480" w:firstLineChars="200"/>
        <w:jc w:val="left"/>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w:t>
      </w:r>
      <w:r>
        <w:rPr>
          <w:rFonts w:asciiTheme="majorEastAsia" w:hAnsiTheme="majorEastAsia" w:eastAsiaTheme="majorEastAsia" w:cstheme="majorEastAsia"/>
          <w:color w:val="000000" w:themeColor="text1"/>
          <w:sz w:val="24"/>
          <w:szCs w:val="24"/>
        </w:rPr>
        <w:t xml:space="preserve">3）质疑和质疑答复情况及相关证明材料； </w:t>
      </w:r>
    </w:p>
    <w:p>
      <w:pPr>
        <w:pStyle w:val="10"/>
        <w:tabs>
          <w:tab w:val="right" w:pos="9638"/>
        </w:tabs>
        <w:spacing w:line="440" w:lineRule="exact"/>
        <w:ind w:firstLine="480" w:firstLineChars="200"/>
        <w:jc w:val="left"/>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w:t>
      </w:r>
      <w:r>
        <w:rPr>
          <w:rFonts w:asciiTheme="majorEastAsia" w:hAnsiTheme="majorEastAsia" w:eastAsiaTheme="majorEastAsia" w:cstheme="majorEastAsia"/>
          <w:color w:val="000000" w:themeColor="text1"/>
          <w:sz w:val="24"/>
          <w:szCs w:val="24"/>
        </w:rPr>
        <w:t>4）提起投诉的日期。</w:t>
      </w:r>
    </w:p>
    <w:p>
      <w:pPr>
        <w:pStyle w:val="10"/>
        <w:tabs>
          <w:tab w:val="right" w:pos="9638"/>
        </w:tabs>
        <w:spacing w:line="440" w:lineRule="exact"/>
        <w:ind w:left="2" w:firstLine="477" w:firstLineChars="199"/>
        <w:jc w:val="left"/>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w:t>
      </w:r>
      <w:r>
        <w:rPr>
          <w:rFonts w:asciiTheme="majorEastAsia" w:hAnsiTheme="majorEastAsia" w:eastAsiaTheme="majorEastAsia" w:cstheme="majorEastAsia"/>
          <w:color w:val="000000" w:themeColor="text1"/>
          <w:sz w:val="24"/>
          <w:szCs w:val="24"/>
        </w:rPr>
        <w:t>5）附件材料：营业执照副本内页复印件（要求证件有效清晰和企业年度报告公示材料；近期三个月依法缴纳税收和在职职工社会保障资金证明材料（复印件，原件备查）。</w:t>
      </w:r>
      <w:r>
        <w:rPr>
          <w:rFonts w:asciiTheme="majorEastAsia" w:hAnsiTheme="majorEastAsia" w:eastAsiaTheme="majorEastAsia" w:cstheme="majorEastAsia"/>
          <w:color w:val="000000" w:themeColor="text1"/>
          <w:sz w:val="24"/>
          <w:szCs w:val="24"/>
        </w:rPr>
        <w:tab/>
      </w:r>
      <w:r>
        <w:rPr>
          <w:rFonts w:asciiTheme="majorEastAsia" w:hAnsiTheme="majorEastAsia" w:eastAsiaTheme="majorEastAsia" w:cstheme="majorEastAsia"/>
          <w:color w:val="000000" w:themeColor="text1"/>
          <w:sz w:val="24"/>
          <w:szCs w:val="24"/>
        </w:rPr>
        <w:tab/>
      </w:r>
      <w:r>
        <w:rPr>
          <w:rFonts w:asciiTheme="majorEastAsia" w:hAnsiTheme="majorEastAsia" w:eastAsiaTheme="majorEastAsia" w:cstheme="majorEastAsia"/>
          <w:color w:val="000000" w:themeColor="text1"/>
          <w:sz w:val="24"/>
          <w:szCs w:val="24"/>
        </w:rPr>
        <w:tab/>
      </w:r>
      <w:r>
        <w:rPr>
          <w:rFonts w:asciiTheme="majorEastAsia" w:hAnsiTheme="majorEastAsia" w:eastAsiaTheme="majorEastAsia" w:cstheme="majorEastAsia"/>
          <w:color w:val="000000" w:themeColor="text1"/>
          <w:sz w:val="24"/>
          <w:szCs w:val="24"/>
        </w:rPr>
        <w:t xml:space="preserve">    投诉书应当署名。投诉人为法人或者其他组织的，应当由法定代表人或者主要负责人签字盖章并加盖公章。</w:t>
      </w:r>
    </w:p>
    <w:p>
      <w:pPr>
        <w:pStyle w:val="10"/>
        <w:spacing w:line="440" w:lineRule="exact"/>
        <w:ind w:firstLine="480" w:firstLineChars="200"/>
        <w:rPr>
          <w:rFonts w:asciiTheme="majorEastAsia" w:hAnsiTheme="majorEastAsia" w:eastAsiaTheme="majorEastAsia" w:cstheme="majorEastAsia"/>
          <w:color w:val="000000" w:themeColor="text1"/>
          <w:sz w:val="24"/>
          <w:szCs w:val="24"/>
        </w:rPr>
      </w:pPr>
      <w:r>
        <w:rPr>
          <w:rFonts w:asciiTheme="majorEastAsia" w:hAnsiTheme="majorEastAsia" w:eastAsiaTheme="majorEastAsia" w:cstheme="majorEastAsia"/>
          <w:color w:val="000000" w:themeColor="text1"/>
          <w:sz w:val="24"/>
          <w:szCs w:val="24"/>
        </w:rPr>
        <w:t xml:space="preserve">5.3  </w:t>
      </w:r>
      <w:r>
        <w:rPr>
          <w:rFonts w:hint="eastAsia" w:asciiTheme="majorEastAsia" w:hAnsiTheme="majorEastAsia" w:eastAsiaTheme="majorEastAsia" w:cstheme="majorEastAsia"/>
          <w:color w:val="000000" w:themeColor="text1"/>
          <w:sz w:val="24"/>
          <w:szCs w:val="24"/>
        </w:rPr>
        <w:t>投诉人可以委托代理人办理投诉事务。代理人办理投诉事务时，除提交投诉书外，还应当提交投诉人的授权委托书，授权委托书应当载明委托代理的具体权限和事项。</w:t>
      </w:r>
    </w:p>
    <w:p>
      <w:pPr>
        <w:pStyle w:val="10"/>
        <w:spacing w:line="440" w:lineRule="exact"/>
        <w:ind w:firstLine="480" w:firstLineChars="200"/>
        <w:rPr>
          <w:rFonts w:asciiTheme="majorEastAsia" w:hAnsiTheme="majorEastAsia" w:eastAsiaTheme="majorEastAsia" w:cstheme="majorEastAsia"/>
          <w:color w:val="000000" w:themeColor="text1"/>
          <w:sz w:val="24"/>
          <w:szCs w:val="24"/>
        </w:rPr>
      </w:pPr>
      <w:r>
        <w:rPr>
          <w:rFonts w:asciiTheme="majorEastAsia" w:hAnsiTheme="majorEastAsia" w:eastAsiaTheme="majorEastAsia" w:cstheme="majorEastAsia"/>
          <w:color w:val="000000" w:themeColor="text1"/>
          <w:sz w:val="24"/>
          <w:szCs w:val="24"/>
        </w:rPr>
        <w:t xml:space="preserve">5.4  </w:t>
      </w:r>
      <w:r>
        <w:rPr>
          <w:rFonts w:hint="eastAsia" w:asciiTheme="majorEastAsia" w:hAnsiTheme="majorEastAsia" w:eastAsiaTheme="majorEastAsia" w:cstheme="majorEastAsia"/>
          <w:color w:val="000000" w:themeColor="text1"/>
          <w:sz w:val="24"/>
          <w:szCs w:val="24"/>
        </w:rPr>
        <w:t>投诉人提起投诉应当符合下列条件：</w:t>
      </w:r>
    </w:p>
    <w:p>
      <w:pPr>
        <w:spacing w:line="440" w:lineRule="exact"/>
        <w:ind w:firstLine="480" w:firstLineChars="200"/>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t>（</w:t>
      </w:r>
      <w:r>
        <w:rPr>
          <w:rFonts w:asciiTheme="majorEastAsia" w:hAnsiTheme="majorEastAsia" w:eastAsiaTheme="majorEastAsia" w:cstheme="majorEastAsia"/>
          <w:color w:val="000000" w:themeColor="text1"/>
          <w:sz w:val="24"/>
        </w:rPr>
        <w:t>1）投诉人是参与所投诉政府采购活动的供应商；</w:t>
      </w:r>
    </w:p>
    <w:p>
      <w:pPr>
        <w:spacing w:line="440" w:lineRule="exact"/>
        <w:ind w:firstLine="480" w:firstLineChars="200"/>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t>（</w:t>
      </w:r>
      <w:r>
        <w:rPr>
          <w:rFonts w:asciiTheme="majorEastAsia" w:hAnsiTheme="majorEastAsia" w:eastAsiaTheme="majorEastAsia" w:cstheme="majorEastAsia"/>
          <w:color w:val="000000" w:themeColor="text1"/>
          <w:sz w:val="24"/>
        </w:rPr>
        <w:t>2）提起投诉前已依法进行质疑；</w:t>
      </w:r>
    </w:p>
    <w:p>
      <w:pPr>
        <w:spacing w:line="440" w:lineRule="exact"/>
        <w:ind w:firstLine="480" w:firstLineChars="200"/>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t>（</w:t>
      </w:r>
      <w:r>
        <w:rPr>
          <w:rFonts w:asciiTheme="majorEastAsia" w:hAnsiTheme="majorEastAsia" w:eastAsiaTheme="majorEastAsia" w:cstheme="majorEastAsia"/>
          <w:color w:val="000000" w:themeColor="text1"/>
          <w:sz w:val="24"/>
        </w:rPr>
        <w:t>3）投诉书内容符合本章第5.2项的规定；</w:t>
      </w:r>
    </w:p>
    <w:p>
      <w:pPr>
        <w:spacing w:line="440" w:lineRule="exact"/>
        <w:ind w:firstLine="480" w:firstLineChars="200"/>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t>（</w:t>
      </w:r>
      <w:r>
        <w:rPr>
          <w:rFonts w:asciiTheme="majorEastAsia" w:hAnsiTheme="majorEastAsia" w:eastAsiaTheme="majorEastAsia" w:cstheme="majorEastAsia"/>
          <w:color w:val="000000" w:themeColor="text1"/>
          <w:sz w:val="24"/>
        </w:rPr>
        <w:t>4）在投诉有效期限内提起投诉；</w:t>
      </w:r>
    </w:p>
    <w:p>
      <w:pPr>
        <w:spacing w:line="440" w:lineRule="exact"/>
        <w:ind w:firstLine="480" w:firstLineChars="200"/>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t>（</w:t>
      </w:r>
      <w:r>
        <w:rPr>
          <w:rFonts w:asciiTheme="majorEastAsia" w:hAnsiTheme="majorEastAsia" w:eastAsiaTheme="majorEastAsia" w:cstheme="majorEastAsia"/>
          <w:color w:val="000000" w:themeColor="text1"/>
          <w:sz w:val="24"/>
        </w:rPr>
        <w:t>5）属于南宁市政府采购监督管理部门管辖；</w:t>
      </w:r>
    </w:p>
    <w:p>
      <w:pPr>
        <w:spacing w:line="440" w:lineRule="exact"/>
        <w:ind w:firstLine="480" w:firstLineChars="200"/>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t>（</w:t>
      </w:r>
      <w:r>
        <w:rPr>
          <w:rFonts w:asciiTheme="majorEastAsia" w:hAnsiTheme="majorEastAsia" w:eastAsiaTheme="majorEastAsia" w:cstheme="majorEastAsia"/>
          <w:color w:val="000000" w:themeColor="text1"/>
          <w:sz w:val="24"/>
        </w:rPr>
        <w:t>6）同一投诉事项未经南宁市政府采购监督管理部门投诉处理；</w:t>
      </w:r>
    </w:p>
    <w:p>
      <w:pPr>
        <w:spacing w:line="440" w:lineRule="exact"/>
        <w:ind w:firstLine="480" w:firstLineChars="200"/>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t>（</w:t>
      </w:r>
      <w:r>
        <w:rPr>
          <w:rFonts w:asciiTheme="majorEastAsia" w:hAnsiTheme="majorEastAsia" w:eastAsiaTheme="majorEastAsia" w:cstheme="majorEastAsia"/>
          <w:color w:val="000000" w:themeColor="text1"/>
          <w:sz w:val="24"/>
        </w:rPr>
        <w:t>7）国务院财政部门规定的其他条件。</w:t>
      </w:r>
    </w:p>
    <w:p>
      <w:pPr>
        <w:spacing w:line="440" w:lineRule="exact"/>
        <w:ind w:firstLine="480" w:firstLineChars="200"/>
        <w:rPr>
          <w:rFonts w:asciiTheme="majorEastAsia" w:hAnsiTheme="majorEastAsia" w:eastAsiaTheme="majorEastAsia" w:cstheme="majorEastAsia"/>
          <w:color w:val="000000" w:themeColor="text1"/>
          <w:sz w:val="24"/>
        </w:rPr>
      </w:pPr>
      <w:r>
        <w:rPr>
          <w:rFonts w:asciiTheme="majorEastAsia" w:hAnsiTheme="majorEastAsia" w:eastAsiaTheme="majorEastAsia" w:cstheme="majorEastAsia"/>
          <w:color w:val="000000" w:themeColor="text1"/>
          <w:sz w:val="24"/>
        </w:rPr>
        <w:t xml:space="preserve">5.5  </w:t>
      </w:r>
      <w:r>
        <w:rPr>
          <w:rFonts w:hint="eastAsia" w:asciiTheme="majorEastAsia" w:hAnsiTheme="majorEastAsia" w:eastAsiaTheme="majorEastAsia" w:cstheme="majorEastAsia"/>
          <w:color w:val="000000" w:themeColor="text1"/>
          <w:sz w:val="24"/>
        </w:rPr>
        <w:t>南宁市政府采购监督管理部门自受理投诉之日起三十个工作日内，对投诉事项作出处理决定，并以书面形式通知投诉人、被投诉人及其他与投诉处理结果有利害关系的政府采购当事人。</w:t>
      </w:r>
    </w:p>
    <w:p>
      <w:pPr>
        <w:spacing w:line="440" w:lineRule="exact"/>
        <w:ind w:firstLine="480" w:firstLineChars="200"/>
        <w:rPr>
          <w:rFonts w:asciiTheme="majorEastAsia" w:hAnsiTheme="majorEastAsia" w:eastAsiaTheme="majorEastAsia" w:cstheme="majorEastAsia"/>
          <w:color w:val="000000" w:themeColor="text1"/>
          <w:sz w:val="24"/>
        </w:rPr>
      </w:pPr>
      <w:r>
        <w:rPr>
          <w:rFonts w:asciiTheme="majorEastAsia" w:hAnsiTheme="majorEastAsia" w:eastAsiaTheme="majorEastAsia" w:cstheme="majorEastAsia"/>
          <w:color w:val="000000" w:themeColor="text1"/>
          <w:sz w:val="24"/>
        </w:rPr>
        <w:t xml:space="preserve">5.6  </w:t>
      </w:r>
      <w:r>
        <w:rPr>
          <w:rFonts w:hint="eastAsia" w:asciiTheme="majorEastAsia" w:hAnsiTheme="majorEastAsia" w:eastAsiaTheme="majorEastAsia" w:cstheme="majorEastAsia"/>
          <w:color w:val="000000" w:themeColor="text1"/>
          <w:sz w:val="24"/>
        </w:rPr>
        <w:t>南宁市政府采购监督管理部门在处理投诉事项期间，可以视具体情况暂停采购活动。</w:t>
      </w:r>
    </w:p>
    <w:p>
      <w:pPr>
        <w:pStyle w:val="16"/>
        <w:outlineLvl w:val="1"/>
        <w:rPr>
          <w:rFonts w:asciiTheme="majorEastAsia" w:hAnsiTheme="majorEastAsia" w:eastAsiaTheme="majorEastAsia" w:cstheme="majorEastAsia"/>
          <w:color w:val="000000" w:themeColor="text1"/>
        </w:rPr>
      </w:pPr>
      <w:bookmarkStart w:id="51" w:name="_Toc485920214"/>
      <w:bookmarkStart w:id="52" w:name="_Toc460253705"/>
      <w:bookmarkStart w:id="53" w:name="_Toc32743"/>
      <w:bookmarkStart w:id="54" w:name="_Toc11021"/>
      <w:bookmarkStart w:id="55" w:name="_Toc213326417"/>
      <w:bookmarkStart w:id="56" w:name="_Toc9777"/>
      <w:r>
        <w:rPr>
          <w:rFonts w:hint="eastAsia" w:asciiTheme="majorEastAsia" w:hAnsiTheme="majorEastAsia" w:eastAsiaTheme="majorEastAsia" w:cstheme="majorEastAsia"/>
          <w:color w:val="000000" w:themeColor="text1"/>
        </w:rPr>
        <w:t>二   竞争性磋商采购文件</w:t>
      </w:r>
      <w:bookmarkEnd w:id="51"/>
      <w:bookmarkEnd w:id="52"/>
      <w:bookmarkEnd w:id="53"/>
      <w:bookmarkEnd w:id="54"/>
      <w:bookmarkEnd w:id="55"/>
      <w:bookmarkEnd w:id="56"/>
    </w:p>
    <w:p>
      <w:pPr>
        <w:pStyle w:val="10"/>
        <w:spacing w:line="440" w:lineRule="exact"/>
        <w:rPr>
          <w:rFonts w:asciiTheme="majorEastAsia" w:hAnsiTheme="majorEastAsia" w:eastAsiaTheme="majorEastAsia" w:cstheme="majorEastAsia"/>
          <w:bCs/>
          <w:color w:val="000000" w:themeColor="text1"/>
          <w:sz w:val="24"/>
          <w:szCs w:val="24"/>
        </w:rPr>
      </w:pPr>
      <w:r>
        <w:rPr>
          <w:rFonts w:hint="eastAsia" w:asciiTheme="majorEastAsia" w:hAnsiTheme="majorEastAsia" w:eastAsiaTheme="majorEastAsia" w:cstheme="majorEastAsia"/>
          <w:bCs/>
          <w:color w:val="000000" w:themeColor="text1"/>
          <w:sz w:val="24"/>
          <w:szCs w:val="24"/>
        </w:rPr>
        <w:t>6.  竞争性磋商采购文件的组成</w:t>
      </w:r>
    </w:p>
    <w:p>
      <w:pPr>
        <w:pStyle w:val="10"/>
        <w:spacing w:line="440" w:lineRule="exact"/>
        <w:ind w:firstLine="480" w:firstLineChars="200"/>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6.1  本</w:t>
      </w:r>
      <w:r>
        <w:rPr>
          <w:rFonts w:hint="eastAsia" w:asciiTheme="majorEastAsia" w:hAnsiTheme="majorEastAsia" w:eastAsiaTheme="majorEastAsia" w:cstheme="majorEastAsia"/>
          <w:bCs/>
          <w:color w:val="000000" w:themeColor="text1"/>
          <w:sz w:val="24"/>
          <w:szCs w:val="24"/>
        </w:rPr>
        <w:t>竞争性磋商采购文件</w:t>
      </w:r>
      <w:r>
        <w:rPr>
          <w:rFonts w:hint="eastAsia" w:asciiTheme="majorEastAsia" w:hAnsiTheme="majorEastAsia" w:eastAsiaTheme="majorEastAsia" w:cstheme="majorEastAsia"/>
          <w:color w:val="000000" w:themeColor="text1"/>
          <w:sz w:val="24"/>
          <w:szCs w:val="24"/>
        </w:rPr>
        <w:t>包括六个章节，各章的内容如下：</w:t>
      </w:r>
    </w:p>
    <w:p>
      <w:pPr>
        <w:pStyle w:val="10"/>
        <w:spacing w:line="440" w:lineRule="exact"/>
        <w:ind w:firstLine="480" w:firstLineChars="200"/>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第一章  竞争性磋商公告</w:t>
      </w:r>
    </w:p>
    <w:p>
      <w:pPr>
        <w:pStyle w:val="10"/>
        <w:spacing w:line="440" w:lineRule="exact"/>
        <w:ind w:firstLine="480" w:firstLineChars="200"/>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第二章  服务需求一览表</w:t>
      </w:r>
    </w:p>
    <w:p>
      <w:pPr>
        <w:pStyle w:val="10"/>
        <w:spacing w:line="440" w:lineRule="exact"/>
        <w:ind w:firstLine="480" w:firstLineChars="200"/>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第三章  评审方法</w:t>
      </w:r>
    </w:p>
    <w:p>
      <w:pPr>
        <w:pStyle w:val="10"/>
        <w:spacing w:line="440" w:lineRule="exact"/>
        <w:ind w:firstLine="480" w:firstLineChars="200"/>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第四章  磋商供应商须知</w:t>
      </w:r>
    </w:p>
    <w:p>
      <w:pPr>
        <w:pStyle w:val="10"/>
        <w:spacing w:line="440" w:lineRule="exact"/>
        <w:ind w:firstLine="480" w:firstLineChars="200"/>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第五章  响应文件格式</w:t>
      </w:r>
    </w:p>
    <w:p>
      <w:pPr>
        <w:pStyle w:val="10"/>
        <w:spacing w:line="440" w:lineRule="exact"/>
        <w:ind w:firstLine="480" w:firstLineChars="200"/>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第六章  合同草案条款及格式</w:t>
      </w:r>
    </w:p>
    <w:p>
      <w:pPr>
        <w:pStyle w:val="10"/>
        <w:spacing w:line="440" w:lineRule="exact"/>
        <w:ind w:firstLine="480" w:firstLineChars="200"/>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6.2  根据本章第7.1项的规定对竞争性磋商文件所做的澄清、修改，构成竞争性磋商文件的组成部分。当竞争性磋商文件与澄清和修改的同一内容的表述不一致时，以最后发出的书面文件为准。</w:t>
      </w:r>
    </w:p>
    <w:p>
      <w:pPr>
        <w:pStyle w:val="10"/>
        <w:spacing w:line="440" w:lineRule="exact"/>
        <w:rPr>
          <w:rFonts w:asciiTheme="majorEastAsia" w:hAnsiTheme="majorEastAsia" w:eastAsiaTheme="majorEastAsia" w:cstheme="majorEastAsia"/>
          <w:bCs/>
          <w:color w:val="000000" w:themeColor="text1"/>
          <w:sz w:val="24"/>
          <w:szCs w:val="24"/>
        </w:rPr>
      </w:pPr>
      <w:r>
        <w:rPr>
          <w:rFonts w:hint="eastAsia" w:asciiTheme="majorEastAsia" w:hAnsiTheme="majorEastAsia" w:eastAsiaTheme="majorEastAsia" w:cstheme="majorEastAsia"/>
          <w:bCs/>
          <w:color w:val="000000" w:themeColor="text1"/>
          <w:sz w:val="24"/>
          <w:szCs w:val="24"/>
        </w:rPr>
        <w:t>7.  竞争性</w:t>
      </w:r>
      <w:r>
        <w:rPr>
          <w:rFonts w:hint="eastAsia" w:asciiTheme="majorEastAsia" w:hAnsiTheme="majorEastAsia" w:eastAsiaTheme="majorEastAsia" w:cstheme="majorEastAsia"/>
          <w:color w:val="000000" w:themeColor="text1"/>
          <w:sz w:val="24"/>
          <w:szCs w:val="24"/>
        </w:rPr>
        <w:t>磋商</w:t>
      </w:r>
      <w:r>
        <w:rPr>
          <w:rFonts w:hint="eastAsia" w:asciiTheme="majorEastAsia" w:hAnsiTheme="majorEastAsia" w:eastAsiaTheme="majorEastAsia" w:cstheme="majorEastAsia"/>
          <w:bCs/>
          <w:color w:val="000000" w:themeColor="text1"/>
          <w:sz w:val="24"/>
          <w:szCs w:val="24"/>
        </w:rPr>
        <w:t>采购文件的澄清和修改</w:t>
      </w:r>
    </w:p>
    <w:p>
      <w:pPr>
        <w:pStyle w:val="10"/>
        <w:spacing w:line="440" w:lineRule="exact"/>
        <w:ind w:left="2" w:leftChars="1" w:firstLine="480" w:firstLineChars="200"/>
        <w:rPr>
          <w:rFonts w:asciiTheme="majorEastAsia" w:hAnsiTheme="majorEastAsia" w:eastAsiaTheme="majorEastAsia" w:cstheme="majorEastAsia"/>
          <w:b/>
          <w:color w:val="000000" w:themeColor="text1"/>
          <w:sz w:val="24"/>
          <w:szCs w:val="24"/>
        </w:rPr>
      </w:pPr>
      <w:r>
        <w:rPr>
          <w:rFonts w:hint="eastAsia" w:asciiTheme="majorEastAsia" w:hAnsiTheme="majorEastAsia" w:eastAsiaTheme="majorEastAsia" w:cstheme="majorEastAsia"/>
          <w:color w:val="000000" w:themeColor="text1"/>
          <w:sz w:val="24"/>
          <w:szCs w:val="24"/>
        </w:rPr>
        <w:t>7.1　提交首次响应文件截止之日前，采购人、采购代理机构或者磋商小组可以对已发出的磋商文件进行必要的澄清或者修改。澄清或者修改的内容可能影响响应文件编制的，采购人、采购代理机构应当在提交首次响应文件截止时间至少5日前；不足5日的，采购人、采购代理机构应当顺延提交首次响应文件截止时间。同时，采购代理机构在本章第2.1项规定的政府采购信息发布媒体上发布更正公告，</w:t>
      </w:r>
      <w:r>
        <w:rPr>
          <w:rFonts w:hint="eastAsia" w:asciiTheme="majorEastAsia" w:hAnsiTheme="majorEastAsia" w:eastAsiaTheme="majorEastAsia" w:cstheme="majorEastAsia"/>
          <w:b/>
          <w:color w:val="000000" w:themeColor="text1"/>
          <w:sz w:val="24"/>
          <w:szCs w:val="24"/>
        </w:rPr>
        <w:t>请磋商供应商随时关注网站动态，代理机构将不再另行电话通知。</w:t>
      </w:r>
    </w:p>
    <w:p>
      <w:pPr>
        <w:pStyle w:val="10"/>
        <w:spacing w:line="440" w:lineRule="exact"/>
        <w:ind w:left="2" w:leftChars="1" w:firstLine="480" w:firstLineChars="200"/>
        <w:rPr>
          <w:rFonts w:asciiTheme="majorEastAsia" w:hAnsiTheme="majorEastAsia" w:eastAsiaTheme="majorEastAsia" w:cstheme="majorEastAsia"/>
          <w:b/>
          <w:color w:val="000000" w:themeColor="text1"/>
          <w:sz w:val="24"/>
          <w:szCs w:val="24"/>
        </w:rPr>
      </w:pPr>
      <w:r>
        <w:rPr>
          <w:rFonts w:hint="eastAsia" w:asciiTheme="majorEastAsia" w:hAnsiTheme="majorEastAsia" w:eastAsiaTheme="majorEastAsia" w:cstheme="majorEastAsia"/>
          <w:color w:val="000000" w:themeColor="text1"/>
          <w:sz w:val="24"/>
          <w:szCs w:val="24"/>
        </w:rPr>
        <w:t>7.2采购人和采购代理机构可以视采购具体情况，变更递交响应文件截止时间，但应当在递交响应文件截止之日前，采购代理机构在本章第2.1项规定的政府采购信息发布媒体上发布更正公告，</w:t>
      </w:r>
      <w:r>
        <w:rPr>
          <w:rFonts w:hint="eastAsia" w:asciiTheme="majorEastAsia" w:hAnsiTheme="majorEastAsia" w:eastAsiaTheme="majorEastAsia" w:cstheme="majorEastAsia"/>
          <w:b/>
          <w:color w:val="000000" w:themeColor="text1"/>
          <w:sz w:val="24"/>
          <w:szCs w:val="24"/>
        </w:rPr>
        <w:t>请磋商供应商随时关注网站动态，代理机构将不再另行电话通知。</w:t>
      </w:r>
    </w:p>
    <w:p>
      <w:pPr>
        <w:pStyle w:val="16"/>
        <w:outlineLvl w:val="1"/>
        <w:rPr>
          <w:rFonts w:asciiTheme="majorEastAsia" w:hAnsiTheme="majorEastAsia" w:eastAsiaTheme="majorEastAsia" w:cstheme="majorEastAsia"/>
          <w:color w:val="000000" w:themeColor="text1"/>
        </w:rPr>
      </w:pPr>
      <w:bookmarkStart w:id="57" w:name="_Toc460253706"/>
      <w:bookmarkStart w:id="58" w:name="_Toc30256"/>
      <w:bookmarkStart w:id="59" w:name="_Toc4272"/>
      <w:bookmarkStart w:id="60" w:name="_Toc2042"/>
      <w:bookmarkStart w:id="61" w:name="_Toc485920215"/>
      <w:bookmarkStart w:id="62" w:name="_Toc213326418"/>
      <w:r>
        <w:rPr>
          <w:rFonts w:hint="eastAsia" w:asciiTheme="majorEastAsia" w:hAnsiTheme="majorEastAsia" w:eastAsiaTheme="majorEastAsia" w:cstheme="majorEastAsia"/>
          <w:color w:val="000000" w:themeColor="text1"/>
        </w:rPr>
        <w:t>三   响应文件</w:t>
      </w:r>
      <w:bookmarkEnd w:id="57"/>
      <w:bookmarkEnd w:id="58"/>
      <w:bookmarkEnd w:id="59"/>
      <w:bookmarkEnd w:id="60"/>
      <w:bookmarkEnd w:id="61"/>
      <w:bookmarkEnd w:id="62"/>
    </w:p>
    <w:p>
      <w:pPr>
        <w:pStyle w:val="10"/>
        <w:spacing w:line="440" w:lineRule="exact"/>
        <w:rPr>
          <w:rFonts w:asciiTheme="majorEastAsia" w:hAnsiTheme="majorEastAsia" w:eastAsiaTheme="majorEastAsia" w:cstheme="majorEastAsia"/>
          <w:bCs/>
          <w:color w:val="000000" w:themeColor="text1"/>
          <w:sz w:val="24"/>
          <w:szCs w:val="24"/>
        </w:rPr>
      </w:pPr>
      <w:r>
        <w:rPr>
          <w:rFonts w:hint="eastAsia" w:asciiTheme="majorEastAsia" w:hAnsiTheme="majorEastAsia" w:eastAsiaTheme="majorEastAsia" w:cstheme="majorEastAsia"/>
          <w:bCs/>
          <w:color w:val="000000" w:themeColor="text1"/>
          <w:sz w:val="24"/>
          <w:szCs w:val="24"/>
        </w:rPr>
        <w:t>8.  响应文件的编制</w:t>
      </w:r>
    </w:p>
    <w:p>
      <w:pPr>
        <w:pStyle w:val="10"/>
        <w:spacing w:line="440" w:lineRule="exact"/>
        <w:ind w:left="2" w:leftChars="1" w:firstLine="480" w:firstLineChars="200"/>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8.1 磋商供应商应仔细阅读竞争性磋商文件，在充分了解采购的内容、技术参数要求和商务条款以及实质性要求和条件后，编写响应文件。</w:t>
      </w:r>
    </w:p>
    <w:p>
      <w:pPr>
        <w:pStyle w:val="10"/>
        <w:spacing w:line="440" w:lineRule="exact"/>
        <w:ind w:left="2" w:leftChars="1" w:firstLine="480" w:firstLineChars="200"/>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8.2  对竞争性磋商文件的实质性要求和条件作出响应是指磋商供应商必须对竞争性磋商文件中标注为实质性要求和条件的技术参数要求、商务条款及其它内容</w:t>
      </w:r>
      <w:r>
        <w:rPr>
          <w:rFonts w:hint="eastAsia" w:asciiTheme="majorEastAsia" w:hAnsiTheme="majorEastAsia" w:eastAsiaTheme="majorEastAsia" w:cstheme="majorEastAsia"/>
          <w:b/>
          <w:color w:val="000000" w:themeColor="text1"/>
          <w:sz w:val="24"/>
          <w:szCs w:val="24"/>
        </w:rPr>
        <w:t>作出满足或者优于原要求和条件的承诺</w:t>
      </w:r>
      <w:r>
        <w:rPr>
          <w:rFonts w:hint="eastAsia" w:asciiTheme="majorEastAsia" w:hAnsiTheme="majorEastAsia" w:eastAsiaTheme="majorEastAsia" w:cstheme="majorEastAsia"/>
          <w:color w:val="000000" w:themeColor="text1"/>
          <w:sz w:val="24"/>
          <w:szCs w:val="24"/>
        </w:rPr>
        <w:t>。</w:t>
      </w:r>
    </w:p>
    <w:p>
      <w:pPr>
        <w:pStyle w:val="10"/>
        <w:spacing w:line="440" w:lineRule="exact"/>
        <w:ind w:left="2" w:leftChars="1" w:firstLine="480" w:firstLineChars="200"/>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8.3  竞争性磋商文件中标注★号的内容为实质性要求和条件。</w:t>
      </w:r>
    </w:p>
    <w:p>
      <w:pPr>
        <w:pStyle w:val="10"/>
        <w:spacing w:line="440" w:lineRule="exact"/>
        <w:ind w:left="2" w:leftChars="1" w:firstLine="480" w:firstLineChars="200"/>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8.4  响应文件应用不褪色的材料书写或打印，保证其清楚、工整，相关材料的复印件应清晰可辨认。响应文件字迹潦草、表达不清、模糊无法辨认而导致非唯一理解是磋商供应商的风险，很可能导致该响应无效。</w:t>
      </w:r>
    </w:p>
    <w:p>
      <w:pPr>
        <w:pStyle w:val="10"/>
        <w:spacing w:line="440" w:lineRule="exact"/>
        <w:ind w:left="2" w:leftChars="1" w:firstLine="480" w:firstLineChars="200"/>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8.5  第五章“响应文件格式”中规定了响应文件格式的，应按相应格式要求编写。</w:t>
      </w:r>
    </w:p>
    <w:p>
      <w:pPr>
        <w:pStyle w:val="10"/>
        <w:spacing w:line="440" w:lineRule="exact"/>
        <w:ind w:left="2" w:leftChars="1" w:firstLine="480" w:firstLineChars="200"/>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8.6  响应文件应由磋商供应商的法定代表人或其委托代理人在凡规定签章处逐一签字或盖章并加盖单位公章。响应文件应尽量避免涂改、行间插字或删除。如果出现上述情况，改动之处应加盖单位公章或由磋商供应商的法定代表人或其委托代理人签字或盖章确认。</w:t>
      </w:r>
    </w:p>
    <w:p>
      <w:pPr>
        <w:pStyle w:val="10"/>
        <w:spacing w:line="440" w:lineRule="exact"/>
        <w:ind w:left="2" w:leftChars="1" w:firstLine="480" w:firstLineChars="200"/>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8.7  响应文件应编制目录，且页码清晰准确。</w:t>
      </w:r>
    </w:p>
    <w:p>
      <w:pPr>
        <w:pStyle w:val="10"/>
        <w:spacing w:line="440" w:lineRule="exact"/>
        <w:ind w:left="2" w:leftChars="1" w:firstLine="480" w:firstLineChars="200"/>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8.8  响应文件的正本和副本应分别装订成册，封面上应清楚地标记“正本”或“副本”字样，并标明项目名称、项目编号、磋商供应商名称等内容。副本可以采用正本的复印件，当副本和正本不一致时，以正本为准。磋商供应商应准备首次报价文件正本、技术文件正本、商务文件正本各一份，副本份数见磋商供应商须知前附表。</w:t>
      </w:r>
    </w:p>
    <w:p>
      <w:pPr>
        <w:pStyle w:val="10"/>
        <w:spacing w:line="440" w:lineRule="exact"/>
        <w:rPr>
          <w:rFonts w:asciiTheme="majorEastAsia" w:hAnsiTheme="majorEastAsia" w:eastAsiaTheme="majorEastAsia" w:cstheme="majorEastAsia"/>
          <w:bCs/>
          <w:color w:val="000000" w:themeColor="text1"/>
          <w:sz w:val="24"/>
          <w:szCs w:val="24"/>
        </w:rPr>
      </w:pPr>
      <w:r>
        <w:rPr>
          <w:rFonts w:hint="eastAsia" w:asciiTheme="majorEastAsia" w:hAnsiTheme="majorEastAsia" w:eastAsiaTheme="majorEastAsia" w:cstheme="majorEastAsia"/>
          <w:bCs/>
          <w:color w:val="000000" w:themeColor="text1"/>
          <w:sz w:val="24"/>
          <w:szCs w:val="24"/>
        </w:rPr>
        <w:t>9.  响应文件语言文字及计量单位</w:t>
      </w:r>
    </w:p>
    <w:p>
      <w:pPr>
        <w:pStyle w:val="10"/>
        <w:spacing w:line="440" w:lineRule="exact"/>
        <w:ind w:firstLine="480" w:firstLineChars="200"/>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9.1  磋商供应商的响应文件以及磋商供应商与采购人、采购代理机构就有关磋商的所有往来函电统一使用中文（特别规定除外）。磋商供应商随响应文件或往来函电所提交的相关证明材料等可以使用其他语言，但必须同时提供由专业翻译机构出具的或经公证的中文译文，否则视同未提供该项证明材料。</w:t>
      </w:r>
    </w:p>
    <w:p>
      <w:pPr>
        <w:pStyle w:val="10"/>
        <w:spacing w:line="440" w:lineRule="exact"/>
        <w:ind w:firstLine="480" w:firstLineChars="200"/>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9.2  对不同文字文本响应文件的解释发生异议的，以中文文本为准。</w:t>
      </w:r>
    </w:p>
    <w:p>
      <w:pPr>
        <w:pStyle w:val="10"/>
        <w:spacing w:line="440" w:lineRule="exact"/>
        <w:ind w:firstLine="480" w:firstLineChars="200"/>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9.3  响应文件使用的计量单位除竞争性磋商文件中有特殊规定外，一律使用中华人民共和国法定计量单位。</w:t>
      </w:r>
    </w:p>
    <w:p>
      <w:pPr>
        <w:pStyle w:val="10"/>
        <w:spacing w:line="440" w:lineRule="exact"/>
        <w:rPr>
          <w:rFonts w:asciiTheme="majorEastAsia" w:hAnsiTheme="majorEastAsia" w:eastAsiaTheme="majorEastAsia" w:cstheme="majorEastAsia"/>
          <w:bCs/>
          <w:color w:val="000000" w:themeColor="text1"/>
          <w:sz w:val="24"/>
          <w:szCs w:val="24"/>
        </w:rPr>
      </w:pPr>
      <w:bookmarkStart w:id="63" w:name="_Toc485920221"/>
      <w:bookmarkStart w:id="64" w:name="_Toc460253715"/>
      <w:bookmarkStart w:id="65" w:name="_Toc213326424"/>
      <w:bookmarkStart w:id="66" w:name="_Toc213206176"/>
      <w:bookmarkStart w:id="67" w:name="_Toc213325925"/>
      <w:r>
        <w:rPr>
          <w:rFonts w:hint="eastAsia" w:asciiTheme="majorEastAsia" w:hAnsiTheme="majorEastAsia" w:eastAsiaTheme="majorEastAsia" w:cstheme="majorEastAsia"/>
          <w:bCs/>
          <w:color w:val="000000" w:themeColor="text1"/>
          <w:sz w:val="24"/>
          <w:szCs w:val="24"/>
        </w:rPr>
        <w:t>10.  响应文件的组成</w:t>
      </w:r>
    </w:p>
    <w:p>
      <w:pPr>
        <w:pStyle w:val="10"/>
        <w:spacing w:line="440" w:lineRule="exact"/>
        <w:ind w:firstLine="480" w:firstLineChars="200"/>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10.1  磋商供应商需编制的响应文件包括首次报价文件、技术文件和商务文件三部分，磋商供应商应按下列说明编写和提交。应提交的有关文件如未特别注明为原件的，可提交复印件。</w:t>
      </w:r>
    </w:p>
    <w:p>
      <w:pPr>
        <w:pStyle w:val="10"/>
        <w:spacing w:line="440" w:lineRule="exact"/>
        <w:ind w:firstLine="480" w:firstLineChars="200"/>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10.1.1  首次报价文件，包括：</w:t>
      </w:r>
    </w:p>
    <w:p>
      <w:pPr>
        <w:pStyle w:val="10"/>
        <w:spacing w:line="440" w:lineRule="exact"/>
        <w:ind w:firstLine="420"/>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（1）响应函：按第五章“响应文件格式”提供的“响应函（格式）”的要求填写；</w:t>
      </w:r>
    </w:p>
    <w:p>
      <w:pPr>
        <w:pStyle w:val="10"/>
        <w:spacing w:line="440" w:lineRule="exact"/>
        <w:ind w:firstLine="420"/>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（2）响应报价表：按第五章“响应文件格式”提供的“响应报价表（格式）”的要求填写。</w:t>
      </w:r>
    </w:p>
    <w:p>
      <w:pPr>
        <w:pStyle w:val="10"/>
        <w:spacing w:line="440" w:lineRule="exact"/>
        <w:ind w:firstLine="360" w:firstLineChars="150"/>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（3）中小企业声明函：按第五章“响应文件格式”提供的“中小企业声明函（格式）”的要求填写。</w:t>
      </w:r>
    </w:p>
    <w:p>
      <w:pPr>
        <w:pStyle w:val="10"/>
        <w:spacing w:line="440" w:lineRule="exact"/>
        <w:ind w:firstLine="360" w:firstLineChars="150"/>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（4）残疾人福利性单位声明函：按第五章“响应文件格式”提供的“残疾人福利性单位声明函（格式）”的要求填写；</w:t>
      </w:r>
    </w:p>
    <w:p>
      <w:pPr>
        <w:pStyle w:val="10"/>
        <w:spacing w:after="165" w:line="440" w:lineRule="exact"/>
        <w:ind w:firstLine="360" w:firstLineChars="150"/>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（5）监狱企业证明：提供由省级以上监狱管理局、戒毒管理局（含新疆生产建设兵团）出具的属于监狱企业的证明文件。</w:t>
      </w:r>
    </w:p>
    <w:p>
      <w:pPr>
        <w:pStyle w:val="10"/>
        <w:spacing w:line="440" w:lineRule="exact"/>
        <w:ind w:firstLine="482" w:firstLineChars="200"/>
        <w:rPr>
          <w:rFonts w:asciiTheme="majorEastAsia" w:hAnsiTheme="majorEastAsia" w:eastAsiaTheme="majorEastAsia" w:cstheme="majorEastAsia"/>
          <w:b/>
          <w:bCs/>
          <w:color w:val="000000" w:themeColor="text1"/>
          <w:sz w:val="24"/>
          <w:szCs w:val="24"/>
        </w:rPr>
      </w:pPr>
      <w:r>
        <w:rPr>
          <w:rFonts w:hint="eastAsia" w:asciiTheme="majorEastAsia" w:hAnsiTheme="majorEastAsia" w:eastAsiaTheme="majorEastAsia" w:cstheme="majorEastAsia"/>
          <w:b/>
          <w:color w:val="000000" w:themeColor="text1"/>
          <w:sz w:val="24"/>
          <w:szCs w:val="24"/>
        </w:rPr>
        <w:t>其中，报价文件组成要求的第（1）～（2）项必须提交；第（3）～（5）项如有请提交。</w:t>
      </w:r>
      <w:r>
        <w:rPr>
          <w:rFonts w:hint="eastAsia" w:asciiTheme="majorEastAsia" w:hAnsiTheme="majorEastAsia" w:eastAsiaTheme="majorEastAsia" w:cstheme="majorEastAsia"/>
          <w:color w:val="000000" w:themeColor="text1"/>
          <w:sz w:val="24"/>
          <w:szCs w:val="24"/>
        </w:rPr>
        <w:t>10.1.2  技术文件，包括：</w:t>
      </w:r>
    </w:p>
    <w:p>
      <w:pPr>
        <w:pStyle w:val="10"/>
        <w:spacing w:line="440" w:lineRule="exact"/>
        <w:ind w:firstLine="420"/>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（1）响应服务技术资料表：按第五章“响应文件格式”提供的“响应服务技术资料表（格式）”的要求填写；</w:t>
      </w:r>
    </w:p>
    <w:p>
      <w:pPr>
        <w:pStyle w:val="10"/>
        <w:spacing w:line="440" w:lineRule="exact"/>
        <w:ind w:firstLine="420"/>
        <w:rPr>
          <w:rFonts w:asciiTheme="majorEastAsia" w:hAnsiTheme="majorEastAsia" w:eastAsiaTheme="majorEastAsia" w:cstheme="majorEastAsia"/>
          <w:b/>
          <w:bCs/>
          <w:color w:val="000000" w:themeColor="text1"/>
          <w:sz w:val="24"/>
          <w:szCs w:val="24"/>
        </w:rPr>
      </w:pPr>
      <w:r>
        <w:rPr>
          <w:rFonts w:hint="eastAsia" w:asciiTheme="majorEastAsia" w:hAnsiTheme="majorEastAsia" w:eastAsiaTheme="majorEastAsia" w:cstheme="majorEastAsia"/>
          <w:color w:val="000000" w:themeColor="text1"/>
          <w:sz w:val="24"/>
          <w:szCs w:val="24"/>
        </w:rPr>
        <w:t>（2）其它：针对所提供服务的主要技术指标方案等的详细说明，等等。</w:t>
      </w:r>
    </w:p>
    <w:p>
      <w:pPr>
        <w:pStyle w:val="10"/>
        <w:spacing w:line="440" w:lineRule="exact"/>
        <w:ind w:firstLine="420"/>
        <w:rPr>
          <w:rFonts w:asciiTheme="majorEastAsia" w:hAnsiTheme="majorEastAsia" w:eastAsiaTheme="majorEastAsia" w:cstheme="majorEastAsia"/>
          <w:b/>
          <w:bCs/>
          <w:color w:val="000000" w:themeColor="text1"/>
          <w:sz w:val="24"/>
          <w:szCs w:val="24"/>
        </w:rPr>
      </w:pPr>
      <w:r>
        <w:rPr>
          <w:rFonts w:hint="eastAsia" w:asciiTheme="majorEastAsia" w:hAnsiTheme="majorEastAsia" w:eastAsiaTheme="majorEastAsia" w:cstheme="majorEastAsia"/>
          <w:b/>
          <w:color w:val="000000" w:themeColor="text1"/>
          <w:sz w:val="24"/>
          <w:szCs w:val="24"/>
        </w:rPr>
        <w:t>技术文件中的第（1）项必须提交；第（2）项如有请提交。</w:t>
      </w:r>
    </w:p>
    <w:p>
      <w:pPr>
        <w:pStyle w:val="10"/>
        <w:spacing w:line="440" w:lineRule="exact"/>
        <w:ind w:firstLine="480" w:firstLineChars="200"/>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10.1.3  商务文件，包括：</w:t>
      </w:r>
    </w:p>
    <w:p>
      <w:pPr>
        <w:pStyle w:val="10"/>
        <w:spacing w:line="440" w:lineRule="exact"/>
        <w:ind w:firstLine="480" w:firstLineChars="200"/>
        <w:rPr>
          <w:rFonts w:hAnsi="宋体"/>
          <w:color w:val="000000" w:themeColor="text1"/>
          <w:sz w:val="24"/>
          <w:szCs w:val="24"/>
        </w:rPr>
      </w:pPr>
      <w:r>
        <w:rPr>
          <w:rFonts w:hint="eastAsia" w:hAnsi="宋体"/>
          <w:color w:val="000000" w:themeColor="text1"/>
          <w:sz w:val="24"/>
          <w:szCs w:val="24"/>
        </w:rPr>
        <w:t>（</w:t>
      </w:r>
      <w:r>
        <w:rPr>
          <w:rFonts w:hAnsi="宋体"/>
          <w:color w:val="000000" w:themeColor="text1"/>
          <w:sz w:val="24"/>
          <w:szCs w:val="24"/>
        </w:rPr>
        <w:t>1</w:t>
      </w:r>
      <w:r>
        <w:rPr>
          <w:rFonts w:hint="eastAsia" w:hAnsi="宋体"/>
          <w:color w:val="000000" w:themeColor="text1"/>
          <w:sz w:val="24"/>
          <w:szCs w:val="24"/>
        </w:rPr>
        <w:t>）供应商资格文件：</w:t>
      </w:r>
    </w:p>
    <w:p>
      <w:pPr>
        <w:pStyle w:val="10"/>
        <w:spacing w:line="440" w:lineRule="exact"/>
        <w:ind w:firstLine="420"/>
        <w:rPr>
          <w:rFonts w:hAnsi="宋体"/>
          <w:color w:val="000000" w:themeColor="text1"/>
          <w:sz w:val="24"/>
          <w:szCs w:val="24"/>
        </w:rPr>
      </w:pPr>
      <w:r>
        <w:rPr>
          <w:rFonts w:hint="eastAsia" w:hAnsi="宋体"/>
          <w:color w:val="000000" w:themeColor="text1"/>
          <w:sz w:val="24"/>
          <w:szCs w:val="24"/>
        </w:rPr>
        <w:t>①信用声明函。按第五章“响应文件格式”提供的“信用声明函（格式）”的要求填写。对列入失信被执行人、重大税收违法案件当事人名单、政府采购严重违法失信行为记录名单的供应商，将被拒绝参与本项目政府采购活动。</w:t>
      </w:r>
    </w:p>
    <w:p>
      <w:pPr>
        <w:pStyle w:val="10"/>
        <w:spacing w:line="440" w:lineRule="exact"/>
        <w:ind w:firstLine="420"/>
        <w:rPr>
          <w:rFonts w:hAnsi="宋体"/>
          <w:color w:val="000000" w:themeColor="text1"/>
          <w:sz w:val="24"/>
          <w:szCs w:val="24"/>
        </w:rPr>
      </w:pPr>
      <w:r>
        <w:rPr>
          <w:rFonts w:hint="eastAsia" w:hAnsi="宋体"/>
          <w:color w:val="000000" w:themeColor="text1"/>
          <w:sz w:val="24"/>
          <w:szCs w:val="24"/>
        </w:rPr>
        <w:t>②根据本章第</w:t>
      </w:r>
      <w:r>
        <w:rPr>
          <w:rFonts w:hAnsi="宋体"/>
          <w:color w:val="000000" w:themeColor="text1"/>
          <w:sz w:val="24"/>
          <w:szCs w:val="24"/>
        </w:rPr>
        <w:t>3.2</w:t>
      </w:r>
      <w:r>
        <w:rPr>
          <w:rFonts w:hint="eastAsia" w:hAnsi="宋体"/>
          <w:color w:val="000000" w:themeColor="text1"/>
          <w:sz w:val="24"/>
          <w:szCs w:val="24"/>
        </w:rPr>
        <w:t>项规定的磋商供应商应具备的特定条件提供，包括营业执照副本内页或事业单位法人证书复印件（磋商供应商如为企业的，要求证件有效并清晰反映企业法人经营范围）和磋商供应商资格的其他证明文件复印件；</w:t>
      </w:r>
    </w:p>
    <w:p>
      <w:pPr>
        <w:pStyle w:val="10"/>
        <w:spacing w:line="440" w:lineRule="exact"/>
        <w:ind w:firstLine="420"/>
        <w:rPr>
          <w:rFonts w:hAnsi="宋体"/>
          <w:color w:val="000000" w:themeColor="text1"/>
          <w:sz w:val="24"/>
          <w:szCs w:val="24"/>
        </w:rPr>
      </w:pPr>
      <w:r>
        <w:rPr>
          <w:rFonts w:hint="eastAsia" w:asciiTheme="minorEastAsia" w:hAnsiTheme="minorEastAsia" w:eastAsiaTheme="minorEastAsia"/>
          <w:color w:val="000000" w:themeColor="text1"/>
          <w:sz w:val="24"/>
          <w:szCs w:val="24"/>
        </w:rPr>
        <w:t>③磋商供应商直接控股、管理关系信息表，按第五章“响应文件格式”提供的“磋商供应商直接控股、管理关系信息表（格式）”的要求填写；</w:t>
      </w:r>
    </w:p>
    <w:p>
      <w:pPr>
        <w:pStyle w:val="10"/>
        <w:spacing w:line="440" w:lineRule="exact"/>
        <w:ind w:firstLine="420"/>
        <w:rPr>
          <w:rFonts w:hAnsi="宋体"/>
          <w:color w:val="000000" w:themeColor="text1"/>
          <w:sz w:val="24"/>
          <w:szCs w:val="24"/>
        </w:rPr>
      </w:pPr>
      <w:r>
        <w:rPr>
          <w:rFonts w:hint="eastAsia" w:hAnsi="宋体"/>
          <w:color w:val="000000" w:themeColor="text1"/>
          <w:sz w:val="24"/>
          <w:szCs w:val="24"/>
        </w:rPr>
        <w:t>（</w:t>
      </w:r>
      <w:r>
        <w:rPr>
          <w:rFonts w:hAnsi="宋体"/>
          <w:color w:val="000000" w:themeColor="text1"/>
          <w:sz w:val="24"/>
          <w:szCs w:val="24"/>
        </w:rPr>
        <w:t>2</w:t>
      </w:r>
      <w:r>
        <w:rPr>
          <w:rFonts w:hint="eastAsia" w:hAnsi="宋体"/>
          <w:color w:val="000000" w:themeColor="text1"/>
          <w:sz w:val="24"/>
          <w:szCs w:val="24"/>
        </w:rPr>
        <w:t>）法定代表人身份证明复印件：如使用第二代身份证应提交正、反面复印件，如法定代表人非中国国籍应提交护照复印件，要求证件有效并与营业执照中的法定代表人相符；</w:t>
      </w:r>
      <w:r>
        <w:rPr>
          <w:rFonts w:hAnsi="宋体"/>
          <w:color w:val="000000" w:themeColor="text1"/>
          <w:sz w:val="24"/>
          <w:szCs w:val="24"/>
        </w:rPr>
        <w:t xml:space="preserve"> </w:t>
      </w:r>
    </w:p>
    <w:p>
      <w:pPr>
        <w:pStyle w:val="10"/>
        <w:spacing w:line="440" w:lineRule="exact"/>
        <w:ind w:firstLine="420"/>
        <w:rPr>
          <w:rFonts w:hAnsi="宋体"/>
          <w:color w:val="000000" w:themeColor="text1"/>
          <w:sz w:val="24"/>
          <w:szCs w:val="24"/>
        </w:rPr>
      </w:pPr>
      <w:r>
        <w:rPr>
          <w:rFonts w:hint="eastAsia" w:hAnsi="宋体"/>
          <w:color w:val="000000" w:themeColor="text1"/>
          <w:sz w:val="24"/>
          <w:szCs w:val="24"/>
        </w:rPr>
        <w:t>（</w:t>
      </w:r>
      <w:r>
        <w:rPr>
          <w:rFonts w:hAnsi="宋体"/>
          <w:color w:val="000000" w:themeColor="text1"/>
          <w:sz w:val="24"/>
          <w:szCs w:val="24"/>
        </w:rPr>
        <w:t>3</w:t>
      </w:r>
      <w:r>
        <w:rPr>
          <w:rFonts w:hint="eastAsia" w:hAnsi="宋体"/>
          <w:color w:val="000000" w:themeColor="text1"/>
          <w:sz w:val="24"/>
          <w:szCs w:val="24"/>
        </w:rPr>
        <w:t>）售后服务承诺书：按第五章“响应文件格式”提供的“售后服务承诺书（格式）”</w:t>
      </w:r>
      <w:r>
        <w:rPr>
          <w:rFonts w:hAnsi="宋体"/>
          <w:color w:val="000000" w:themeColor="text1"/>
          <w:sz w:val="24"/>
          <w:szCs w:val="24"/>
        </w:rPr>
        <w:t xml:space="preserve"> </w:t>
      </w:r>
      <w:r>
        <w:rPr>
          <w:rFonts w:hint="eastAsia" w:hAnsi="宋体"/>
          <w:color w:val="000000" w:themeColor="text1"/>
          <w:sz w:val="24"/>
          <w:szCs w:val="24"/>
        </w:rPr>
        <w:t>的要求填写；</w:t>
      </w:r>
    </w:p>
    <w:p>
      <w:pPr>
        <w:pStyle w:val="10"/>
        <w:spacing w:line="440" w:lineRule="exact"/>
        <w:ind w:firstLine="420"/>
        <w:rPr>
          <w:rFonts w:hAnsi="宋体"/>
          <w:color w:val="000000" w:themeColor="text1"/>
          <w:sz w:val="24"/>
          <w:szCs w:val="24"/>
        </w:rPr>
      </w:pPr>
      <w:r>
        <w:rPr>
          <w:rFonts w:hint="eastAsia" w:hAnsi="宋体"/>
          <w:color w:val="000000" w:themeColor="text1"/>
          <w:sz w:val="24"/>
          <w:szCs w:val="24"/>
        </w:rPr>
        <w:t>（</w:t>
      </w:r>
      <w:r>
        <w:rPr>
          <w:rFonts w:hAnsi="宋体"/>
          <w:color w:val="000000" w:themeColor="text1"/>
          <w:sz w:val="24"/>
          <w:szCs w:val="24"/>
        </w:rPr>
        <w:t>4</w:t>
      </w:r>
      <w:r>
        <w:rPr>
          <w:rFonts w:hint="eastAsia" w:hAnsi="宋体"/>
          <w:color w:val="000000" w:themeColor="text1"/>
          <w:sz w:val="24"/>
          <w:szCs w:val="24"/>
        </w:rPr>
        <w:t>）商务条款偏离表：按第五章“响应文件格式”提供的“商务条款偏离表（格式）”</w:t>
      </w:r>
      <w:r>
        <w:rPr>
          <w:rFonts w:hAnsi="宋体"/>
          <w:color w:val="000000" w:themeColor="text1"/>
          <w:sz w:val="24"/>
          <w:szCs w:val="24"/>
        </w:rPr>
        <w:t xml:space="preserve"> </w:t>
      </w:r>
      <w:r>
        <w:rPr>
          <w:rFonts w:hint="eastAsia" w:hAnsi="宋体"/>
          <w:color w:val="000000" w:themeColor="text1"/>
          <w:sz w:val="24"/>
          <w:szCs w:val="24"/>
        </w:rPr>
        <w:t>的要求填写；</w:t>
      </w:r>
    </w:p>
    <w:p>
      <w:pPr>
        <w:pStyle w:val="10"/>
        <w:spacing w:line="440" w:lineRule="exact"/>
        <w:ind w:firstLine="420"/>
        <w:rPr>
          <w:rFonts w:hAnsi="宋体"/>
          <w:color w:val="000000" w:themeColor="text1"/>
          <w:sz w:val="24"/>
          <w:szCs w:val="24"/>
        </w:rPr>
      </w:pPr>
      <w:r>
        <w:rPr>
          <w:rFonts w:hint="eastAsia" w:hAnsi="宋体"/>
          <w:color w:val="000000" w:themeColor="text1"/>
          <w:sz w:val="24"/>
          <w:szCs w:val="24"/>
        </w:rPr>
        <w:t>（5）磋商供应商半年内连续三个月依法缴纳社保费的凭证复印件（如社保部门开具的证明、收款收据等，或银行缴款凭证、回单等，如为非社保部门开具的凭证或回单的，应清晰反映：缴款单位名称、社保单位名称、保险名称、缴款金额等内容）。无缴费记录的，应提供由供应商所在地社保部门出具的《依法缴纳或依法免缴社保费证明》（复印件，格式自拟）；</w:t>
      </w:r>
    </w:p>
    <w:p>
      <w:pPr>
        <w:pStyle w:val="10"/>
        <w:spacing w:line="440" w:lineRule="exact"/>
        <w:ind w:firstLine="420"/>
        <w:rPr>
          <w:rFonts w:hAnsi="宋体"/>
          <w:color w:val="000000" w:themeColor="text1"/>
          <w:sz w:val="24"/>
          <w:szCs w:val="24"/>
        </w:rPr>
      </w:pPr>
      <w:r>
        <w:rPr>
          <w:rFonts w:hint="eastAsia" w:hAnsi="宋体"/>
          <w:color w:val="000000" w:themeColor="text1"/>
          <w:sz w:val="24"/>
          <w:szCs w:val="24"/>
        </w:rPr>
        <w:t>（6）法定代表人授权委托书：按第五章“响应文件格式”提供的“法定代表人授权委托书（格式）”的要求填写；</w:t>
      </w:r>
    </w:p>
    <w:p>
      <w:pPr>
        <w:pStyle w:val="10"/>
        <w:spacing w:line="440" w:lineRule="exact"/>
        <w:ind w:firstLine="420"/>
        <w:rPr>
          <w:rFonts w:hAnsi="宋体"/>
          <w:color w:val="000000" w:themeColor="text1"/>
          <w:sz w:val="24"/>
          <w:szCs w:val="24"/>
        </w:rPr>
      </w:pPr>
      <w:r>
        <w:rPr>
          <w:rFonts w:hint="eastAsia" w:hAnsi="宋体"/>
          <w:color w:val="000000" w:themeColor="text1"/>
          <w:sz w:val="24"/>
          <w:szCs w:val="24"/>
        </w:rPr>
        <w:t>（7）委托代理人身份证明复印件：如使用第二代身份证应提交正、反面复印件，如委托代理人非中国国籍应提交护照复印件，要求证件有效并与法定代表人授权委托书中的委托代理人相符；</w:t>
      </w:r>
    </w:p>
    <w:p>
      <w:pPr>
        <w:pStyle w:val="10"/>
        <w:spacing w:line="440" w:lineRule="exact"/>
        <w:ind w:firstLine="420"/>
        <w:rPr>
          <w:rFonts w:hAnsi="宋体"/>
          <w:color w:val="000000" w:themeColor="text1"/>
          <w:sz w:val="24"/>
          <w:szCs w:val="24"/>
        </w:rPr>
      </w:pPr>
      <w:r>
        <w:rPr>
          <w:rFonts w:hint="eastAsia" w:hAnsi="宋体"/>
          <w:color w:val="000000" w:themeColor="text1"/>
          <w:sz w:val="24"/>
          <w:szCs w:val="24"/>
        </w:rPr>
        <w:t>（8）财务会计报表复印件：磋商供应商近三年的经会计师事务所或审计机构审计的财务会计报表，包括资产负债表、现金流量表、利润表、财务情况说明书和审计报告；</w:t>
      </w:r>
    </w:p>
    <w:p>
      <w:pPr>
        <w:pStyle w:val="10"/>
        <w:spacing w:line="440" w:lineRule="exact"/>
        <w:ind w:firstLine="420"/>
        <w:rPr>
          <w:rFonts w:hAnsi="宋体"/>
          <w:color w:val="000000" w:themeColor="text1"/>
          <w:sz w:val="24"/>
          <w:szCs w:val="24"/>
        </w:rPr>
      </w:pPr>
      <w:r>
        <w:rPr>
          <w:rFonts w:hint="eastAsia" w:hAnsi="宋体"/>
          <w:color w:val="000000" w:themeColor="text1"/>
          <w:sz w:val="24"/>
          <w:szCs w:val="24"/>
        </w:rPr>
        <w:t>（9）其它：磋商供应商通过国家或国际认证资格证书复印件、银行出具的磋商供应商资信证明或信用等级证明复印件、磋商供应商近三年同类服务的实际业绩证明（附成交通知书复印件或合同复印件）、服务近三年的质量获奖荣誉证书复印件、环保体系认证证书复印件、磋商供应商近三年发生的诉讼及仲裁情况说明（附法院或仲裁机构作出的判决、裁决等有关法律文书复印件），等等。</w:t>
      </w:r>
    </w:p>
    <w:p>
      <w:pPr>
        <w:pStyle w:val="10"/>
        <w:spacing w:line="440" w:lineRule="exact"/>
        <w:ind w:firstLine="420"/>
        <w:rPr>
          <w:rFonts w:hAnsi="宋体"/>
          <w:color w:val="000000" w:themeColor="text1"/>
          <w:sz w:val="24"/>
          <w:szCs w:val="24"/>
        </w:rPr>
      </w:pPr>
      <w:r>
        <w:rPr>
          <w:rFonts w:hint="eastAsia" w:hAnsi="宋体"/>
          <w:b/>
          <w:color w:val="000000" w:themeColor="text1"/>
          <w:sz w:val="24"/>
          <w:szCs w:val="24"/>
        </w:rPr>
        <w:t>商务文件中的第（1）～（5）项必须提交；第（6）、（7）项在委托代理时必须提交；第（8）（9）项如有请提交。</w:t>
      </w:r>
    </w:p>
    <w:p>
      <w:pPr>
        <w:pStyle w:val="10"/>
        <w:spacing w:line="440" w:lineRule="exact"/>
        <w:ind w:firstLine="480" w:firstLineChars="200"/>
        <w:rPr>
          <w:rFonts w:asciiTheme="majorEastAsia" w:hAnsiTheme="majorEastAsia" w:eastAsiaTheme="majorEastAsia" w:cstheme="majorEastAsia"/>
          <w:b/>
          <w:color w:val="000000" w:themeColor="text1"/>
          <w:sz w:val="24"/>
          <w:szCs w:val="24"/>
        </w:rPr>
      </w:pPr>
      <w:r>
        <w:rPr>
          <w:rFonts w:hint="eastAsia" w:asciiTheme="majorEastAsia" w:hAnsiTheme="majorEastAsia" w:eastAsiaTheme="majorEastAsia" w:cstheme="majorEastAsia"/>
          <w:color w:val="000000" w:themeColor="text1"/>
          <w:sz w:val="24"/>
          <w:szCs w:val="24"/>
        </w:rPr>
        <w:t>10.2  磋商供应商应按上述顺序将首次报价文件、技术文件和商务文件</w:t>
      </w:r>
      <w:r>
        <w:rPr>
          <w:rFonts w:hint="eastAsia" w:asciiTheme="majorEastAsia" w:hAnsiTheme="majorEastAsia" w:eastAsiaTheme="majorEastAsia" w:cstheme="majorEastAsia"/>
          <w:b/>
          <w:color w:val="000000" w:themeColor="text1"/>
          <w:sz w:val="24"/>
          <w:szCs w:val="24"/>
        </w:rPr>
        <w:t>分别装订成册</w:t>
      </w:r>
      <w:r>
        <w:rPr>
          <w:rFonts w:hint="eastAsia" w:asciiTheme="majorEastAsia" w:hAnsiTheme="majorEastAsia" w:eastAsiaTheme="majorEastAsia" w:cstheme="majorEastAsia"/>
          <w:color w:val="000000" w:themeColor="text1"/>
          <w:sz w:val="24"/>
          <w:szCs w:val="24"/>
        </w:rPr>
        <w:t>。</w:t>
      </w:r>
      <w:r>
        <w:rPr>
          <w:rFonts w:hint="eastAsia" w:asciiTheme="majorEastAsia" w:hAnsiTheme="majorEastAsia" w:eastAsiaTheme="majorEastAsia" w:cstheme="majorEastAsia"/>
          <w:b/>
          <w:color w:val="000000" w:themeColor="text1"/>
          <w:sz w:val="24"/>
          <w:szCs w:val="24"/>
        </w:rPr>
        <w:t>特别注意响应报价不得出现在技术文件和商务文件中。</w:t>
      </w:r>
    </w:p>
    <w:p>
      <w:pPr>
        <w:pStyle w:val="10"/>
        <w:spacing w:line="440" w:lineRule="exact"/>
        <w:rPr>
          <w:rFonts w:asciiTheme="majorEastAsia" w:hAnsiTheme="majorEastAsia" w:eastAsiaTheme="majorEastAsia" w:cstheme="majorEastAsia"/>
          <w:bCs/>
          <w:color w:val="000000" w:themeColor="text1"/>
          <w:sz w:val="24"/>
          <w:szCs w:val="24"/>
        </w:rPr>
      </w:pPr>
      <w:r>
        <w:rPr>
          <w:rFonts w:hint="eastAsia" w:asciiTheme="majorEastAsia" w:hAnsiTheme="majorEastAsia" w:eastAsiaTheme="majorEastAsia" w:cstheme="majorEastAsia"/>
          <w:bCs/>
          <w:color w:val="000000" w:themeColor="text1"/>
          <w:sz w:val="24"/>
          <w:szCs w:val="24"/>
        </w:rPr>
        <w:t>11.  响应文件报价</w:t>
      </w:r>
    </w:p>
    <w:p>
      <w:pPr>
        <w:pStyle w:val="10"/>
        <w:spacing w:line="440" w:lineRule="exact"/>
        <w:ind w:firstLine="420"/>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11.1  磋商供应商应以人民币报价。</w:t>
      </w:r>
    </w:p>
    <w:p>
      <w:pPr>
        <w:pStyle w:val="10"/>
        <w:spacing w:line="440" w:lineRule="exact"/>
        <w:ind w:firstLine="480" w:firstLineChars="200"/>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11.2  磋商供应商可就第二章“服务需求一览表”中的</w:t>
      </w:r>
      <w:r>
        <w:rPr>
          <w:rFonts w:hint="eastAsia" w:asciiTheme="majorEastAsia" w:hAnsiTheme="majorEastAsia" w:eastAsiaTheme="majorEastAsia" w:cstheme="majorEastAsia"/>
          <w:b/>
          <w:color w:val="000000" w:themeColor="text1"/>
          <w:sz w:val="24"/>
          <w:szCs w:val="24"/>
        </w:rPr>
        <w:t>某一个分项内容报出完整且唯一报价，也可就某几个或所有分项内容分别报出完整且唯一报价。</w:t>
      </w:r>
    </w:p>
    <w:p>
      <w:pPr>
        <w:pStyle w:val="10"/>
        <w:spacing w:line="440" w:lineRule="exact"/>
        <w:ind w:firstLine="420"/>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11.3  响应报价为在采购人指定地点提交服务成果所需的全部费用，其组成部分详见第二章“服务需求一览表”。采购人不再向成交供应商支付其响应报价之外的任何费用。</w:t>
      </w:r>
    </w:p>
    <w:p>
      <w:pPr>
        <w:pStyle w:val="10"/>
        <w:spacing w:line="440" w:lineRule="exact"/>
        <w:ind w:firstLine="420"/>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11.4  本项目的采购代理服务费按物价部门核准的收费标准执行，见磋商供应商须知前附表。</w:t>
      </w:r>
    </w:p>
    <w:p>
      <w:pPr>
        <w:pStyle w:val="10"/>
        <w:spacing w:line="440" w:lineRule="exact"/>
        <w:ind w:firstLine="420"/>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11.5  不论磋商结果如何，磋商供应商均应自行承担与编制和提交响应文件有关的全部费用。</w:t>
      </w:r>
    </w:p>
    <w:p>
      <w:pPr>
        <w:pStyle w:val="10"/>
        <w:spacing w:line="440" w:lineRule="exact"/>
        <w:rPr>
          <w:rFonts w:asciiTheme="majorEastAsia" w:hAnsiTheme="majorEastAsia" w:eastAsiaTheme="majorEastAsia" w:cstheme="majorEastAsia"/>
          <w:bCs/>
          <w:color w:val="000000" w:themeColor="text1"/>
          <w:sz w:val="24"/>
          <w:szCs w:val="24"/>
        </w:rPr>
      </w:pPr>
      <w:r>
        <w:rPr>
          <w:rFonts w:hint="eastAsia" w:asciiTheme="majorEastAsia" w:hAnsiTheme="majorEastAsia" w:eastAsiaTheme="majorEastAsia" w:cstheme="majorEastAsia"/>
          <w:bCs/>
          <w:color w:val="000000" w:themeColor="text1"/>
          <w:sz w:val="24"/>
          <w:szCs w:val="24"/>
        </w:rPr>
        <w:t>12.  响应有效期</w:t>
      </w:r>
    </w:p>
    <w:p>
      <w:pPr>
        <w:pStyle w:val="10"/>
        <w:spacing w:line="440" w:lineRule="exact"/>
        <w:ind w:firstLine="480" w:firstLineChars="200"/>
        <w:rPr>
          <w:rFonts w:asciiTheme="majorEastAsia" w:hAnsiTheme="majorEastAsia" w:eastAsiaTheme="majorEastAsia" w:cstheme="majorEastAsia"/>
          <w:bCs/>
          <w:color w:val="000000" w:themeColor="text1"/>
          <w:sz w:val="24"/>
          <w:szCs w:val="24"/>
        </w:rPr>
      </w:pPr>
      <w:r>
        <w:rPr>
          <w:rFonts w:hint="eastAsia" w:asciiTheme="majorEastAsia" w:hAnsiTheme="majorEastAsia" w:eastAsiaTheme="majorEastAsia" w:cstheme="majorEastAsia"/>
          <w:color w:val="000000" w:themeColor="text1"/>
          <w:sz w:val="24"/>
          <w:szCs w:val="24"/>
        </w:rPr>
        <w:t>12.1  在磋商供应商须知前附表规定的响应有效期内，磋商供应商不得要求撤销或修改其响应文件。</w:t>
      </w:r>
    </w:p>
    <w:p>
      <w:pPr>
        <w:pStyle w:val="10"/>
        <w:spacing w:line="440" w:lineRule="exact"/>
        <w:ind w:firstLine="480" w:firstLineChars="200"/>
        <w:rPr>
          <w:rFonts w:asciiTheme="majorEastAsia" w:hAnsiTheme="majorEastAsia" w:eastAsiaTheme="majorEastAsia" w:cstheme="majorEastAsia"/>
          <w:bCs/>
          <w:color w:val="000000" w:themeColor="text1"/>
          <w:sz w:val="24"/>
          <w:szCs w:val="24"/>
        </w:rPr>
      </w:pPr>
      <w:r>
        <w:rPr>
          <w:rFonts w:hint="eastAsia" w:asciiTheme="majorEastAsia" w:hAnsiTheme="majorEastAsia" w:eastAsiaTheme="majorEastAsia" w:cstheme="majorEastAsia"/>
          <w:color w:val="000000" w:themeColor="text1"/>
          <w:sz w:val="24"/>
          <w:szCs w:val="24"/>
        </w:rPr>
        <w:t>12.2  在特殊情况下，采购人或采购代理机构可与磋商供应商协商延长响应有效期，这种要求与答复均应使用书面形式。磋商供应商同意延长的，应相应延长其磋商有效期，但不得要求或被允许修改或撤销其响应文件；磋商供应商拒绝延长的，其响应失效。</w:t>
      </w:r>
    </w:p>
    <w:p>
      <w:pPr>
        <w:pStyle w:val="10"/>
        <w:spacing w:line="440" w:lineRule="exact"/>
        <w:rPr>
          <w:rFonts w:asciiTheme="majorEastAsia" w:hAnsiTheme="majorEastAsia" w:eastAsiaTheme="majorEastAsia" w:cstheme="majorEastAsia"/>
          <w:bCs/>
          <w:color w:val="000000" w:themeColor="text1"/>
          <w:sz w:val="24"/>
          <w:szCs w:val="24"/>
        </w:rPr>
      </w:pPr>
      <w:r>
        <w:rPr>
          <w:rFonts w:hint="eastAsia" w:asciiTheme="majorEastAsia" w:hAnsiTheme="majorEastAsia" w:eastAsiaTheme="majorEastAsia" w:cstheme="majorEastAsia"/>
          <w:bCs/>
          <w:color w:val="000000" w:themeColor="text1"/>
          <w:sz w:val="24"/>
          <w:szCs w:val="24"/>
        </w:rPr>
        <w:t xml:space="preserve">13.  </w:t>
      </w:r>
      <w:r>
        <w:rPr>
          <w:rFonts w:hint="eastAsia" w:asciiTheme="majorEastAsia" w:hAnsiTheme="majorEastAsia" w:eastAsiaTheme="majorEastAsia" w:cstheme="majorEastAsia"/>
          <w:color w:val="000000" w:themeColor="text1"/>
          <w:sz w:val="24"/>
          <w:szCs w:val="24"/>
        </w:rPr>
        <w:t>磋商</w:t>
      </w:r>
      <w:r>
        <w:rPr>
          <w:rFonts w:hint="eastAsia" w:asciiTheme="majorEastAsia" w:hAnsiTheme="majorEastAsia" w:eastAsiaTheme="majorEastAsia" w:cstheme="majorEastAsia"/>
          <w:bCs/>
          <w:color w:val="000000" w:themeColor="text1"/>
          <w:sz w:val="24"/>
          <w:szCs w:val="24"/>
        </w:rPr>
        <w:t>保证金</w:t>
      </w:r>
    </w:p>
    <w:p>
      <w:pPr>
        <w:pStyle w:val="10"/>
        <w:spacing w:line="500" w:lineRule="exact"/>
        <w:ind w:left="2" w:leftChars="1" w:firstLine="477" w:firstLineChars="199"/>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本项目不收取磋商保证金。</w:t>
      </w:r>
    </w:p>
    <w:p>
      <w:pPr>
        <w:pStyle w:val="16"/>
        <w:outlineLvl w:val="1"/>
        <w:rPr>
          <w:rFonts w:asciiTheme="majorEastAsia" w:hAnsiTheme="majorEastAsia" w:eastAsiaTheme="majorEastAsia" w:cstheme="majorEastAsia"/>
          <w:color w:val="000000" w:themeColor="text1"/>
        </w:rPr>
      </w:pPr>
      <w:bookmarkStart w:id="68" w:name="_Toc213326419"/>
      <w:bookmarkStart w:id="69" w:name="_Toc31512"/>
      <w:bookmarkStart w:id="70" w:name="_Toc23921"/>
      <w:bookmarkStart w:id="71" w:name="_Toc31394"/>
      <w:bookmarkStart w:id="72" w:name="_Toc495334413"/>
      <w:bookmarkStart w:id="73" w:name="_Toc213326420"/>
      <w:r>
        <w:rPr>
          <w:rFonts w:hint="eastAsia" w:asciiTheme="majorEastAsia" w:hAnsiTheme="majorEastAsia" w:eastAsiaTheme="majorEastAsia" w:cstheme="majorEastAsia"/>
          <w:color w:val="000000" w:themeColor="text1"/>
        </w:rPr>
        <w:t xml:space="preserve">四   </w:t>
      </w:r>
      <w:bookmarkEnd w:id="68"/>
      <w:r>
        <w:rPr>
          <w:rFonts w:hint="eastAsia" w:asciiTheme="majorEastAsia" w:hAnsiTheme="majorEastAsia" w:eastAsiaTheme="majorEastAsia" w:cstheme="majorEastAsia"/>
          <w:color w:val="000000" w:themeColor="text1"/>
        </w:rPr>
        <w:t>磋商响应</w:t>
      </w:r>
      <w:bookmarkEnd w:id="69"/>
      <w:bookmarkEnd w:id="70"/>
      <w:bookmarkEnd w:id="71"/>
      <w:bookmarkEnd w:id="72"/>
    </w:p>
    <w:p>
      <w:pPr>
        <w:pStyle w:val="10"/>
        <w:spacing w:line="440" w:lineRule="exact"/>
        <w:rPr>
          <w:rFonts w:asciiTheme="majorEastAsia" w:hAnsiTheme="majorEastAsia" w:eastAsiaTheme="majorEastAsia" w:cstheme="majorEastAsia"/>
          <w:bCs/>
          <w:color w:val="000000" w:themeColor="text1"/>
          <w:sz w:val="24"/>
          <w:szCs w:val="24"/>
        </w:rPr>
      </w:pPr>
      <w:r>
        <w:rPr>
          <w:rFonts w:hint="eastAsia" w:asciiTheme="majorEastAsia" w:hAnsiTheme="majorEastAsia" w:eastAsiaTheme="majorEastAsia" w:cstheme="majorEastAsia"/>
          <w:bCs/>
          <w:color w:val="000000" w:themeColor="text1"/>
          <w:sz w:val="24"/>
          <w:szCs w:val="24"/>
        </w:rPr>
        <w:t xml:space="preserve">14.  </w:t>
      </w:r>
      <w:r>
        <w:rPr>
          <w:rFonts w:hint="eastAsia" w:asciiTheme="majorEastAsia" w:hAnsiTheme="majorEastAsia" w:eastAsiaTheme="majorEastAsia" w:cstheme="majorEastAsia"/>
          <w:color w:val="000000" w:themeColor="text1"/>
          <w:sz w:val="24"/>
          <w:szCs w:val="24"/>
        </w:rPr>
        <w:t>响应</w:t>
      </w:r>
      <w:r>
        <w:rPr>
          <w:rFonts w:hint="eastAsia" w:asciiTheme="majorEastAsia" w:hAnsiTheme="majorEastAsia" w:eastAsiaTheme="majorEastAsia" w:cstheme="majorEastAsia"/>
          <w:bCs/>
          <w:color w:val="000000" w:themeColor="text1"/>
          <w:sz w:val="24"/>
          <w:szCs w:val="24"/>
        </w:rPr>
        <w:t>文件的密封</w:t>
      </w:r>
    </w:p>
    <w:p>
      <w:pPr>
        <w:pStyle w:val="10"/>
        <w:spacing w:line="440" w:lineRule="exact"/>
        <w:ind w:firstLine="480" w:firstLineChars="200"/>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14.1  磋商供应商应将响应文件进行密封包装，并在包装面上加盖单位公章。</w:t>
      </w:r>
    </w:p>
    <w:p>
      <w:pPr>
        <w:pStyle w:val="10"/>
        <w:spacing w:line="440" w:lineRule="exact"/>
        <w:rPr>
          <w:rFonts w:asciiTheme="majorEastAsia" w:hAnsiTheme="majorEastAsia" w:eastAsiaTheme="majorEastAsia" w:cstheme="majorEastAsia"/>
          <w:bCs/>
          <w:color w:val="000000" w:themeColor="text1"/>
          <w:sz w:val="24"/>
          <w:szCs w:val="24"/>
        </w:rPr>
      </w:pPr>
      <w:r>
        <w:rPr>
          <w:rFonts w:hint="eastAsia" w:asciiTheme="majorEastAsia" w:hAnsiTheme="majorEastAsia" w:eastAsiaTheme="majorEastAsia" w:cstheme="majorEastAsia"/>
          <w:bCs/>
          <w:color w:val="000000" w:themeColor="text1"/>
          <w:sz w:val="24"/>
          <w:szCs w:val="24"/>
        </w:rPr>
        <w:t>15.  响应文件的提交</w:t>
      </w:r>
    </w:p>
    <w:p>
      <w:pPr>
        <w:pStyle w:val="10"/>
        <w:spacing w:line="440" w:lineRule="exact"/>
        <w:ind w:firstLine="480" w:firstLineChars="200"/>
        <w:rPr>
          <w:rFonts w:asciiTheme="majorEastAsia" w:hAnsiTheme="majorEastAsia" w:eastAsiaTheme="majorEastAsia" w:cstheme="majorEastAsia"/>
          <w:bCs/>
          <w:color w:val="000000" w:themeColor="text1"/>
          <w:sz w:val="24"/>
          <w:szCs w:val="24"/>
        </w:rPr>
      </w:pPr>
      <w:r>
        <w:rPr>
          <w:rFonts w:hint="eastAsia" w:asciiTheme="majorEastAsia" w:hAnsiTheme="majorEastAsia" w:eastAsiaTheme="majorEastAsia" w:cstheme="majorEastAsia"/>
          <w:color w:val="000000" w:themeColor="text1"/>
          <w:sz w:val="24"/>
          <w:szCs w:val="24"/>
        </w:rPr>
        <w:t>15.1 磋商供应商提交响应文件截止时间：见磋商供应商须知前附表。</w:t>
      </w:r>
    </w:p>
    <w:p>
      <w:pPr>
        <w:pStyle w:val="10"/>
        <w:spacing w:line="440" w:lineRule="exact"/>
        <w:ind w:firstLine="480" w:firstLineChars="200"/>
        <w:rPr>
          <w:rFonts w:asciiTheme="majorEastAsia" w:hAnsiTheme="majorEastAsia" w:eastAsiaTheme="majorEastAsia" w:cstheme="majorEastAsia"/>
          <w:bCs/>
          <w:color w:val="000000" w:themeColor="text1"/>
          <w:sz w:val="24"/>
          <w:szCs w:val="24"/>
        </w:rPr>
      </w:pPr>
      <w:r>
        <w:rPr>
          <w:rFonts w:hint="eastAsia" w:asciiTheme="majorEastAsia" w:hAnsiTheme="majorEastAsia" w:eastAsiaTheme="majorEastAsia" w:cstheme="majorEastAsia"/>
          <w:color w:val="000000" w:themeColor="text1"/>
          <w:sz w:val="24"/>
          <w:szCs w:val="24"/>
        </w:rPr>
        <w:t>15.2 磋商供应商提交响应文件地点：见磋商供应商须知前附表。</w:t>
      </w:r>
    </w:p>
    <w:p>
      <w:pPr>
        <w:pStyle w:val="10"/>
        <w:spacing w:line="440" w:lineRule="exact"/>
        <w:ind w:firstLine="480" w:firstLineChars="200"/>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15.3 磋商供应商提交响应文件时，应自行检查其响应文件的密封性。</w:t>
      </w:r>
    </w:p>
    <w:p>
      <w:pPr>
        <w:pStyle w:val="10"/>
        <w:spacing w:line="440" w:lineRule="exact"/>
        <w:jc w:val="center"/>
        <w:rPr>
          <w:rFonts w:asciiTheme="majorEastAsia" w:hAnsiTheme="majorEastAsia" w:eastAsiaTheme="majorEastAsia" w:cstheme="majorEastAsia"/>
          <w:color w:val="000000" w:themeColor="text1"/>
        </w:rPr>
      </w:pPr>
    </w:p>
    <w:bookmarkEnd w:id="73"/>
    <w:p>
      <w:pPr>
        <w:pStyle w:val="16"/>
        <w:outlineLvl w:val="1"/>
        <w:rPr>
          <w:rFonts w:asciiTheme="majorEastAsia" w:hAnsiTheme="majorEastAsia" w:eastAsiaTheme="majorEastAsia" w:cstheme="majorEastAsia"/>
          <w:color w:val="000000" w:themeColor="text1"/>
        </w:rPr>
      </w:pPr>
      <w:bookmarkStart w:id="74" w:name="_Toc495334414"/>
      <w:bookmarkStart w:id="75" w:name="_Toc22170"/>
      <w:bookmarkStart w:id="76" w:name="_Toc12483"/>
      <w:bookmarkStart w:id="77" w:name="_Toc7972"/>
      <w:r>
        <w:rPr>
          <w:rFonts w:hint="eastAsia" w:asciiTheme="majorEastAsia" w:hAnsiTheme="majorEastAsia" w:eastAsiaTheme="majorEastAsia" w:cstheme="majorEastAsia"/>
          <w:color w:val="000000" w:themeColor="text1"/>
        </w:rPr>
        <w:t>五   评审与磋商</w:t>
      </w:r>
      <w:bookmarkEnd w:id="74"/>
      <w:bookmarkEnd w:id="75"/>
      <w:bookmarkEnd w:id="76"/>
      <w:bookmarkEnd w:id="77"/>
    </w:p>
    <w:p>
      <w:pPr>
        <w:pStyle w:val="10"/>
        <w:spacing w:line="440" w:lineRule="exact"/>
        <w:rPr>
          <w:rFonts w:asciiTheme="majorEastAsia" w:hAnsiTheme="majorEastAsia" w:eastAsiaTheme="majorEastAsia" w:cstheme="majorEastAsia"/>
          <w:bCs/>
          <w:color w:val="000000" w:themeColor="text1"/>
          <w:sz w:val="24"/>
          <w:szCs w:val="24"/>
        </w:rPr>
      </w:pPr>
      <w:r>
        <w:rPr>
          <w:rFonts w:hint="eastAsia" w:asciiTheme="majorEastAsia" w:hAnsiTheme="majorEastAsia" w:eastAsiaTheme="majorEastAsia" w:cstheme="majorEastAsia"/>
          <w:bCs/>
          <w:color w:val="000000" w:themeColor="text1"/>
          <w:sz w:val="24"/>
          <w:szCs w:val="24"/>
        </w:rPr>
        <w:t xml:space="preserve">16.  </w:t>
      </w:r>
      <w:r>
        <w:rPr>
          <w:rFonts w:hint="eastAsia" w:asciiTheme="majorEastAsia" w:hAnsiTheme="majorEastAsia" w:eastAsiaTheme="majorEastAsia" w:cstheme="majorEastAsia"/>
          <w:color w:val="000000" w:themeColor="text1"/>
          <w:sz w:val="24"/>
          <w:szCs w:val="24"/>
        </w:rPr>
        <w:t>响应文件</w:t>
      </w:r>
      <w:r>
        <w:rPr>
          <w:rFonts w:hint="eastAsia" w:asciiTheme="majorEastAsia" w:hAnsiTheme="majorEastAsia" w:eastAsiaTheme="majorEastAsia" w:cstheme="majorEastAsia"/>
          <w:bCs/>
          <w:color w:val="000000" w:themeColor="text1"/>
          <w:sz w:val="24"/>
          <w:szCs w:val="24"/>
        </w:rPr>
        <w:t>截止</w:t>
      </w:r>
    </w:p>
    <w:p>
      <w:pPr>
        <w:pStyle w:val="10"/>
        <w:spacing w:line="440" w:lineRule="exact"/>
        <w:ind w:firstLine="480" w:firstLineChars="200"/>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16.1  磋商供应商的法定代表人或其委托代理人应在提交响应文件截止时间前到达响应文件递交响应文件。如未按时递交，由此产生的后果由磋商供应商自行负责。</w:t>
      </w:r>
    </w:p>
    <w:p>
      <w:pPr>
        <w:pStyle w:val="10"/>
        <w:spacing w:line="440" w:lineRule="exact"/>
        <w:ind w:firstLine="480" w:firstLineChars="200"/>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16.1.1 截标后由采购人或采购代理机构对磋商供应商进行信用查询。</w:t>
      </w:r>
    </w:p>
    <w:p>
      <w:pPr>
        <w:pStyle w:val="10"/>
        <w:spacing w:line="440" w:lineRule="exact"/>
        <w:ind w:firstLine="480" w:firstLineChars="200"/>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 xml:space="preserve">查询渠道：“信用中国”网站（www.creditchina.gov.cn）、中国政府采购网（www.ccgp.gov.cn） </w:t>
      </w:r>
    </w:p>
    <w:p>
      <w:pPr>
        <w:pStyle w:val="10"/>
        <w:spacing w:line="440" w:lineRule="exact"/>
        <w:ind w:firstLine="480" w:firstLineChars="200"/>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 xml:space="preserve">查询截止时点：响应截止时间   </w:t>
      </w:r>
    </w:p>
    <w:p>
      <w:pPr>
        <w:pStyle w:val="10"/>
        <w:spacing w:line="440" w:lineRule="exact"/>
        <w:ind w:firstLine="480" w:firstLineChars="200"/>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查询记录和证据留存方式：在查询网站中直接打印查询记录，打印材料作为评审资料保存。</w:t>
      </w:r>
    </w:p>
    <w:p>
      <w:pPr>
        <w:pStyle w:val="10"/>
        <w:spacing w:line="440" w:lineRule="exact"/>
        <w:ind w:firstLine="480" w:firstLineChars="200"/>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信用信息使用规则：对在“信用中国”网站（www.creditchina.gov.cn） 、中国政府采购网（www.ccgp.gov.cn）被列入失信被执行人、重大税收违法案件当事人名单、政府采购严重违法失信行为记录名单，将拒绝其参与政府采购活动。</w:t>
      </w:r>
    </w:p>
    <w:p>
      <w:pPr>
        <w:pStyle w:val="10"/>
        <w:spacing w:line="440" w:lineRule="exact"/>
        <w:rPr>
          <w:rFonts w:asciiTheme="majorEastAsia" w:hAnsiTheme="majorEastAsia" w:eastAsiaTheme="majorEastAsia" w:cstheme="majorEastAsia"/>
          <w:bCs/>
          <w:color w:val="000000" w:themeColor="text1"/>
          <w:sz w:val="24"/>
          <w:szCs w:val="24"/>
        </w:rPr>
      </w:pPr>
      <w:r>
        <w:rPr>
          <w:rFonts w:hint="eastAsia" w:asciiTheme="majorEastAsia" w:hAnsiTheme="majorEastAsia" w:eastAsiaTheme="majorEastAsia" w:cstheme="majorEastAsia"/>
          <w:bCs/>
          <w:color w:val="000000" w:themeColor="text1"/>
          <w:sz w:val="24"/>
          <w:szCs w:val="24"/>
        </w:rPr>
        <w:t>17.  评审与磋商</w:t>
      </w:r>
    </w:p>
    <w:p>
      <w:pPr>
        <w:pStyle w:val="10"/>
        <w:spacing w:line="440" w:lineRule="exact"/>
        <w:ind w:firstLine="480" w:firstLineChars="200"/>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17.1  成立磋商小组：评审与磋商活动由依法组建的磋商小组负责。磋商小组由采购人代表和有关技术、经济等方面的专家组成。采购人或采购代理机构根据本项目的特点，从同级或上一级财政部门设立的政府采购评审专家库中，通过随机方式抽取专家。</w:t>
      </w:r>
    </w:p>
    <w:p>
      <w:pPr>
        <w:pStyle w:val="10"/>
        <w:spacing w:line="440" w:lineRule="exact"/>
        <w:ind w:firstLine="480" w:firstLineChars="200"/>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17.2  评审原则：评审活动遵循公平、公正、科学和择优的原则。</w:t>
      </w:r>
    </w:p>
    <w:p>
      <w:pPr>
        <w:pStyle w:val="10"/>
        <w:spacing w:line="440" w:lineRule="exact"/>
        <w:ind w:firstLine="480" w:firstLineChars="200"/>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17.3  评审方法：磋商小组按照磋商供应商须知前附表和第三章“评审方法”规定的方法、评审因素和标准对响应文件进行评审。在评审中，不得改变第三章“评审办法”规定的方法、评审因素和标准；第三章“评审办法”没有规定的方法、评审因素和标准，不作为评审依据。</w:t>
      </w:r>
    </w:p>
    <w:p>
      <w:pPr>
        <w:pStyle w:val="10"/>
        <w:spacing w:line="440" w:lineRule="exact"/>
        <w:ind w:firstLine="480" w:firstLineChars="200"/>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 xml:space="preserve">17.4  </w:t>
      </w:r>
      <w:r>
        <w:rPr>
          <w:rFonts w:hint="eastAsia" w:asciiTheme="majorEastAsia" w:hAnsiTheme="majorEastAsia" w:eastAsiaTheme="majorEastAsia" w:cstheme="majorEastAsia"/>
          <w:bCs/>
          <w:color w:val="000000" w:themeColor="text1"/>
          <w:sz w:val="24"/>
          <w:szCs w:val="24"/>
        </w:rPr>
        <w:t>评审程序：</w:t>
      </w:r>
    </w:p>
    <w:p>
      <w:pPr>
        <w:pStyle w:val="10"/>
        <w:spacing w:line="440" w:lineRule="exact"/>
        <w:ind w:firstLine="480" w:firstLineChars="200"/>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 xml:space="preserve">17.4.1  </w:t>
      </w:r>
      <w:r>
        <w:rPr>
          <w:rFonts w:hint="eastAsia" w:asciiTheme="majorEastAsia" w:hAnsiTheme="majorEastAsia" w:eastAsiaTheme="majorEastAsia" w:cstheme="majorEastAsia"/>
          <w:bCs/>
          <w:color w:val="000000" w:themeColor="text1"/>
          <w:sz w:val="24"/>
          <w:szCs w:val="24"/>
        </w:rPr>
        <w:t>采购代理机构项目负责人宣读评审会场纪律要求，集中管理通讯工具，询问在场人员是否申请回避。</w:t>
      </w:r>
    </w:p>
    <w:p>
      <w:pPr>
        <w:pStyle w:val="10"/>
        <w:spacing w:line="440" w:lineRule="exact"/>
        <w:ind w:firstLine="480" w:firstLineChars="200"/>
        <w:rPr>
          <w:rFonts w:asciiTheme="majorEastAsia" w:hAnsiTheme="majorEastAsia" w:eastAsiaTheme="majorEastAsia" w:cstheme="majorEastAsia"/>
          <w:bCs/>
          <w:color w:val="000000" w:themeColor="text1"/>
          <w:sz w:val="24"/>
          <w:szCs w:val="24"/>
        </w:rPr>
      </w:pPr>
      <w:r>
        <w:rPr>
          <w:rFonts w:hint="eastAsia" w:asciiTheme="majorEastAsia" w:hAnsiTheme="majorEastAsia" w:eastAsiaTheme="majorEastAsia" w:cstheme="majorEastAsia"/>
          <w:color w:val="000000" w:themeColor="text1"/>
          <w:sz w:val="24"/>
          <w:szCs w:val="24"/>
        </w:rPr>
        <w:t xml:space="preserve">17.4.2  </w:t>
      </w:r>
      <w:r>
        <w:rPr>
          <w:rFonts w:hint="eastAsia" w:asciiTheme="majorEastAsia" w:hAnsiTheme="majorEastAsia" w:eastAsiaTheme="majorEastAsia" w:cstheme="majorEastAsia"/>
          <w:bCs/>
          <w:color w:val="000000" w:themeColor="text1"/>
          <w:sz w:val="24"/>
          <w:szCs w:val="24"/>
        </w:rPr>
        <w:t>采购代理机构项目负责人介绍项目概况及</w:t>
      </w:r>
      <w:r>
        <w:rPr>
          <w:rFonts w:hint="eastAsia" w:asciiTheme="majorEastAsia" w:hAnsiTheme="majorEastAsia" w:eastAsiaTheme="majorEastAsia" w:cstheme="majorEastAsia"/>
          <w:color w:val="000000" w:themeColor="text1"/>
          <w:sz w:val="24"/>
          <w:szCs w:val="24"/>
        </w:rPr>
        <w:t>磋商</w:t>
      </w:r>
      <w:r>
        <w:rPr>
          <w:rFonts w:hint="eastAsia" w:asciiTheme="majorEastAsia" w:hAnsiTheme="majorEastAsia" w:eastAsiaTheme="majorEastAsia" w:cstheme="majorEastAsia"/>
          <w:bCs/>
          <w:color w:val="000000" w:themeColor="text1"/>
          <w:sz w:val="24"/>
          <w:szCs w:val="24"/>
        </w:rPr>
        <w:t>小组组成情况（但不得发表影响评审的倾向性、歧视性言论），推选</w:t>
      </w:r>
      <w:r>
        <w:rPr>
          <w:rFonts w:hint="eastAsia" w:asciiTheme="majorEastAsia" w:hAnsiTheme="majorEastAsia" w:eastAsiaTheme="majorEastAsia" w:cstheme="majorEastAsia"/>
          <w:color w:val="000000" w:themeColor="text1"/>
          <w:sz w:val="24"/>
          <w:szCs w:val="24"/>
        </w:rPr>
        <w:t>磋商</w:t>
      </w:r>
      <w:r>
        <w:rPr>
          <w:rFonts w:hint="eastAsia" w:asciiTheme="majorEastAsia" w:hAnsiTheme="majorEastAsia" w:eastAsiaTheme="majorEastAsia" w:cstheme="majorEastAsia"/>
          <w:bCs/>
          <w:color w:val="000000" w:themeColor="text1"/>
          <w:sz w:val="24"/>
          <w:szCs w:val="24"/>
        </w:rPr>
        <w:t>小组组长（原则上采购人不得担任</w:t>
      </w:r>
      <w:r>
        <w:rPr>
          <w:rFonts w:hint="eastAsia" w:asciiTheme="majorEastAsia" w:hAnsiTheme="majorEastAsia" w:eastAsiaTheme="majorEastAsia" w:cstheme="majorEastAsia"/>
          <w:color w:val="000000" w:themeColor="text1"/>
          <w:sz w:val="24"/>
          <w:szCs w:val="24"/>
        </w:rPr>
        <w:t>磋商</w:t>
      </w:r>
      <w:r>
        <w:rPr>
          <w:rFonts w:hint="eastAsia" w:asciiTheme="majorEastAsia" w:hAnsiTheme="majorEastAsia" w:eastAsiaTheme="majorEastAsia" w:cstheme="majorEastAsia"/>
          <w:bCs/>
          <w:color w:val="000000" w:themeColor="text1"/>
          <w:sz w:val="24"/>
          <w:szCs w:val="24"/>
        </w:rPr>
        <w:t>小组组长）。</w:t>
      </w:r>
    </w:p>
    <w:p>
      <w:pPr>
        <w:pStyle w:val="10"/>
        <w:spacing w:line="440" w:lineRule="exact"/>
        <w:ind w:firstLine="480" w:firstLineChars="200"/>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bCs/>
          <w:color w:val="000000" w:themeColor="text1"/>
          <w:sz w:val="24"/>
          <w:szCs w:val="24"/>
        </w:rPr>
        <w:t xml:space="preserve">17.4.3  </w:t>
      </w:r>
      <w:r>
        <w:rPr>
          <w:rFonts w:hint="eastAsia" w:asciiTheme="majorEastAsia" w:hAnsiTheme="majorEastAsia" w:eastAsiaTheme="majorEastAsia" w:cstheme="majorEastAsia"/>
          <w:color w:val="000000" w:themeColor="text1"/>
          <w:sz w:val="24"/>
          <w:szCs w:val="24"/>
        </w:rPr>
        <w:t>磋商小组在响应文件拆封前对响应文件做密封性检查，并签字确认。</w:t>
      </w:r>
    </w:p>
    <w:p>
      <w:pPr>
        <w:pStyle w:val="10"/>
        <w:spacing w:line="440" w:lineRule="exact"/>
        <w:ind w:firstLine="480" w:firstLineChars="200"/>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17.4.4  响应文件初审：初审分为资格性检查和符合性检查。</w:t>
      </w:r>
    </w:p>
    <w:p>
      <w:pPr>
        <w:pStyle w:val="10"/>
        <w:spacing w:line="440" w:lineRule="exact"/>
        <w:ind w:firstLine="480" w:firstLineChars="200"/>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（1）资格性检查：依据法律法规和采购文件的规定，对响应文件中的资格证明等进行审查，以确定磋商供应商是否具备响应的资格。</w:t>
      </w:r>
    </w:p>
    <w:p>
      <w:pPr>
        <w:pStyle w:val="10"/>
        <w:spacing w:line="440" w:lineRule="exact"/>
        <w:ind w:firstLine="480" w:firstLineChars="200"/>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（2）符合性检查：依据采购文件的规定，从响应文件的有效性、完整性和对响应文件的响应程度进行审查，以确定是否对响应文件的实质性要求和条件作出响应。</w:t>
      </w:r>
    </w:p>
    <w:p>
      <w:pPr>
        <w:spacing w:line="400" w:lineRule="exact"/>
        <w:ind w:firstLine="306"/>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t>(1)有下列情形之一的视为磋商供应商相互串通，响应文件将被视为无效。</w:t>
      </w:r>
    </w:p>
    <w:p>
      <w:pPr>
        <w:spacing w:line="400" w:lineRule="exact"/>
        <w:ind w:firstLine="480" w:firstLineChars="200"/>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t>①不同磋商供应商的响应文件由同一单位或者个人编制；</w:t>
      </w:r>
    </w:p>
    <w:p>
      <w:pPr>
        <w:spacing w:line="400" w:lineRule="exact"/>
        <w:ind w:firstLine="480" w:firstLineChars="200"/>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fldChar w:fldCharType="begin"/>
      </w:r>
      <w:r>
        <w:rPr>
          <w:rFonts w:hint="eastAsia" w:asciiTheme="majorEastAsia" w:hAnsiTheme="majorEastAsia" w:eastAsiaTheme="majorEastAsia" w:cstheme="majorEastAsia"/>
          <w:color w:val="000000" w:themeColor="text1"/>
          <w:sz w:val="24"/>
        </w:rPr>
        <w:instrText xml:space="preserve"> = 2 \* GB3 </w:instrText>
      </w:r>
      <w:r>
        <w:rPr>
          <w:rFonts w:hint="eastAsia" w:asciiTheme="majorEastAsia" w:hAnsiTheme="majorEastAsia" w:eastAsiaTheme="majorEastAsia" w:cstheme="majorEastAsia"/>
          <w:color w:val="000000" w:themeColor="text1"/>
          <w:sz w:val="24"/>
        </w:rPr>
        <w:fldChar w:fldCharType="separate"/>
      </w:r>
      <w:r>
        <w:rPr>
          <w:rFonts w:hint="eastAsia" w:asciiTheme="majorEastAsia" w:hAnsiTheme="majorEastAsia" w:eastAsiaTheme="majorEastAsia" w:cstheme="majorEastAsia"/>
          <w:color w:val="000000" w:themeColor="text1"/>
          <w:sz w:val="24"/>
        </w:rPr>
        <w:t>②</w:t>
      </w:r>
      <w:r>
        <w:rPr>
          <w:rFonts w:hint="eastAsia" w:asciiTheme="majorEastAsia" w:hAnsiTheme="majorEastAsia" w:eastAsiaTheme="majorEastAsia" w:cstheme="majorEastAsia"/>
          <w:color w:val="000000" w:themeColor="text1"/>
          <w:sz w:val="24"/>
        </w:rPr>
        <w:fldChar w:fldCharType="end"/>
      </w:r>
      <w:r>
        <w:rPr>
          <w:rFonts w:hint="eastAsia" w:asciiTheme="majorEastAsia" w:hAnsiTheme="majorEastAsia" w:eastAsiaTheme="majorEastAsia" w:cstheme="majorEastAsia"/>
          <w:color w:val="000000" w:themeColor="text1"/>
          <w:sz w:val="24"/>
        </w:rPr>
        <w:t>不同磋商供应商委托同一单位或者个人办理磋商事宜；</w:t>
      </w:r>
    </w:p>
    <w:p>
      <w:pPr>
        <w:spacing w:line="400" w:lineRule="exact"/>
        <w:ind w:firstLine="480" w:firstLineChars="200"/>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fldChar w:fldCharType="begin"/>
      </w:r>
      <w:r>
        <w:rPr>
          <w:rFonts w:hint="eastAsia" w:asciiTheme="majorEastAsia" w:hAnsiTheme="majorEastAsia" w:eastAsiaTheme="majorEastAsia" w:cstheme="majorEastAsia"/>
          <w:color w:val="000000" w:themeColor="text1"/>
          <w:sz w:val="24"/>
        </w:rPr>
        <w:instrText xml:space="preserve"> = 3 \* GB3 </w:instrText>
      </w:r>
      <w:r>
        <w:rPr>
          <w:rFonts w:hint="eastAsia" w:asciiTheme="majorEastAsia" w:hAnsiTheme="majorEastAsia" w:eastAsiaTheme="majorEastAsia" w:cstheme="majorEastAsia"/>
          <w:color w:val="000000" w:themeColor="text1"/>
          <w:sz w:val="24"/>
        </w:rPr>
        <w:fldChar w:fldCharType="separate"/>
      </w:r>
      <w:r>
        <w:rPr>
          <w:rFonts w:hint="eastAsia" w:asciiTheme="majorEastAsia" w:hAnsiTheme="majorEastAsia" w:eastAsiaTheme="majorEastAsia" w:cstheme="majorEastAsia"/>
          <w:color w:val="000000" w:themeColor="text1"/>
          <w:sz w:val="24"/>
        </w:rPr>
        <w:t>③</w:t>
      </w:r>
      <w:r>
        <w:rPr>
          <w:rFonts w:hint="eastAsia" w:asciiTheme="majorEastAsia" w:hAnsiTheme="majorEastAsia" w:eastAsiaTheme="majorEastAsia" w:cstheme="majorEastAsia"/>
          <w:color w:val="000000" w:themeColor="text1"/>
          <w:sz w:val="24"/>
        </w:rPr>
        <w:fldChar w:fldCharType="end"/>
      </w:r>
      <w:r>
        <w:rPr>
          <w:rFonts w:hint="eastAsia" w:asciiTheme="majorEastAsia" w:hAnsiTheme="majorEastAsia" w:eastAsiaTheme="majorEastAsia" w:cstheme="majorEastAsia"/>
          <w:color w:val="000000" w:themeColor="text1"/>
          <w:sz w:val="24"/>
        </w:rPr>
        <w:t>不同的磋商供应商的响应文件载明的项目管理员为同一个人；</w:t>
      </w:r>
    </w:p>
    <w:p>
      <w:pPr>
        <w:spacing w:line="400" w:lineRule="exact"/>
        <w:ind w:firstLine="480" w:firstLineChars="200"/>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fldChar w:fldCharType="begin"/>
      </w:r>
      <w:r>
        <w:rPr>
          <w:rFonts w:hint="eastAsia" w:asciiTheme="majorEastAsia" w:hAnsiTheme="majorEastAsia" w:eastAsiaTheme="majorEastAsia" w:cstheme="majorEastAsia"/>
          <w:color w:val="000000" w:themeColor="text1"/>
          <w:sz w:val="24"/>
        </w:rPr>
        <w:instrText xml:space="preserve"> = 4 \* GB3 </w:instrText>
      </w:r>
      <w:r>
        <w:rPr>
          <w:rFonts w:hint="eastAsia" w:asciiTheme="majorEastAsia" w:hAnsiTheme="majorEastAsia" w:eastAsiaTheme="majorEastAsia" w:cstheme="majorEastAsia"/>
          <w:color w:val="000000" w:themeColor="text1"/>
          <w:sz w:val="24"/>
        </w:rPr>
        <w:fldChar w:fldCharType="separate"/>
      </w:r>
      <w:r>
        <w:rPr>
          <w:rFonts w:hint="eastAsia" w:asciiTheme="majorEastAsia" w:hAnsiTheme="majorEastAsia" w:eastAsiaTheme="majorEastAsia" w:cstheme="majorEastAsia"/>
          <w:color w:val="000000" w:themeColor="text1"/>
          <w:sz w:val="24"/>
        </w:rPr>
        <w:t>④</w:t>
      </w:r>
      <w:r>
        <w:rPr>
          <w:rFonts w:hint="eastAsia" w:asciiTheme="majorEastAsia" w:hAnsiTheme="majorEastAsia" w:eastAsiaTheme="majorEastAsia" w:cstheme="majorEastAsia"/>
          <w:color w:val="000000" w:themeColor="text1"/>
          <w:sz w:val="24"/>
        </w:rPr>
        <w:fldChar w:fldCharType="end"/>
      </w:r>
      <w:r>
        <w:rPr>
          <w:rFonts w:hint="eastAsia" w:asciiTheme="majorEastAsia" w:hAnsiTheme="majorEastAsia" w:eastAsiaTheme="majorEastAsia" w:cstheme="majorEastAsia"/>
          <w:color w:val="000000" w:themeColor="text1"/>
          <w:sz w:val="24"/>
        </w:rPr>
        <w:t>不同磋商供应商的响应文件异常一致或报价呈规律性差异；</w:t>
      </w:r>
    </w:p>
    <w:p>
      <w:pPr>
        <w:spacing w:line="400" w:lineRule="exact"/>
        <w:ind w:firstLine="480" w:firstLineChars="200"/>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fldChar w:fldCharType="begin"/>
      </w:r>
      <w:r>
        <w:rPr>
          <w:rFonts w:hint="eastAsia" w:asciiTheme="majorEastAsia" w:hAnsiTheme="majorEastAsia" w:eastAsiaTheme="majorEastAsia" w:cstheme="majorEastAsia"/>
          <w:color w:val="000000" w:themeColor="text1"/>
          <w:sz w:val="24"/>
        </w:rPr>
        <w:instrText xml:space="preserve"> = 5 \* GB3 </w:instrText>
      </w:r>
      <w:r>
        <w:rPr>
          <w:rFonts w:hint="eastAsia" w:asciiTheme="majorEastAsia" w:hAnsiTheme="majorEastAsia" w:eastAsiaTheme="majorEastAsia" w:cstheme="majorEastAsia"/>
          <w:color w:val="000000" w:themeColor="text1"/>
          <w:sz w:val="24"/>
        </w:rPr>
        <w:fldChar w:fldCharType="separate"/>
      </w:r>
      <w:r>
        <w:rPr>
          <w:rFonts w:hint="eastAsia" w:asciiTheme="majorEastAsia" w:hAnsiTheme="majorEastAsia" w:eastAsiaTheme="majorEastAsia" w:cstheme="majorEastAsia"/>
          <w:color w:val="000000" w:themeColor="text1"/>
          <w:sz w:val="24"/>
        </w:rPr>
        <w:t>⑤</w:t>
      </w:r>
      <w:r>
        <w:rPr>
          <w:rFonts w:hint="eastAsia" w:asciiTheme="majorEastAsia" w:hAnsiTheme="majorEastAsia" w:eastAsiaTheme="majorEastAsia" w:cstheme="majorEastAsia"/>
          <w:color w:val="000000" w:themeColor="text1"/>
          <w:sz w:val="24"/>
        </w:rPr>
        <w:fldChar w:fldCharType="end"/>
      </w:r>
      <w:r>
        <w:rPr>
          <w:rFonts w:hint="eastAsia" w:asciiTheme="majorEastAsia" w:hAnsiTheme="majorEastAsia" w:eastAsiaTheme="majorEastAsia" w:cstheme="majorEastAsia"/>
          <w:color w:val="000000" w:themeColor="text1"/>
          <w:sz w:val="24"/>
        </w:rPr>
        <w:t>不同磋商供应商的响应文件相互混装；</w:t>
      </w:r>
    </w:p>
    <w:p>
      <w:pPr>
        <w:spacing w:line="400" w:lineRule="exact"/>
        <w:ind w:firstLine="306"/>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t>（2）关联供应商不得参加同一合同项下政府采购活动，否则磋商文件将被视为无效</w:t>
      </w:r>
    </w:p>
    <w:p>
      <w:pPr>
        <w:spacing w:line="400" w:lineRule="exact"/>
        <w:ind w:firstLine="306"/>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t>①单位负责人为同一人或者存在直接控股、管理关系的不同的供应商，不得参加同一合同项下的政府采购活动;</w:t>
      </w:r>
    </w:p>
    <w:p>
      <w:pPr>
        <w:spacing w:line="400" w:lineRule="exact"/>
        <w:ind w:firstLine="306"/>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t>②生产厂商授权给供应商后自己不得参加同一合同项下的政府采购活动；生产厂商对同一品牌同一型号的货物，仅能委托一个代理商参加响应。</w:t>
      </w:r>
    </w:p>
    <w:p>
      <w:pPr>
        <w:pStyle w:val="10"/>
        <w:spacing w:line="440" w:lineRule="exact"/>
        <w:ind w:firstLine="480" w:firstLineChars="200"/>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17.4.5  澄清有关问题。对响应文件中含义不明确、同类问题表述不一致或者有明显文字和计算错误的内容，磋商小组可以书面形式（应当由磋商小组专家签字）要求磋商供应商作出必要的澄清、说明或者纠正。磋商供应商的澄清、说明或者纠正应当采用书面形式，由法定代表人或其委托代理人签字或盖章确认，且不得超出响应文件的范围或者改变响应文件的实质性内容。该澄清、说明或者纠正是响应文件的组成部分。</w:t>
      </w:r>
    </w:p>
    <w:p>
      <w:pPr>
        <w:pStyle w:val="10"/>
        <w:spacing w:line="440" w:lineRule="exact"/>
        <w:ind w:firstLine="480" w:firstLineChars="200"/>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17.4.6  制定磋商文件。磋商小组根据采购项目以及磋商供应商的实际情况制定磋商文件。磋商文件应当明确磋商程序、磋商内容、合同草案的条款以及评定成交的标准等事项。</w:t>
      </w:r>
    </w:p>
    <w:p>
      <w:pPr>
        <w:pStyle w:val="10"/>
        <w:spacing w:line="440" w:lineRule="exact"/>
        <w:ind w:firstLine="480" w:firstLineChars="200"/>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17.4.7  确定邀请参加磋商的供应商名单。磋商小组将所有通过资格性审查的供应商确定为邀请参加磋商的供应商，并向其提供磋商文件。</w:t>
      </w:r>
    </w:p>
    <w:p>
      <w:pPr>
        <w:pStyle w:val="10"/>
        <w:spacing w:line="440" w:lineRule="exact"/>
        <w:ind w:firstLine="480" w:firstLineChars="200"/>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17.4.8  磋商。</w:t>
      </w:r>
    </w:p>
    <w:p>
      <w:pPr>
        <w:pStyle w:val="10"/>
        <w:spacing w:line="440" w:lineRule="exact"/>
        <w:ind w:firstLine="480" w:firstLineChars="200"/>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（1）磋商小组将在磋商供应商须知前附表规定的地点与各磋商供应商进行每轮磋商。</w:t>
      </w:r>
    </w:p>
    <w:p>
      <w:pPr>
        <w:pStyle w:val="10"/>
        <w:spacing w:line="440" w:lineRule="exact"/>
        <w:ind w:firstLine="480" w:firstLineChars="200"/>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（2）磋商内容包括：响应报价、技术参数要求和商务条款、合同草案条款，其中磋商供应商资格条件除外。</w:t>
      </w:r>
    </w:p>
    <w:p>
      <w:pPr>
        <w:pStyle w:val="10"/>
        <w:spacing w:line="440" w:lineRule="exact"/>
        <w:ind w:firstLine="480" w:firstLineChars="200"/>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3）磋商小组所有成员集中与单一供应商分别进行磋商。在磋商中，磋商的任何一方不得透露与磋商有关的其他供应商的技术资料、价格和其他信息。对磋商文件做出的实质性变动（采购需求中的技术、服务要求以及合同草案条款）是磋商文件的有效组成部分，磋商小组应当及时以书面形式通知所有参加磋商的供应商。</w:t>
      </w:r>
    </w:p>
    <w:p>
      <w:pPr>
        <w:pStyle w:val="10"/>
        <w:spacing w:line="440" w:lineRule="exact"/>
        <w:ind w:firstLine="480" w:firstLineChars="200"/>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4）磋商供应商的法定代表人或其委托代理人以及技术人员必须参加每轮磋商。磋商供应商的法定代表人凭法定代表人资格证明书和本人身份证原件参加磋商，其委托代理人凭授权委托书和本人身份证原件参加磋商。磋商供应商未按时到达评审会场参加磋商或未能出示上述证件的，视为放弃响应。</w:t>
      </w:r>
    </w:p>
    <w:p>
      <w:pPr>
        <w:pStyle w:val="10"/>
        <w:spacing w:line="440" w:lineRule="exact"/>
        <w:ind w:firstLine="480" w:firstLineChars="200"/>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5）磋商小组与磋商供应商进行磋商的内容，磋商供应商除当场答复外，还应作出书面应答。书面应答文件必须由磋商供应商的法定代表人或其委托代理人签字（签章）或盖公章，按要求进行封装并在磋商文件规定的时间前提交至磋商小组，否则视为放弃响应。</w:t>
      </w:r>
    </w:p>
    <w:p>
      <w:pPr>
        <w:pStyle w:val="10"/>
        <w:spacing w:line="440" w:lineRule="exact"/>
        <w:ind w:firstLine="480" w:firstLineChars="200"/>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（6）未实质性响应磋商文件的响应文件按无效响应处理，磋商小组应当告知提交响应文件的供应商。</w:t>
      </w:r>
    </w:p>
    <w:p>
      <w:pPr>
        <w:pStyle w:val="10"/>
        <w:spacing w:line="440" w:lineRule="exact"/>
        <w:ind w:firstLine="480" w:firstLineChars="200"/>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7）磋商小组与磋商供应商可进行多轮磋商，磋商供应商的最后一次应答文件及最终报价应单独封装提交至磋商小组。在对商务、技术及其他内容的比较和评价结束前，磋商小组不能接触、比较和评价响应报价。最终报价在磋商小组完成商务、技术及其他内容的评审后才能拆封。</w:t>
      </w:r>
    </w:p>
    <w:p>
      <w:pPr>
        <w:pStyle w:val="10"/>
        <w:spacing w:line="440" w:lineRule="exact"/>
        <w:ind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themeColor="text1"/>
          <w:sz w:val="24"/>
          <w:szCs w:val="24"/>
        </w:rPr>
        <w:t>（8）磋商供应商的应答文件经磋商小组代表确认后，变动竞争性磋商文件或响应文件中相应</w:t>
      </w:r>
      <w:r>
        <w:rPr>
          <w:rFonts w:hint="eastAsia" w:asciiTheme="majorEastAsia" w:hAnsiTheme="majorEastAsia" w:eastAsiaTheme="majorEastAsia" w:cstheme="majorEastAsia"/>
          <w:sz w:val="24"/>
          <w:szCs w:val="24"/>
        </w:rPr>
        <w:t>的内容，并构成响应文件的组成部分和评审的依据。如成交，则作为合同的组成部分。</w:t>
      </w:r>
    </w:p>
    <w:p>
      <w:pPr>
        <w:pStyle w:val="10"/>
        <w:spacing w:line="440" w:lineRule="exact"/>
        <w:ind w:firstLine="482" w:firstLineChars="200"/>
        <w:rPr>
          <w:rFonts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17.4.9磋商小组认为，某磋商供应商的最低磋商报价明显不合理或者低于成本，有可能影响服务质量和不能诚信履约的，应当要求其在规定的期限内提供书面文件予以解释说明，并提交相关证明材料。磋商供应不能合理说明或者不能提供相关证明材料的，视作该磋商供供应商以低于成本报价响应，其响应无效。</w:t>
      </w:r>
    </w:p>
    <w:p>
      <w:pPr>
        <w:pStyle w:val="10"/>
        <w:spacing w:line="440" w:lineRule="exact"/>
        <w:ind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17.4.10  按顺序排列成交候选供应商，并编写评审报告。</w:t>
      </w:r>
    </w:p>
    <w:p>
      <w:pPr>
        <w:pStyle w:val="10"/>
        <w:spacing w:line="440" w:lineRule="exact"/>
        <w:ind w:firstLine="480" w:firstLineChars="200"/>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17.4.11  采购代理机构对评审过程和评分、评审结论进行核对和复核，如有错漏，请磋商小组进行校正，按校正后的结果确定成交供应商。</w:t>
      </w:r>
    </w:p>
    <w:p>
      <w:pPr>
        <w:pStyle w:val="10"/>
        <w:spacing w:line="440" w:lineRule="exact"/>
        <w:ind w:firstLine="480" w:firstLineChars="200"/>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17.5  评审过程的保密。评审在严格保密的情况下进行，任何单位和个人不得非法干预、影响评审办法的确定，以及评审过程和结果。磋商小组成员和参与评审的有关工作人员不得透露对响应文件的评审和比较、成交候选人的推荐情况以及与评审有关的其他情况。</w:t>
      </w:r>
    </w:p>
    <w:p>
      <w:pPr>
        <w:pStyle w:val="10"/>
        <w:spacing w:line="440" w:lineRule="exact"/>
        <w:rPr>
          <w:rFonts w:asciiTheme="majorEastAsia" w:hAnsiTheme="majorEastAsia" w:eastAsiaTheme="majorEastAsia" w:cstheme="majorEastAsia"/>
          <w:bCs/>
          <w:color w:val="000000" w:themeColor="text1"/>
          <w:sz w:val="24"/>
          <w:szCs w:val="24"/>
        </w:rPr>
      </w:pPr>
      <w:r>
        <w:rPr>
          <w:rFonts w:hint="eastAsia" w:asciiTheme="majorEastAsia" w:hAnsiTheme="majorEastAsia" w:eastAsiaTheme="majorEastAsia" w:cstheme="majorEastAsia"/>
          <w:bCs/>
          <w:color w:val="000000" w:themeColor="text1"/>
          <w:sz w:val="24"/>
          <w:szCs w:val="24"/>
        </w:rPr>
        <w:t>18.  响应文件的修正</w:t>
      </w:r>
    </w:p>
    <w:p>
      <w:pPr>
        <w:pStyle w:val="10"/>
        <w:spacing w:line="440" w:lineRule="exact"/>
        <w:ind w:firstLine="480" w:firstLineChars="200"/>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18.1  如果出现计算或表达上的错误，修正的原则如下：</w:t>
      </w:r>
    </w:p>
    <w:p>
      <w:pPr>
        <w:pStyle w:val="10"/>
        <w:spacing w:line="440" w:lineRule="exact"/>
        <w:ind w:firstLine="420"/>
        <w:rPr>
          <w:rFonts w:asciiTheme="majorEastAsia" w:hAnsiTheme="majorEastAsia" w:eastAsiaTheme="majorEastAsia" w:cstheme="majorEastAsia"/>
          <w:bCs/>
          <w:color w:val="000000" w:themeColor="text1"/>
          <w:sz w:val="24"/>
          <w:szCs w:val="24"/>
        </w:rPr>
      </w:pPr>
      <w:r>
        <w:rPr>
          <w:rFonts w:hint="eastAsia" w:asciiTheme="majorEastAsia" w:hAnsiTheme="majorEastAsia" w:eastAsiaTheme="majorEastAsia" w:cstheme="majorEastAsia"/>
          <w:color w:val="000000" w:themeColor="text1"/>
          <w:sz w:val="24"/>
          <w:szCs w:val="24"/>
        </w:rPr>
        <w:t>（1）响应文件中响应函内容与响应报价表内容不一致的，以响应报价表为准；</w:t>
      </w:r>
    </w:p>
    <w:p>
      <w:pPr>
        <w:pStyle w:val="10"/>
        <w:spacing w:line="440" w:lineRule="exact"/>
        <w:ind w:firstLine="420"/>
        <w:rPr>
          <w:rFonts w:asciiTheme="majorEastAsia" w:hAnsiTheme="majorEastAsia" w:eastAsiaTheme="majorEastAsia" w:cstheme="majorEastAsia"/>
          <w:bCs/>
          <w:color w:val="000000" w:themeColor="text1"/>
          <w:sz w:val="24"/>
          <w:szCs w:val="24"/>
        </w:rPr>
      </w:pPr>
      <w:r>
        <w:rPr>
          <w:rFonts w:hint="eastAsia" w:asciiTheme="majorEastAsia" w:hAnsiTheme="majorEastAsia" w:eastAsiaTheme="majorEastAsia" w:cstheme="majorEastAsia"/>
          <w:color w:val="000000" w:themeColor="text1"/>
          <w:sz w:val="24"/>
          <w:szCs w:val="24"/>
        </w:rPr>
        <w:t>（2）响应文件的大写金额和小写金额不一致的，以大写金额为准；</w:t>
      </w:r>
    </w:p>
    <w:p>
      <w:pPr>
        <w:pStyle w:val="10"/>
        <w:spacing w:line="440" w:lineRule="exact"/>
        <w:ind w:firstLine="420"/>
        <w:rPr>
          <w:rFonts w:asciiTheme="majorEastAsia" w:hAnsiTheme="majorEastAsia" w:eastAsiaTheme="majorEastAsia" w:cstheme="majorEastAsia"/>
          <w:bCs/>
          <w:color w:val="000000" w:themeColor="text1"/>
          <w:sz w:val="24"/>
          <w:szCs w:val="24"/>
        </w:rPr>
      </w:pPr>
      <w:r>
        <w:rPr>
          <w:rFonts w:hint="eastAsia" w:asciiTheme="majorEastAsia" w:hAnsiTheme="majorEastAsia" w:eastAsiaTheme="majorEastAsia" w:cstheme="majorEastAsia"/>
          <w:color w:val="000000" w:themeColor="text1"/>
          <w:sz w:val="24"/>
          <w:szCs w:val="24"/>
        </w:rPr>
        <w:t>（3）总价金额与按单价汇总金额不一致的，以单价金额计算结果为准；</w:t>
      </w:r>
    </w:p>
    <w:p>
      <w:pPr>
        <w:pStyle w:val="10"/>
        <w:spacing w:line="440" w:lineRule="exact"/>
        <w:ind w:firstLine="420"/>
        <w:rPr>
          <w:rFonts w:asciiTheme="majorEastAsia" w:hAnsiTheme="majorEastAsia" w:eastAsiaTheme="majorEastAsia" w:cstheme="majorEastAsia"/>
          <w:bCs/>
          <w:color w:val="000000" w:themeColor="text1"/>
          <w:sz w:val="24"/>
          <w:szCs w:val="24"/>
        </w:rPr>
      </w:pPr>
      <w:r>
        <w:rPr>
          <w:rFonts w:hint="eastAsia" w:asciiTheme="majorEastAsia" w:hAnsiTheme="majorEastAsia" w:eastAsiaTheme="majorEastAsia" w:cstheme="majorEastAsia"/>
          <w:color w:val="000000" w:themeColor="text1"/>
          <w:sz w:val="24"/>
          <w:szCs w:val="24"/>
        </w:rPr>
        <w:t>（4）单价金额小数点有明显错位的，应以总价为准，并修改单价。</w:t>
      </w:r>
    </w:p>
    <w:p>
      <w:pPr>
        <w:pStyle w:val="10"/>
        <w:spacing w:line="440" w:lineRule="exact"/>
        <w:ind w:firstLine="480" w:firstLineChars="200"/>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18.2  按上述修正原则修正后的响应报价经磋商供应商书面确认后对磋商供应商具有约束力。如果磋商供应商不接受修正后的响应报价，则其响应文件无效。</w:t>
      </w:r>
    </w:p>
    <w:p>
      <w:pPr>
        <w:pStyle w:val="10"/>
        <w:spacing w:line="440" w:lineRule="exact"/>
        <w:rPr>
          <w:rFonts w:asciiTheme="majorEastAsia" w:hAnsiTheme="majorEastAsia" w:eastAsiaTheme="majorEastAsia" w:cstheme="majorEastAsia"/>
          <w:b/>
          <w:bCs/>
          <w:color w:val="000000" w:themeColor="text1"/>
          <w:sz w:val="24"/>
          <w:szCs w:val="24"/>
        </w:rPr>
      </w:pPr>
      <w:r>
        <w:rPr>
          <w:rFonts w:hint="eastAsia" w:asciiTheme="majorEastAsia" w:hAnsiTheme="majorEastAsia" w:eastAsiaTheme="majorEastAsia" w:cstheme="majorEastAsia"/>
          <w:b/>
          <w:bCs/>
          <w:color w:val="000000" w:themeColor="text1"/>
          <w:sz w:val="24"/>
          <w:szCs w:val="24"/>
        </w:rPr>
        <w:t>19.  拒绝接收</w:t>
      </w:r>
    </w:p>
    <w:p>
      <w:pPr>
        <w:pStyle w:val="10"/>
        <w:spacing w:line="440" w:lineRule="exact"/>
        <w:ind w:firstLine="480" w:firstLineChars="200"/>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19.1  磋商供应商未在本章第15.1项规定的时间之前将响应文件送达至本章第15.2项指定地点的，采购代理机构应当拒绝接收该磋商供应商的响应文件。</w:t>
      </w:r>
    </w:p>
    <w:p>
      <w:pPr>
        <w:pStyle w:val="10"/>
        <w:spacing w:line="440" w:lineRule="exact"/>
        <w:rPr>
          <w:rFonts w:asciiTheme="majorEastAsia" w:hAnsiTheme="majorEastAsia" w:eastAsiaTheme="majorEastAsia" w:cstheme="majorEastAsia"/>
          <w:b/>
          <w:bCs/>
          <w:color w:val="000000" w:themeColor="text1"/>
          <w:sz w:val="24"/>
          <w:szCs w:val="24"/>
        </w:rPr>
      </w:pPr>
      <w:r>
        <w:rPr>
          <w:rFonts w:hint="eastAsia" w:asciiTheme="majorEastAsia" w:hAnsiTheme="majorEastAsia" w:eastAsiaTheme="majorEastAsia" w:cstheme="majorEastAsia"/>
          <w:b/>
          <w:bCs/>
          <w:color w:val="000000" w:themeColor="text1"/>
          <w:sz w:val="24"/>
          <w:szCs w:val="24"/>
        </w:rPr>
        <w:t>20. 无效响应</w:t>
      </w:r>
    </w:p>
    <w:p>
      <w:pPr>
        <w:pStyle w:val="10"/>
        <w:spacing w:line="440" w:lineRule="exact"/>
        <w:ind w:firstLine="480" w:firstLineChars="200"/>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★属下列情形之一的，供应商的响应无效：</w:t>
      </w:r>
    </w:p>
    <w:p>
      <w:pPr>
        <w:pStyle w:val="10"/>
        <w:spacing w:line="440" w:lineRule="exact"/>
        <w:ind w:firstLine="420"/>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（1）供应商不具备本章第3项规定的供应商资格要求的；</w:t>
      </w:r>
    </w:p>
    <w:p>
      <w:pPr>
        <w:pStyle w:val="10"/>
        <w:spacing w:line="440" w:lineRule="exact"/>
        <w:ind w:firstLine="420"/>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 xml:space="preserve">（2）响应文件未按本章第8.8项的规定标识或未按规定的正、副本数量递交的； </w:t>
      </w:r>
    </w:p>
    <w:p>
      <w:pPr>
        <w:pStyle w:val="10"/>
        <w:spacing w:line="440" w:lineRule="exact"/>
        <w:ind w:firstLine="420"/>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（3）响应文件未按本章第10.1项的规定编写和提交的（包括缺少应提交的文件或格式不符合第五章“响应文件格式”的要求）；</w:t>
      </w:r>
    </w:p>
    <w:p>
      <w:pPr>
        <w:pStyle w:val="10"/>
        <w:spacing w:line="440" w:lineRule="exact"/>
        <w:ind w:firstLine="420"/>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（4）响应文件不符合本章第10.2项规定的；</w:t>
      </w:r>
    </w:p>
    <w:p>
      <w:pPr>
        <w:pStyle w:val="10"/>
        <w:spacing w:line="440" w:lineRule="exact"/>
        <w:ind w:firstLine="420"/>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（5）响应报价不符合本章第11项规定的或超过采购预算的</w:t>
      </w:r>
      <w:r>
        <w:rPr>
          <w:rFonts w:cs="宋体" w:asciiTheme="majorEastAsia" w:hAnsiTheme="majorEastAsia" w:eastAsiaTheme="majorEastAsia"/>
          <w:sz w:val="24"/>
          <w:szCs w:val="24"/>
        </w:rPr>
        <w:t>或超过最高限价的</w:t>
      </w:r>
      <w:r>
        <w:rPr>
          <w:rFonts w:hint="eastAsia" w:asciiTheme="majorEastAsia" w:hAnsiTheme="majorEastAsia" w:eastAsiaTheme="majorEastAsia" w:cstheme="majorEastAsia"/>
          <w:color w:val="000000" w:themeColor="text1"/>
          <w:sz w:val="24"/>
          <w:szCs w:val="24"/>
        </w:rPr>
        <w:t>或磋商小组认定低于成本报价的；</w:t>
      </w:r>
    </w:p>
    <w:p>
      <w:pPr>
        <w:pStyle w:val="10"/>
        <w:spacing w:line="440" w:lineRule="exact"/>
        <w:ind w:firstLine="420"/>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（6）响应文件不符合本章第14项规定的；</w:t>
      </w:r>
    </w:p>
    <w:p>
      <w:pPr>
        <w:pStyle w:val="10"/>
        <w:spacing w:line="440" w:lineRule="exact"/>
        <w:ind w:firstLine="420"/>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（7）供应商出现本章第17.4.4项所述的响应文件将被视为无效的情形的；</w:t>
      </w:r>
    </w:p>
    <w:p>
      <w:pPr>
        <w:pStyle w:val="10"/>
        <w:spacing w:line="440" w:lineRule="exact"/>
        <w:ind w:firstLine="420"/>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（8）供应商出现本章第18.2项所述情形的；</w:t>
      </w:r>
    </w:p>
    <w:p>
      <w:pPr>
        <w:pStyle w:val="10"/>
        <w:spacing w:line="440" w:lineRule="exact"/>
        <w:ind w:firstLine="420"/>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（9）响应文件未对竞争性磋商文件提出的要求和条件作出实质性响应的；</w:t>
      </w:r>
    </w:p>
    <w:p>
      <w:pPr>
        <w:pStyle w:val="10"/>
        <w:spacing w:line="440" w:lineRule="exact"/>
        <w:ind w:firstLine="420"/>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（10）磋商小组认为响应文件存在严重负偏离的；</w:t>
      </w:r>
    </w:p>
    <w:p>
      <w:pPr>
        <w:pStyle w:val="10"/>
        <w:spacing w:line="440" w:lineRule="exact"/>
        <w:ind w:firstLine="420"/>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（11）响应文件附有采购需求以外的条件使磋商小组认为不能接受的；</w:t>
      </w:r>
    </w:p>
    <w:p>
      <w:pPr>
        <w:pStyle w:val="10"/>
        <w:spacing w:line="440" w:lineRule="exact"/>
        <w:ind w:firstLine="420"/>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（12）供应商在响应过程中提供虚假材料的。</w:t>
      </w:r>
    </w:p>
    <w:p>
      <w:pPr>
        <w:pStyle w:val="10"/>
        <w:spacing w:line="440" w:lineRule="exact"/>
        <w:ind w:firstLine="420"/>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（13）响应文件含有违反国家法律、法规的内容。</w:t>
      </w:r>
    </w:p>
    <w:p>
      <w:pPr>
        <w:pStyle w:val="10"/>
        <w:spacing w:line="440" w:lineRule="exact"/>
        <w:ind w:firstLine="420"/>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 xml:space="preserve">    供应商响应无效的，磋商小组应当告知有关供应商。 </w:t>
      </w:r>
    </w:p>
    <w:p>
      <w:pPr>
        <w:pStyle w:val="10"/>
        <w:spacing w:line="440" w:lineRule="exact"/>
        <w:ind w:firstLine="420"/>
        <w:rPr>
          <w:rFonts w:asciiTheme="majorEastAsia" w:hAnsiTheme="majorEastAsia" w:eastAsiaTheme="majorEastAsia" w:cstheme="majorEastAsia"/>
          <w:color w:val="000000" w:themeColor="text1"/>
          <w:sz w:val="24"/>
          <w:szCs w:val="24"/>
        </w:rPr>
      </w:pPr>
    </w:p>
    <w:p>
      <w:pPr>
        <w:pStyle w:val="10"/>
        <w:spacing w:line="440" w:lineRule="exact"/>
        <w:rPr>
          <w:rFonts w:asciiTheme="majorEastAsia" w:hAnsiTheme="majorEastAsia" w:eastAsiaTheme="majorEastAsia" w:cstheme="majorEastAsia"/>
          <w:color w:val="000000" w:themeColor="text1"/>
          <w:sz w:val="24"/>
          <w:szCs w:val="24"/>
        </w:rPr>
      </w:pPr>
      <w:bookmarkStart w:id="78" w:name="_Toc213326421"/>
      <w:bookmarkStart w:id="79" w:name="_Toc495334415"/>
      <w:r>
        <w:rPr>
          <w:rFonts w:hint="eastAsia" w:asciiTheme="majorEastAsia" w:hAnsiTheme="majorEastAsia" w:eastAsiaTheme="majorEastAsia" w:cstheme="majorEastAsia"/>
          <w:color w:val="000000" w:themeColor="text1"/>
          <w:sz w:val="24"/>
          <w:szCs w:val="24"/>
        </w:rPr>
        <w:t>21. 废标</w:t>
      </w:r>
    </w:p>
    <w:p>
      <w:pPr>
        <w:pStyle w:val="10"/>
        <w:spacing w:line="440" w:lineRule="exact"/>
        <w:ind w:firstLine="420"/>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21.1  在采购过程中，出现下列情形之一的，予以废标：</w:t>
      </w:r>
    </w:p>
    <w:p>
      <w:pPr>
        <w:pStyle w:val="10"/>
        <w:spacing w:line="440" w:lineRule="exact"/>
        <w:ind w:firstLine="420"/>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（1）采用竞争性磋商采购方式的政府购买服务项目或政府和社会资本合作项目对竞争性磋商文件作实质响应的供应商不足2家的；</w:t>
      </w:r>
    </w:p>
    <w:p>
      <w:pPr>
        <w:pStyle w:val="10"/>
        <w:spacing w:line="440" w:lineRule="exact"/>
        <w:ind w:firstLine="420"/>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（2）采用竞争性磋商采购方式的市场竞争不充分的科研项目或需要扶持科技成果转化项目对竞争性磋商文件作实质响应的供应商不足3家的；</w:t>
      </w:r>
    </w:p>
    <w:p>
      <w:pPr>
        <w:pStyle w:val="10"/>
        <w:spacing w:line="440" w:lineRule="exact"/>
        <w:ind w:firstLine="420"/>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（3）出现影响采购公正的违法、违规行为的；</w:t>
      </w:r>
    </w:p>
    <w:p>
      <w:pPr>
        <w:pStyle w:val="10"/>
        <w:spacing w:line="440" w:lineRule="exact"/>
        <w:ind w:firstLine="420"/>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（4）磋商供应商的报价均超过了采购预算，采购人不能支付的；</w:t>
      </w:r>
    </w:p>
    <w:p>
      <w:pPr>
        <w:pStyle w:val="10"/>
        <w:spacing w:line="440" w:lineRule="exact"/>
        <w:ind w:firstLine="420"/>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（5）因重大变故，采购任务取消的。</w:t>
      </w:r>
    </w:p>
    <w:p>
      <w:pPr>
        <w:pStyle w:val="10"/>
        <w:spacing w:line="440" w:lineRule="exact"/>
        <w:ind w:firstLine="480" w:firstLineChars="200"/>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21.2  废标后，采购代理机构将在本章第2项规定的政府采购信息发布媒体上公告废标理由，不再另行通知。</w:t>
      </w:r>
    </w:p>
    <w:p>
      <w:pPr>
        <w:pStyle w:val="16"/>
        <w:outlineLvl w:val="1"/>
        <w:rPr>
          <w:rFonts w:asciiTheme="majorEastAsia" w:hAnsiTheme="majorEastAsia" w:eastAsiaTheme="majorEastAsia" w:cstheme="majorEastAsia"/>
          <w:color w:val="000000" w:themeColor="text1"/>
          <w:sz w:val="30"/>
          <w:szCs w:val="30"/>
        </w:rPr>
      </w:pPr>
      <w:bookmarkStart w:id="80" w:name="_Toc26939"/>
      <w:bookmarkStart w:id="81" w:name="_Toc15380"/>
      <w:bookmarkStart w:id="82" w:name="_Toc7328"/>
      <w:r>
        <w:rPr>
          <w:rFonts w:hint="eastAsia" w:asciiTheme="majorEastAsia" w:hAnsiTheme="majorEastAsia" w:eastAsiaTheme="majorEastAsia" w:cstheme="majorEastAsia"/>
          <w:color w:val="000000" w:themeColor="text1"/>
        </w:rPr>
        <w:t>六   合同授予</w:t>
      </w:r>
      <w:bookmarkEnd w:id="78"/>
      <w:bookmarkEnd w:id="79"/>
      <w:bookmarkEnd w:id="80"/>
      <w:bookmarkEnd w:id="81"/>
      <w:bookmarkEnd w:id="82"/>
    </w:p>
    <w:p>
      <w:pPr>
        <w:pStyle w:val="10"/>
        <w:spacing w:line="440" w:lineRule="exact"/>
        <w:rPr>
          <w:rFonts w:asciiTheme="majorEastAsia" w:hAnsiTheme="majorEastAsia" w:eastAsiaTheme="majorEastAsia" w:cstheme="majorEastAsia"/>
          <w:bCs/>
          <w:color w:val="000000" w:themeColor="text1"/>
          <w:sz w:val="24"/>
          <w:szCs w:val="24"/>
        </w:rPr>
      </w:pPr>
      <w:r>
        <w:rPr>
          <w:rFonts w:hint="eastAsia" w:asciiTheme="majorEastAsia" w:hAnsiTheme="majorEastAsia" w:eastAsiaTheme="majorEastAsia" w:cstheme="majorEastAsia"/>
          <w:bCs/>
          <w:color w:val="000000" w:themeColor="text1"/>
          <w:sz w:val="24"/>
          <w:szCs w:val="24"/>
        </w:rPr>
        <w:t>22.  成交供应商的确定</w:t>
      </w:r>
    </w:p>
    <w:p>
      <w:pPr>
        <w:spacing w:line="440" w:lineRule="exact"/>
        <w:ind w:firstLine="480" w:firstLineChars="200"/>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t>磋商小组按第三章“评审方法”的规定排列成交候选供应商顺序，并依照次序确定成交方。</w:t>
      </w:r>
    </w:p>
    <w:p>
      <w:pPr>
        <w:pStyle w:val="10"/>
        <w:spacing w:line="440" w:lineRule="exact"/>
        <w:rPr>
          <w:rFonts w:asciiTheme="majorEastAsia" w:hAnsiTheme="majorEastAsia" w:eastAsiaTheme="majorEastAsia" w:cstheme="majorEastAsia"/>
          <w:bCs/>
          <w:color w:val="000000" w:themeColor="text1"/>
          <w:sz w:val="24"/>
          <w:szCs w:val="24"/>
        </w:rPr>
      </w:pPr>
      <w:r>
        <w:rPr>
          <w:rFonts w:hint="eastAsia" w:asciiTheme="majorEastAsia" w:hAnsiTheme="majorEastAsia" w:eastAsiaTheme="majorEastAsia" w:cstheme="majorEastAsia"/>
          <w:bCs/>
          <w:color w:val="000000" w:themeColor="text1"/>
          <w:sz w:val="24"/>
          <w:szCs w:val="24"/>
        </w:rPr>
        <w:t>23.  成交公告及成交通知书</w:t>
      </w:r>
    </w:p>
    <w:p>
      <w:pPr>
        <w:pStyle w:val="10"/>
        <w:spacing w:line="440" w:lineRule="exact"/>
        <w:ind w:firstLine="360"/>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szCs w:val="24"/>
        </w:rPr>
        <w:t>23.1采购代理机构应当自成交人确认之日起2个工作日内，在</w:t>
      </w:r>
      <w:r>
        <w:rPr>
          <w:rFonts w:hint="eastAsia" w:asciiTheme="majorEastAsia" w:hAnsiTheme="majorEastAsia" w:eastAsiaTheme="majorEastAsia" w:cstheme="majorEastAsia"/>
          <w:color w:val="000000" w:themeColor="text1"/>
          <w:sz w:val="24"/>
        </w:rPr>
        <w:t>本章第2.1项规定的政府采购信息发布媒体上公示成交结果，成交公告期限为1个工作日，在公告成交结果的同时，采购代理机构应当向成交人发出成交通知书。</w:t>
      </w:r>
    </w:p>
    <w:p>
      <w:pPr>
        <w:pStyle w:val="10"/>
        <w:spacing w:line="440" w:lineRule="exact"/>
        <w:ind w:firstLine="480" w:firstLineChars="200"/>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23.2  成交通知书对采购人和成交供应商具有同等法律效力。成交通知书发出后，采购人改变成交结果，或者成交供应商放弃成交，应当承担相应的法律责任。</w:t>
      </w:r>
    </w:p>
    <w:p>
      <w:pPr>
        <w:pStyle w:val="10"/>
        <w:spacing w:line="440" w:lineRule="exact"/>
        <w:rPr>
          <w:rFonts w:asciiTheme="majorEastAsia" w:hAnsiTheme="majorEastAsia" w:eastAsiaTheme="majorEastAsia" w:cstheme="majorEastAsia"/>
          <w:bCs/>
          <w:color w:val="000000" w:themeColor="text1"/>
          <w:sz w:val="24"/>
          <w:szCs w:val="24"/>
        </w:rPr>
      </w:pPr>
      <w:r>
        <w:rPr>
          <w:rFonts w:hint="eastAsia" w:asciiTheme="majorEastAsia" w:hAnsiTheme="majorEastAsia" w:eastAsiaTheme="majorEastAsia" w:cstheme="majorEastAsia"/>
          <w:bCs/>
          <w:color w:val="000000" w:themeColor="text1"/>
          <w:sz w:val="24"/>
          <w:szCs w:val="24"/>
        </w:rPr>
        <w:t>24.  响应文件的退回</w:t>
      </w:r>
    </w:p>
    <w:p>
      <w:pPr>
        <w:pStyle w:val="10"/>
        <w:spacing w:line="440" w:lineRule="exact"/>
        <w:ind w:firstLine="480" w:firstLineChars="200"/>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24.1  采购人及采购代理机构无义务向未成交供应商退回响应文件。</w:t>
      </w:r>
    </w:p>
    <w:p>
      <w:pPr>
        <w:pStyle w:val="10"/>
        <w:spacing w:line="440" w:lineRule="exact"/>
        <w:rPr>
          <w:rFonts w:asciiTheme="majorEastAsia" w:hAnsiTheme="majorEastAsia" w:eastAsiaTheme="majorEastAsia" w:cstheme="majorEastAsia"/>
          <w:bCs/>
          <w:color w:val="000000" w:themeColor="text1"/>
          <w:sz w:val="24"/>
          <w:szCs w:val="24"/>
        </w:rPr>
      </w:pPr>
      <w:r>
        <w:rPr>
          <w:rFonts w:hint="eastAsia" w:asciiTheme="majorEastAsia" w:hAnsiTheme="majorEastAsia" w:eastAsiaTheme="majorEastAsia" w:cstheme="majorEastAsia"/>
          <w:bCs/>
          <w:color w:val="000000" w:themeColor="text1"/>
          <w:sz w:val="24"/>
          <w:szCs w:val="24"/>
        </w:rPr>
        <w:t>25.   签订合同</w:t>
      </w:r>
    </w:p>
    <w:p>
      <w:pPr>
        <w:pStyle w:val="10"/>
        <w:spacing w:line="440" w:lineRule="exact"/>
        <w:ind w:firstLine="420"/>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25.1  采购人和成交供应商应当在第二章“服务需求一览表”中商务条款要求载明的合同签订期内，根据竞争性磋商文件、成交供应商的响应文件及有关澄清承诺书的要求按第六章“合同条款及格式”订立书面合同。</w:t>
      </w:r>
    </w:p>
    <w:p>
      <w:pPr>
        <w:pStyle w:val="10"/>
        <w:spacing w:line="440" w:lineRule="exact"/>
        <w:ind w:firstLine="480" w:firstLineChars="200"/>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25.2  发出成交通知书后，采购人无正当理由拒签合同的，给成交供应商造成损失的，应当赔偿损失。</w:t>
      </w:r>
    </w:p>
    <w:p>
      <w:pPr>
        <w:widowControl/>
        <w:spacing w:before="100" w:beforeAutospacing="1" w:after="100" w:afterAutospacing="1" w:line="450" w:lineRule="atLeast"/>
        <w:ind w:firstLine="480" w:firstLineChars="200"/>
        <w:jc w:val="left"/>
        <w:rPr>
          <w:rFonts w:asciiTheme="majorEastAsia" w:hAnsiTheme="majorEastAsia" w:eastAsiaTheme="majorEastAsia" w:cstheme="majorEastAsia"/>
          <w:color w:val="000000" w:themeColor="text1"/>
          <w:kern w:val="0"/>
          <w:sz w:val="24"/>
        </w:rPr>
      </w:pPr>
      <w:r>
        <w:rPr>
          <w:rFonts w:hint="eastAsia" w:asciiTheme="majorEastAsia" w:hAnsiTheme="majorEastAsia" w:eastAsiaTheme="majorEastAsia" w:cstheme="majorEastAsia"/>
          <w:color w:val="000000" w:themeColor="text1"/>
          <w:kern w:val="0"/>
          <w:sz w:val="24"/>
        </w:rPr>
        <w:t>25.3  成交供应商拒绝与采购人签订合同的，</w:t>
      </w:r>
      <w:r>
        <w:rPr>
          <w:rFonts w:hint="eastAsia" w:asciiTheme="majorEastAsia" w:hAnsiTheme="majorEastAsia" w:eastAsiaTheme="majorEastAsia" w:cstheme="majorEastAsia"/>
          <w:color w:val="000000" w:themeColor="text1"/>
          <w:sz w:val="24"/>
        </w:rPr>
        <w:t>经政府采购监督管理部门同意，</w:t>
      </w:r>
      <w:r>
        <w:rPr>
          <w:rFonts w:hint="eastAsia" w:asciiTheme="majorEastAsia" w:hAnsiTheme="majorEastAsia" w:eastAsiaTheme="majorEastAsia" w:cstheme="majorEastAsia"/>
          <w:color w:val="000000" w:themeColor="text1"/>
          <w:kern w:val="0"/>
          <w:sz w:val="24"/>
        </w:rPr>
        <w:t>采购人可以按照评审报告推荐的成交候选人名单排序，确定下一候选人为成交供应商，也可以重新开展政府采购活动。</w:t>
      </w:r>
    </w:p>
    <w:p>
      <w:pPr>
        <w:pStyle w:val="10"/>
        <w:spacing w:line="440" w:lineRule="exact"/>
        <w:ind w:firstLine="480" w:firstLineChars="200"/>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25.4  成交供应商因不可抗力或者自身原因不能履行政府采购合同的，采购人可以与排位在成交供应商之后第一位的成交候选供应商签订政府采购合同，以此类推。</w:t>
      </w:r>
    </w:p>
    <w:p>
      <w:pPr>
        <w:pStyle w:val="10"/>
        <w:spacing w:line="440" w:lineRule="exact"/>
        <w:rPr>
          <w:rFonts w:asciiTheme="majorEastAsia" w:hAnsiTheme="majorEastAsia" w:eastAsiaTheme="majorEastAsia" w:cstheme="majorEastAsia"/>
          <w:bCs/>
          <w:color w:val="000000" w:themeColor="text1"/>
          <w:sz w:val="24"/>
          <w:szCs w:val="24"/>
        </w:rPr>
      </w:pPr>
      <w:bookmarkStart w:id="83" w:name="_Toc213326423"/>
      <w:bookmarkStart w:id="84" w:name="_Toc213206175"/>
      <w:bookmarkStart w:id="85" w:name="_Toc213325924"/>
      <w:r>
        <w:rPr>
          <w:rFonts w:hint="eastAsia" w:asciiTheme="majorEastAsia" w:hAnsiTheme="majorEastAsia" w:eastAsiaTheme="majorEastAsia" w:cstheme="majorEastAsia"/>
          <w:bCs/>
          <w:color w:val="000000" w:themeColor="text1"/>
          <w:sz w:val="24"/>
          <w:szCs w:val="24"/>
        </w:rPr>
        <w:t>26.  履约保证金及质量保证金</w:t>
      </w:r>
    </w:p>
    <w:p>
      <w:pPr>
        <w:pStyle w:val="10"/>
        <w:spacing w:line="440" w:lineRule="exact"/>
        <w:ind w:firstLine="360" w:firstLineChars="150"/>
        <w:jc w:val="left"/>
        <w:rPr>
          <w:rFonts w:asciiTheme="majorEastAsia" w:hAnsiTheme="majorEastAsia" w:eastAsiaTheme="majorEastAsia" w:cstheme="majorEastAsia"/>
          <w:color w:val="000000" w:themeColor="text1"/>
          <w:szCs w:val="28"/>
        </w:rPr>
      </w:pPr>
      <w:bookmarkStart w:id="86" w:name="_Toc213326422"/>
      <w:bookmarkStart w:id="87" w:name="_Toc495334416"/>
      <w:r>
        <w:rPr>
          <w:rFonts w:hint="eastAsia" w:asciiTheme="majorEastAsia" w:hAnsiTheme="majorEastAsia" w:eastAsiaTheme="majorEastAsia" w:cstheme="majorEastAsia"/>
          <w:color w:val="000000" w:themeColor="text1"/>
          <w:sz w:val="24"/>
          <w:szCs w:val="24"/>
        </w:rPr>
        <w:t>本项目不收取履约保证金及质量保证金</w:t>
      </w:r>
      <w:r>
        <w:rPr>
          <w:rFonts w:hint="eastAsia" w:asciiTheme="majorEastAsia" w:hAnsiTheme="majorEastAsia" w:eastAsiaTheme="majorEastAsia" w:cstheme="majorEastAsia"/>
          <w:color w:val="000000" w:themeColor="text1"/>
          <w:szCs w:val="28"/>
        </w:rPr>
        <w:t>。</w:t>
      </w:r>
    </w:p>
    <w:p>
      <w:pPr>
        <w:pStyle w:val="10"/>
        <w:spacing w:line="440" w:lineRule="exact"/>
        <w:jc w:val="center"/>
        <w:rPr>
          <w:rFonts w:asciiTheme="majorEastAsia" w:hAnsiTheme="majorEastAsia" w:eastAsiaTheme="majorEastAsia" w:cstheme="majorEastAsia"/>
          <w:color w:val="000000" w:themeColor="text1"/>
        </w:rPr>
      </w:pPr>
    </w:p>
    <w:p>
      <w:pPr>
        <w:pStyle w:val="16"/>
        <w:outlineLvl w:val="1"/>
        <w:rPr>
          <w:rFonts w:asciiTheme="majorEastAsia" w:hAnsiTheme="majorEastAsia" w:eastAsiaTheme="majorEastAsia" w:cstheme="majorEastAsia"/>
          <w:color w:val="000000" w:themeColor="text1"/>
        </w:rPr>
      </w:pPr>
      <w:bookmarkStart w:id="88" w:name="_Toc8678"/>
      <w:bookmarkStart w:id="89" w:name="_Toc17564"/>
      <w:bookmarkStart w:id="90" w:name="_Toc9686"/>
      <w:r>
        <w:rPr>
          <w:rFonts w:hint="eastAsia" w:asciiTheme="majorEastAsia" w:hAnsiTheme="majorEastAsia" w:eastAsiaTheme="majorEastAsia" w:cstheme="majorEastAsia"/>
          <w:color w:val="000000" w:themeColor="text1"/>
        </w:rPr>
        <w:t>七   其他事项</w:t>
      </w:r>
      <w:bookmarkEnd w:id="86"/>
      <w:bookmarkEnd w:id="87"/>
      <w:bookmarkEnd w:id="88"/>
      <w:bookmarkEnd w:id="89"/>
      <w:bookmarkEnd w:id="90"/>
    </w:p>
    <w:p>
      <w:pPr>
        <w:pStyle w:val="10"/>
        <w:spacing w:line="440" w:lineRule="exact"/>
        <w:rPr>
          <w:rFonts w:asciiTheme="majorEastAsia" w:hAnsiTheme="majorEastAsia" w:eastAsiaTheme="majorEastAsia" w:cstheme="majorEastAsia"/>
          <w:bCs/>
          <w:color w:val="000000" w:themeColor="text1"/>
          <w:sz w:val="24"/>
          <w:szCs w:val="24"/>
        </w:rPr>
      </w:pPr>
      <w:r>
        <w:rPr>
          <w:rFonts w:hint="eastAsia" w:asciiTheme="majorEastAsia" w:hAnsiTheme="majorEastAsia" w:eastAsiaTheme="majorEastAsia" w:cstheme="majorEastAsia"/>
          <w:bCs/>
          <w:color w:val="000000" w:themeColor="text1"/>
          <w:sz w:val="24"/>
          <w:szCs w:val="24"/>
        </w:rPr>
        <w:t>27.  解释权</w:t>
      </w:r>
    </w:p>
    <w:p>
      <w:pPr>
        <w:pStyle w:val="10"/>
        <w:spacing w:line="440" w:lineRule="exact"/>
        <w:ind w:firstLine="480" w:firstLineChars="200"/>
        <w:jc w:val="left"/>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27.1  本竞争性磋商采购文件根据《中华人民共和国政府采购法》、《中华人民共和国政府采购法实施条例》、《政府采购竞争性磋商采购方式管理暂行办法》（财库〔2014〕214号）及相关法律法规编制，解释权属采购代理机构。</w:t>
      </w:r>
    </w:p>
    <w:p>
      <w:pPr>
        <w:pStyle w:val="10"/>
        <w:spacing w:line="440" w:lineRule="exact"/>
        <w:rPr>
          <w:rFonts w:asciiTheme="majorEastAsia" w:hAnsiTheme="majorEastAsia" w:eastAsiaTheme="majorEastAsia" w:cstheme="majorEastAsia"/>
          <w:bCs/>
          <w:color w:val="000000" w:themeColor="text1"/>
          <w:sz w:val="24"/>
          <w:szCs w:val="24"/>
        </w:rPr>
      </w:pPr>
      <w:r>
        <w:rPr>
          <w:rFonts w:hint="eastAsia" w:asciiTheme="majorEastAsia" w:hAnsiTheme="majorEastAsia" w:eastAsiaTheme="majorEastAsia" w:cstheme="majorEastAsia"/>
          <w:bCs/>
          <w:color w:val="000000" w:themeColor="text1"/>
          <w:sz w:val="24"/>
          <w:szCs w:val="24"/>
        </w:rPr>
        <w:t>28.  其他</w:t>
      </w:r>
    </w:p>
    <w:p>
      <w:pPr>
        <w:pStyle w:val="10"/>
        <w:spacing w:line="440" w:lineRule="exact"/>
        <w:ind w:firstLine="600" w:firstLineChars="250"/>
        <w:jc w:val="left"/>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只要磋商供应商参与响应并递交响应文件即视为已经理解并毫无保留地同意了本竞争性磋商文件的所有条文。</w:t>
      </w:r>
    </w:p>
    <w:p>
      <w:pPr>
        <w:pStyle w:val="10"/>
        <w:spacing w:line="440" w:lineRule="exact"/>
        <w:rPr>
          <w:rFonts w:asciiTheme="majorEastAsia" w:hAnsiTheme="majorEastAsia" w:eastAsiaTheme="majorEastAsia" w:cstheme="majorEastAsia"/>
          <w:bCs/>
          <w:color w:val="000000" w:themeColor="text1"/>
          <w:sz w:val="24"/>
          <w:szCs w:val="24"/>
        </w:rPr>
      </w:pPr>
      <w:r>
        <w:rPr>
          <w:rFonts w:hint="eastAsia" w:asciiTheme="majorEastAsia" w:hAnsiTheme="majorEastAsia" w:eastAsiaTheme="majorEastAsia" w:cstheme="majorEastAsia"/>
          <w:bCs/>
          <w:color w:val="000000" w:themeColor="text1"/>
          <w:sz w:val="24"/>
          <w:szCs w:val="24"/>
        </w:rPr>
        <w:t>29.   响应文件的退回</w:t>
      </w:r>
    </w:p>
    <w:p>
      <w:pPr>
        <w:pStyle w:val="10"/>
        <w:spacing w:line="440" w:lineRule="exact"/>
        <w:ind w:firstLine="480" w:firstLineChars="200"/>
        <w:jc w:val="left"/>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 xml:space="preserve">  所有响应文件均不予退回。</w:t>
      </w:r>
    </w:p>
    <w:p>
      <w:pPr>
        <w:pStyle w:val="10"/>
        <w:spacing w:line="440" w:lineRule="exact"/>
        <w:jc w:val="left"/>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30.  需要补充的其他内容</w:t>
      </w:r>
    </w:p>
    <w:p>
      <w:pPr>
        <w:pStyle w:val="10"/>
        <w:spacing w:line="440" w:lineRule="exact"/>
        <w:ind w:firstLine="600" w:firstLineChars="250"/>
        <w:jc w:val="left"/>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需要补充的其他内容：见磋商供应商须知前附表。</w:t>
      </w:r>
    </w:p>
    <w:p>
      <w:pPr>
        <w:pStyle w:val="16"/>
        <w:rPr>
          <w:rFonts w:ascii="宋体"/>
          <w:color w:val="000000" w:themeColor="text1"/>
        </w:rPr>
      </w:pPr>
      <w:r>
        <w:rPr>
          <w:rFonts w:hint="eastAsia" w:asciiTheme="majorEastAsia" w:hAnsiTheme="majorEastAsia" w:eastAsiaTheme="majorEastAsia" w:cstheme="majorEastAsia"/>
          <w:color w:val="000000" w:themeColor="text1"/>
        </w:rPr>
        <w:br w:type="page"/>
      </w:r>
      <w:bookmarkEnd w:id="83"/>
      <w:bookmarkEnd w:id="84"/>
      <w:bookmarkEnd w:id="85"/>
      <w:bookmarkStart w:id="91" w:name="_Toc18164"/>
      <w:bookmarkStart w:id="92" w:name="_Toc14764"/>
      <w:bookmarkStart w:id="93" w:name="_Toc4957"/>
      <w:bookmarkStart w:id="94" w:name="_Toc18802"/>
      <w:r>
        <w:rPr>
          <w:rFonts w:hint="eastAsia" w:ascii="宋体" w:hAnsi="宋体"/>
          <w:color w:val="000000" w:themeColor="text1"/>
        </w:rPr>
        <w:t>第五章</w:t>
      </w:r>
      <w:r>
        <w:rPr>
          <w:rFonts w:ascii="宋体" w:hAnsi="宋体"/>
          <w:color w:val="000000" w:themeColor="text1"/>
        </w:rPr>
        <w:t xml:space="preserve">  </w:t>
      </w:r>
      <w:r>
        <w:rPr>
          <w:rFonts w:hint="eastAsia" w:ascii="宋体" w:hAnsi="宋体"/>
          <w:color w:val="000000" w:themeColor="text1"/>
        </w:rPr>
        <w:t>响应文件格式</w:t>
      </w:r>
      <w:bookmarkEnd w:id="91"/>
      <w:bookmarkEnd w:id="92"/>
      <w:bookmarkEnd w:id="93"/>
    </w:p>
    <w:p>
      <w:pPr>
        <w:pStyle w:val="10"/>
        <w:spacing w:line="500" w:lineRule="exact"/>
        <w:outlineLvl w:val="1"/>
        <w:rPr>
          <w:rFonts w:hAnsi="宋体"/>
          <w:b/>
          <w:color w:val="000000" w:themeColor="text1"/>
        </w:rPr>
      </w:pPr>
      <w:bookmarkStart w:id="95" w:name="_Toc12985"/>
      <w:bookmarkStart w:id="96" w:name="_Toc30227"/>
      <w:bookmarkStart w:id="97" w:name="_Toc30378"/>
      <w:r>
        <w:rPr>
          <w:rFonts w:hint="eastAsia" w:hAnsi="宋体"/>
          <w:b/>
          <w:color w:val="000000" w:themeColor="text1"/>
        </w:rPr>
        <w:t>格式</w:t>
      </w:r>
      <w:r>
        <w:rPr>
          <w:rFonts w:hAnsi="宋体"/>
          <w:b/>
          <w:color w:val="000000" w:themeColor="text1"/>
        </w:rPr>
        <w:t>1</w:t>
      </w:r>
      <w:r>
        <w:rPr>
          <w:rFonts w:hint="eastAsia" w:hAnsi="宋体"/>
          <w:b/>
          <w:color w:val="000000" w:themeColor="text1"/>
        </w:rPr>
        <w:t>：</w:t>
      </w:r>
      <w:bookmarkEnd w:id="95"/>
      <w:bookmarkEnd w:id="96"/>
      <w:bookmarkEnd w:id="97"/>
    </w:p>
    <w:p>
      <w:pPr>
        <w:pStyle w:val="10"/>
        <w:spacing w:line="500" w:lineRule="exact"/>
        <w:jc w:val="center"/>
        <w:rPr>
          <w:rFonts w:hAnsi="宋体"/>
          <w:b/>
          <w:bCs/>
          <w:color w:val="000000" w:themeColor="text1"/>
          <w:sz w:val="30"/>
          <w:szCs w:val="30"/>
        </w:rPr>
      </w:pPr>
      <w:r>
        <w:rPr>
          <w:rFonts w:hint="eastAsia" w:hAnsi="宋体"/>
          <w:b/>
          <w:bCs/>
          <w:color w:val="000000" w:themeColor="text1"/>
          <w:sz w:val="30"/>
          <w:szCs w:val="30"/>
        </w:rPr>
        <w:t>响应函（格式）</w:t>
      </w:r>
    </w:p>
    <w:p>
      <w:pPr>
        <w:pStyle w:val="10"/>
        <w:spacing w:line="500" w:lineRule="exact"/>
        <w:rPr>
          <w:rFonts w:hAnsi="宋体"/>
          <w:color w:val="000000" w:themeColor="text1"/>
          <w:sz w:val="32"/>
        </w:rPr>
      </w:pPr>
    </w:p>
    <w:p>
      <w:pPr>
        <w:pStyle w:val="10"/>
        <w:spacing w:line="440" w:lineRule="exact"/>
        <w:rPr>
          <w:rFonts w:hAnsi="宋体"/>
          <w:color w:val="000000" w:themeColor="text1"/>
          <w:sz w:val="24"/>
          <w:szCs w:val="24"/>
        </w:rPr>
      </w:pPr>
      <w:r>
        <w:rPr>
          <w:rFonts w:hint="eastAsia" w:hAnsi="宋体"/>
          <w:color w:val="000000" w:themeColor="text1"/>
          <w:sz w:val="24"/>
          <w:szCs w:val="24"/>
        </w:rPr>
        <w:t>致：</w:t>
      </w:r>
      <w:r>
        <w:rPr>
          <w:rFonts w:hint="eastAsia" w:hAnsi="宋体"/>
          <w:color w:val="000000" w:themeColor="text1"/>
          <w:sz w:val="24"/>
          <w:szCs w:val="24"/>
          <w:u w:val="single"/>
        </w:rPr>
        <w:t xml:space="preserve">                 </w:t>
      </w:r>
      <w:r>
        <w:rPr>
          <w:rFonts w:hint="eastAsia" w:hAnsi="宋体"/>
          <w:color w:val="000000" w:themeColor="text1"/>
          <w:sz w:val="24"/>
          <w:szCs w:val="24"/>
        </w:rPr>
        <w:t>（采购代理机构名称）</w:t>
      </w:r>
    </w:p>
    <w:p>
      <w:pPr>
        <w:pStyle w:val="10"/>
        <w:spacing w:line="440" w:lineRule="exact"/>
        <w:ind w:firstLine="480" w:firstLineChars="200"/>
        <w:rPr>
          <w:rFonts w:hAnsi="宋体"/>
          <w:color w:val="000000" w:themeColor="text1"/>
          <w:sz w:val="24"/>
          <w:szCs w:val="24"/>
        </w:rPr>
      </w:pPr>
    </w:p>
    <w:p>
      <w:pPr>
        <w:pStyle w:val="10"/>
        <w:spacing w:line="440" w:lineRule="exact"/>
        <w:ind w:firstLine="480" w:firstLineChars="200"/>
        <w:rPr>
          <w:rFonts w:hAnsi="宋体"/>
          <w:color w:val="000000" w:themeColor="text1"/>
          <w:sz w:val="24"/>
          <w:szCs w:val="24"/>
        </w:rPr>
      </w:pPr>
      <w:r>
        <w:rPr>
          <w:rFonts w:hint="eastAsia" w:hAnsi="宋体"/>
          <w:color w:val="000000" w:themeColor="text1"/>
          <w:sz w:val="24"/>
          <w:szCs w:val="24"/>
        </w:rPr>
        <w:t>我方已仔细阅读了贵方组织的</w:t>
      </w:r>
      <w:r>
        <w:rPr>
          <w:rFonts w:hAnsi="宋体"/>
          <w:color w:val="000000" w:themeColor="text1"/>
          <w:sz w:val="24"/>
          <w:szCs w:val="24"/>
          <w:u w:val="single"/>
        </w:rPr>
        <w:t xml:space="preserve">   </w:t>
      </w:r>
      <w:r>
        <w:rPr>
          <w:rFonts w:hint="eastAsia" w:hAnsi="宋体"/>
          <w:color w:val="000000" w:themeColor="text1"/>
          <w:sz w:val="24"/>
          <w:szCs w:val="24"/>
          <w:u w:val="single"/>
        </w:rPr>
        <w:t xml:space="preserve">      </w:t>
      </w:r>
      <w:r>
        <w:rPr>
          <w:rFonts w:hAnsi="宋体"/>
          <w:color w:val="000000" w:themeColor="text1"/>
          <w:sz w:val="24"/>
          <w:szCs w:val="24"/>
          <w:u w:val="single"/>
        </w:rPr>
        <w:t xml:space="preserve">  </w:t>
      </w:r>
      <w:r>
        <w:rPr>
          <w:rFonts w:hint="eastAsia" w:hAnsi="宋体"/>
          <w:color w:val="000000" w:themeColor="text1"/>
          <w:sz w:val="24"/>
          <w:szCs w:val="24"/>
          <w:u w:val="single"/>
        </w:rPr>
        <w:t xml:space="preserve"> </w:t>
      </w:r>
      <w:r>
        <w:rPr>
          <w:rFonts w:hint="eastAsia" w:hAnsi="宋体"/>
          <w:color w:val="000000" w:themeColor="text1"/>
          <w:sz w:val="24"/>
          <w:szCs w:val="24"/>
        </w:rPr>
        <w:t>项目（项目编号：</w:t>
      </w:r>
      <w:r>
        <w:rPr>
          <w:rFonts w:hAnsi="宋体"/>
          <w:color w:val="000000" w:themeColor="text1"/>
          <w:sz w:val="24"/>
          <w:szCs w:val="24"/>
          <w:u w:val="single"/>
        </w:rPr>
        <w:t xml:space="preserve"> </w:t>
      </w:r>
      <w:r>
        <w:rPr>
          <w:rFonts w:hint="eastAsia" w:hAnsi="宋体"/>
          <w:color w:val="000000" w:themeColor="text1"/>
          <w:sz w:val="24"/>
          <w:szCs w:val="24"/>
          <w:u w:val="single"/>
        </w:rPr>
        <w:t xml:space="preserve">            </w:t>
      </w:r>
      <w:r>
        <w:rPr>
          <w:rFonts w:hAnsi="宋体"/>
          <w:color w:val="000000" w:themeColor="text1"/>
          <w:sz w:val="24"/>
          <w:szCs w:val="24"/>
          <w:u w:val="single"/>
        </w:rPr>
        <w:t xml:space="preserve">  </w:t>
      </w:r>
      <w:r>
        <w:rPr>
          <w:rFonts w:hint="eastAsia" w:hAnsi="宋体"/>
          <w:color w:val="000000" w:themeColor="text1"/>
          <w:sz w:val="24"/>
          <w:szCs w:val="24"/>
        </w:rPr>
        <w:t>）的竞争性磋商文件的全部内容，现正式提交下述响应文件参加贵方组织的本次政府采购活动：</w:t>
      </w:r>
      <w:r>
        <w:rPr>
          <w:rFonts w:hAnsi="宋体"/>
          <w:color w:val="000000" w:themeColor="text1"/>
          <w:sz w:val="24"/>
          <w:szCs w:val="24"/>
        </w:rPr>
        <w:t xml:space="preserve"> </w:t>
      </w:r>
    </w:p>
    <w:p>
      <w:pPr>
        <w:pStyle w:val="10"/>
        <w:spacing w:line="440" w:lineRule="exact"/>
        <w:ind w:firstLine="480" w:firstLineChars="200"/>
        <w:rPr>
          <w:rFonts w:hAnsi="宋体"/>
          <w:color w:val="000000" w:themeColor="text1"/>
          <w:sz w:val="24"/>
          <w:szCs w:val="24"/>
        </w:rPr>
      </w:pPr>
      <w:r>
        <w:rPr>
          <w:rFonts w:hint="eastAsia" w:hAnsi="宋体"/>
          <w:color w:val="000000" w:themeColor="text1"/>
          <w:sz w:val="24"/>
          <w:szCs w:val="24"/>
        </w:rPr>
        <w:t>一、首次报价文件正本一份，副本</w:t>
      </w:r>
      <w:r>
        <w:rPr>
          <w:rFonts w:hAnsi="宋体"/>
          <w:color w:val="000000" w:themeColor="text1"/>
          <w:sz w:val="24"/>
          <w:szCs w:val="24"/>
          <w:u w:val="single"/>
        </w:rPr>
        <w:t xml:space="preserve">   </w:t>
      </w:r>
      <w:r>
        <w:rPr>
          <w:rFonts w:hint="eastAsia" w:hAnsi="宋体"/>
          <w:color w:val="000000" w:themeColor="text1"/>
          <w:sz w:val="24"/>
          <w:szCs w:val="24"/>
        </w:rPr>
        <w:t>份（包含按磋商供应商须知第</w:t>
      </w:r>
      <w:r>
        <w:rPr>
          <w:rFonts w:hAnsi="宋体"/>
          <w:color w:val="000000" w:themeColor="text1"/>
          <w:sz w:val="24"/>
          <w:szCs w:val="24"/>
        </w:rPr>
        <w:t>10.1.1</w:t>
      </w:r>
      <w:r>
        <w:rPr>
          <w:rFonts w:hint="eastAsia" w:hAnsi="宋体"/>
          <w:color w:val="000000" w:themeColor="text1"/>
          <w:sz w:val="24"/>
          <w:szCs w:val="24"/>
        </w:rPr>
        <w:t>项要求提交的全部文件）；</w:t>
      </w:r>
    </w:p>
    <w:p>
      <w:pPr>
        <w:pStyle w:val="10"/>
        <w:spacing w:line="440" w:lineRule="exact"/>
        <w:ind w:firstLine="480" w:firstLineChars="200"/>
        <w:rPr>
          <w:rFonts w:hAnsi="宋体"/>
          <w:color w:val="000000" w:themeColor="text1"/>
          <w:sz w:val="24"/>
          <w:szCs w:val="24"/>
        </w:rPr>
      </w:pPr>
      <w:r>
        <w:rPr>
          <w:rFonts w:hint="eastAsia" w:hAnsi="宋体"/>
          <w:color w:val="000000" w:themeColor="text1"/>
          <w:sz w:val="24"/>
          <w:szCs w:val="24"/>
        </w:rPr>
        <w:t>二、技术文件正本一份，副本</w:t>
      </w:r>
      <w:r>
        <w:rPr>
          <w:rFonts w:hAnsi="宋体"/>
          <w:color w:val="000000" w:themeColor="text1"/>
          <w:sz w:val="24"/>
          <w:szCs w:val="24"/>
          <w:u w:val="single"/>
        </w:rPr>
        <w:t xml:space="preserve">   </w:t>
      </w:r>
      <w:r>
        <w:rPr>
          <w:rFonts w:hint="eastAsia" w:hAnsi="宋体"/>
          <w:color w:val="000000" w:themeColor="text1"/>
          <w:sz w:val="24"/>
          <w:szCs w:val="24"/>
        </w:rPr>
        <w:t>份（包含按磋商供应商须知第</w:t>
      </w:r>
      <w:r>
        <w:rPr>
          <w:rFonts w:hAnsi="宋体"/>
          <w:color w:val="000000" w:themeColor="text1"/>
          <w:sz w:val="24"/>
          <w:szCs w:val="24"/>
        </w:rPr>
        <w:t>10.1.2</w:t>
      </w:r>
      <w:r>
        <w:rPr>
          <w:rFonts w:hint="eastAsia" w:hAnsi="宋体"/>
          <w:color w:val="000000" w:themeColor="text1"/>
          <w:sz w:val="24"/>
          <w:szCs w:val="24"/>
        </w:rPr>
        <w:t>项要求提交的全部文件）；</w:t>
      </w:r>
    </w:p>
    <w:p>
      <w:pPr>
        <w:pStyle w:val="10"/>
        <w:spacing w:line="440" w:lineRule="exact"/>
        <w:ind w:firstLine="480" w:firstLineChars="200"/>
        <w:rPr>
          <w:rFonts w:hAnsi="宋体"/>
          <w:color w:val="000000" w:themeColor="text1"/>
          <w:sz w:val="24"/>
          <w:szCs w:val="24"/>
        </w:rPr>
      </w:pPr>
      <w:r>
        <w:rPr>
          <w:rFonts w:hint="eastAsia" w:hAnsi="宋体"/>
          <w:color w:val="000000" w:themeColor="text1"/>
          <w:sz w:val="24"/>
          <w:szCs w:val="24"/>
        </w:rPr>
        <w:t>三、商务文件正本一份，副本</w:t>
      </w:r>
      <w:r>
        <w:rPr>
          <w:rFonts w:hAnsi="宋体"/>
          <w:color w:val="000000" w:themeColor="text1"/>
          <w:sz w:val="24"/>
          <w:szCs w:val="24"/>
          <w:u w:val="single"/>
        </w:rPr>
        <w:t xml:space="preserve">   </w:t>
      </w:r>
      <w:r>
        <w:rPr>
          <w:rFonts w:hint="eastAsia" w:hAnsi="宋体"/>
          <w:color w:val="000000" w:themeColor="text1"/>
          <w:sz w:val="24"/>
          <w:szCs w:val="24"/>
        </w:rPr>
        <w:t>份（包含按磋商供应商须知第</w:t>
      </w:r>
      <w:r>
        <w:rPr>
          <w:rFonts w:hAnsi="宋体"/>
          <w:color w:val="000000" w:themeColor="text1"/>
          <w:sz w:val="24"/>
          <w:szCs w:val="24"/>
        </w:rPr>
        <w:t>10.1.3</w:t>
      </w:r>
      <w:r>
        <w:rPr>
          <w:rFonts w:hint="eastAsia" w:hAnsi="宋体"/>
          <w:color w:val="000000" w:themeColor="text1"/>
          <w:sz w:val="24"/>
          <w:szCs w:val="24"/>
        </w:rPr>
        <w:t>项要求提交的全部文件）。</w:t>
      </w:r>
    </w:p>
    <w:p>
      <w:pPr>
        <w:pStyle w:val="10"/>
        <w:spacing w:line="440" w:lineRule="exact"/>
        <w:ind w:firstLine="482"/>
        <w:rPr>
          <w:rFonts w:hAnsi="宋体"/>
          <w:color w:val="000000" w:themeColor="text1"/>
          <w:sz w:val="24"/>
          <w:szCs w:val="24"/>
        </w:rPr>
      </w:pPr>
      <w:r>
        <w:rPr>
          <w:rFonts w:hint="eastAsia" w:hAnsi="宋体"/>
          <w:color w:val="000000" w:themeColor="text1"/>
          <w:sz w:val="24"/>
          <w:szCs w:val="24"/>
        </w:rPr>
        <w:t>据此函，签字人兹宣布：</w:t>
      </w:r>
    </w:p>
    <w:p>
      <w:pPr>
        <w:pStyle w:val="10"/>
        <w:spacing w:line="440" w:lineRule="exact"/>
        <w:ind w:firstLine="482"/>
        <w:rPr>
          <w:rFonts w:hAnsi="宋体"/>
          <w:color w:val="000000" w:themeColor="text1"/>
          <w:sz w:val="24"/>
          <w:szCs w:val="24"/>
        </w:rPr>
      </w:pPr>
      <w:r>
        <w:rPr>
          <w:rFonts w:hAnsi="宋体"/>
          <w:color w:val="000000" w:themeColor="text1"/>
          <w:sz w:val="24"/>
          <w:szCs w:val="24"/>
        </w:rPr>
        <w:t>1</w:t>
      </w:r>
      <w:r>
        <w:rPr>
          <w:rFonts w:hint="eastAsia" w:hAnsi="宋体"/>
          <w:color w:val="000000" w:themeColor="text1"/>
          <w:sz w:val="24"/>
          <w:szCs w:val="24"/>
        </w:rPr>
        <w:t>、我方愿意以（大写）人民币</w:t>
      </w:r>
      <w:r>
        <w:rPr>
          <w:rFonts w:hAnsi="宋体"/>
          <w:color w:val="000000" w:themeColor="text1"/>
          <w:sz w:val="24"/>
          <w:szCs w:val="24"/>
        </w:rPr>
        <w:t xml:space="preserve"> </w:t>
      </w:r>
      <w:r>
        <w:rPr>
          <w:rFonts w:hAnsi="宋体"/>
          <w:color w:val="000000" w:themeColor="text1"/>
          <w:sz w:val="24"/>
          <w:szCs w:val="24"/>
          <w:u w:val="single"/>
        </w:rPr>
        <w:t xml:space="preserve">       </w:t>
      </w:r>
      <w:r>
        <w:rPr>
          <w:rFonts w:hint="eastAsia" w:hAnsi="宋体"/>
          <w:color w:val="000000" w:themeColor="text1"/>
          <w:sz w:val="24"/>
          <w:szCs w:val="24"/>
        </w:rPr>
        <w:t>（￥</w:t>
      </w:r>
      <w:r>
        <w:rPr>
          <w:rFonts w:hAnsi="宋体"/>
          <w:color w:val="000000" w:themeColor="text1"/>
          <w:sz w:val="24"/>
          <w:szCs w:val="24"/>
          <w:u w:val="single"/>
        </w:rPr>
        <w:t xml:space="preserve">     </w:t>
      </w:r>
      <w:r>
        <w:rPr>
          <w:rFonts w:hint="eastAsia" w:hAnsi="宋体"/>
          <w:color w:val="000000" w:themeColor="text1"/>
          <w:sz w:val="24"/>
          <w:szCs w:val="24"/>
        </w:rPr>
        <w:t>元</w:t>
      </w:r>
      <w:r>
        <w:rPr>
          <w:rFonts w:hAnsi="宋体"/>
          <w:color w:val="000000" w:themeColor="text1"/>
          <w:sz w:val="24"/>
          <w:szCs w:val="24"/>
        </w:rPr>
        <w:t>)</w:t>
      </w:r>
      <w:r>
        <w:rPr>
          <w:rFonts w:hint="eastAsia" w:hAnsi="宋体"/>
          <w:color w:val="000000" w:themeColor="text1"/>
          <w:sz w:val="24"/>
          <w:szCs w:val="24"/>
        </w:rPr>
        <w:t>的响应总报价，</w:t>
      </w:r>
      <w:r>
        <w:rPr>
          <w:rFonts w:hint="eastAsia" w:cs="新宋体" w:asciiTheme="majorEastAsia" w:hAnsiTheme="majorEastAsia" w:eastAsiaTheme="majorEastAsia"/>
          <w:color w:val="000000" w:themeColor="text1"/>
          <w:sz w:val="24"/>
        </w:rPr>
        <w:t>提交服务成果时间：</w:t>
      </w:r>
      <w:r>
        <w:rPr>
          <w:rFonts w:hAnsi="宋体"/>
          <w:color w:val="000000" w:themeColor="text1"/>
          <w:sz w:val="24"/>
          <w:szCs w:val="24"/>
          <w:u w:val="single"/>
        </w:rPr>
        <w:t xml:space="preserve">   </w:t>
      </w:r>
      <w:r>
        <w:rPr>
          <w:rFonts w:hint="eastAsia" w:hAnsi="宋体"/>
          <w:color w:val="000000" w:themeColor="text1"/>
          <w:sz w:val="24"/>
          <w:szCs w:val="24"/>
          <w:u w:val="single"/>
        </w:rPr>
        <w:t xml:space="preserve">    </w:t>
      </w:r>
      <w:r>
        <w:rPr>
          <w:rFonts w:hAnsi="宋体"/>
          <w:color w:val="000000" w:themeColor="text1"/>
          <w:sz w:val="24"/>
          <w:szCs w:val="24"/>
          <w:u w:val="single"/>
        </w:rPr>
        <w:t xml:space="preserve">             </w:t>
      </w:r>
      <w:r>
        <w:rPr>
          <w:rFonts w:hAnsi="宋体"/>
          <w:color w:val="000000" w:themeColor="text1"/>
          <w:sz w:val="24"/>
          <w:szCs w:val="24"/>
        </w:rPr>
        <w:t xml:space="preserve"> </w:t>
      </w:r>
      <w:r>
        <w:rPr>
          <w:rFonts w:hint="eastAsia" w:hAnsi="宋体"/>
          <w:color w:val="000000" w:themeColor="text1"/>
          <w:sz w:val="24"/>
          <w:szCs w:val="24"/>
        </w:rPr>
        <w:t>，提供本项目竞争性磋商文件第二章“服务需求一览表”中相应的采购内容。</w:t>
      </w:r>
    </w:p>
    <w:p>
      <w:pPr>
        <w:pStyle w:val="10"/>
        <w:spacing w:line="440" w:lineRule="exact"/>
        <w:ind w:firstLine="482"/>
        <w:rPr>
          <w:rFonts w:hAnsi="宋体"/>
          <w:color w:val="000000" w:themeColor="text1"/>
          <w:sz w:val="24"/>
          <w:szCs w:val="24"/>
        </w:rPr>
      </w:pPr>
      <w:r>
        <w:rPr>
          <w:rFonts w:hAnsi="宋体"/>
          <w:color w:val="000000" w:themeColor="text1"/>
          <w:sz w:val="24"/>
          <w:szCs w:val="24"/>
        </w:rPr>
        <w:t>2</w:t>
      </w:r>
      <w:r>
        <w:rPr>
          <w:rFonts w:hint="eastAsia" w:hAnsi="宋体"/>
          <w:color w:val="000000" w:themeColor="text1"/>
          <w:sz w:val="24"/>
          <w:szCs w:val="24"/>
        </w:rPr>
        <w:t>、我方同意自本项目竞争性磋商文件“磋商供应商须知”第</w:t>
      </w:r>
      <w:r>
        <w:rPr>
          <w:rFonts w:hAnsi="宋体"/>
          <w:color w:val="000000" w:themeColor="text1"/>
          <w:sz w:val="24"/>
          <w:szCs w:val="24"/>
        </w:rPr>
        <w:t>15.1</w:t>
      </w:r>
      <w:r>
        <w:rPr>
          <w:rFonts w:hint="eastAsia" w:hAnsi="宋体"/>
          <w:color w:val="000000" w:themeColor="text1"/>
          <w:sz w:val="24"/>
          <w:szCs w:val="24"/>
        </w:rPr>
        <w:t>项规定的提交响应文件截止时间起遵循本响应函，并承诺在“磋商供应商须知”第</w:t>
      </w:r>
      <w:r>
        <w:rPr>
          <w:rFonts w:hAnsi="宋体"/>
          <w:color w:val="000000" w:themeColor="text1"/>
          <w:sz w:val="24"/>
          <w:szCs w:val="24"/>
        </w:rPr>
        <w:t>12.1</w:t>
      </w:r>
      <w:r>
        <w:rPr>
          <w:rFonts w:hint="eastAsia" w:hAnsi="宋体"/>
          <w:color w:val="000000" w:themeColor="text1"/>
          <w:sz w:val="24"/>
          <w:szCs w:val="24"/>
        </w:rPr>
        <w:t>项规定的响应有效期内不修改、撤销响应文件。</w:t>
      </w:r>
    </w:p>
    <w:p>
      <w:pPr>
        <w:pStyle w:val="10"/>
        <w:spacing w:line="440" w:lineRule="exact"/>
        <w:ind w:firstLine="482"/>
        <w:rPr>
          <w:rFonts w:hAnsi="宋体"/>
          <w:color w:val="000000" w:themeColor="text1"/>
          <w:sz w:val="24"/>
          <w:szCs w:val="24"/>
        </w:rPr>
      </w:pPr>
      <w:r>
        <w:rPr>
          <w:rFonts w:hAnsi="宋体"/>
          <w:color w:val="000000" w:themeColor="text1"/>
          <w:sz w:val="24"/>
          <w:szCs w:val="24"/>
        </w:rPr>
        <w:t>3</w:t>
      </w:r>
      <w:r>
        <w:rPr>
          <w:rFonts w:hint="eastAsia" w:hAnsi="宋体"/>
          <w:color w:val="000000" w:themeColor="text1"/>
          <w:sz w:val="24"/>
          <w:szCs w:val="24"/>
        </w:rPr>
        <w:t>、我方在此声明，所提交的响应文件及有关资料内容完整、真实和准确。</w:t>
      </w:r>
    </w:p>
    <w:p>
      <w:pPr>
        <w:pStyle w:val="10"/>
        <w:spacing w:line="440" w:lineRule="exact"/>
        <w:ind w:firstLine="482"/>
        <w:rPr>
          <w:rFonts w:hAnsi="宋体"/>
          <w:color w:val="000000" w:themeColor="text1"/>
          <w:sz w:val="24"/>
          <w:szCs w:val="24"/>
        </w:rPr>
      </w:pPr>
      <w:r>
        <w:rPr>
          <w:rFonts w:hAnsi="宋体"/>
          <w:color w:val="000000" w:themeColor="text1"/>
          <w:sz w:val="24"/>
          <w:szCs w:val="24"/>
        </w:rPr>
        <w:t>4</w:t>
      </w:r>
      <w:r>
        <w:rPr>
          <w:rFonts w:hint="eastAsia" w:hAnsi="宋体"/>
          <w:color w:val="000000" w:themeColor="text1"/>
          <w:sz w:val="24"/>
          <w:szCs w:val="24"/>
        </w:rPr>
        <w:t>、我方承诺未被列入失信被执行人、重大税收违法案件当事人名单、政府采购严重违法失信行为记录名单，并已已经具备《中华人民共和国政府采购法》中规定的参加政府采购活动的供应商应当具备的条件：</w:t>
      </w:r>
    </w:p>
    <w:p>
      <w:pPr>
        <w:pStyle w:val="10"/>
        <w:numPr>
          <w:ilvl w:val="0"/>
          <w:numId w:val="2"/>
        </w:numPr>
        <w:spacing w:line="440" w:lineRule="exact"/>
        <w:rPr>
          <w:rFonts w:hAnsi="宋体"/>
          <w:color w:val="000000" w:themeColor="text1"/>
          <w:sz w:val="24"/>
          <w:szCs w:val="24"/>
        </w:rPr>
      </w:pPr>
      <w:r>
        <w:rPr>
          <w:rFonts w:hint="eastAsia" w:hAnsi="宋体"/>
          <w:color w:val="000000" w:themeColor="text1"/>
          <w:sz w:val="24"/>
          <w:szCs w:val="24"/>
        </w:rPr>
        <w:t>具有独立承担民事责任的能力；</w:t>
      </w:r>
    </w:p>
    <w:p>
      <w:pPr>
        <w:pStyle w:val="10"/>
        <w:numPr>
          <w:ilvl w:val="0"/>
          <w:numId w:val="2"/>
        </w:numPr>
        <w:spacing w:line="440" w:lineRule="exact"/>
        <w:rPr>
          <w:rFonts w:hAnsi="宋体"/>
          <w:color w:val="000000" w:themeColor="text1"/>
          <w:sz w:val="24"/>
          <w:szCs w:val="24"/>
        </w:rPr>
      </w:pPr>
      <w:r>
        <w:rPr>
          <w:rFonts w:hint="eastAsia" w:hAnsi="宋体"/>
          <w:color w:val="000000" w:themeColor="text1"/>
          <w:sz w:val="24"/>
          <w:szCs w:val="24"/>
        </w:rPr>
        <w:t>具有良好的商业信誉和健全的财务会计制度；</w:t>
      </w:r>
    </w:p>
    <w:p>
      <w:pPr>
        <w:pStyle w:val="10"/>
        <w:numPr>
          <w:ilvl w:val="0"/>
          <w:numId w:val="2"/>
        </w:numPr>
        <w:spacing w:line="440" w:lineRule="exact"/>
        <w:rPr>
          <w:rFonts w:hAnsi="宋体"/>
          <w:color w:val="000000" w:themeColor="text1"/>
          <w:sz w:val="24"/>
          <w:szCs w:val="24"/>
        </w:rPr>
      </w:pPr>
      <w:r>
        <w:rPr>
          <w:rFonts w:hint="eastAsia" w:hAnsi="宋体"/>
          <w:color w:val="000000" w:themeColor="text1"/>
          <w:sz w:val="24"/>
          <w:szCs w:val="24"/>
        </w:rPr>
        <w:t>具有履行合同所必需的设备和专业技术能力；</w:t>
      </w:r>
    </w:p>
    <w:p>
      <w:pPr>
        <w:pStyle w:val="10"/>
        <w:numPr>
          <w:ilvl w:val="0"/>
          <w:numId w:val="2"/>
        </w:numPr>
        <w:spacing w:line="440" w:lineRule="exact"/>
        <w:rPr>
          <w:rFonts w:hAnsi="宋体"/>
          <w:color w:val="000000" w:themeColor="text1"/>
          <w:sz w:val="24"/>
          <w:szCs w:val="24"/>
        </w:rPr>
      </w:pPr>
      <w:r>
        <w:rPr>
          <w:rFonts w:hint="eastAsia" w:hAnsi="宋体"/>
          <w:color w:val="000000" w:themeColor="text1"/>
          <w:sz w:val="24"/>
          <w:szCs w:val="24"/>
        </w:rPr>
        <w:t>有依法缴纳税收和社会保障资金的良好记录；</w:t>
      </w:r>
    </w:p>
    <w:p>
      <w:pPr>
        <w:pStyle w:val="10"/>
        <w:numPr>
          <w:ilvl w:val="0"/>
          <w:numId w:val="2"/>
        </w:numPr>
        <w:spacing w:line="440" w:lineRule="exact"/>
        <w:rPr>
          <w:rFonts w:hAnsi="宋体"/>
          <w:color w:val="000000" w:themeColor="text1"/>
          <w:sz w:val="24"/>
          <w:szCs w:val="24"/>
        </w:rPr>
      </w:pPr>
      <w:r>
        <w:rPr>
          <w:rFonts w:hint="eastAsia" w:hAnsi="宋体"/>
          <w:color w:val="000000" w:themeColor="text1"/>
          <w:sz w:val="24"/>
          <w:szCs w:val="24"/>
        </w:rPr>
        <w:t>参加政府采购活动前三年内，在经营活动中没有重大违法记录；</w:t>
      </w:r>
    </w:p>
    <w:p>
      <w:pPr>
        <w:pStyle w:val="10"/>
        <w:numPr>
          <w:ilvl w:val="0"/>
          <w:numId w:val="2"/>
        </w:numPr>
        <w:spacing w:line="440" w:lineRule="exact"/>
        <w:rPr>
          <w:rFonts w:hAnsi="宋体"/>
          <w:color w:val="000000" w:themeColor="text1"/>
          <w:sz w:val="24"/>
          <w:szCs w:val="24"/>
        </w:rPr>
      </w:pPr>
      <w:r>
        <w:rPr>
          <w:rFonts w:hint="eastAsia" w:hAnsi="宋体"/>
          <w:color w:val="000000" w:themeColor="text1"/>
          <w:sz w:val="24"/>
          <w:szCs w:val="24"/>
        </w:rPr>
        <w:t>法律、行政法规规定的其他条件。</w:t>
      </w:r>
    </w:p>
    <w:p>
      <w:pPr>
        <w:pStyle w:val="10"/>
        <w:spacing w:line="440" w:lineRule="exact"/>
        <w:ind w:firstLine="482"/>
        <w:rPr>
          <w:rFonts w:hAnsi="宋体"/>
          <w:color w:val="000000" w:themeColor="text1"/>
          <w:sz w:val="24"/>
          <w:szCs w:val="24"/>
        </w:rPr>
      </w:pPr>
      <w:r>
        <w:rPr>
          <w:rFonts w:hAnsi="宋体"/>
          <w:color w:val="000000" w:themeColor="text1"/>
          <w:sz w:val="24"/>
          <w:szCs w:val="24"/>
        </w:rPr>
        <w:t>5</w:t>
      </w:r>
      <w:r>
        <w:rPr>
          <w:rFonts w:hint="eastAsia" w:hAnsi="宋体"/>
          <w:color w:val="000000" w:themeColor="text1"/>
          <w:sz w:val="24"/>
          <w:szCs w:val="24"/>
        </w:rPr>
        <w:t>、如我方成交，我方承诺在收到成交通知书后，在成交通知书规定的期限内，根据竞争性磋商采购文件、我方的响应文件及有关澄清承诺书的要求按第六章“合同条款及格式”与采购人订立书面合同，并按照合同约定承担完成合同的责任和义务。</w:t>
      </w:r>
    </w:p>
    <w:p>
      <w:pPr>
        <w:pStyle w:val="10"/>
        <w:spacing w:line="440" w:lineRule="exact"/>
        <w:ind w:firstLine="482"/>
        <w:rPr>
          <w:rFonts w:hAnsi="宋体"/>
          <w:color w:val="000000" w:themeColor="text1"/>
          <w:sz w:val="24"/>
          <w:szCs w:val="24"/>
        </w:rPr>
      </w:pPr>
      <w:r>
        <w:rPr>
          <w:rFonts w:hAnsi="宋体"/>
          <w:color w:val="000000" w:themeColor="text1"/>
          <w:sz w:val="24"/>
          <w:szCs w:val="24"/>
        </w:rPr>
        <w:t>6</w:t>
      </w:r>
      <w:r>
        <w:rPr>
          <w:rFonts w:hint="eastAsia" w:hAnsi="宋体"/>
          <w:color w:val="000000" w:themeColor="text1"/>
          <w:sz w:val="24"/>
          <w:szCs w:val="24"/>
        </w:rPr>
        <w:t>、我方已详细审核竞争性磋商文件，我方知道必须放弃提出含糊不清或误解问题的权利。</w:t>
      </w:r>
    </w:p>
    <w:p>
      <w:pPr>
        <w:pStyle w:val="10"/>
        <w:spacing w:line="440" w:lineRule="exact"/>
        <w:ind w:firstLine="482"/>
        <w:rPr>
          <w:rFonts w:hAnsi="宋体"/>
          <w:color w:val="000000" w:themeColor="text1"/>
          <w:sz w:val="24"/>
          <w:szCs w:val="24"/>
        </w:rPr>
      </w:pPr>
      <w:r>
        <w:rPr>
          <w:rFonts w:hAnsi="宋体"/>
          <w:color w:val="000000" w:themeColor="text1"/>
          <w:sz w:val="24"/>
          <w:szCs w:val="24"/>
        </w:rPr>
        <w:t>7</w:t>
      </w:r>
      <w:r>
        <w:rPr>
          <w:rFonts w:hint="eastAsia" w:hAnsi="宋体"/>
          <w:color w:val="000000" w:themeColor="text1"/>
          <w:sz w:val="24"/>
          <w:szCs w:val="24"/>
        </w:rPr>
        <w:t>、我方承诺满足竞争性磋商文件第六章《南宁市青秀区政府采购合同》中的条款，承担完成合同的责任和义务。</w:t>
      </w:r>
    </w:p>
    <w:p>
      <w:pPr>
        <w:pStyle w:val="10"/>
        <w:spacing w:line="440" w:lineRule="exact"/>
        <w:ind w:firstLine="482"/>
        <w:rPr>
          <w:rFonts w:hAnsi="宋体"/>
          <w:color w:val="000000" w:themeColor="text1"/>
          <w:sz w:val="24"/>
          <w:szCs w:val="24"/>
        </w:rPr>
      </w:pPr>
      <w:r>
        <w:rPr>
          <w:rFonts w:hint="eastAsia" w:hAnsi="宋体"/>
          <w:color w:val="000000" w:themeColor="text1"/>
          <w:sz w:val="24"/>
          <w:szCs w:val="24"/>
        </w:rPr>
        <w:t>8、我方同意应贵方要求提供与本磋商有关的任何数据或资料。若贵方需要，我方愿意提供我方作出的一切承诺的证明材料。</w:t>
      </w:r>
    </w:p>
    <w:p>
      <w:pPr>
        <w:pStyle w:val="10"/>
        <w:spacing w:line="440" w:lineRule="exact"/>
        <w:ind w:firstLine="482"/>
        <w:rPr>
          <w:rFonts w:hAnsi="宋体"/>
          <w:color w:val="000000" w:themeColor="text1"/>
          <w:sz w:val="24"/>
          <w:szCs w:val="24"/>
        </w:rPr>
      </w:pPr>
      <w:r>
        <w:rPr>
          <w:rFonts w:hint="eastAsia" w:hAnsi="宋体"/>
          <w:color w:val="000000" w:themeColor="text1"/>
          <w:sz w:val="24"/>
          <w:szCs w:val="24"/>
        </w:rPr>
        <w:t>9、我方完全理解贵方不一定接受响应报价最低的磋商供应商为成交供应商的行为。</w:t>
      </w:r>
    </w:p>
    <w:p>
      <w:pPr>
        <w:pStyle w:val="10"/>
        <w:spacing w:line="440" w:lineRule="exact"/>
        <w:ind w:firstLine="482"/>
        <w:rPr>
          <w:rFonts w:hAnsi="宋体"/>
          <w:color w:val="000000" w:themeColor="text1"/>
          <w:sz w:val="24"/>
          <w:szCs w:val="24"/>
        </w:rPr>
      </w:pPr>
      <w:r>
        <w:rPr>
          <w:rFonts w:hAnsi="宋体"/>
          <w:color w:val="000000" w:themeColor="text1"/>
          <w:sz w:val="24"/>
          <w:szCs w:val="24"/>
        </w:rPr>
        <w:t>1</w:t>
      </w:r>
      <w:r>
        <w:rPr>
          <w:rFonts w:hint="eastAsia" w:hAnsi="宋体"/>
          <w:color w:val="000000" w:themeColor="text1"/>
          <w:sz w:val="24"/>
          <w:szCs w:val="24"/>
        </w:rPr>
        <w:t>0、我方将严格遵守《中华人民共和国政府采购法》第七十七条的规定，即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10"/>
        <w:numPr>
          <w:ilvl w:val="0"/>
          <w:numId w:val="3"/>
        </w:numPr>
        <w:spacing w:line="440" w:lineRule="exact"/>
        <w:rPr>
          <w:rFonts w:hAnsi="宋体"/>
          <w:color w:val="000000" w:themeColor="text1"/>
          <w:sz w:val="24"/>
          <w:szCs w:val="24"/>
        </w:rPr>
      </w:pPr>
      <w:r>
        <w:rPr>
          <w:rFonts w:hint="eastAsia" w:hAnsi="宋体"/>
          <w:color w:val="000000" w:themeColor="text1"/>
          <w:sz w:val="24"/>
          <w:szCs w:val="24"/>
        </w:rPr>
        <w:t>提供虚假材料谋取中标、成交的；</w:t>
      </w:r>
    </w:p>
    <w:p>
      <w:pPr>
        <w:pStyle w:val="10"/>
        <w:numPr>
          <w:ilvl w:val="0"/>
          <w:numId w:val="3"/>
        </w:numPr>
        <w:spacing w:line="440" w:lineRule="exact"/>
        <w:rPr>
          <w:rFonts w:hAnsi="宋体"/>
          <w:color w:val="000000" w:themeColor="text1"/>
          <w:sz w:val="24"/>
          <w:szCs w:val="24"/>
        </w:rPr>
      </w:pPr>
      <w:r>
        <w:rPr>
          <w:rFonts w:hint="eastAsia" w:hAnsi="宋体"/>
          <w:color w:val="000000" w:themeColor="text1"/>
          <w:sz w:val="24"/>
          <w:szCs w:val="24"/>
        </w:rPr>
        <w:t>采取不正当手段诋毁、排挤其他供应商的；</w:t>
      </w:r>
    </w:p>
    <w:p>
      <w:pPr>
        <w:pStyle w:val="10"/>
        <w:numPr>
          <w:ilvl w:val="0"/>
          <w:numId w:val="3"/>
        </w:numPr>
        <w:spacing w:line="440" w:lineRule="exact"/>
        <w:rPr>
          <w:rFonts w:hAnsi="宋体"/>
          <w:color w:val="000000" w:themeColor="text1"/>
          <w:sz w:val="24"/>
          <w:szCs w:val="24"/>
        </w:rPr>
      </w:pPr>
      <w:r>
        <w:rPr>
          <w:rFonts w:hint="eastAsia" w:hAnsi="宋体"/>
          <w:color w:val="000000" w:themeColor="text1"/>
          <w:sz w:val="24"/>
          <w:szCs w:val="24"/>
        </w:rPr>
        <w:t>与采购人、其他供应商或者采购代理机构恶意串通的；</w:t>
      </w:r>
    </w:p>
    <w:p>
      <w:pPr>
        <w:pStyle w:val="10"/>
        <w:numPr>
          <w:ilvl w:val="0"/>
          <w:numId w:val="3"/>
        </w:numPr>
        <w:spacing w:line="440" w:lineRule="exact"/>
        <w:rPr>
          <w:rFonts w:hAnsi="宋体"/>
          <w:color w:val="000000" w:themeColor="text1"/>
          <w:sz w:val="24"/>
          <w:szCs w:val="24"/>
        </w:rPr>
      </w:pPr>
      <w:r>
        <w:rPr>
          <w:rFonts w:hint="eastAsia" w:hAnsi="宋体"/>
          <w:color w:val="000000" w:themeColor="text1"/>
          <w:sz w:val="24"/>
          <w:szCs w:val="24"/>
        </w:rPr>
        <w:t>向采购人、采购代理机构行贿或者提供其他不正当利益的；</w:t>
      </w:r>
    </w:p>
    <w:p>
      <w:pPr>
        <w:pStyle w:val="10"/>
        <w:numPr>
          <w:ilvl w:val="0"/>
          <w:numId w:val="3"/>
        </w:numPr>
        <w:spacing w:line="440" w:lineRule="exact"/>
        <w:rPr>
          <w:rFonts w:hAnsi="宋体"/>
          <w:color w:val="000000" w:themeColor="text1"/>
          <w:sz w:val="24"/>
          <w:szCs w:val="24"/>
        </w:rPr>
      </w:pPr>
      <w:r>
        <w:rPr>
          <w:rFonts w:hint="eastAsia" w:hAnsi="宋体"/>
          <w:color w:val="000000" w:themeColor="text1"/>
          <w:sz w:val="24"/>
          <w:szCs w:val="24"/>
        </w:rPr>
        <w:t>在采购过程中与采购人进行协商谈判的；</w:t>
      </w:r>
    </w:p>
    <w:p>
      <w:pPr>
        <w:pStyle w:val="10"/>
        <w:numPr>
          <w:ilvl w:val="0"/>
          <w:numId w:val="3"/>
        </w:numPr>
        <w:spacing w:line="440" w:lineRule="exact"/>
        <w:rPr>
          <w:rFonts w:hAnsi="宋体"/>
          <w:color w:val="000000" w:themeColor="text1"/>
          <w:sz w:val="24"/>
          <w:szCs w:val="24"/>
        </w:rPr>
      </w:pPr>
      <w:r>
        <w:rPr>
          <w:rFonts w:hint="eastAsia" w:hAnsi="宋体"/>
          <w:color w:val="000000" w:themeColor="text1"/>
          <w:sz w:val="24"/>
          <w:szCs w:val="24"/>
        </w:rPr>
        <w:t>拒绝有关部门监督检查或提供虚假情况的。</w:t>
      </w:r>
    </w:p>
    <w:p>
      <w:pPr>
        <w:pStyle w:val="10"/>
        <w:spacing w:line="360" w:lineRule="auto"/>
        <w:ind w:firstLine="420"/>
        <w:rPr>
          <w:rFonts w:hAnsi="宋体"/>
          <w:color w:val="000000" w:themeColor="text1"/>
          <w:sz w:val="24"/>
          <w:szCs w:val="24"/>
          <w:u w:val="single"/>
        </w:rPr>
      </w:pPr>
      <w:r>
        <w:rPr>
          <w:rFonts w:hint="eastAsia" w:hAnsi="宋体"/>
          <w:color w:val="000000" w:themeColor="text1"/>
          <w:sz w:val="24"/>
          <w:szCs w:val="24"/>
        </w:rPr>
        <w:t>磋商供应商：（盖单位公章）</w:t>
      </w:r>
      <w:r>
        <w:rPr>
          <w:rFonts w:hint="eastAsia" w:hAnsi="宋体"/>
          <w:color w:val="000000" w:themeColor="text1"/>
          <w:sz w:val="24"/>
          <w:szCs w:val="24"/>
          <w:u w:val="single"/>
        </w:rPr>
        <w:t xml:space="preserve">                                    </w:t>
      </w:r>
    </w:p>
    <w:p>
      <w:pPr>
        <w:pStyle w:val="10"/>
        <w:spacing w:line="360" w:lineRule="auto"/>
        <w:ind w:firstLine="420"/>
        <w:rPr>
          <w:rFonts w:hAnsi="宋体"/>
          <w:color w:val="000000" w:themeColor="text1"/>
          <w:sz w:val="24"/>
          <w:szCs w:val="24"/>
          <w:u w:val="single"/>
        </w:rPr>
      </w:pPr>
      <w:r>
        <w:rPr>
          <w:rFonts w:hint="eastAsia" w:hAnsi="宋体"/>
          <w:color w:val="000000" w:themeColor="text1"/>
          <w:sz w:val="24"/>
          <w:szCs w:val="24"/>
        </w:rPr>
        <w:t>法定代表人或其委托代理人：（签字或盖章）</w:t>
      </w:r>
      <w:r>
        <w:rPr>
          <w:rFonts w:hint="eastAsia" w:hAnsi="宋体"/>
          <w:color w:val="000000" w:themeColor="text1"/>
          <w:sz w:val="24"/>
          <w:szCs w:val="24"/>
          <w:u w:val="single"/>
        </w:rPr>
        <w:t xml:space="preserve">                      </w:t>
      </w:r>
    </w:p>
    <w:p>
      <w:pPr>
        <w:pStyle w:val="10"/>
        <w:spacing w:line="360" w:lineRule="auto"/>
        <w:ind w:firstLine="420"/>
        <w:rPr>
          <w:rFonts w:hAnsi="宋体"/>
          <w:color w:val="000000" w:themeColor="text1"/>
          <w:sz w:val="24"/>
          <w:szCs w:val="24"/>
          <w:u w:val="single"/>
        </w:rPr>
      </w:pPr>
      <w:r>
        <w:rPr>
          <w:rFonts w:hint="eastAsia" w:hAnsi="宋体"/>
          <w:color w:val="000000" w:themeColor="text1"/>
          <w:sz w:val="24"/>
          <w:szCs w:val="24"/>
        </w:rPr>
        <w:t>地址：</w:t>
      </w:r>
      <w:r>
        <w:rPr>
          <w:rFonts w:hint="eastAsia" w:hAnsi="宋体"/>
          <w:color w:val="000000" w:themeColor="text1"/>
          <w:sz w:val="24"/>
          <w:szCs w:val="24"/>
          <w:u w:val="single"/>
        </w:rPr>
        <w:t xml:space="preserve">                                                         </w:t>
      </w:r>
    </w:p>
    <w:p>
      <w:pPr>
        <w:pStyle w:val="10"/>
        <w:spacing w:line="360" w:lineRule="auto"/>
        <w:ind w:firstLine="420"/>
        <w:rPr>
          <w:rFonts w:hAnsi="宋体"/>
          <w:color w:val="000000" w:themeColor="text1"/>
          <w:sz w:val="24"/>
          <w:szCs w:val="24"/>
          <w:u w:val="single"/>
        </w:rPr>
      </w:pPr>
      <w:r>
        <w:rPr>
          <w:rFonts w:hint="eastAsia" w:hAnsi="宋体"/>
          <w:color w:val="000000" w:themeColor="text1"/>
          <w:sz w:val="24"/>
          <w:szCs w:val="24"/>
        </w:rPr>
        <w:t>电话：</w:t>
      </w:r>
      <w:r>
        <w:rPr>
          <w:rFonts w:hAnsi="宋体"/>
          <w:color w:val="000000" w:themeColor="text1"/>
          <w:sz w:val="24"/>
          <w:szCs w:val="24"/>
          <w:u w:val="single"/>
        </w:rPr>
        <w:t xml:space="preserve">                                      </w:t>
      </w:r>
      <w:r>
        <w:rPr>
          <w:rFonts w:hint="eastAsia" w:hAnsi="宋体"/>
          <w:color w:val="000000" w:themeColor="text1"/>
          <w:sz w:val="24"/>
          <w:szCs w:val="24"/>
          <w:u w:val="single"/>
        </w:rPr>
        <w:t>　　　　　　　　　</w:t>
      </w:r>
    </w:p>
    <w:p>
      <w:pPr>
        <w:pStyle w:val="10"/>
        <w:spacing w:line="360" w:lineRule="auto"/>
        <w:ind w:firstLine="420"/>
        <w:rPr>
          <w:rFonts w:hAnsi="宋体"/>
          <w:color w:val="000000" w:themeColor="text1"/>
          <w:sz w:val="24"/>
          <w:szCs w:val="24"/>
        </w:rPr>
      </w:pPr>
      <w:r>
        <w:rPr>
          <w:rFonts w:hint="eastAsia" w:hAnsi="宋体"/>
          <w:color w:val="000000" w:themeColor="text1"/>
          <w:sz w:val="24"/>
          <w:szCs w:val="24"/>
        </w:rPr>
        <w:t>传真：</w:t>
      </w:r>
      <w:r>
        <w:rPr>
          <w:rFonts w:hint="eastAsia" w:hAnsi="宋体"/>
          <w:color w:val="000000" w:themeColor="text1"/>
          <w:sz w:val="24"/>
          <w:szCs w:val="24"/>
          <w:u w:val="single"/>
        </w:rPr>
        <w:t>　　　　　　　　　　　　　　　　　　　　　　　　　　　　</w:t>
      </w:r>
    </w:p>
    <w:p>
      <w:pPr>
        <w:pStyle w:val="10"/>
        <w:spacing w:line="360" w:lineRule="auto"/>
        <w:ind w:firstLine="420"/>
        <w:rPr>
          <w:rFonts w:hAnsi="宋体"/>
          <w:color w:val="000000" w:themeColor="text1"/>
          <w:sz w:val="24"/>
          <w:szCs w:val="24"/>
          <w:u w:val="single"/>
        </w:rPr>
      </w:pPr>
      <w:r>
        <w:rPr>
          <w:rFonts w:hint="eastAsia" w:hAnsi="宋体"/>
          <w:color w:val="000000" w:themeColor="text1"/>
          <w:sz w:val="24"/>
          <w:szCs w:val="24"/>
        </w:rPr>
        <w:t>邮政编码：</w:t>
      </w:r>
      <w:r>
        <w:rPr>
          <w:rFonts w:hAnsi="宋体"/>
          <w:color w:val="000000" w:themeColor="text1"/>
          <w:sz w:val="24"/>
          <w:szCs w:val="24"/>
        </w:rPr>
        <w:t xml:space="preserve"> </w:t>
      </w:r>
      <w:r>
        <w:rPr>
          <w:rFonts w:hint="eastAsia" w:hAnsi="宋体"/>
          <w:color w:val="000000" w:themeColor="text1"/>
          <w:sz w:val="24"/>
          <w:szCs w:val="24"/>
          <w:u w:val="single"/>
        </w:rPr>
        <w:t xml:space="preserve">                                                    </w:t>
      </w:r>
    </w:p>
    <w:p>
      <w:pPr>
        <w:pStyle w:val="10"/>
        <w:spacing w:line="360" w:lineRule="auto"/>
        <w:ind w:firstLine="420"/>
        <w:rPr>
          <w:rFonts w:hAnsi="宋体"/>
          <w:color w:val="000000" w:themeColor="text1"/>
          <w:sz w:val="24"/>
          <w:szCs w:val="24"/>
          <w:u w:val="single"/>
        </w:rPr>
      </w:pPr>
      <w:r>
        <w:rPr>
          <w:rFonts w:hint="eastAsia" w:hAnsi="宋体"/>
          <w:color w:val="000000" w:themeColor="text1"/>
          <w:sz w:val="24"/>
          <w:szCs w:val="24"/>
        </w:rPr>
        <w:t>开户名称：</w:t>
      </w:r>
      <w:r>
        <w:rPr>
          <w:rFonts w:hint="eastAsia" w:hAnsi="宋体"/>
          <w:color w:val="000000" w:themeColor="text1"/>
          <w:sz w:val="24"/>
          <w:szCs w:val="24"/>
          <w:u w:val="single"/>
        </w:rPr>
        <w:t xml:space="preserve">                                                     </w:t>
      </w:r>
    </w:p>
    <w:p>
      <w:pPr>
        <w:pStyle w:val="10"/>
        <w:spacing w:line="360" w:lineRule="auto"/>
        <w:ind w:firstLine="420"/>
        <w:rPr>
          <w:rFonts w:hAnsi="宋体"/>
          <w:color w:val="000000" w:themeColor="text1"/>
          <w:sz w:val="24"/>
          <w:szCs w:val="24"/>
          <w:u w:val="single"/>
        </w:rPr>
      </w:pPr>
      <w:r>
        <w:rPr>
          <w:rFonts w:hint="eastAsia" w:hAnsi="宋体"/>
          <w:color w:val="000000" w:themeColor="text1"/>
          <w:sz w:val="24"/>
          <w:szCs w:val="24"/>
        </w:rPr>
        <w:t>开户银行：</w:t>
      </w:r>
      <w:r>
        <w:rPr>
          <w:rFonts w:hint="eastAsia" w:hAnsi="宋体"/>
          <w:color w:val="000000" w:themeColor="text1"/>
          <w:sz w:val="24"/>
          <w:szCs w:val="24"/>
          <w:u w:val="single"/>
        </w:rPr>
        <w:t xml:space="preserve">                                                      </w:t>
      </w:r>
    </w:p>
    <w:p>
      <w:pPr>
        <w:pStyle w:val="10"/>
        <w:spacing w:line="360" w:lineRule="auto"/>
        <w:ind w:firstLine="420"/>
        <w:rPr>
          <w:rFonts w:hAnsi="宋体"/>
          <w:color w:val="000000" w:themeColor="text1"/>
          <w:sz w:val="24"/>
          <w:szCs w:val="24"/>
          <w:u w:val="single"/>
        </w:rPr>
      </w:pPr>
      <w:r>
        <w:rPr>
          <w:rFonts w:hint="eastAsia" w:hAnsi="宋体"/>
          <w:color w:val="000000" w:themeColor="text1"/>
          <w:sz w:val="24"/>
          <w:szCs w:val="24"/>
        </w:rPr>
        <w:t>银行账号：</w:t>
      </w:r>
      <w:r>
        <w:rPr>
          <w:rFonts w:hint="eastAsia" w:hAnsi="宋体"/>
          <w:color w:val="000000" w:themeColor="text1"/>
          <w:sz w:val="24"/>
          <w:szCs w:val="24"/>
          <w:u w:val="single"/>
        </w:rPr>
        <w:t xml:space="preserve">                                                     </w:t>
      </w:r>
    </w:p>
    <w:p>
      <w:pPr>
        <w:pStyle w:val="10"/>
        <w:spacing w:line="360" w:lineRule="auto"/>
        <w:ind w:firstLine="420"/>
        <w:rPr>
          <w:rFonts w:hAnsi="宋体"/>
          <w:color w:val="000000" w:themeColor="text1"/>
          <w:sz w:val="24"/>
          <w:szCs w:val="24"/>
          <w:u w:val="single"/>
        </w:rPr>
      </w:pPr>
    </w:p>
    <w:p>
      <w:pPr>
        <w:pStyle w:val="10"/>
        <w:spacing w:line="360" w:lineRule="auto"/>
        <w:ind w:firstLine="420"/>
        <w:jc w:val="center"/>
        <w:rPr>
          <w:rFonts w:hAnsi="宋体"/>
          <w:b/>
          <w:bCs/>
          <w:color w:val="000000" w:themeColor="text1"/>
        </w:rPr>
      </w:pPr>
      <w:r>
        <w:rPr>
          <w:rFonts w:hAnsi="宋体"/>
          <w:bCs/>
          <w:color w:val="000000" w:themeColor="text1"/>
          <w:sz w:val="24"/>
          <w:szCs w:val="24"/>
        </w:rPr>
        <w:t xml:space="preserve">                                                       </w:t>
      </w:r>
      <w:r>
        <w:rPr>
          <w:rFonts w:hint="eastAsia" w:hAnsi="宋体"/>
          <w:bCs/>
          <w:color w:val="000000" w:themeColor="text1"/>
          <w:sz w:val="24"/>
          <w:szCs w:val="24"/>
        </w:rPr>
        <w:t>年</w:t>
      </w:r>
      <w:r>
        <w:rPr>
          <w:rFonts w:hAnsi="宋体"/>
          <w:bCs/>
          <w:color w:val="000000" w:themeColor="text1"/>
          <w:sz w:val="24"/>
          <w:szCs w:val="24"/>
        </w:rPr>
        <w:t xml:space="preserve">  </w:t>
      </w:r>
      <w:r>
        <w:rPr>
          <w:rFonts w:hint="eastAsia" w:hAnsi="宋体"/>
          <w:bCs/>
          <w:color w:val="000000" w:themeColor="text1"/>
          <w:sz w:val="24"/>
          <w:szCs w:val="24"/>
        </w:rPr>
        <w:t>月</w:t>
      </w:r>
      <w:r>
        <w:rPr>
          <w:rFonts w:hAnsi="宋体"/>
          <w:bCs/>
          <w:color w:val="000000" w:themeColor="text1"/>
          <w:sz w:val="24"/>
          <w:szCs w:val="24"/>
        </w:rPr>
        <w:t xml:space="preserve">    </w:t>
      </w:r>
      <w:r>
        <w:rPr>
          <w:rFonts w:hint="eastAsia" w:hAnsi="宋体"/>
          <w:bCs/>
          <w:color w:val="000000" w:themeColor="text1"/>
          <w:sz w:val="24"/>
          <w:szCs w:val="24"/>
        </w:rPr>
        <w:t>日</w:t>
      </w:r>
    </w:p>
    <w:p>
      <w:pPr>
        <w:pStyle w:val="10"/>
        <w:outlineLvl w:val="1"/>
        <w:rPr>
          <w:rFonts w:hAnsi="宋体"/>
          <w:color w:val="000000" w:themeColor="text1"/>
          <w:u w:val="single"/>
        </w:rPr>
      </w:pPr>
      <w:r>
        <w:rPr>
          <w:rFonts w:hAnsi="宋体"/>
          <w:b/>
          <w:color w:val="000000" w:themeColor="text1"/>
        </w:rPr>
        <w:br w:type="page"/>
      </w:r>
      <w:bookmarkStart w:id="98" w:name="_Toc13059"/>
      <w:bookmarkStart w:id="99" w:name="_Toc8385"/>
      <w:bookmarkStart w:id="100" w:name="_Toc13670"/>
      <w:r>
        <w:rPr>
          <w:rFonts w:hint="eastAsia" w:hAnsi="宋体"/>
          <w:b/>
          <w:color w:val="000000" w:themeColor="text1"/>
        </w:rPr>
        <w:t>格式</w:t>
      </w:r>
      <w:r>
        <w:rPr>
          <w:rFonts w:hAnsi="宋体"/>
          <w:b/>
          <w:color w:val="000000" w:themeColor="text1"/>
        </w:rPr>
        <w:t>2</w:t>
      </w:r>
      <w:r>
        <w:rPr>
          <w:rFonts w:hint="eastAsia" w:hAnsi="宋体"/>
          <w:b/>
          <w:color w:val="000000" w:themeColor="text1"/>
        </w:rPr>
        <w:t>：</w:t>
      </w:r>
      <w:bookmarkEnd w:id="98"/>
      <w:bookmarkEnd w:id="99"/>
      <w:bookmarkEnd w:id="100"/>
    </w:p>
    <w:p>
      <w:pPr>
        <w:pStyle w:val="10"/>
        <w:jc w:val="center"/>
        <w:outlineLvl w:val="2"/>
        <w:rPr>
          <w:rFonts w:hAnsi="宋体"/>
          <w:b/>
          <w:color w:val="000000" w:themeColor="text1"/>
          <w:sz w:val="32"/>
        </w:rPr>
      </w:pPr>
      <w:r>
        <w:rPr>
          <w:rFonts w:hint="eastAsia" w:hAnsi="宋体"/>
          <w:b/>
          <w:color w:val="000000" w:themeColor="text1"/>
          <w:sz w:val="32"/>
        </w:rPr>
        <w:t>响应报价表（格式）</w:t>
      </w:r>
    </w:p>
    <w:p>
      <w:pPr>
        <w:pStyle w:val="10"/>
        <w:jc w:val="center"/>
        <w:rPr>
          <w:rFonts w:hAnsi="宋体"/>
          <w:b/>
          <w:color w:val="000000" w:themeColor="text1"/>
          <w:sz w:val="32"/>
        </w:rPr>
      </w:pPr>
    </w:p>
    <w:tbl>
      <w:tblPr>
        <w:tblStyle w:val="18"/>
        <w:tblW w:w="97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2100"/>
        <w:gridCol w:w="2520"/>
        <w:gridCol w:w="735"/>
        <w:gridCol w:w="1155"/>
        <w:gridCol w:w="1575"/>
        <w:gridCol w:w="1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2" w:hRule="atLeast"/>
        </w:trPr>
        <w:tc>
          <w:tcPr>
            <w:tcW w:w="630" w:type="dxa"/>
            <w:vAlign w:val="center"/>
          </w:tcPr>
          <w:p>
            <w:pPr>
              <w:pStyle w:val="10"/>
              <w:jc w:val="center"/>
              <w:rPr>
                <w:rFonts w:hAnsi="宋体"/>
                <w:color w:val="000000" w:themeColor="text1"/>
                <w:spacing w:val="-20"/>
                <w:sz w:val="24"/>
                <w:szCs w:val="24"/>
              </w:rPr>
            </w:pPr>
            <w:r>
              <w:rPr>
                <w:rFonts w:hAnsi="宋体"/>
                <w:color w:val="000000" w:themeColor="text1"/>
                <w:spacing w:val="-20"/>
                <w:sz w:val="24"/>
                <w:szCs w:val="24"/>
              </w:rPr>
              <w:t>序</w:t>
            </w:r>
            <w:r>
              <w:rPr>
                <w:rFonts w:hint="eastAsia" w:hAnsi="宋体"/>
                <w:color w:val="000000" w:themeColor="text1"/>
                <w:spacing w:val="-20"/>
                <w:sz w:val="24"/>
                <w:szCs w:val="24"/>
              </w:rPr>
              <w:t>号</w:t>
            </w:r>
          </w:p>
        </w:tc>
        <w:tc>
          <w:tcPr>
            <w:tcW w:w="2100" w:type="dxa"/>
            <w:vAlign w:val="center"/>
          </w:tcPr>
          <w:p>
            <w:pPr>
              <w:pStyle w:val="10"/>
              <w:jc w:val="center"/>
              <w:rPr>
                <w:rFonts w:hAnsi="宋体"/>
                <w:color w:val="000000" w:themeColor="text1"/>
                <w:spacing w:val="-20"/>
                <w:sz w:val="24"/>
                <w:szCs w:val="24"/>
              </w:rPr>
            </w:pPr>
            <w:r>
              <w:rPr>
                <w:rFonts w:hint="eastAsia" w:hAnsi="宋体"/>
                <w:color w:val="000000" w:themeColor="text1"/>
                <w:spacing w:val="-20"/>
                <w:sz w:val="24"/>
                <w:szCs w:val="24"/>
              </w:rPr>
              <w:t>服务名称</w:t>
            </w:r>
          </w:p>
        </w:tc>
        <w:tc>
          <w:tcPr>
            <w:tcW w:w="2520" w:type="dxa"/>
            <w:vAlign w:val="center"/>
          </w:tcPr>
          <w:p>
            <w:pPr>
              <w:pStyle w:val="10"/>
              <w:jc w:val="center"/>
              <w:rPr>
                <w:rFonts w:hAnsi="宋体"/>
                <w:color w:val="000000" w:themeColor="text1"/>
                <w:spacing w:val="-20"/>
                <w:sz w:val="24"/>
                <w:szCs w:val="24"/>
              </w:rPr>
            </w:pPr>
            <w:r>
              <w:rPr>
                <w:rFonts w:hint="eastAsia" w:hAnsi="宋体"/>
                <w:color w:val="000000" w:themeColor="text1"/>
                <w:spacing w:val="-20"/>
                <w:sz w:val="24"/>
                <w:szCs w:val="24"/>
              </w:rPr>
              <w:t>服务内容</w:t>
            </w:r>
          </w:p>
        </w:tc>
        <w:tc>
          <w:tcPr>
            <w:tcW w:w="735" w:type="dxa"/>
            <w:vAlign w:val="center"/>
          </w:tcPr>
          <w:p>
            <w:pPr>
              <w:pStyle w:val="10"/>
              <w:jc w:val="center"/>
              <w:rPr>
                <w:rFonts w:hAnsi="宋体"/>
                <w:color w:val="000000" w:themeColor="text1"/>
                <w:spacing w:val="-20"/>
                <w:sz w:val="24"/>
                <w:szCs w:val="24"/>
              </w:rPr>
            </w:pPr>
            <w:r>
              <w:rPr>
                <w:rFonts w:hint="eastAsia" w:hAnsi="宋体"/>
                <w:color w:val="000000" w:themeColor="text1"/>
                <w:spacing w:val="-20"/>
                <w:sz w:val="24"/>
                <w:szCs w:val="24"/>
              </w:rPr>
              <w:t>数量</w:t>
            </w:r>
          </w:p>
          <w:p>
            <w:pPr>
              <w:pStyle w:val="10"/>
              <w:jc w:val="center"/>
              <w:rPr>
                <w:rFonts w:hAnsi="宋体"/>
                <w:color w:val="000000" w:themeColor="text1"/>
                <w:spacing w:val="-20"/>
                <w:sz w:val="24"/>
                <w:szCs w:val="24"/>
              </w:rPr>
            </w:pPr>
            <w:r>
              <w:rPr>
                <w:rFonts w:hint="eastAsia" w:hAnsi="宋体"/>
                <w:color w:val="000000" w:themeColor="text1"/>
                <w:spacing w:val="-20"/>
                <w:sz w:val="24"/>
                <w:szCs w:val="24"/>
              </w:rPr>
              <w:t>①</w:t>
            </w:r>
          </w:p>
        </w:tc>
        <w:tc>
          <w:tcPr>
            <w:tcW w:w="1155" w:type="dxa"/>
            <w:vAlign w:val="center"/>
          </w:tcPr>
          <w:p>
            <w:pPr>
              <w:pStyle w:val="10"/>
              <w:jc w:val="center"/>
              <w:rPr>
                <w:rFonts w:hAnsi="宋体"/>
                <w:color w:val="000000" w:themeColor="text1"/>
                <w:sz w:val="24"/>
                <w:szCs w:val="24"/>
              </w:rPr>
            </w:pPr>
            <w:r>
              <w:rPr>
                <w:rFonts w:hint="eastAsia" w:hAnsi="宋体"/>
                <w:color w:val="000000" w:themeColor="text1"/>
                <w:sz w:val="24"/>
                <w:szCs w:val="24"/>
              </w:rPr>
              <w:t>单价</w:t>
            </w:r>
            <w:r>
              <w:rPr>
                <w:rFonts w:hAnsi="宋体"/>
                <w:color w:val="000000" w:themeColor="text1"/>
                <w:sz w:val="24"/>
                <w:szCs w:val="24"/>
              </w:rPr>
              <w:t>(</w:t>
            </w:r>
            <w:r>
              <w:rPr>
                <w:rFonts w:hint="eastAsia" w:hAnsi="宋体"/>
                <w:color w:val="000000" w:themeColor="text1"/>
                <w:sz w:val="24"/>
                <w:szCs w:val="24"/>
              </w:rPr>
              <w:t>元</w:t>
            </w:r>
            <w:r>
              <w:rPr>
                <w:rFonts w:hAnsi="宋体"/>
                <w:color w:val="000000" w:themeColor="text1"/>
                <w:sz w:val="24"/>
                <w:szCs w:val="24"/>
              </w:rPr>
              <w:t>)</w:t>
            </w:r>
          </w:p>
          <w:p>
            <w:pPr>
              <w:pStyle w:val="10"/>
              <w:jc w:val="center"/>
              <w:rPr>
                <w:rFonts w:hAnsi="宋体"/>
                <w:color w:val="000000" w:themeColor="text1"/>
                <w:sz w:val="24"/>
                <w:szCs w:val="24"/>
              </w:rPr>
            </w:pPr>
            <w:r>
              <w:rPr>
                <w:rFonts w:hint="eastAsia" w:hAnsi="宋体"/>
                <w:color w:val="000000" w:themeColor="text1"/>
                <w:sz w:val="24"/>
                <w:szCs w:val="24"/>
              </w:rPr>
              <w:t>②</w:t>
            </w:r>
          </w:p>
        </w:tc>
        <w:tc>
          <w:tcPr>
            <w:tcW w:w="1575" w:type="dxa"/>
            <w:vAlign w:val="center"/>
          </w:tcPr>
          <w:p>
            <w:pPr>
              <w:pStyle w:val="10"/>
              <w:jc w:val="center"/>
              <w:rPr>
                <w:rFonts w:hAnsi="宋体"/>
                <w:color w:val="000000" w:themeColor="text1"/>
                <w:sz w:val="24"/>
                <w:szCs w:val="24"/>
              </w:rPr>
            </w:pPr>
            <w:r>
              <w:rPr>
                <w:rFonts w:hint="eastAsia" w:hAnsi="宋体"/>
                <w:color w:val="000000" w:themeColor="text1"/>
                <w:sz w:val="24"/>
                <w:szCs w:val="24"/>
              </w:rPr>
              <w:t>单项合价（元）</w:t>
            </w:r>
          </w:p>
          <w:p>
            <w:pPr>
              <w:pStyle w:val="10"/>
              <w:jc w:val="center"/>
              <w:rPr>
                <w:rFonts w:hAnsi="宋体"/>
                <w:color w:val="000000" w:themeColor="text1"/>
                <w:sz w:val="24"/>
                <w:szCs w:val="24"/>
              </w:rPr>
            </w:pPr>
            <w:r>
              <w:rPr>
                <w:rFonts w:hint="eastAsia" w:hAnsi="宋体"/>
                <w:color w:val="000000" w:themeColor="text1"/>
                <w:sz w:val="24"/>
                <w:szCs w:val="24"/>
              </w:rPr>
              <w:t>③＝①×②</w:t>
            </w:r>
          </w:p>
        </w:tc>
        <w:tc>
          <w:tcPr>
            <w:tcW w:w="1005" w:type="dxa"/>
            <w:vAlign w:val="center"/>
          </w:tcPr>
          <w:p>
            <w:pPr>
              <w:pStyle w:val="10"/>
              <w:jc w:val="center"/>
              <w:rPr>
                <w:rFonts w:hAnsi="宋体"/>
                <w:color w:val="000000" w:themeColor="text1"/>
                <w:sz w:val="24"/>
                <w:szCs w:val="24"/>
              </w:rPr>
            </w:pPr>
            <w:r>
              <w:rPr>
                <w:rFonts w:hint="eastAsia" w:hAnsi="宋体"/>
                <w:color w:val="000000" w:themeColor="text1"/>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trPr>
        <w:tc>
          <w:tcPr>
            <w:tcW w:w="630" w:type="dxa"/>
            <w:vAlign w:val="center"/>
          </w:tcPr>
          <w:p>
            <w:pPr>
              <w:jc w:val="center"/>
              <w:rPr>
                <w:rFonts w:ascii="宋体"/>
                <w:color w:val="000000" w:themeColor="text1"/>
                <w:sz w:val="24"/>
              </w:rPr>
            </w:pPr>
            <w:r>
              <w:rPr>
                <w:rFonts w:ascii="宋体" w:hAnsi="宋体"/>
                <w:color w:val="000000" w:themeColor="text1"/>
                <w:sz w:val="24"/>
              </w:rPr>
              <w:t>1</w:t>
            </w:r>
          </w:p>
        </w:tc>
        <w:tc>
          <w:tcPr>
            <w:tcW w:w="2100" w:type="dxa"/>
            <w:vAlign w:val="center"/>
          </w:tcPr>
          <w:p>
            <w:pPr>
              <w:jc w:val="center"/>
              <w:rPr>
                <w:rFonts w:ascii="宋体"/>
                <w:color w:val="000000" w:themeColor="text1"/>
                <w:sz w:val="24"/>
              </w:rPr>
            </w:pPr>
          </w:p>
        </w:tc>
        <w:tc>
          <w:tcPr>
            <w:tcW w:w="2520" w:type="dxa"/>
            <w:vAlign w:val="center"/>
          </w:tcPr>
          <w:p>
            <w:pPr>
              <w:pStyle w:val="10"/>
              <w:rPr>
                <w:rFonts w:hAnsi="宋体"/>
                <w:color w:val="000000" w:themeColor="text1"/>
                <w:sz w:val="24"/>
                <w:szCs w:val="24"/>
              </w:rPr>
            </w:pPr>
          </w:p>
        </w:tc>
        <w:tc>
          <w:tcPr>
            <w:tcW w:w="735" w:type="dxa"/>
            <w:vAlign w:val="center"/>
          </w:tcPr>
          <w:p>
            <w:pPr>
              <w:pStyle w:val="10"/>
              <w:rPr>
                <w:rFonts w:hAnsi="宋体"/>
                <w:color w:val="000000" w:themeColor="text1"/>
                <w:sz w:val="24"/>
                <w:szCs w:val="24"/>
              </w:rPr>
            </w:pPr>
          </w:p>
        </w:tc>
        <w:tc>
          <w:tcPr>
            <w:tcW w:w="1155" w:type="dxa"/>
            <w:vAlign w:val="center"/>
          </w:tcPr>
          <w:p>
            <w:pPr>
              <w:pStyle w:val="10"/>
              <w:rPr>
                <w:rFonts w:hAnsi="宋体"/>
                <w:color w:val="000000" w:themeColor="text1"/>
                <w:sz w:val="24"/>
                <w:szCs w:val="24"/>
              </w:rPr>
            </w:pPr>
          </w:p>
        </w:tc>
        <w:tc>
          <w:tcPr>
            <w:tcW w:w="1575" w:type="dxa"/>
            <w:vAlign w:val="center"/>
          </w:tcPr>
          <w:p>
            <w:pPr>
              <w:pStyle w:val="10"/>
              <w:rPr>
                <w:rFonts w:hAnsi="宋体"/>
                <w:color w:val="000000" w:themeColor="text1"/>
                <w:sz w:val="24"/>
                <w:szCs w:val="24"/>
              </w:rPr>
            </w:pPr>
          </w:p>
        </w:tc>
        <w:tc>
          <w:tcPr>
            <w:tcW w:w="1005" w:type="dxa"/>
            <w:vAlign w:val="center"/>
          </w:tcPr>
          <w:p>
            <w:pPr>
              <w:pStyle w:val="10"/>
              <w:rPr>
                <w:rFonts w:hAnsi="宋体"/>
                <w:color w:val="000000" w:themeColor="text1"/>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trPr>
        <w:tc>
          <w:tcPr>
            <w:tcW w:w="630" w:type="dxa"/>
            <w:vAlign w:val="center"/>
          </w:tcPr>
          <w:p>
            <w:pPr>
              <w:jc w:val="center"/>
              <w:rPr>
                <w:rFonts w:ascii="宋体"/>
                <w:color w:val="000000" w:themeColor="text1"/>
                <w:sz w:val="24"/>
              </w:rPr>
            </w:pPr>
            <w:r>
              <w:rPr>
                <w:rFonts w:ascii="宋体" w:hAnsi="宋体"/>
                <w:color w:val="000000" w:themeColor="text1"/>
                <w:sz w:val="24"/>
              </w:rPr>
              <w:t>2</w:t>
            </w:r>
          </w:p>
        </w:tc>
        <w:tc>
          <w:tcPr>
            <w:tcW w:w="2100" w:type="dxa"/>
            <w:vAlign w:val="center"/>
          </w:tcPr>
          <w:p>
            <w:pPr>
              <w:jc w:val="center"/>
              <w:rPr>
                <w:rFonts w:ascii="宋体"/>
                <w:color w:val="000000" w:themeColor="text1"/>
                <w:sz w:val="24"/>
              </w:rPr>
            </w:pPr>
          </w:p>
        </w:tc>
        <w:tc>
          <w:tcPr>
            <w:tcW w:w="2520" w:type="dxa"/>
            <w:vAlign w:val="center"/>
          </w:tcPr>
          <w:p>
            <w:pPr>
              <w:pStyle w:val="10"/>
              <w:rPr>
                <w:rFonts w:hAnsi="宋体"/>
                <w:color w:val="000000" w:themeColor="text1"/>
                <w:sz w:val="24"/>
                <w:szCs w:val="24"/>
              </w:rPr>
            </w:pPr>
          </w:p>
        </w:tc>
        <w:tc>
          <w:tcPr>
            <w:tcW w:w="735" w:type="dxa"/>
            <w:vAlign w:val="center"/>
          </w:tcPr>
          <w:p>
            <w:pPr>
              <w:pStyle w:val="10"/>
              <w:rPr>
                <w:rFonts w:hAnsi="宋体"/>
                <w:color w:val="000000" w:themeColor="text1"/>
                <w:sz w:val="24"/>
                <w:szCs w:val="24"/>
              </w:rPr>
            </w:pPr>
          </w:p>
        </w:tc>
        <w:tc>
          <w:tcPr>
            <w:tcW w:w="1155" w:type="dxa"/>
            <w:vAlign w:val="center"/>
          </w:tcPr>
          <w:p>
            <w:pPr>
              <w:pStyle w:val="10"/>
              <w:rPr>
                <w:rFonts w:hAnsi="宋体"/>
                <w:color w:val="000000" w:themeColor="text1"/>
                <w:sz w:val="24"/>
                <w:szCs w:val="24"/>
              </w:rPr>
            </w:pPr>
          </w:p>
        </w:tc>
        <w:tc>
          <w:tcPr>
            <w:tcW w:w="1575" w:type="dxa"/>
            <w:vAlign w:val="center"/>
          </w:tcPr>
          <w:p>
            <w:pPr>
              <w:pStyle w:val="10"/>
              <w:rPr>
                <w:rFonts w:hAnsi="宋体"/>
                <w:color w:val="000000" w:themeColor="text1"/>
                <w:sz w:val="24"/>
                <w:szCs w:val="24"/>
              </w:rPr>
            </w:pPr>
          </w:p>
        </w:tc>
        <w:tc>
          <w:tcPr>
            <w:tcW w:w="1005" w:type="dxa"/>
            <w:vAlign w:val="center"/>
          </w:tcPr>
          <w:p>
            <w:pPr>
              <w:pStyle w:val="10"/>
              <w:rPr>
                <w:rFonts w:hAnsi="宋体"/>
                <w:color w:val="000000" w:themeColor="text1"/>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 w:hRule="atLeast"/>
        </w:trPr>
        <w:tc>
          <w:tcPr>
            <w:tcW w:w="630" w:type="dxa"/>
            <w:vAlign w:val="center"/>
          </w:tcPr>
          <w:p>
            <w:pPr>
              <w:jc w:val="center"/>
              <w:rPr>
                <w:rFonts w:ascii="宋体"/>
                <w:color w:val="000000" w:themeColor="text1"/>
                <w:sz w:val="24"/>
              </w:rPr>
            </w:pPr>
            <w:r>
              <w:rPr>
                <w:rFonts w:hint="eastAsia" w:ascii="宋体" w:hAnsi="宋体"/>
                <w:color w:val="000000" w:themeColor="text1"/>
                <w:sz w:val="24"/>
              </w:rPr>
              <w:t>…</w:t>
            </w:r>
          </w:p>
        </w:tc>
        <w:tc>
          <w:tcPr>
            <w:tcW w:w="2100" w:type="dxa"/>
            <w:vAlign w:val="center"/>
          </w:tcPr>
          <w:p>
            <w:pPr>
              <w:jc w:val="center"/>
              <w:rPr>
                <w:rFonts w:ascii="宋体"/>
                <w:color w:val="000000" w:themeColor="text1"/>
                <w:sz w:val="24"/>
              </w:rPr>
            </w:pPr>
          </w:p>
        </w:tc>
        <w:tc>
          <w:tcPr>
            <w:tcW w:w="2520" w:type="dxa"/>
            <w:vAlign w:val="center"/>
          </w:tcPr>
          <w:p>
            <w:pPr>
              <w:pStyle w:val="10"/>
              <w:rPr>
                <w:rFonts w:hAnsi="宋体"/>
                <w:color w:val="000000" w:themeColor="text1"/>
                <w:sz w:val="24"/>
                <w:szCs w:val="24"/>
              </w:rPr>
            </w:pPr>
          </w:p>
        </w:tc>
        <w:tc>
          <w:tcPr>
            <w:tcW w:w="735" w:type="dxa"/>
            <w:vAlign w:val="center"/>
          </w:tcPr>
          <w:p>
            <w:pPr>
              <w:pStyle w:val="10"/>
              <w:rPr>
                <w:rFonts w:hAnsi="宋体"/>
                <w:color w:val="000000" w:themeColor="text1"/>
                <w:sz w:val="24"/>
                <w:szCs w:val="24"/>
              </w:rPr>
            </w:pPr>
          </w:p>
        </w:tc>
        <w:tc>
          <w:tcPr>
            <w:tcW w:w="1155" w:type="dxa"/>
            <w:vAlign w:val="center"/>
          </w:tcPr>
          <w:p>
            <w:pPr>
              <w:pStyle w:val="10"/>
              <w:rPr>
                <w:rFonts w:hAnsi="宋体"/>
                <w:color w:val="000000" w:themeColor="text1"/>
                <w:sz w:val="24"/>
                <w:szCs w:val="24"/>
              </w:rPr>
            </w:pPr>
          </w:p>
        </w:tc>
        <w:tc>
          <w:tcPr>
            <w:tcW w:w="1575" w:type="dxa"/>
            <w:vAlign w:val="center"/>
          </w:tcPr>
          <w:p>
            <w:pPr>
              <w:pStyle w:val="10"/>
              <w:rPr>
                <w:rFonts w:hAnsi="宋体"/>
                <w:color w:val="000000" w:themeColor="text1"/>
                <w:sz w:val="24"/>
                <w:szCs w:val="24"/>
              </w:rPr>
            </w:pPr>
          </w:p>
        </w:tc>
        <w:tc>
          <w:tcPr>
            <w:tcW w:w="1005" w:type="dxa"/>
            <w:vAlign w:val="center"/>
          </w:tcPr>
          <w:p>
            <w:pPr>
              <w:pStyle w:val="10"/>
              <w:rPr>
                <w:rFonts w:hAnsi="宋体"/>
                <w:color w:val="000000" w:themeColor="text1"/>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9720" w:type="dxa"/>
            <w:gridSpan w:val="7"/>
            <w:vAlign w:val="center"/>
          </w:tcPr>
          <w:p>
            <w:pPr>
              <w:pStyle w:val="10"/>
              <w:rPr>
                <w:rFonts w:asciiTheme="minorEastAsia" w:hAnsiTheme="minorEastAsia"/>
                <w:color w:val="000000" w:themeColor="text1"/>
                <w:spacing w:val="-6"/>
                <w:sz w:val="24"/>
                <w:szCs w:val="24"/>
              </w:rPr>
            </w:pPr>
            <w:r>
              <w:rPr>
                <w:rFonts w:hAnsi="宋体"/>
                <w:color w:val="000000" w:themeColor="text1"/>
                <w:sz w:val="24"/>
              </w:rPr>
              <w:t>报价合计（包含税费等所有费用）：（大写）人民币</w:t>
            </w:r>
            <w:r>
              <w:rPr>
                <w:rFonts w:hAnsi="宋体"/>
                <w:color w:val="000000" w:themeColor="text1"/>
                <w:sz w:val="24"/>
                <w:u w:val="single"/>
              </w:rPr>
              <w:t xml:space="preserve">   </w:t>
            </w:r>
            <w:r>
              <w:rPr>
                <w:rFonts w:hint="eastAsia" w:hAnsi="宋体"/>
                <w:color w:val="000000" w:themeColor="text1"/>
                <w:sz w:val="24"/>
                <w:u w:val="single"/>
              </w:rPr>
              <w:t xml:space="preserve">   </w:t>
            </w:r>
            <w:r>
              <w:rPr>
                <w:rFonts w:hAnsi="宋体"/>
                <w:color w:val="000000" w:themeColor="text1"/>
                <w:sz w:val="24"/>
              </w:rPr>
              <w:t>（￥</w:t>
            </w:r>
            <w:r>
              <w:rPr>
                <w:rFonts w:hAnsi="宋体"/>
                <w:color w:val="000000" w:themeColor="text1"/>
                <w:sz w:val="24"/>
                <w:u w:val="single"/>
              </w:rPr>
              <w:t xml:space="preserve">      </w:t>
            </w:r>
            <w:r>
              <w:rPr>
                <w:rFonts w:hAnsi="宋体"/>
                <w:color w:val="000000" w:themeColor="text1"/>
                <w:sz w:val="24"/>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9720" w:type="dxa"/>
            <w:gridSpan w:val="7"/>
            <w:vAlign w:val="center"/>
          </w:tcPr>
          <w:p>
            <w:pPr>
              <w:pStyle w:val="10"/>
              <w:spacing w:line="600" w:lineRule="exact"/>
              <w:rPr>
                <w:rFonts w:hAnsi="宋体"/>
                <w:color w:val="000000" w:themeColor="text1"/>
                <w:sz w:val="24"/>
              </w:rPr>
            </w:pPr>
            <w:r>
              <w:rPr>
                <w:rFonts w:hint="eastAsia" w:hAnsi="宋体"/>
                <w:color w:val="000000" w:themeColor="text1"/>
                <w:sz w:val="24"/>
                <w:szCs w:val="24"/>
              </w:rPr>
              <w:t>磋商供应商（盖单位公章）</w:t>
            </w:r>
            <w:r>
              <w:rPr>
                <w:rFonts w:hAnsi="宋体"/>
                <w:color w:val="000000" w:themeColor="text1"/>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9720" w:type="dxa"/>
            <w:gridSpan w:val="7"/>
            <w:vAlign w:val="center"/>
          </w:tcPr>
          <w:p>
            <w:pPr>
              <w:pStyle w:val="10"/>
              <w:rPr>
                <w:rFonts w:hAnsi="宋体"/>
                <w:color w:val="000000" w:themeColor="text1"/>
                <w:sz w:val="24"/>
              </w:rPr>
            </w:pPr>
            <w:r>
              <w:rPr>
                <w:rFonts w:hAnsi="宋体"/>
                <w:color w:val="000000" w:themeColor="text1"/>
                <w:sz w:val="24"/>
              </w:rPr>
              <w:t>法定代表人或其委托代理人（签字或盖章）：</w:t>
            </w:r>
          </w:p>
        </w:tc>
      </w:tr>
    </w:tbl>
    <w:p>
      <w:pPr>
        <w:pStyle w:val="10"/>
        <w:rPr>
          <w:rFonts w:hAnsi="宋体"/>
          <w:color w:val="000000" w:themeColor="text1"/>
          <w:sz w:val="24"/>
          <w:szCs w:val="24"/>
        </w:rPr>
      </w:pPr>
      <w:r>
        <w:rPr>
          <w:rFonts w:hAnsi="宋体"/>
          <w:color w:val="000000" w:themeColor="text1"/>
          <w:sz w:val="24"/>
          <w:szCs w:val="24"/>
        </w:rPr>
        <w:t>注：表格内容均需按要求填写并盖章，不得留空，否则按投标无效处理。</w:t>
      </w:r>
    </w:p>
    <w:p>
      <w:pPr>
        <w:pStyle w:val="10"/>
        <w:rPr>
          <w:rFonts w:hAnsi="宋体"/>
          <w:color w:val="000000" w:themeColor="text1"/>
          <w:sz w:val="24"/>
          <w:szCs w:val="24"/>
        </w:rPr>
      </w:pPr>
    </w:p>
    <w:p>
      <w:pPr>
        <w:pStyle w:val="10"/>
        <w:rPr>
          <w:rFonts w:hAnsi="宋体"/>
          <w:color w:val="000000" w:themeColor="text1"/>
          <w:sz w:val="24"/>
          <w:szCs w:val="24"/>
        </w:rPr>
      </w:pPr>
      <w:r>
        <w:rPr>
          <w:rFonts w:hAnsi="宋体"/>
          <w:color w:val="000000" w:themeColor="text1"/>
          <w:sz w:val="24"/>
          <w:szCs w:val="24"/>
        </w:rPr>
        <w:t>......</w:t>
      </w:r>
    </w:p>
    <w:p>
      <w:pPr>
        <w:pStyle w:val="10"/>
        <w:rPr>
          <w:rFonts w:hAnsi="宋体"/>
          <w:color w:val="000000" w:themeColor="text1"/>
          <w:sz w:val="24"/>
          <w:szCs w:val="24"/>
        </w:rPr>
      </w:pPr>
    </w:p>
    <w:p>
      <w:pPr>
        <w:pStyle w:val="10"/>
        <w:rPr>
          <w:rFonts w:hAnsi="宋体"/>
          <w:color w:val="000000" w:themeColor="text1"/>
          <w:sz w:val="24"/>
          <w:szCs w:val="24"/>
        </w:rPr>
      </w:pPr>
    </w:p>
    <w:p>
      <w:pPr>
        <w:pStyle w:val="10"/>
        <w:rPr>
          <w:rFonts w:hAnsi="宋体"/>
          <w:color w:val="000000" w:themeColor="text1"/>
          <w:sz w:val="24"/>
          <w:szCs w:val="24"/>
        </w:rPr>
      </w:pPr>
    </w:p>
    <w:p>
      <w:pPr>
        <w:pStyle w:val="10"/>
        <w:rPr>
          <w:rFonts w:hAnsi="宋体"/>
          <w:color w:val="000000" w:themeColor="text1"/>
          <w:sz w:val="24"/>
          <w:szCs w:val="24"/>
        </w:rPr>
      </w:pPr>
    </w:p>
    <w:p>
      <w:pPr>
        <w:pStyle w:val="10"/>
        <w:rPr>
          <w:rFonts w:hAnsi="宋体"/>
          <w:color w:val="000000" w:themeColor="text1"/>
          <w:sz w:val="24"/>
          <w:szCs w:val="24"/>
        </w:rPr>
      </w:pPr>
    </w:p>
    <w:p>
      <w:pPr>
        <w:pStyle w:val="10"/>
        <w:spacing w:line="500" w:lineRule="exact"/>
        <w:outlineLvl w:val="1"/>
        <w:rPr>
          <w:rFonts w:hAnsi="宋体"/>
          <w:b/>
          <w:color w:val="000000" w:themeColor="text1"/>
        </w:rPr>
      </w:pPr>
      <w:r>
        <w:rPr>
          <w:rFonts w:hAnsi="宋体"/>
          <w:b/>
          <w:color w:val="000000" w:themeColor="text1"/>
          <w:sz w:val="24"/>
          <w:szCs w:val="24"/>
        </w:rPr>
        <w:br w:type="page"/>
      </w:r>
      <w:bookmarkStart w:id="101" w:name="_Toc20421"/>
      <w:bookmarkStart w:id="102" w:name="_Toc5908"/>
      <w:bookmarkStart w:id="103" w:name="_Toc3180"/>
      <w:r>
        <w:rPr>
          <w:rFonts w:hint="eastAsia" w:hAnsi="宋体"/>
          <w:b/>
          <w:color w:val="000000" w:themeColor="text1"/>
        </w:rPr>
        <w:t>格式</w:t>
      </w:r>
      <w:r>
        <w:rPr>
          <w:rFonts w:hAnsi="宋体"/>
          <w:b/>
          <w:color w:val="000000" w:themeColor="text1"/>
        </w:rPr>
        <w:t>3</w:t>
      </w:r>
      <w:r>
        <w:rPr>
          <w:rFonts w:hint="eastAsia" w:hAnsi="宋体"/>
          <w:b/>
          <w:color w:val="000000" w:themeColor="text1"/>
        </w:rPr>
        <w:t>：</w:t>
      </w:r>
      <w:bookmarkEnd w:id="101"/>
      <w:bookmarkEnd w:id="102"/>
      <w:bookmarkEnd w:id="103"/>
      <w:r>
        <w:rPr>
          <w:rFonts w:hAnsi="宋体"/>
          <w:b/>
          <w:color w:val="000000" w:themeColor="text1"/>
        </w:rPr>
        <w:t xml:space="preserve"> </w:t>
      </w:r>
    </w:p>
    <w:p>
      <w:pPr>
        <w:pStyle w:val="10"/>
        <w:jc w:val="center"/>
        <w:outlineLvl w:val="2"/>
        <w:rPr>
          <w:rFonts w:hAnsi="宋体"/>
          <w:b/>
          <w:color w:val="000000" w:themeColor="text1"/>
          <w:sz w:val="30"/>
          <w:szCs w:val="30"/>
        </w:rPr>
      </w:pPr>
      <w:r>
        <w:rPr>
          <w:rFonts w:hint="eastAsia" w:hAnsi="宋体"/>
          <w:b/>
          <w:color w:val="000000" w:themeColor="text1"/>
          <w:sz w:val="30"/>
          <w:szCs w:val="30"/>
        </w:rPr>
        <w:t>中小企业声明函（格式）</w:t>
      </w:r>
    </w:p>
    <w:p>
      <w:pPr>
        <w:pStyle w:val="9"/>
        <w:spacing w:line="240" w:lineRule="auto"/>
        <w:ind w:firstLine="0"/>
        <w:rPr>
          <w:rFonts w:hAnsi="宋体"/>
          <w:color w:val="000000" w:themeColor="text1"/>
          <w:sz w:val="24"/>
          <w:szCs w:val="24"/>
        </w:rPr>
      </w:pPr>
      <w:r>
        <w:rPr>
          <w:rFonts w:hint="eastAsia" w:hAnsi="宋体"/>
          <w:color w:val="000000" w:themeColor="text1"/>
          <w:sz w:val="24"/>
          <w:szCs w:val="24"/>
        </w:rPr>
        <w:t>说明：</w:t>
      </w:r>
    </w:p>
    <w:p>
      <w:pPr>
        <w:pStyle w:val="9"/>
        <w:spacing w:line="240" w:lineRule="auto"/>
        <w:ind w:firstLine="464" w:firstLineChars="200"/>
        <w:rPr>
          <w:rFonts w:hAnsi="宋体"/>
          <w:color w:val="000000" w:themeColor="text1"/>
          <w:sz w:val="24"/>
          <w:szCs w:val="24"/>
        </w:rPr>
      </w:pPr>
      <w:r>
        <w:rPr>
          <w:rFonts w:hAnsi="宋体"/>
          <w:color w:val="000000" w:themeColor="text1"/>
          <w:sz w:val="24"/>
          <w:szCs w:val="24"/>
        </w:rPr>
        <w:t>1</w:t>
      </w:r>
      <w:r>
        <w:rPr>
          <w:rFonts w:hint="eastAsia" w:hAnsi="宋体"/>
          <w:color w:val="000000" w:themeColor="text1"/>
          <w:sz w:val="24"/>
          <w:szCs w:val="24"/>
        </w:rPr>
        <w:t>、本声明函主要供参加政府采购活动的中小企业填写，非中小企业无需填写。</w:t>
      </w:r>
    </w:p>
    <w:p>
      <w:pPr>
        <w:pStyle w:val="9"/>
        <w:spacing w:line="240" w:lineRule="auto"/>
        <w:ind w:firstLine="464" w:firstLineChars="200"/>
        <w:rPr>
          <w:rFonts w:hAnsi="宋体"/>
          <w:color w:val="000000" w:themeColor="text1"/>
          <w:sz w:val="24"/>
          <w:szCs w:val="24"/>
        </w:rPr>
      </w:pPr>
      <w:r>
        <w:rPr>
          <w:rFonts w:hAnsi="宋体"/>
          <w:color w:val="000000" w:themeColor="text1"/>
          <w:sz w:val="24"/>
          <w:szCs w:val="24"/>
        </w:rPr>
        <w:t>2</w:t>
      </w:r>
      <w:r>
        <w:rPr>
          <w:rFonts w:hint="eastAsia" w:hAnsi="宋体"/>
          <w:color w:val="000000" w:themeColor="text1"/>
          <w:sz w:val="24"/>
          <w:szCs w:val="24"/>
        </w:rPr>
        <w:t>、小型、微型企业提供中型企业制造的货物的，视同为中型企业。</w:t>
      </w:r>
    </w:p>
    <w:p>
      <w:pPr>
        <w:pStyle w:val="9"/>
        <w:spacing w:line="240" w:lineRule="auto"/>
        <w:ind w:firstLine="464" w:firstLineChars="200"/>
        <w:rPr>
          <w:rFonts w:hAnsi="宋体"/>
          <w:color w:val="000000" w:themeColor="text1"/>
          <w:sz w:val="24"/>
          <w:szCs w:val="24"/>
        </w:rPr>
      </w:pPr>
      <w:r>
        <w:rPr>
          <w:rFonts w:hAnsi="宋体"/>
          <w:color w:val="000000" w:themeColor="text1"/>
          <w:sz w:val="24"/>
          <w:szCs w:val="24"/>
        </w:rPr>
        <w:t>3</w:t>
      </w:r>
      <w:r>
        <w:rPr>
          <w:rFonts w:hint="eastAsia" w:hAnsi="宋体"/>
          <w:color w:val="000000" w:themeColor="text1"/>
          <w:sz w:val="24"/>
          <w:szCs w:val="24"/>
        </w:rPr>
        <w:t>、磋商供应商按《财政部、司法部关于政府采购支持监狱企业发展有关问题的通知》（财库〔</w:t>
      </w:r>
      <w:r>
        <w:rPr>
          <w:rFonts w:hAnsi="宋体"/>
          <w:color w:val="000000" w:themeColor="text1"/>
          <w:sz w:val="24"/>
          <w:szCs w:val="24"/>
        </w:rPr>
        <w:t>2014</w:t>
      </w:r>
      <w:r>
        <w:rPr>
          <w:rFonts w:hint="eastAsia" w:hAnsi="宋体"/>
          <w:color w:val="000000" w:themeColor="text1"/>
          <w:sz w:val="24"/>
          <w:szCs w:val="24"/>
        </w:rPr>
        <w:t>〕</w:t>
      </w:r>
      <w:r>
        <w:rPr>
          <w:rFonts w:hAnsi="宋体"/>
          <w:color w:val="000000" w:themeColor="text1"/>
          <w:sz w:val="24"/>
          <w:szCs w:val="24"/>
        </w:rPr>
        <w:t>68</w:t>
      </w:r>
      <w:r>
        <w:rPr>
          <w:rFonts w:hint="eastAsia" w:hAnsi="宋体"/>
          <w:color w:val="000000" w:themeColor="text1"/>
          <w:sz w:val="24"/>
          <w:szCs w:val="24"/>
        </w:rPr>
        <w:t>号）认定为监狱企业，且提供由省级以上监狱管理局、戒毒管理局（含新疆生产建设兵团）出具的属于监狱企业的证明文件的，视同小型、微型企业。</w:t>
      </w:r>
    </w:p>
    <w:p>
      <w:pPr>
        <w:pStyle w:val="9"/>
        <w:spacing w:line="360" w:lineRule="auto"/>
        <w:ind w:firstLine="464" w:firstLineChars="200"/>
        <w:rPr>
          <w:rFonts w:hAnsi="宋体"/>
          <w:color w:val="000000" w:themeColor="text1"/>
          <w:sz w:val="24"/>
          <w:szCs w:val="24"/>
        </w:rPr>
      </w:pPr>
    </w:p>
    <w:p>
      <w:pPr>
        <w:pStyle w:val="10"/>
        <w:spacing w:line="360" w:lineRule="auto"/>
        <w:ind w:firstLine="480" w:firstLineChars="200"/>
        <w:rPr>
          <w:rFonts w:hAnsi="宋体"/>
          <w:color w:val="000000" w:themeColor="text1"/>
          <w:sz w:val="24"/>
          <w:szCs w:val="24"/>
        </w:rPr>
      </w:pPr>
      <w:r>
        <w:rPr>
          <w:rFonts w:hint="eastAsia" w:hAnsi="宋体"/>
          <w:color w:val="000000" w:themeColor="text1"/>
          <w:sz w:val="24"/>
          <w:szCs w:val="24"/>
        </w:rPr>
        <w:t>本公司郑重声明，根据《政府采购促进中小企业发展暂行办法》（财库〔</w:t>
      </w:r>
      <w:r>
        <w:rPr>
          <w:rFonts w:hAnsi="宋体"/>
          <w:color w:val="000000" w:themeColor="text1"/>
          <w:sz w:val="24"/>
          <w:szCs w:val="24"/>
        </w:rPr>
        <w:t>2011</w:t>
      </w:r>
      <w:r>
        <w:rPr>
          <w:rFonts w:hint="eastAsia" w:hAnsi="宋体"/>
          <w:color w:val="000000" w:themeColor="text1"/>
          <w:sz w:val="24"/>
          <w:szCs w:val="24"/>
        </w:rPr>
        <w:t>〕</w:t>
      </w:r>
      <w:r>
        <w:rPr>
          <w:rFonts w:hAnsi="宋体"/>
          <w:color w:val="000000" w:themeColor="text1"/>
          <w:sz w:val="24"/>
          <w:szCs w:val="24"/>
        </w:rPr>
        <w:t>181</w:t>
      </w:r>
      <w:r>
        <w:rPr>
          <w:rFonts w:hint="eastAsia" w:hAnsi="宋体"/>
          <w:color w:val="000000" w:themeColor="text1"/>
          <w:sz w:val="24"/>
          <w:szCs w:val="24"/>
        </w:rPr>
        <w:t>号）的规定，本公司为</w:t>
      </w:r>
      <w:r>
        <w:rPr>
          <w:rFonts w:hAnsi="宋体"/>
          <w:color w:val="000000" w:themeColor="text1"/>
          <w:sz w:val="24"/>
          <w:szCs w:val="24"/>
        </w:rPr>
        <w:t>______</w:t>
      </w:r>
      <w:r>
        <w:rPr>
          <w:rFonts w:hint="eastAsia" w:hAnsi="宋体"/>
          <w:color w:val="000000" w:themeColor="text1"/>
          <w:sz w:val="24"/>
          <w:szCs w:val="24"/>
        </w:rPr>
        <w:t>（请填写：中型、小型、微型）企业。即，本公司同时满足以下条件：</w:t>
      </w:r>
    </w:p>
    <w:p>
      <w:pPr>
        <w:pStyle w:val="10"/>
        <w:spacing w:line="360" w:lineRule="auto"/>
        <w:ind w:firstLine="480" w:firstLineChars="200"/>
        <w:rPr>
          <w:rFonts w:hAnsi="宋体"/>
          <w:color w:val="000000" w:themeColor="text1"/>
          <w:sz w:val="24"/>
          <w:szCs w:val="24"/>
        </w:rPr>
      </w:pPr>
      <w:r>
        <w:rPr>
          <w:rFonts w:hAnsi="宋体"/>
          <w:color w:val="000000" w:themeColor="text1"/>
          <w:sz w:val="24"/>
          <w:szCs w:val="24"/>
        </w:rPr>
        <w:t>1</w:t>
      </w:r>
      <w:r>
        <w:rPr>
          <w:rFonts w:hint="eastAsia" w:hAnsi="宋体"/>
          <w:color w:val="000000" w:themeColor="text1"/>
          <w:sz w:val="24"/>
          <w:szCs w:val="24"/>
        </w:rPr>
        <w:t>．根据《工业和信息化部、国家统计局、国家发展和改革委员会、财政部关于印发中小企业划型标准规定的通知》（工信部联企业〔</w:t>
      </w:r>
      <w:r>
        <w:rPr>
          <w:rFonts w:hAnsi="宋体"/>
          <w:color w:val="000000" w:themeColor="text1"/>
          <w:sz w:val="24"/>
          <w:szCs w:val="24"/>
        </w:rPr>
        <w:t>2011</w:t>
      </w:r>
      <w:r>
        <w:rPr>
          <w:rFonts w:hint="eastAsia" w:hAnsi="宋体"/>
          <w:color w:val="000000" w:themeColor="text1"/>
          <w:sz w:val="24"/>
          <w:szCs w:val="24"/>
        </w:rPr>
        <w:t>〕</w:t>
      </w:r>
      <w:r>
        <w:rPr>
          <w:rFonts w:hAnsi="宋体"/>
          <w:color w:val="000000" w:themeColor="text1"/>
          <w:sz w:val="24"/>
          <w:szCs w:val="24"/>
        </w:rPr>
        <w:t>300</w:t>
      </w:r>
      <w:r>
        <w:rPr>
          <w:rFonts w:hint="eastAsia" w:hAnsi="宋体"/>
          <w:color w:val="000000" w:themeColor="text1"/>
          <w:sz w:val="24"/>
          <w:szCs w:val="24"/>
        </w:rPr>
        <w:t>号）规定的划分标准，本公司为</w:t>
      </w:r>
      <w:r>
        <w:rPr>
          <w:rFonts w:hAnsi="宋体"/>
          <w:color w:val="000000" w:themeColor="text1"/>
          <w:sz w:val="24"/>
          <w:szCs w:val="24"/>
        </w:rPr>
        <w:t>______</w:t>
      </w:r>
      <w:r>
        <w:rPr>
          <w:rFonts w:hint="eastAsia" w:hAnsi="宋体"/>
          <w:color w:val="000000" w:themeColor="text1"/>
          <w:sz w:val="24"/>
          <w:szCs w:val="24"/>
        </w:rPr>
        <w:t>（请填写：中型、小型、微型）企业。</w:t>
      </w:r>
    </w:p>
    <w:p>
      <w:pPr>
        <w:pStyle w:val="10"/>
        <w:spacing w:line="360" w:lineRule="auto"/>
        <w:ind w:firstLine="480" w:firstLineChars="200"/>
        <w:rPr>
          <w:rFonts w:hAnsi="宋体"/>
          <w:color w:val="000000" w:themeColor="text1"/>
          <w:sz w:val="24"/>
          <w:szCs w:val="24"/>
        </w:rPr>
      </w:pPr>
      <w:r>
        <w:rPr>
          <w:rFonts w:hAnsi="宋体"/>
          <w:color w:val="000000" w:themeColor="text1"/>
          <w:sz w:val="24"/>
          <w:szCs w:val="24"/>
        </w:rPr>
        <w:t>2</w:t>
      </w:r>
      <w:r>
        <w:rPr>
          <w:rFonts w:hint="eastAsia" w:hAnsi="宋体"/>
          <w:color w:val="000000" w:themeColor="text1"/>
          <w:sz w:val="24"/>
          <w:szCs w:val="24"/>
        </w:rPr>
        <w:t>．本公司参加</w:t>
      </w:r>
      <w:r>
        <w:rPr>
          <w:rFonts w:hAnsi="宋体"/>
          <w:color w:val="000000" w:themeColor="text1"/>
          <w:sz w:val="24"/>
          <w:szCs w:val="24"/>
        </w:rPr>
        <w:t>______</w:t>
      </w:r>
      <w:r>
        <w:rPr>
          <w:rFonts w:hint="eastAsia" w:hAnsi="宋体"/>
          <w:color w:val="000000" w:themeColor="text1"/>
          <w:sz w:val="24"/>
          <w:szCs w:val="24"/>
        </w:rPr>
        <w:t>单位的</w:t>
      </w:r>
      <w:r>
        <w:rPr>
          <w:rFonts w:hAnsi="宋体"/>
          <w:color w:val="000000" w:themeColor="text1"/>
          <w:sz w:val="24"/>
          <w:szCs w:val="24"/>
        </w:rPr>
        <w:t>______</w:t>
      </w:r>
      <w:r>
        <w:rPr>
          <w:rFonts w:hint="eastAsia" w:hAnsi="宋体"/>
          <w:color w:val="000000" w:themeColor="text1"/>
          <w:sz w:val="24"/>
          <w:szCs w:val="24"/>
        </w:rPr>
        <w:t>项目采购活动提供本企业制造的货物，由本企业承担工程、提供服务，或者提供其他</w:t>
      </w:r>
      <w:r>
        <w:rPr>
          <w:rFonts w:hAnsi="宋体"/>
          <w:color w:val="000000" w:themeColor="text1"/>
          <w:sz w:val="24"/>
          <w:szCs w:val="24"/>
        </w:rPr>
        <w:t>______</w:t>
      </w:r>
      <w:r>
        <w:rPr>
          <w:rFonts w:hint="eastAsia" w:hAnsi="宋体"/>
          <w:color w:val="000000" w:themeColor="text1"/>
          <w:sz w:val="24"/>
          <w:szCs w:val="24"/>
        </w:rPr>
        <w:t>（请填写：中型、小型、微型）企业制造的货物。本条所称货物不包括使用大型企业注册商标的货物。</w:t>
      </w:r>
    </w:p>
    <w:p>
      <w:pPr>
        <w:pStyle w:val="10"/>
        <w:spacing w:line="360" w:lineRule="auto"/>
        <w:ind w:firstLine="480" w:firstLineChars="200"/>
        <w:rPr>
          <w:rFonts w:hAnsi="宋体"/>
          <w:color w:val="000000" w:themeColor="text1"/>
          <w:sz w:val="24"/>
          <w:szCs w:val="24"/>
        </w:rPr>
      </w:pPr>
      <w:r>
        <w:rPr>
          <w:rFonts w:hint="eastAsia" w:hAnsi="宋体"/>
          <w:color w:val="000000" w:themeColor="text1"/>
          <w:sz w:val="24"/>
          <w:szCs w:val="24"/>
        </w:rPr>
        <w:t>本公司对上述声明的真实性负责。如有虚假，将依法承担相应责任。</w:t>
      </w:r>
    </w:p>
    <w:p>
      <w:pPr>
        <w:pStyle w:val="10"/>
        <w:spacing w:line="360" w:lineRule="auto"/>
        <w:ind w:firstLine="480" w:firstLineChars="200"/>
        <w:rPr>
          <w:rFonts w:hAnsi="宋体"/>
          <w:color w:val="000000" w:themeColor="text1"/>
          <w:sz w:val="24"/>
          <w:szCs w:val="24"/>
        </w:rPr>
      </w:pPr>
    </w:p>
    <w:p>
      <w:pPr>
        <w:pStyle w:val="10"/>
        <w:spacing w:line="360" w:lineRule="auto"/>
        <w:ind w:firstLine="480" w:firstLineChars="200"/>
        <w:rPr>
          <w:rFonts w:hAnsi="宋体"/>
          <w:color w:val="000000" w:themeColor="text1"/>
          <w:sz w:val="24"/>
          <w:szCs w:val="24"/>
        </w:rPr>
      </w:pPr>
    </w:p>
    <w:p>
      <w:pPr>
        <w:pStyle w:val="10"/>
        <w:spacing w:line="360" w:lineRule="auto"/>
        <w:ind w:firstLine="480" w:firstLineChars="200"/>
        <w:rPr>
          <w:rFonts w:hAnsi="宋体"/>
          <w:color w:val="000000" w:themeColor="text1"/>
          <w:sz w:val="24"/>
          <w:szCs w:val="24"/>
        </w:rPr>
      </w:pPr>
    </w:p>
    <w:p>
      <w:pPr>
        <w:pStyle w:val="10"/>
        <w:spacing w:line="600" w:lineRule="exact"/>
        <w:ind w:firstLine="120" w:firstLineChars="50"/>
        <w:rPr>
          <w:rFonts w:hAnsi="宋体"/>
          <w:color w:val="000000" w:themeColor="text1"/>
          <w:sz w:val="24"/>
          <w:szCs w:val="24"/>
          <w:u w:val="single"/>
        </w:rPr>
      </w:pPr>
      <w:r>
        <w:rPr>
          <w:rFonts w:hint="eastAsia" w:hAnsi="宋体"/>
          <w:color w:val="000000" w:themeColor="text1"/>
          <w:sz w:val="24"/>
          <w:szCs w:val="24"/>
        </w:rPr>
        <w:t>磋商供应商（盖单位公章）：</w:t>
      </w:r>
    </w:p>
    <w:p>
      <w:pPr>
        <w:pStyle w:val="10"/>
        <w:spacing w:line="500" w:lineRule="exact"/>
        <w:rPr>
          <w:rFonts w:hAnsi="宋体"/>
          <w:color w:val="000000" w:themeColor="text1"/>
          <w:sz w:val="24"/>
          <w:szCs w:val="24"/>
        </w:rPr>
      </w:pPr>
    </w:p>
    <w:p>
      <w:pPr>
        <w:pStyle w:val="10"/>
        <w:spacing w:line="500" w:lineRule="exact"/>
        <w:ind w:firstLine="120" w:firstLineChars="50"/>
        <w:rPr>
          <w:rFonts w:hAnsi="宋体"/>
          <w:color w:val="000000" w:themeColor="text1"/>
          <w:sz w:val="24"/>
          <w:szCs w:val="24"/>
          <w:u w:val="single"/>
        </w:rPr>
      </w:pPr>
      <w:r>
        <w:rPr>
          <w:rFonts w:hint="eastAsia" w:hAnsi="宋体"/>
          <w:color w:val="000000" w:themeColor="text1"/>
          <w:sz w:val="24"/>
          <w:szCs w:val="24"/>
        </w:rPr>
        <w:t>法定代表人或其委托代理人（签字或盖章）：</w:t>
      </w:r>
    </w:p>
    <w:p>
      <w:pPr>
        <w:pStyle w:val="10"/>
        <w:spacing w:line="500" w:lineRule="exact"/>
        <w:rPr>
          <w:rFonts w:hAnsi="宋体"/>
          <w:b/>
          <w:color w:val="000000" w:themeColor="text1"/>
          <w:sz w:val="24"/>
          <w:szCs w:val="24"/>
        </w:rPr>
      </w:pPr>
      <w:r>
        <w:rPr>
          <w:rFonts w:hAnsi="宋体"/>
          <w:b/>
          <w:color w:val="000000" w:themeColor="text1"/>
          <w:sz w:val="24"/>
          <w:szCs w:val="24"/>
        </w:rPr>
        <w:br w:type="page"/>
      </w:r>
    </w:p>
    <w:p>
      <w:pPr>
        <w:spacing w:line="588" w:lineRule="exact"/>
        <w:jc w:val="left"/>
        <w:outlineLvl w:val="1"/>
        <w:rPr>
          <w:rFonts w:hAnsi="宋体"/>
          <w:color w:val="000000" w:themeColor="text1"/>
          <w:sz w:val="24"/>
        </w:rPr>
      </w:pPr>
      <w:bookmarkStart w:id="104" w:name="_Toc28677"/>
      <w:bookmarkStart w:id="105" w:name="_Toc23384"/>
      <w:bookmarkStart w:id="106" w:name="_Toc20803"/>
      <w:r>
        <w:rPr>
          <w:rFonts w:hint="eastAsia" w:ascii="宋体" w:hAnsi="宋体"/>
          <w:b/>
          <w:color w:val="000000" w:themeColor="text1"/>
          <w:szCs w:val="20"/>
        </w:rPr>
        <w:t>格式</w:t>
      </w:r>
      <w:r>
        <w:rPr>
          <w:rFonts w:ascii="宋体" w:hAnsi="宋体"/>
          <w:b/>
          <w:color w:val="000000" w:themeColor="text1"/>
          <w:szCs w:val="20"/>
        </w:rPr>
        <w:t>4</w:t>
      </w:r>
      <w:r>
        <w:rPr>
          <w:rFonts w:hint="eastAsia" w:ascii="宋体" w:hAnsi="宋体"/>
          <w:b/>
          <w:color w:val="000000" w:themeColor="text1"/>
          <w:szCs w:val="20"/>
        </w:rPr>
        <w:t>：</w:t>
      </w:r>
      <w:bookmarkEnd w:id="104"/>
      <w:bookmarkEnd w:id="105"/>
      <w:bookmarkEnd w:id="106"/>
    </w:p>
    <w:p>
      <w:pPr>
        <w:spacing w:line="588" w:lineRule="exact"/>
        <w:jc w:val="center"/>
        <w:outlineLvl w:val="2"/>
        <w:rPr>
          <w:rFonts w:ascii="宋体"/>
          <w:b/>
          <w:color w:val="000000" w:themeColor="text1"/>
          <w:spacing w:val="6"/>
          <w:sz w:val="32"/>
          <w:szCs w:val="32"/>
        </w:rPr>
      </w:pPr>
      <w:r>
        <w:rPr>
          <w:rFonts w:hint="eastAsia" w:ascii="宋体" w:hAnsi="宋体"/>
          <w:b/>
          <w:color w:val="000000" w:themeColor="text1"/>
          <w:spacing w:val="6"/>
          <w:sz w:val="32"/>
          <w:szCs w:val="32"/>
        </w:rPr>
        <w:t>残疾人福利性单位声明函</w:t>
      </w:r>
    </w:p>
    <w:p>
      <w:pPr>
        <w:spacing w:line="588" w:lineRule="exact"/>
        <w:rPr>
          <w:rFonts w:ascii="宋体"/>
          <w:b/>
          <w:color w:val="000000" w:themeColor="text1"/>
          <w:spacing w:val="6"/>
          <w:sz w:val="30"/>
          <w:szCs w:val="30"/>
        </w:rPr>
      </w:pPr>
    </w:p>
    <w:p>
      <w:pPr>
        <w:pStyle w:val="10"/>
        <w:spacing w:line="360" w:lineRule="auto"/>
        <w:ind w:firstLine="480" w:firstLineChars="200"/>
        <w:rPr>
          <w:rFonts w:ascii="Times New Roman" w:hAnsi="Times New Roman"/>
          <w:color w:val="000000" w:themeColor="text1"/>
          <w:sz w:val="24"/>
          <w:szCs w:val="24"/>
        </w:rPr>
      </w:pPr>
      <w:r>
        <w:rPr>
          <w:rFonts w:hint="eastAsia" w:ascii="Times New Roman" w:hAnsi="Times New Roman"/>
          <w:color w:val="000000" w:themeColor="text1"/>
          <w:sz w:val="24"/>
          <w:szCs w:val="24"/>
        </w:rPr>
        <w:t>本单位郑重声明，根据《财政部</w:t>
      </w:r>
      <w:r>
        <w:rPr>
          <w:rFonts w:ascii="Times New Roman" w:hAnsi="Times New Roman"/>
          <w:color w:val="000000" w:themeColor="text1"/>
          <w:sz w:val="24"/>
          <w:szCs w:val="24"/>
        </w:rPr>
        <w:t xml:space="preserve"> </w:t>
      </w:r>
      <w:r>
        <w:rPr>
          <w:rFonts w:hint="eastAsia" w:ascii="Times New Roman" w:hAnsi="Times New Roman"/>
          <w:color w:val="000000" w:themeColor="text1"/>
          <w:sz w:val="24"/>
          <w:szCs w:val="24"/>
        </w:rPr>
        <w:t>民政部</w:t>
      </w:r>
      <w:r>
        <w:rPr>
          <w:rFonts w:ascii="Times New Roman" w:hAnsi="Times New Roman"/>
          <w:color w:val="000000" w:themeColor="text1"/>
          <w:sz w:val="24"/>
          <w:szCs w:val="24"/>
        </w:rPr>
        <w:t xml:space="preserve"> </w:t>
      </w:r>
      <w:r>
        <w:rPr>
          <w:rFonts w:hint="eastAsia" w:ascii="Times New Roman" w:hAnsi="Times New Roman"/>
          <w:color w:val="000000" w:themeColor="text1"/>
          <w:sz w:val="24"/>
          <w:szCs w:val="24"/>
        </w:rPr>
        <w:t>中国残疾人联合会关于促进残疾人就业政府采购政策的通知》（财库〔</w:t>
      </w:r>
      <w:r>
        <w:rPr>
          <w:rFonts w:ascii="Times New Roman" w:hAnsi="Times New Roman"/>
          <w:color w:val="000000" w:themeColor="text1"/>
          <w:sz w:val="24"/>
          <w:szCs w:val="24"/>
        </w:rPr>
        <w:t>2017</w:t>
      </w:r>
      <w:r>
        <w:rPr>
          <w:rFonts w:hint="eastAsia" w:ascii="Times New Roman" w:hAnsi="Times New Roman"/>
          <w:color w:val="000000" w:themeColor="text1"/>
          <w:sz w:val="24"/>
          <w:szCs w:val="24"/>
        </w:rPr>
        <w:t>〕</w:t>
      </w:r>
      <w:r>
        <w:rPr>
          <w:rFonts w:ascii="Times New Roman" w:hAnsi="Times New Roman"/>
          <w:color w:val="000000" w:themeColor="text1"/>
          <w:sz w:val="24"/>
          <w:szCs w:val="24"/>
        </w:rPr>
        <w:t xml:space="preserve"> 141</w:t>
      </w:r>
      <w:r>
        <w:rPr>
          <w:rFonts w:hint="eastAsia" w:ascii="Times New Roman" w:hAnsi="Times New Roman"/>
          <w:color w:val="000000" w:themeColor="text1"/>
          <w:sz w:val="24"/>
          <w:szCs w:val="24"/>
        </w:rPr>
        <w:t>号）的规定，本单位为符合条件的残疾人福利性单位，且本单位参加</w:t>
      </w:r>
      <w:r>
        <w:rPr>
          <w:rFonts w:ascii="Times New Roman" w:hAnsi="Times New Roman"/>
          <w:color w:val="000000" w:themeColor="text1"/>
          <w:sz w:val="24"/>
          <w:szCs w:val="24"/>
        </w:rPr>
        <w:t>______</w:t>
      </w:r>
      <w:r>
        <w:rPr>
          <w:rFonts w:hint="eastAsia" w:ascii="Times New Roman" w:hAnsi="Times New Roman"/>
          <w:color w:val="000000" w:themeColor="text1"/>
          <w:sz w:val="24"/>
          <w:szCs w:val="24"/>
        </w:rPr>
        <w:t>单位的</w:t>
      </w:r>
      <w:r>
        <w:rPr>
          <w:rFonts w:ascii="Times New Roman" w:hAnsi="Times New Roman"/>
          <w:color w:val="000000" w:themeColor="text1"/>
          <w:sz w:val="24"/>
          <w:szCs w:val="24"/>
        </w:rPr>
        <w:t>______</w:t>
      </w:r>
      <w:r>
        <w:rPr>
          <w:rFonts w:hint="eastAsia" w:ascii="Times New Roman" w:hAnsi="Times New Roman"/>
          <w:color w:val="000000" w:themeColor="text1"/>
          <w:sz w:val="24"/>
          <w:szCs w:val="24"/>
        </w:rPr>
        <w:t>项目采购活动提供本单位制造的货物（由本单位承担工程</w:t>
      </w:r>
      <w:r>
        <w:rPr>
          <w:rFonts w:ascii="Times New Roman" w:hAnsi="Times New Roman"/>
          <w:color w:val="000000" w:themeColor="text1"/>
          <w:sz w:val="24"/>
          <w:szCs w:val="24"/>
        </w:rPr>
        <w:t>/</w:t>
      </w:r>
      <w:r>
        <w:rPr>
          <w:rFonts w:hint="eastAsia" w:ascii="Times New Roman" w:hAnsi="Times New Roman"/>
          <w:color w:val="000000" w:themeColor="text1"/>
          <w:sz w:val="24"/>
          <w:szCs w:val="24"/>
        </w:rPr>
        <w:t>提供服务），或者提供其他残疾人福利性单位制造的货物（不包括使用非残疾人福利性单位注册商标的货物）。</w:t>
      </w:r>
    </w:p>
    <w:p>
      <w:pPr>
        <w:pStyle w:val="10"/>
        <w:spacing w:line="360" w:lineRule="auto"/>
        <w:ind w:firstLine="480" w:firstLineChars="200"/>
        <w:rPr>
          <w:rFonts w:ascii="Times New Roman" w:hAnsi="Times New Roman"/>
          <w:color w:val="000000" w:themeColor="text1"/>
          <w:sz w:val="24"/>
          <w:szCs w:val="24"/>
        </w:rPr>
      </w:pPr>
      <w:r>
        <w:rPr>
          <w:rFonts w:hint="eastAsia" w:ascii="Times New Roman" w:hAnsi="Times New Roman"/>
          <w:color w:val="000000" w:themeColor="text1"/>
          <w:sz w:val="24"/>
          <w:szCs w:val="24"/>
        </w:rPr>
        <w:t>本单位对上述声明的真实性负责。如有虚假，将依法承担相应责任。</w:t>
      </w:r>
    </w:p>
    <w:p>
      <w:pPr>
        <w:pStyle w:val="10"/>
        <w:spacing w:line="360" w:lineRule="auto"/>
        <w:ind w:firstLine="480" w:firstLineChars="200"/>
        <w:rPr>
          <w:rFonts w:ascii="Times New Roman" w:hAnsi="Times New Roman"/>
          <w:color w:val="000000" w:themeColor="text1"/>
          <w:sz w:val="24"/>
          <w:szCs w:val="24"/>
        </w:rPr>
      </w:pPr>
    </w:p>
    <w:p>
      <w:pPr>
        <w:pStyle w:val="10"/>
        <w:spacing w:line="360" w:lineRule="auto"/>
        <w:ind w:firstLine="480" w:firstLineChars="200"/>
        <w:rPr>
          <w:rFonts w:ascii="Times New Roman" w:hAnsi="Times New Roman"/>
          <w:color w:val="000000" w:themeColor="text1"/>
          <w:sz w:val="24"/>
          <w:szCs w:val="24"/>
        </w:rPr>
      </w:pPr>
    </w:p>
    <w:p>
      <w:pPr>
        <w:pStyle w:val="10"/>
        <w:spacing w:line="360" w:lineRule="auto"/>
        <w:ind w:firstLine="480" w:firstLineChars="200"/>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hint="eastAsia" w:ascii="Times New Roman" w:hAnsi="Times New Roman"/>
          <w:color w:val="000000" w:themeColor="text1"/>
          <w:sz w:val="24"/>
          <w:szCs w:val="24"/>
        </w:rPr>
        <w:t>单位名称（盖章）：</w:t>
      </w:r>
    </w:p>
    <w:p>
      <w:pPr>
        <w:pStyle w:val="10"/>
        <w:spacing w:line="360" w:lineRule="auto"/>
        <w:ind w:firstLine="480" w:firstLineChars="200"/>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hint="eastAsia" w:ascii="Times New Roman" w:hAnsi="Times New Roman"/>
          <w:color w:val="000000" w:themeColor="text1"/>
          <w:sz w:val="24"/>
          <w:szCs w:val="24"/>
        </w:rPr>
        <w:t>日</w:t>
      </w:r>
      <w:r>
        <w:rPr>
          <w:rFonts w:ascii="Times New Roman" w:hAnsi="Times New Roman"/>
          <w:color w:val="000000" w:themeColor="text1"/>
          <w:sz w:val="24"/>
          <w:szCs w:val="24"/>
        </w:rPr>
        <w:t xml:space="preserve">  </w:t>
      </w:r>
      <w:r>
        <w:rPr>
          <w:rFonts w:hint="eastAsia" w:ascii="Times New Roman" w:hAnsi="Times New Roman"/>
          <w:color w:val="000000" w:themeColor="text1"/>
          <w:sz w:val="24"/>
          <w:szCs w:val="24"/>
        </w:rPr>
        <w:t>期：</w:t>
      </w:r>
    </w:p>
    <w:p>
      <w:pPr>
        <w:pStyle w:val="10"/>
        <w:spacing w:line="500" w:lineRule="exact"/>
        <w:outlineLvl w:val="1"/>
        <w:rPr>
          <w:rFonts w:hAnsi="宋体"/>
          <w:b/>
          <w:color w:val="000000" w:themeColor="text1"/>
        </w:rPr>
      </w:pPr>
      <w:r>
        <w:rPr>
          <w:rFonts w:hAnsi="宋体"/>
          <w:b/>
          <w:color w:val="000000" w:themeColor="text1"/>
          <w:sz w:val="24"/>
          <w:szCs w:val="24"/>
        </w:rPr>
        <w:br w:type="page"/>
      </w:r>
      <w:bookmarkStart w:id="107" w:name="_Toc8025"/>
      <w:bookmarkStart w:id="108" w:name="_Toc23094"/>
      <w:bookmarkStart w:id="109" w:name="_Toc6160"/>
      <w:r>
        <w:rPr>
          <w:rFonts w:hint="eastAsia" w:hAnsi="宋体"/>
          <w:b/>
          <w:color w:val="000000" w:themeColor="text1"/>
        </w:rPr>
        <w:t>格式</w:t>
      </w:r>
      <w:r>
        <w:rPr>
          <w:rFonts w:hAnsi="宋体"/>
          <w:b/>
          <w:color w:val="000000" w:themeColor="text1"/>
        </w:rPr>
        <w:t>5</w:t>
      </w:r>
      <w:r>
        <w:rPr>
          <w:rFonts w:hint="eastAsia" w:hAnsi="宋体"/>
          <w:b/>
          <w:color w:val="000000" w:themeColor="text1"/>
        </w:rPr>
        <w:t>：</w:t>
      </w:r>
      <w:bookmarkEnd w:id="107"/>
      <w:bookmarkEnd w:id="108"/>
      <w:bookmarkEnd w:id="109"/>
    </w:p>
    <w:p>
      <w:pPr>
        <w:pStyle w:val="10"/>
        <w:spacing w:line="500" w:lineRule="exact"/>
        <w:jc w:val="center"/>
        <w:outlineLvl w:val="2"/>
        <w:rPr>
          <w:rFonts w:hAnsi="宋体"/>
          <w:b/>
          <w:bCs/>
          <w:color w:val="000000" w:themeColor="text1"/>
          <w:sz w:val="30"/>
          <w:szCs w:val="30"/>
        </w:rPr>
      </w:pPr>
      <w:r>
        <w:rPr>
          <w:rFonts w:hint="eastAsia" w:hAnsi="宋体"/>
          <w:b/>
          <w:bCs/>
          <w:color w:val="000000" w:themeColor="text1"/>
          <w:sz w:val="30"/>
          <w:szCs w:val="30"/>
        </w:rPr>
        <w:t>响应服务技术资料表（格式）</w:t>
      </w:r>
    </w:p>
    <w:p>
      <w:pPr>
        <w:pStyle w:val="10"/>
        <w:ind w:firstLine="210" w:firstLineChars="100"/>
        <w:rPr>
          <w:rFonts w:hAnsi="宋体"/>
          <w:color w:val="000000" w:themeColor="text1"/>
        </w:rPr>
      </w:pPr>
    </w:p>
    <w:p>
      <w:pPr>
        <w:pStyle w:val="10"/>
        <w:spacing w:line="400" w:lineRule="exact"/>
        <w:ind w:firstLine="480" w:firstLineChars="200"/>
        <w:rPr>
          <w:rFonts w:hAnsi="宋体"/>
          <w:color w:val="000000" w:themeColor="text1"/>
          <w:sz w:val="24"/>
          <w:szCs w:val="24"/>
        </w:rPr>
      </w:pPr>
      <w:r>
        <w:rPr>
          <w:rFonts w:hAnsi="宋体"/>
          <w:color w:val="000000" w:themeColor="text1"/>
          <w:sz w:val="24"/>
          <w:szCs w:val="24"/>
        </w:rPr>
        <w:t>请根据所投服务的实际技术参数，逐条对应本项目</w:t>
      </w:r>
      <w:r>
        <w:rPr>
          <w:rFonts w:hint="eastAsia" w:hAnsi="宋体"/>
          <w:color w:val="000000" w:themeColor="text1"/>
          <w:sz w:val="24"/>
          <w:szCs w:val="24"/>
        </w:rPr>
        <w:t>竞争性磋商</w:t>
      </w:r>
      <w:r>
        <w:rPr>
          <w:rFonts w:hAnsi="宋体"/>
          <w:color w:val="000000" w:themeColor="text1"/>
          <w:sz w:val="24"/>
          <w:szCs w:val="24"/>
        </w:rPr>
        <w:t>文件第二章“服务需求一览表”中的服务内容及要求详细填写相应的具体内容。“偏离说明”一栏应当选择“正偏离”、“负偏离”或“无偏离”进行填写</w:t>
      </w:r>
      <w:r>
        <w:rPr>
          <w:rFonts w:hint="eastAsia" w:hAnsi="宋体"/>
          <w:color w:val="000000" w:themeColor="text1"/>
          <w:sz w:val="24"/>
          <w:szCs w:val="24"/>
        </w:rPr>
        <w:t>。</w:t>
      </w:r>
    </w:p>
    <w:p>
      <w:pPr>
        <w:jc w:val="left"/>
        <w:rPr>
          <w:rFonts w:ascii="宋体" w:hAnsi="宋体"/>
          <w:color w:val="000000" w:themeColor="text1"/>
          <w:sz w:val="24"/>
        </w:rPr>
      </w:pPr>
    </w:p>
    <w:tbl>
      <w:tblPr>
        <w:tblStyle w:val="18"/>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257"/>
        <w:gridCol w:w="2125"/>
        <w:gridCol w:w="1340"/>
        <w:gridCol w:w="2765"/>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trPr>
        <w:tc>
          <w:tcPr>
            <w:tcW w:w="735" w:type="dxa"/>
            <w:vMerge w:val="restart"/>
            <w:vAlign w:val="center"/>
          </w:tcPr>
          <w:p>
            <w:pPr>
              <w:jc w:val="center"/>
              <w:rPr>
                <w:rFonts w:ascii="宋体" w:hAnsi="宋体"/>
                <w:color w:val="000000" w:themeColor="text1"/>
                <w:sz w:val="24"/>
              </w:rPr>
            </w:pPr>
            <w:r>
              <w:rPr>
                <w:rFonts w:ascii="宋体" w:hAnsi="宋体"/>
                <w:color w:val="000000" w:themeColor="text1"/>
                <w:sz w:val="24"/>
              </w:rPr>
              <w:t>项</w:t>
            </w:r>
            <w:r>
              <w:rPr>
                <w:rFonts w:hint="eastAsia" w:ascii="宋体" w:hAnsi="宋体"/>
                <w:color w:val="000000" w:themeColor="text1"/>
                <w:sz w:val="24"/>
              </w:rPr>
              <w:t>号</w:t>
            </w:r>
          </w:p>
        </w:tc>
        <w:tc>
          <w:tcPr>
            <w:tcW w:w="3382" w:type="dxa"/>
            <w:gridSpan w:val="2"/>
            <w:vAlign w:val="center"/>
          </w:tcPr>
          <w:p>
            <w:pPr>
              <w:jc w:val="center"/>
              <w:rPr>
                <w:rFonts w:ascii="宋体"/>
                <w:color w:val="000000" w:themeColor="text1"/>
                <w:sz w:val="24"/>
              </w:rPr>
            </w:pPr>
            <w:r>
              <w:rPr>
                <w:rFonts w:hint="eastAsia" w:ascii="宋体" w:hAnsi="宋体"/>
                <w:color w:val="000000" w:themeColor="text1"/>
                <w:sz w:val="24"/>
              </w:rPr>
              <w:t>竞争性磋商文件需求</w:t>
            </w:r>
          </w:p>
        </w:tc>
        <w:tc>
          <w:tcPr>
            <w:tcW w:w="4105" w:type="dxa"/>
            <w:gridSpan w:val="2"/>
            <w:vAlign w:val="center"/>
          </w:tcPr>
          <w:p>
            <w:pPr>
              <w:jc w:val="center"/>
              <w:rPr>
                <w:rFonts w:ascii="宋体"/>
                <w:color w:val="000000" w:themeColor="text1"/>
                <w:sz w:val="24"/>
              </w:rPr>
            </w:pPr>
            <w:r>
              <w:rPr>
                <w:rFonts w:hint="eastAsia" w:ascii="宋体" w:hAnsi="宋体"/>
                <w:color w:val="000000" w:themeColor="text1"/>
                <w:sz w:val="24"/>
              </w:rPr>
              <w:t>响应文件承诺</w:t>
            </w:r>
          </w:p>
        </w:tc>
        <w:tc>
          <w:tcPr>
            <w:tcW w:w="1417" w:type="dxa"/>
            <w:vMerge w:val="restart"/>
            <w:vAlign w:val="center"/>
          </w:tcPr>
          <w:p>
            <w:pPr>
              <w:jc w:val="center"/>
              <w:rPr>
                <w:rFonts w:ascii="宋体"/>
                <w:color w:val="000000" w:themeColor="text1"/>
                <w:sz w:val="24"/>
              </w:rPr>
            </w:pPr>
            <w:r>
              <w:rPr>
                <w:rFonts w:hint="eastAsia" w:ascii="宋体" w:hAnsi="宋体"/>
                <w:color w:val="000000" w:themeColor="text1"/>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trPr>
        <w:tc>
          <w:tcPr>
            <w:tcW w:w="735" w:type="dxa"/>
            <w:vMerge w:val="continue"/>
            <w:vAlign w:val="center"/>
          </w:tcPr>
          <w:p>
            <w:pPr>
              <w:pStyle w:val="10"/>
              <w:jc w:val="center"/>
              <w:rPr>
                <w:rFonts w:hAnsi="宋体"/>
                <w:color w:val="000000" w:themeColor="text1"/>
                <w:spacing w:val="-20"/>
                <w:sz w:val="24"/>
                <w:szCs w:val="24"/>
              </w:rPr>
            </w:pPr>
          </w:p>
        </w:tc>
        <w:tc>
          <w:tcPr>
            <w:tcW w:w="1257" w:type="dxa"/>
            <w:vAlign w:val="center"/>
          </w:tcPr>
          <w:p>
            <w:pPr>
              <w:jc w:val="center"/>
              <w:rPr>
                <w:rFonts w:ascii="宋体"/>
                <w:color w:val="000000" w:themeColor="text1"/>
                <w:sz w:val="24"/>
              </w:rPr>
            </w:pPr>
            <w:r>
              <w:rPr>
                <w:rFonts w:hint="eastAsia" w:ascii="宋体" w:hAnsi="宋体"/>
                <w:color w:val="000000" w:themeColor="text1"/>
                <w:sz w:val="24"/>
              </w:rPr>
              <w:t>服务名称</w:t>
            </w:r>
          </w:p>
        </w:tc>
        <w:tc>
          <w:tcPr>
            <w:tcW w:w="2125" w:type="dxa"/>
            <w:vAlign w:val="center"/>
          </w:tcPr>
          <w:p>
            <w:pPr>
              <w:jc w:val="center"/>
              <w:rPr>
                <w:rFonts w:ascii="宋体"/>
                <w:color w:val="000000" w:themeColor="text1"/>
                <w:sz w:val="24"/>
              </w:rPr>
            </w:pPr>
            <w:r>
              <w:rPr>
                <w:rFonts w:hint="eastAsia" w:ascii="宋体" w:hAnsi="宋体"/>
                <w:color w:val="000000" w:themeColor="text1"/>
                <w:sz w:val="24"/>
              </w:rPr>
              <w:t>服务内容及要求</w:t>
            </w:r>
          </w:p>
        </w:tc>
        <w:tc>
          <w:tcPr>
            <w:tcW w:w="1340" w:type="dxa"/>
            <w:vAlign w:val="center"/>
          </w:tcPr>
          <w:p>
            <w:pPr>
              <w:jc w:val="center"/>
              <w:rPr>
                <w:rFonts w:ascii="宋体"/>
                <w:color w:val="000000" w:themeColor="text1"/>
                <w:sz w:val="24"/>
              </w:rPr>
            </w:pPr>
            <w:r>
              <w:rPr>
                <w:rFonts w:hint="eastAsia" w:ascii="宋体" w:hAnsi="宋体"/>
                <w:color w:val="000000" w:themeColor="text1"/>
                <w:sz w:val="24"/>
              </w:rPr>
              <w:t>服务名称</w:t>
            </w:r>
          </w:p>
        </w:tc>
        <w:tc>
          <w:tcPr>
            <w:tcW w:w="2765" w:type="dxa"/>
            <w:vAlign w:val="center"/>
          </w:tcPr>
          <w:p>
            <w:pPr>
              <w:jc w:val="center"/>
              <w:rPr>
                <w:rFonts w:ascii="宋体"/>
                <w:color w:val="000000" w:themeColor="text1"/>
                <w:sz w:val="24"/>
              </w:rPr>
            </w:pPr>
            <w:r>
              <w:rPr>
                <w:rFonts w:hint="eastAsia" w:ascii="宋体" w:hAnsi="宋体"/>
                <w:color w:val="000000" w:themeColor="text1"/>
                <w:sz w:val="24"/>
              </w:rPr>
              <w:t>所提供服务的内容</w:t>
            </w:r>
          </w:p>
        </w:tc>
        <w:tc>
          <w:tcPr>
            <w:tcW w:w="1417" w:type="dxa"/>
            <w:vMerge w:val="continue"/>
            <w:vAlign w:val="center"/>
          </w:tcPr>
          <w:p>
            <w:pPr>
              <w:jc w:val="center"/>
              <w:rPr>
                <w:rFonts w:asci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pStyle w:val="10"/>
              <w:jc w:val="center"/>
              <w:rPr>
                <w:rFonts w:hAnsi="宋体"/>
                <w:color w:val="000000" w:themeColor="text1"/>
                <w:spacing w:val="-20"/>
                <w:sz w:val="24"/>
                <w:szCs w:val="24"/>
              </w:rPr>
            </w:pPr>
            <w:r>
              <w:rPr>
                <w:rFonts w:hAnsi="宋体"/>
                <w:color w:val="000000" w:themeColor="text1"/>
                <w:spacing w:val="-20"/>
                <w:sz w:val="24"/>
                <w:szCs w:val="24"/>
              </w:rPr>
              <w:t>1</w:t>
            </w:r>
          </w:p>
        </w:tc>
        <w:tc>
          <w:tcPr>
            <w:tcW w:w="1257" w:type="dxa"/>
            <w:vAlign w:val="center"/>
          </w:tcPr>
          <w:p>
            <w:pPr>
              <w:pStyle w:val="10"/>
              <w:spacing w:line="600" w:lineRule="exact"/>
              <w:jc w:val="center"/>
              <w:rPr>
                <w:rFonts w:hAnsi="宋体"/>
                <w:color w:val="000000" w:themeColor="text1"/>
                <w:sz w:val="24"/>
                <w:szCs w:val="24"/>
              </w:rPr>
            </w:pPr>
          </w:p>
        </w:tc>
        <w:tc>
          <w:tcPr>
            <w:tcW w:w="2125" w:type="dxa"/>
            <w:vAlign w:val="center"/>
          </w:tcPr>
          <w:p>
            <w:pPr>
              <w:pStyle w:val="10"/>
              <w:spacing w:line="600" w:lineRule="exact"/>
              <w:jc w:val="center"/>
              <w:rPr>
                <w:rFonts w:hAnsi="宋体"/>
                <w:color w:val="000000" w:themeColor="text1"/>
                <w:sz w:val="24"/>
                <w:szCs w:val="24"/>
              </w:rPr>
            </w:pPr>
          </w:p>
        </w:tc>
        <w:tc>
          <w:tcPr>
            <w:tcW w:w="1340" w:type="dxa"/>
            <w:vAlign w:val="center"/>
          </w:tcPr>
          <w:p>
            <w:pPr>
              <w:pStyle w:val="10"/>
              <w:spacing w:line="600" w:lineRule="exact"/>
              <w:jc w:val="center"/>
              <w:rPr>
                <w:rFonts w:hAnsi="宋体"/>
                <w:color w:val="000000" w:themeColor="text1"/>
                <w:sz w:val="24"/>
                <w:szCs w:val="24"/>
              </w:rPr>
            </w:pPr>
          </w:p>
        </w:tc>
        <w:tc>
          <w:tcPr>
            <w:tcW w:w="2765" w:type="dxa"/>
            <w:vAlign w:val="center"/>
          </w:tcPr>
          <w:p>
            <w:pPr>
              <w:pStyle w:val="10"/>
              <w:spacing w:line="600" w:lineRule="exact"/>
              <w:jc w:val="center"/>
              <w:rPr>
                <w:rFonts w:hAnsi="宋体"/>
                <w:color w:val="000000" w:themeColor="text1"/>
                <w:sz w:val="24"/>
                <w:szCs w:val="24"/>
              </w:rPr>
            </w:pPr>
          </w:p>
        </w:tc>
        <w:tc>
          <w:tcPr>
            <w:tcW w:w="1417" w:type="dxa"/>
            <w:vAlign w:val="center"/>
          </w:tcPr>
          <w:p>
            <w:pPr>
              <w:rPr>
                <w:rFonts w:ascii="宋体" w:hAnsi="宋体"/>
                <w:color w:val="000000" w:themeColor="text1"/>
                <w:sz w:val="24"/>
              </w:rPr>
            </w:pPr>
            <w:r>
              <w:rPr>
                <w:rFonts w:ascii="宋体" w:hAnsi="宋体"/>
                <w:color w:val="000000" w:themeColor="text1"/>
                <w:sz w:val="24"/>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pStyle w:val="10"/>
              <w:jc w:val="center"/>
              <w:rPr>
                <w:rFonts w:hAnsi="宋体"/>
                <w:color w:val="000000" w:themeColor="text1"/>
                <w:spacing w:val="-20"/>
                <w:sz w:val="24"/>
                <w:szCs w:val="24"/>
              </w:rPr>
            </w:pPr>
            <w:r>
              <w:rPr>
                <w:rFonts w:hAnsi="宋体"/>
                <w:color w:val="000000" w:themeColor="text1"/>
                <w:spacing w:val="-20"/>
                <w:sz w:val="24"/>
                <w:szCs w:val="24"/>
              </w:rPr>
              <w:t>2</w:t>
            </w:r>
          </w:p>
        </w:tc>
        <w:tc>
          <w:tcPr>
            <w:tcW w:w="1257" w:type="dxa"/>
            <w:vAlign w:val="center"/>
          </w:tcPr>
          <w:p>
            <w:pPr>
              <w:pStyle w:val="10"/>
              <w:spacing w:line="600" w:lineRule="exact"/>
              <w:jc w:val="center"/>
              <w:rPr>
                <w:rFonts w:hAnsi="宋体"/>
                <w:color w:val="000000" w:themeColor="text1"/>
                <w:sz w:val="24"/>
                <w:szCs w:val="24"/>
              </w:rPr>
            </w:pPr>
          </w:p>
        </w:tc>
        <w:tc>
          <w:tcPr>
            <w:tcW w:w="2125" w:type="dxa"/>
            <w:vAlign w:val="center"/>
          </w:tcPr>
          <w:p>
            <w:pPr>
              <w:pStyle w:val="10"/>
              <w:spacing w:line="600" w:lineRule="exact"/>
              <w:jc w:val="center"/>
              <w:rPr>
                <w:rFonts w:hAnsi="宋体"/>
                <w:color w:val="000000" w:themeColor="text1"/>
                <w:sz w:val="24"/>
                <w:szCs w:val="24"/>
              </w:rPr>
            </w:pPr>
          </w:p>
        </w:tc>
        <w:tc>
          <w:tcPr>
            <w:tcW w:w="1340" w:type="dxa"/>
            <w:vAlign w:val="center"/>
          </w:tcPr>
          <w:p>
            <w:pPr>
              <w:pStyle w:val="10"/>
              <w:spacing w:line="600" w:lineRule="exact"/>
              <w:jc w:val="center"/>
              <w:rPr>
                <w:rFonts w:hAnsi="宋体"/>
                <w:color w:val="000000" w:themeColor="text1"/>
                <w:sz w:val="24"/>
                <w:szCs w:val="24"/>
              </w:rPr>
            </w:pPr>
          </w:p>
        </w:tc>
        <w:tc>
          <w:tcPr>
            <w:tcW w:w="2765" w:type="dxa"/>
            <w:vAlign w:val="center"/>
          </w:tcPr>
          <w:p>
            <w:pPr>
              <w:pStyle w:val="10"/>
              <w:spacing w:line="600" w:lineRule="exact"/>
              <w:jc w:val="center"/>
              <w:rPr>
                <w:rFonts w:hAnsi="宋体"/>
                <w:color w:val="000000" w:themeColor="text1"/>
                <w:sz w:val="24"/>
                <w:szCs w:val="24"/>
              </w:rPr>
            </w:pPr>
          </w:p>
        </w:tc>
        <w:tc>
          <w:tcPr>
            <w:tcW w:w="1417" w:type="dxa"/>
            <w:vAlign w:val="center"/>
          </w:tcPr>
          <w:p>
            <w:pPr>
              <w:rPr>
                <w:rFonts w:ascii="宋体" w:hAnsi="宋体"/>
                <w:color w:val="000000" w:themeColor="text1"/>
                <w:sz w:val="24"/>
              </w:rPr>
            </w:pPr>
            <w:r>
              <w:rPr>
                <w:rFonts w:ascii="宋体" w:hAnsi="宋体"/>
                <w:color w:val="000000" w:themeColor="text1"/>
                <w:sz w:val="24"/>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pStyle w:val="10"/>
              <w:jc w:val="center"/>
              <w:rPr>
                <w:rFonts w:hAnsi="宋体"/>
                <w:color w:val="000000" w:themeColor="text1"/>
                <w:spacing w:val="-20"/>
                <w:sz w:val="24"/>
                <w:szCs w:val="24"/>
              </w:rPr>
            </w:pPr>
            <w:r>
              <w:rPr>
                <w:rFonts w:hAnsi="宋体"/>
                <w:color w:val="000000" w:themeColor="text1"/>
                <w:spacing w:val="-20"/>
                <w:sz w:val="24"/>
                <w:szCs w:val="24"/>
              </w:rPr>
              <w:t>...</w:t>
            </w:r>
          </w:p>
        </w:tc>
        <w:tc>
          <w:tcPr>
            <w:tcW w:w="1257" w:type="dxa"/>
            <w:vAlign w:val="center"/>
          </w:tcPr>
          <w:p>
            <w:pPr>
              <w:pStyle w:val="10"/>
              <w:spacing w:line="600" w:lineRule="exact"/>
              <w:jc w:val="center"/>
              <w:rPr>
                <w:rFonts w:hAnsi="宋体"/>
                <w:color w:val="000000" w:themeColor="text1"/>
                <w:sz w:val="24"/>
                <w:szCs w:val="24"/>
              </w:rPr>
            </w:pPr>
          </w:p>
        </w:tc>
        <w:tc>
          <w:tcPr>
            <w:tcW w:w="2125" w:type="dxa"/>
            <w:vAlign w:val="center"/>
          </w:tcPr>
          <w:p>
            <w:pPr>
              <w:pStyle w:val="10"/>
              <w:spacing w:line="600" w:lineRule="exact"/>
              <w:jc w:val="center"/>
              <w:rPr>
                <w:rFonts w:hAnsi="宋体"/>
                <w:color w:val="000000" w:themeColor="text1"/>
                <w:sz w:val="24"/>
                <w:szCs w:val="24"/>
              </w:rPr>
            </w:pPr>
          </w:p>
        </w:tc>
        <w:tc>
          <w:tcPr>
            <w:tcW w:w="1340" w:type="dxa"/>
            <w:vAlign w:val="center"/>
          </w:tcPr>
          <w:p>
            <w:pPr>
              <w:pStyle w:val="10"/>
              <w:spacing w:line="600" w:lineRule="exact"/>
              <w:jc w:val="center"/>
              <w:rPr>
                <w:rFonts w:hAnsi="宋体"/>
                <w:color w:val="000000" w:themeColor="text1"/>
                <w:sz w:val="24"/>
                <w:szCs w:val="24"/>
              </w:rPr>
            </w:pPr>
          </w:p>
        </w:tc>
        <w:tc>
          <w:tcPr>
            <w:tcW w:w="2765" w:type="dxa"/>
            <w:vAlign w:val="center"/>
          </w:tcPr>
          <w:p>
            <w:pPr>
              <w:pStyle w:val="10"/>
              <w:spacing w:line="600" w:lineRule="exact"/>
              <w:jc w:val="center"/>
              <w:rPr>
                <w:rFonts w:hAnsi="宋体"/>
                <w:color w:val="000000" w:themeColor="text1"/>
                <w:sz w:val="24"/>
                <w:szCs w:val="24"/>
              </w:rPr>
            </w:pPr>
          </w:p>
        </w:tc>
        <w:tc>
          <w:tcPr>
            <w:tcW w:w="1417" w:type="dxa"/>
            <w:vAlign w:val="center"/>
          </w:tcPr>
          <w:p>
            <w:pPr>
              <w:pStyle w:val="10"/>
              <w:spacing w:line="600" w:lineRule="exact"/>
              <w:jc w:val="center"/>
              <w:rPr>
                <w:rFonts w:hAnsi="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9639" w:type="dxa"/>
            <w:gridSpan w:val="6"/>
            <w:vAlign w:val="center"/>
          </w:tcPr>
          <w:p>
            <w:pPr>
              <w:pStyle w:val="10"/>
              <w:spacing w:line="600" w:lineRule="exact"/>
              <w:rPr>
                <w:rFonts w:hAnsi="宋体"/>
                <w:color w:val="000000" w:themeColor="text1"/>
                <w:sz w:val="24"/>
                <w:szCs w:val="24"/>
                <w:u w:val="single"/>
              </w:rPr>
            </w:pPr>
            <w:r>
              <w:rPr>
                <w:rFonts w:hint="eastAsia" w:hAnsi="宋体"/>
                <w:color w:val="000000" w:themeColor="text1"/>
                <w:sz w:val="24"/>
                <w:szCs w:val="24"/>
              </w:rPr>
              <w:t>磋商供应商（盖单位公章）：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9639" w:type="dxa"/>
            <w:gridSpan w:val="6"/>
            <w:vAlign w:val="center"/>
          </w:tcPr>
          <w:p>
            <w:pPr>
              <w:pStyle w:val="10"/>
              <w:spacing w:line="600" w:lineRule="exact"/>
              <w:jc w:val="left"/>
              <w:rPr>
                <w:rFonts w:hAnsi="宋体"/>
                <w:color w:val="000000" w:themeColor="text1"/>
                <w:sz w:val="24"/>
                <w:szCs w:val="24"/>
                <w:u w:val="single"/>
              </w:rPr>
            </w:pPr>
            <w:r>
              <w:rPr>
                <w:rFonts w:hint="eastAsia" w:hAnsi="宋体"/>
                <w:color w:val="000000" w:themeColor="text1"/>
                <w:sz w:val="24"/>
                <w:szCs w:val="24"/>
              </w:rPr>
              <w:t>法定代表人或其委托代理人（签字或盖章）：</w:t>
            </w:r>
          </w:p>
        </w:tc>
      </w:tr>
    </w:tbl>
    <w:p>
      <w:pPr>
        <w:pStyle w:val="10"/>
        <w:rPr>
          <w:rFonts w:hAnsi="宋体"/>
          <w:color w:val="000000" w:themeColor="text1"/>
          <w:sz w:val="24"/>
          <w:szCs w:val="24"/>
        </w:rPr>
      </w:pPr>
    </w:p>
    <w:p>
      <w:pPr>
        <w:pStyle w:val="10"/>
        <w:rPr>
          <w:rFonts w:hAnsi="宋体"/>
          <w:color w:val="000000" w:themeColor="text1"/>
          <w:sz w:val="24"/>
          <w:szCs w:val="24"/>
        </w:rPr>
      </w:pPr>
      <w:r>
        <w:rPr>
          <w:rFonts w:hAnsi="宋体"/>
          <w:color w:val="000000" w:themeColor="text1"/>
          <w:sz w:val="24"/>
          <w:szCs w:val="24"/>
        </w:rPr>
        <w:t>......</w:t>
      </w:r>
    </w:p>
    <w:p>
      <w:pPr>
        <w:pStyle w:val="10"/>
        <w:rPr>
          <w:rFonts w:hAnsi="宋体"/>
          <w:color w:val="000000" w:themeColor="text1"/>
          <w:sz w:val="24"/>
          <w:szCs w:val="24"/>
        </w:rPr>
      </w:pPr>
    </w:p>
    <w:p>
      <w:pPr>
        <w:pStyle w:val="10"/>
        <w:spacing w:line="360" w:lineRule="auto"/>
        <w:rPr>
          <w:rFonts w:hAnsi="宋体"/>
          <w:color w:val="000000" w:themeColor="text1"/>
          <w:sz w:val="24"/>
          <w:szCs w:val="24"/>
        </w:rPr>
      </w:pPr>
      <w:r>
        <w:rPr>
          <w:rFonts w:hAnsi="宋体"/>
          <w:color w:val="000000" w:themeColor="text1"/>
          <w:sz w:val="24"/>
          <w:szCs w:val="24"/>
        </w:rPr>
        <w:t>注：⑴表格内容均需按要求填写并盖章，不得留空，否则按投标无效处理。</w:t>
      </w:r>
    </w:p>
    <w:p>
      <w:pPr>
        <w:pStyle w:val="10"/>
        <w:spacing w:line="360" w:lineRule="auto"/>
        <w:ind w:firstLine="480" w:firstLineChars="200"/>
        <w:rPr>
          <w:rFonts w:hAnsi="宋体"/>
          <w:color w:val="000000" w:themeColor="text1"/>
          <w:sz w:val="24"/>
          <w:szCs w:val="24"/>
        </w:rPr>
      </w:pPr>
      <w:r>
        <w:rPr>
          <w:rFonts w:hAnsi="宋体"/>
          <w:color w:val="000000" w:themeColor="text1"/>
          <w:sz w:val="24"/>
          <w:szCs w:val="24"/>
        </w:rPr>
        <w:t>⑵当</w:t>
      </w:r>
      <w:r>
        <w:rPr>
          <w:rFonts w:hint="eastAsia" w:hAnsi="宋体"/>
          <w:color w:val="000000" w:themeColor="text1"/>
          <w:sz w:val="24"/>
          <w:szCs w:val="24"/>
        </w:rPr>
        <w:t>响应文件</w:t>
      </w:r>
      <w:r>
        <w:rPr>
          <w:rFonts w:hAnsi="宋体"/>
          <w:color w:val="000000" w:themeColor="text1"/>
          <w:sz w:val="24"/>
          <w:szCs w:val="24"/>
        </w:rPr>
        <w:t>的服务内容低于招标文件要求时，</w:t>
      </w:r>
      <w:r>
        <w:rPr>
          <w:rFonts w:hint="eastAsia" w:hAnsi="宋体"/>
          <w:color w:val="000000" w:themeColor="text1"/>
          <w:sz w:val="24"/>
          <w:szCs w:val="24"/>
        </w:rPr>
        <w:t>磋商供应商</w:t>
      </w:r>
      <w:r>
        <w:rPr>
          <w:rFonts w:hAnsi="宋体"/>
          <w:color w:val="000000" w:themeColor="text1"/>
          <w:sz w:val="24"/>
          <w:szCs w:val="24"/>
        </w:rPr>
        <w:t>应当如实写明“负偏离”，否则视为虚假应标。</w:t>
      </w:r>
    </w:p>
    <w:p>
      <w:pPr>
        <w:pStyle w:val="10"/>
        <w:rPr>
          <w:rFonts w:hAnsi="宋体"/>
          <w:color w:val="000000" w:themeColor="text1"/>
          <w:sz w:val="24"/>
          <w:szCs w:val="24"/>
        </w:rPr>
      </w:pPr>
    </w:p>
    <w:p>
      <w:pPr>
        <w:pStyle w:val="10"/>
        <w:rPr>
          <w:rFonts w:hAnsi="宋体"/>
          <w:color w:val="000000" w:themeColor="text1"/>
          <w:sz w:val="24"/>
          <w:szCs w:val="24"/>
        </w:rPr>
      </w:pPr>
    </w:p>
    <w:p>
      <w:pPr>
        <w:pStyle w:val="10"/>
        <w:rPr>
          <w:rFonts w:hAnsi="宋体"/>
          <w:color w:val="000000" w:themeColor="text1"/>
          <w:sz w:val="24"/>
          <w:szCs w:val="24"/>
        </w:rPr>
      </w:pPr>
    </w:p>
    <w:p>
      <w:pPr>
        <w:pStyle w:val="10"/>
        <w:rPr>
          <w:rFonts w:hAnsi="宋体"/>
          <w:color w:val="000000" w:themeColor="text1"/>
          <w:sz w:val="24"/>
          <w:szCs w:val="24"/>
        </w:rPr>
      </w:pPr>
    </w:p>
    <w:p>
      <w:pPr>
        <w:pStyle w:val="10"/>
        <w:spacing w:line="600" w:lineRule="exact"/>
        <w:rPr>
          <w:rFonts w:hAnsi="宋体"/>
          <w:color w:val="000000" w:themeColor="text1"/>
          <w:sz w:val="24"/>
          <w:szCs w:val="24"/>
          <w:u w:val="single"/>
        </w:rPr>
      </w:pPr>
    </w:p>
    <w:p>
      <w:pPr>
        <w:pStyle w:val="10"/>
        <w:spacing w:line="600" w:lineRule="exact"/>
        <w:jc w:val="left"/>
        <w:outlineLvl w:val="1"/>
        <w:rPr>
          <w:rFonts w:hAnsi="宋体"/>
          <w:color w:val="000000" w:themeColor="text1"/>
          <w:u w:val="single"/>
        </w:rPr>
      </w:pPr>
      <w:r>
        <w:rPr>
          <w:rFonts w:hAnsi="宋体"/>
          <w:color w:val="000000" w:themeColor="text1"/>
          <w:sz w:val="24"/>
          <w:szCs w:val="24"/>
          <w:u w:val="single"/>
        </w:rPr>
        <w:br w:type="page"/>
      </w:r>
      <w:bookmarkStart w:id="110" w:name="_Toc31451"/>
      <w:bookmarkStart w:id="111" w:name="_Toc6374"/>
      <w:r>
        <w:rPr>
          <w:rFonts w:hint="eastAsia" w:hAnsi="宋体"/>
          <w:b/>
          <w:color w:val="000000" w:themeColor="text1"/>
        </w:rPr>
        <w:t>格式</w:t>
      </w:r>
      <w:r>
        <w:rPr>
          <w:rFonts w:hAnsi="宋体"/>
          <w:b/>
          <w:color w:val="000000" w:themeColor="text1"/>
        </w:rPr>
        <w:t>6</w:t>
      </w:r>
      <w:r>
        <w:rPr>
          <w:rFonts w:hint="eastAsia" w:hAnsi="宋体"/>
          <w:b/>
          <w:color w:val="000000" w:themeColor="text1"/>
        </w:rPr>
        <w:t>：</w:t>
      </w:r>
      <w:bookmarkEnd w:id="110"/>
      <w:bookmarkEnd w:id="111"/>
    </w:p>
    <w:p>
      <w:pPr>
        <w:pStyle w:val="10"/>
        <w:spacing w:line="500" w:lineRule="exact"/>
        <w:jc w:val="center"/>
        <w:outlineLvl w:val="2"/>
        <w:rPr>
          <w:rFonts w:hAnsi="宋体"/>
          <w:b/>
          <w:bCs/>
          <w:color w:val="000000" w:themeColor="text1"/>
          <w:sz w:val="32"/>
          <w:szCs w:val="32"/>
        </w:rPr>
      </w:pPr>
      <w:r>
        <w:rPr>
          <w:rFonts w:hint="eastAsia" w:hAnsi="宋体"/>
          <w:b/>
          <w:bCs/>
          <w:color w:val="000000" w:themeColor="text1"/>
          <w:sz w:val="32"/>
          <w:szCs w:val="32"/>
        </w:rPr>
        <w:t>售后服务承诺书（格式）</w:t>
      </w:r>
    </w:p>
    <w:p>
      <w:pPr>
        <w:pStyle w:val="10"/>
        <w:spacing w:line="440" w:lineRule="exact"/>
        <w:ind w:firstLine="475" w:firstLineChars="198"/>
        <w:rPr>
          <w:rFonts w:hAnsi="宋体"/>
          <w:color w:val="000000" w:themeColor="text1"/>
          <w:sz w:val="24"/>
          <w:szCs w:val="24"/>
        </w:rPr>
      </w:pPr>
    </w:p>
    <w:p>
      <w:pPr>
        <w:pStyle w:val="10"/>
        <w:spacing w:line="440" w:lineRule="exact"/>
        <w:ind w:firstLine="475" w:firstLineChars="198"/>
        <w:rPr>
          <w:rFonts w:hAnsi="宋体"/>
          <w:color w:val="000000" w:themeColor="text1"/>
          <w:sz w:val="24"/>
          <w:szCs w:val="24"/>
        </w:rPr>
      </w:pPr>
      <w:r>
        <w:rPr>
          <w:rFonts w:hint="eastAsia" w:hAnsi="宋体"/>
          <w:color w:val="000000" w:themeColor="text1"/>
          <w:sz w:val="24"/>
          <w:szCs w:val="24"/>
        </w:rPr>
        <w:t>由磋商供应商按本项目竞争性磋商文件第二章“服务需求一览表”中商务条款部分的售后服务要求自行填写。</w:t>
      </w:r>
    </w:p>
    <w:p>
      <w:pPr>
        <w:pStyle w:val="10"/>
        <w:spacing w:line="440" w:lineRule="exact"/>
        <w:ind w:firstLine="480" w:firstLineChars="200"/>
        <w:rPr>
          <w:rFonts w:hAnsi="宋体"/>
          <w:color w:val="000000" w:themeColor="text1"/>
          <w:sz w:val="24"/>
          <w:szCs w:val="24"/>
        </w:rPr>
      </w:pPr>
    </w:p>
    <w:p>
      <w:pPr>
        <w:pStyle w:val="10"/>
        <w:rPr>
          <w:rFonts w:hAnsi="宋体"/>
          <w:color w:val="000000" w:themeColor="text1"/>
          <w:sz w:val="24"/>
          <w:szCs w:val="24"/>
        </w:rPr>
      </w:pPr>
    </w:p>
    <w:p>
      <w:pPr>
        <w:pStyle w:val="10"/>
        <w:rPr>
          <w:rFonts w:hAnsi="宋体"/>
          <w:color w:val="000000" w:themeColor="text1"/>
          <w:sz w:val="24"/>
          <w:szCs w:val="24"/>
        </w:rPr>
      </w:pPr>
    </w:p>
    <w:p>
      <w:pPr>
        <w:pStyle w:val="10"/>
        <w:rPr>
          <w:rFonts w:hAnsi="宋体"/>
          <w:color w:val="000000" w:themeColor="text1"/>
          <w:sz w:val="24"/>
          <w:szCs w:val="24"/>
        </w:rPr>
      </w:pPr>
    </w:p>
    <w:p>
      <w:pPr>
        <w:pStyle w:val="10"/>
        <w:rPr>
          <w:rFonts w:hAnsi="宋体"/>
          <w:color w:val="000000" w:themeColor="text1"/>
          <w:sz w:val="24"/>
          <w:szCs w:val="24"/>
        </w:rPr>
      </w:pPr>
    </w:p>
    <w:p>
      <w:pPr>
        <w:pStyle w:val="10"/>
        <w:rPr>
          <w:rFonts w:hAnsi="宋体"/>
          <w:color w:val="000000" w:themeColor="text1"/>
          <w:sz w:val="24"/>
          <w:szCs w:val="24"/>
        </w:rPr>
      </w:pPr>
    </w:p>
    <w:p>
      <w:pPr>
        <w:pStyle w:val="10"/>
        <w:rPr>
          <w:rFonts w:hAnsi="宋体"/>
          <w:color w:val="000000" w:themeColor="text1"/>
          <w:sz w:val="24"/>
          <w:szCs w:val="24"/>
        </w:rPr>
      </w:pPr>
    </w:p>
    <w:p>
      <w:pPr>
        <w:pStyle w:val="10"/>
        <w:rPr>
          <w:rFonts w:hAnsi="宋体"/>
          <w:color w:val="000000" w:themeColor="text1"/>
          <w:sz w:val="24"/>
          <w:szCs w:val="24"/>
        </w:rPr>
      </w:pPr>
    </w:p>
    <w:p>
      <w:pPr>
        <w:pStyle w:val="10"/>
        <w:rPr>
          <w:rFonts w:hAnsi="宋体"/>
          <w:color w:val="000000" w:themeColor="text1"/>
          <w:sz w:val="24"/>
          <w:szCs w:val="24"/>
        </w:rPr>
      </w:pPr>
    </w:p>
    <w:p>
      <w:pPr>
        <w:pStyle w:val="10"/>
        <w:rPr>
          <w:rFonts w:hAnsi="宋体"/>
          <w:color w:val="000000" w:themeColor="text1"/>
          <w:sz w:val="24"/>
          <w:szCs w:val="24"/>
        </w:rPr>
      </w:pPr>
    </w:p>
    <w:p>
      <w:pPr>
        <w:pStyle w:val="10"/>
        <w:rPr>
          <w:rFonts w:hAnsi="宋体"/>
          <w:color w:val="000000" w:themeColor="text1"/>
          <w:sz w:val="24"/>
          <w:szCs w:val="24"/>
        </w:rPr>
      </w:pPr>
    </w:p>
    <w:p>
      <w:pPr>
        <w:pStyle w:val="10"/>
        <w:rPr>
          <w:rFonts w:hAnsi="宋体"/>
          <w:color w:val="000000" w:themeColor="text1"/>
          <w:sz w:val="24"/>
          <w:szCs w:val="24"/>
        </w:rPr>
      </w:pPr>
    </w:p>
    <w:p>
      <w:pPr>
        <w:pStyle w:val="10"/>
        <w:rPr>
          <w:rFonts w:hAnsi="宋体"/>
          <w:color w:val="000000" w:themeColor="text1"/>
          <w:sz w:val="24"/>
          <w:szCs w:val="24"/>
        </w:rPr>
      </w:pPr>
    </w:p>
    <w:p>
      <w:pPr>
        <w:pStyle w:val="10"/>
        <w:rPr>
          <w:rFonts w:hAnsi="宋体"/>
          <w:color w:val="000000" w:themeColor="text1"/>
          <w:sz w:val="24"/>
          <w:szCs w:val="24"/>
        </w:rPr>
      </w:pPr>
    </w:p>
    <w:p>
      <w:pPr>
        <w:pStyle w:val="10"/>
        <w:rPr>
          <w:rFonts w:hAnsi="宋体"/>
          <w:color w:val="000000" w:themeColor="text1"/>
          <w:sz w:val="24"/>
          <w:szCs w:val="24"/>
        </w:rPr>
      </w:pPr>
    </w:p>
    <w:p>
      <w:pPr>
        <w:pStyle w:val="10"/>
        <w:rPr>
          <w:rFonts w:hAnsi="宋体"/>
          <w:color w:val="000000" w:themeColor="text1"/>
          <w:sz w:val="24"/>
          <w:szCs w:val="24"/>
        </w:rPr>
      </w:pPr>
    </w:p>
    <w:p>
      <w:pPr>
        <w:pStyle w:val="10"/>
        <w:rPr>
          <w:rFonts w:hAnsi="宋体"/>
          <w:color w:val="000000" w:themeColor="text1"/>
          <w:sz w:val="24"/>
          <w:szCs w:val="24"/>
        </w:rPr>
      </w:pPr>
    </w:p>
    <w:p>
      <w:pPr>
        <w:pStyle w:val="10"/>
        <w:spacing w:line="600" w:lineRule="exact"/>
        <w:rPr>
          <w:rFonts w:hAnsi="宋体"/>
          <w:color w:val="000000" w:themeColor="text1"/>
          <w:sz w:val="24"/>
          <w:szCs w:val="24"/>
          <w:u w:val="single"/>
        </w:rPr>
      </w:pPr>
      <w:r>
        <w:rPr>
          <w:rFonts w:hint="eastAsia" w:hAnsi="宋体"/>
          <w:color w:val="000000" w:themeColor="text1"/>
          <w:sz w:val="24"/>
          <w:szCs w:val="24"/>
        </w:rPr>
        <w:t>磋商供应商（盖单位公章）：</w:t>
      </w:r>
    </w:p>
    <w:p>
      <w:pPr>
        <w:pStyle w:val="10"/>
        <w:spacing w:line="600" w:lineRule="exact"/>
        <w:rPr>
          <w:rFonts w:hAnsi="宋体"/>
          <w:color w:val="000000" w:themeColor="text1"/>
          <w:sz w:val="24"/>
          <w:szCs w:val="24"/>
          <w:u w:val="single"/>
        </w:rPr>
      </w:pPr>
    </w:p>
    <w:p>
      <w:pPr>
        <w:pStyle w:val="10"/>
        <w:spacing w:line="600" w:lineRule="exact"/>
        <w:rPr>
          <w:rFonts w:hAnsi="宋体"/>
          <w:color w:val="000000" w:themeColor="text1"/>
          <w:sz w:val="24"/>
          <w:szCs w:val="24"/>
          <w:u w:val="single"/>
        </w:rPr>
      </w:pPr>
      <w:r>
        <w:rPr>
          <w:rFonts w:hint="eastAsia" w:hAnsi="宋体"/>
          <w:color w:val="000000" w:themeColor="text1"/>
          <w:sz w:val="24"/>
          <w:szCs w:val="24"/>
        </w:rPr>
        <w:t>法定代表人或其委托代理人（签字或盖章）：</w:t>
      </w:r>
    </w:p>
    <w:p>
      <w:pPr>
        <w:pStyle w:val="10"/>
        <w:spacing w:line="600" w:lineRule="exact"/>
        <w:outlineLvl w:val="1"/>
        <w:rPr>
          <w:rFonts w:hAnsi="宋体"/>
          <w:color w:val="000000" w:themeColor="text1"/>
          <w:u w:val="single"/>
        </w:rPr>
      </w:pPr>
      <w:r>
        <w:rPr>
          <w:rFonts w:hAnsi="宋体"/>
          <w:color w:val="000000" w:themeColor="text1"/>
          <w:sz w:val="24"/>
          <w:szCs w:val="24"/>
          <w:u w:val="single"/>
        </w:rPr>
        <w:br w:type="page"/>
      </w:r>
      <w:bookmarkStart w:id="112" w:name="_Toc28775"/>
      <w:bookmarkStart w:id="113" w:name="_Toc9202"/>
      <w:bookmarkStart w:id="114" w:name="_Toc23732"/>
      <w:r>
        <w:rPr>
          <w:rFonts w:hint="eastAsia" w:hAnsi="宋体"/>
          <w:b/>
          <w:color w:val="000000" w:themeColor="text1"/>
        </w:rPr>
        <w:t>格式</w:t>
      </w:r>
      <w:r>
        <w:rPr>
          <w:rFonts w:hAnsi="宋体"/>
          <w:b/>
          <w:color w:val="000000" w:themeColor="text1"/>
        </w:rPr>
        <w:t>7</w:t>
      </w:r>
      <w:r>
        <w:rPr>
          <w:rFonts w:hint="eastAsia" w:hAnsi="宋体"/>
          <w:b/>
          <w:color w:val="000000" w:themeColor="text1"/>
        </w:rPr>
        <w:t>：</w:t>
      </w:r>
      <w:bookmarkEnd w:id="112"/>
      <w:bookmarkEnd w:id="113"/>
      <w:bookmarkEnd w:id="114"/>
    </w:p>
    <w:p>
      <w:pPr>
        <w:pStyle w:val="10"/>
        <w:spacing w:line="500" w:lineRule="exact"/>
        <w:jc w:val="center"/>
        <w:outlineLvl w:val="2"/>
        <w:rPr>
          <w:rFonts w:hAnsi="宋体"/>
          <w:b/>
          <w:bCs/>
          <w:color w:val="000000" w:themeColor="text1"/>
          <w:sz w:val="30"/>
          <w:szCs w:val="30"/>
        </w:rPr>
      </w:pPr>
      <w:r>
        <w:rPr>
          <w:rFonts w:hint="eastAsia" w:hAnsi="宋体"/>
          <w:b/>
          <w:bCs/>
          <w:color w:val="000000" w:themeColor="text1"/>
          <w:sz w:val="30"/>
          <w:szCs w:val="30"/>
        </w:rPr>
        <w:t>商务条款偏离表（格式）</w:t>
      </w:r>
    </w:p>
    <w:p>
      <w:pPr>
        <w:pStyle w:val="10"/>
        <w:spacing w:line="440" w:lineRule="exact"/>
        <w:ind w:firstLine="420" w:firstLineChars="200"/>
        <w:rPr>
          <w:rFonts w:hAnsi="宋体"/>
          <w:color w:val="000000" w:themeColor="text1"/>
        </w:rPr>
      </w:pPr>
    </w:p>
    <w:p>
      <w:pPr>
        <w:pStyle w:val="10"/>
        <w:spacing w:line="440" w:lineRule="exact"/>
        <w:ind w:firstLine="480" w:firstLineChars="200"/>
        <w:rPr>
          <w:rFonts w:hAnsi="宋体"/>
          <w:b/>
          <w:color w:val="000000" w:themeColor="text1"/>
          <w:sz w:val="24"/>
          <w:szCs w:val="24"/>
        </w:rPr>
      </w:pPr>
      <w:r>
        <w:rPr>
          <w:rFonts w:hint="eastAsia" w:hAnsi="宋体"/>
          <w:color w:val="000000" w:themeColor="text1"/>
          <w:sz w:val="24"/>
          <w:szCs w:val="24"/>
        </w:rPr>
        <w:t>请逐条对应本项目竞争性磋商文件第二章“服务需求一览表”中商务条款的要求，</w:t>
      </w:r>
      <w:r>
        <w:rPr>
          <w:rFonts w:hAnsi="宋体"/>
          <w:color w:val="000000" w:themeColor="text1"/>
          <w:sz w:val="24"/>
          <w:szCs w:val="24"/>
        </w:rPr>
        <w:t>详细填写相应的具体内容。</w:t>
      </w:r>
      <w:r>
        <w:rPr>
          <w:rFonts w:hint="eastAsia" w:hAnsi="宋体"/>
          <w:color w:val="000000" w:themeColor="text1"/>
          <w:sz w:val="24"/>
          <w:szCs w:val="24"/>
        </w:rPr>
        <w:t>“偏离说明”一栏应当选择“正偏离”、“负偏离”或“无偏离”进行填写</w:t>
      </w:r>
      <w:r>
        <w:rPr>
          <w:rFonts w:hint="eastAsia" w:hAnsi="宋体"/>
          <w:b/>
          <w:color w:val="000000" w:themeColor="text1"/>
          <w:sz w:val="24"/>
          <w:szCs w:val="24"/>
        </w:rPr>
        <w:t>。</w:t>
      </w:r>
    </w:p>
    <w:p>
      <w:pPr>
        <w:pStyle w:val="10"/>
        <w:rPr>
          <w:rFonts w:hAnsi="宋体"/>
          <w:color w:val="000000" w:themeColor="text1"/>
          <w:sz w:val="24"/>
          <w:szCs w:val="24"/>
          <w:u w:val="single"/>
        </w:rPr>
      </w:pPr>
    </w:p>
    <w:p>
      <w:pPr>
        <w:pStyle w:val="10"/>
        <w:jc w:val="left"/>
        <w:rPr>
          <w:rFonts w:hAnsi="宋体"/>
          <w:color w:val="000000" w:themeColor="text1"/>
          <w:sz w:val="24"/>
          <w:szCs w:val="24"/>
        </w:rPr>
      </w:pPr>
      <w:r>
        <w:rPr>
          <w:rFonts w:hAnsi="宋体"/>
          <w:color w:val="000000" w:themeColor="text1"/>
          <w:sz w:val="24"/>
          <w:szCs w:val="24"/>
        </w:rPr>
        <w:t xml:space="preserve"> </w:t>
      </w:r>
    </w:p>
    <w:tbl>
      <w:tblPr>
        <w:tblStyle w:val="18"/>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3945"/>
        <w:gridCol w:w="3258"/>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735" w:type="dxa"/>
            <w:vAlign w:val="center"/>
          </w:tcPr>
          <w:p>
            <w:pPr>
              <w:pStyle w:val="10"/>
              <w:jc w:val="center"/>
              <w:rPr>
                <w:rFonts w:hAnsi="宋体"/>
                <w:color w:val="000000" w:themeColor="text1"/>
                <w:sz w:val="24"/>
                <w:szCs w:val="24"/>
              </w:rPr>
            </w:pPr>
            <w:r>
              <w:rPr>
                <w:rFonts w:hint="eastAsia" w:hAnsi="宋体"/>
                <w:color w:val="000000" w:themeColor="text1"/>
                <w:sz w:val="24"/>
                <w:szCs w:val="24"/>
              </w:rPr>
              <w:t>项号</w:t>
            </w:r>
          </w:p>
        </w:tc>
        <w:tc>
          <w:tcPr>
            <w:tcW w:w="3945" w:type="dxa"/>
            <w:vAlign w:val="center"/>
          </w:tcPr>
          <w:p>
            <w:pPr>
              <w:pStyle w:val="10"/>
              <w:jc w:val="center"/>
              <w:rPr>
                <w:rFonts w:hAnsi="宋体"/>
                <w:color w:val="000000" w:themeColor="text1"/>
                <w:sz w:val="24"/>
                <w:szCs w:val="24"/>
              </w:rPr>
            </w:pPr>
            <w:r>
              <w:rPr>
                <w:rFonts w:hint="eastAsia" w:hAnsi="宋体"/>
                <w:color w:val="000000" w:themeColor="text1"/>
                <w:sz w:val="24"/>
                <w:szCs w:val="24"/>
              </w:rPr>
              <w:t>竞争性磋商文件的商务需求</w:t>
            </w:r>
          </w:p>
        </w:tc>
        <w:tc>
          <w:tcPr>
            <w:tcW w:w="3258" w:type="dxa"/>
            <w:vAlign w:val="center"/>
          </w:tcPr>
          <w:p>
            <w:pPr>
              <w:pStyle w:val="10"/>
              <w:jc w:val="center"/>
              <w:rPr>
                <w:rFonts w:hAnsi="宋体"/>
                <w:color w:val="000000" w:themeColor="text1"/>
                <w:sz w:val="24"/>
                <w:szCs w:val="24"/>
              </w:rPr>
            </w:pPr>
            <w:r>
              <w:rPr>
                <w:rFonts w:hint="eastAsia" w:hAnsi="宋体"/>
                <w:color w:val="000000" w:themeColor="text1"/>
                <w:sz w:val="24"/>
                <w:szCs w:val="24"/>
              </w:rPr>
              <w:t>响应文件承诺的商务条款</w:t>
            </w:r>
          </w:p>
        </w:tc>
        <w:tc>
          <w:tcPr>
            <w:tcW w:w="1560" w:type="dxa"/>
            <w:vAlign w:val="center"/>
          </w:tcPr>
          <w:p>
            <w:pPr>
              <w:pStyle w:val="10"/>
              <w:jc w:val="center"/>
              <w:rPr>
                <w:rFonts w:hAnsi="宋体"/>
                <w:color w:val="000000" w:themeColor="text1"/>
                <w:sz w:val="24"/>
                <w:szCs w:val="24"/>
              </w:rPr>
            </w:pPr>
            <w:r>
              <w:rPr>
                <w:rFonts w:hint="eastAsia" w:hAnsi="宋体"/>
                <w:color w:val="000000" w:themeColor="text1"/>
                <w:sz w:val="24"/>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pStyle w:val="10"/>
              <w:jc w:val="center"/>
              <w:rPr>
                <w:rFonts w:hAnsi="宋体"/>
                <w:color w:val="000000" w:themeColor="text1"/>
                <w:spacing w:val="-20"/>
                <w:sz w:val="24"/>
                <w:szCs w:val="24"/>
              </w:rPr>
            </w:pPr>
            <w:r>
              <w:rPr>
                <w:rFonts w:hint="eastAsia" w:hAnsi="宋体"/>
                <w:color w:val="000000" w:themeColor="text1"/>
                <w:spacing w:val="-20"/>
                <w:sz w:val="24"/>
                <w:szCs w:val="24"/>
              </w:rPr>
              <w:t>一</w:t>
            </w:r>
          </w:p>
        </w:tc>
        <w:tc>
          <w:tcPr>
            <w:tcW w:w="3945" w:type="dxa"/>
            <w:vAlign w:val="center"/>
          </w:tcPr>
          <w:p>
            <w:pPr>
              <w:spacing w:line="340" w:lineRule="exact"/>
              <w:rPr>
                <w:rFonts w:eastAsia="FangSong_GB2312"/>
                <w:color w:val="000000" w:themeColor="text1"/>
                <w:szCs w:val="21"/>
              </w:rPr>
            </w:pPr>
            <w:r>
              <w:rPr>
                <w:rFonts w:eastAsia="FangSong_GB2312"/>
                <w:color w:val="000000" w:themeColor="text1"/>
                <w:szCs w:val="21"/>
              </w:rPr>
              <w:t>1  ……</w:t>
            </w:r>
          </w:p>
          <w:p>
            <w:pPr>
              <w:spacing w:line="340" w:lineRule="exact"/>
              <w:rPr>
                <w:rFonts w:eastAsia="FangSong_GB2312"/>
                <w:color w:val="000000" w:themeColor="text1"/>
                <w:szCs w:val="21"/>
              </w:rPr>
            </w:pPr>
            <w:r>
              <w:rPr>
                <w:rFonts w:eastAsia="FangSong_GB2312"/>
                <w:color w:val="000000" w:themeColor="text1"/>
                <w:szCs w:val="21"/>
              </w:rPr>
              <w:t>2  ……</w:t>
            </w:r>
          </w:p>
          <w:p>
            <w:pPr>
              <w:spacing w:line="340" w:lineRule="exact"/>
              <w:rPr>
                <w:rFonts w:eastAsia="FangSong_GB2312"/>
                <w:color w:val="000000" w:themeColor="text1"/>
                <w:szCs w:val="21"/>
              </w:rPr>
            </w:pPr>
            <w:r>
              <w:rPr>
                <w:rFonts w:eastAsia="FangSong_GB2312"/>
                <w:color w:val="000000" w:themeColor="text1"/>
                <w:szCs w:val="21"/>
              </w:rPr>
              <w:t>3  ……</w:t>
            </w:r>
          </w:p>
        </w:tc>
        <w:tc>
          <w:tcPr>
            <w:tcW w:w="3258" w:type="dxa"/>
            <w:vAlign w:val="center"/>
          </w:tcPr>
          <w:p>
            <w:pPr>
              <w:spacing w:line="340" w:lineRule="exact"/>
              <w:rPr>
                <w:rFonts w:eastAsia="FangSong_GB2312"/>
                <w:color w:val="000000" w:themeColor="text1"/>
                <w:szCs w:val="21"/>
              </w:rPr>
            </w:pPr>
            <w:r>
              <w:rPr>
                <w:rFonts w:eastAsia="FangSong_GB2312"/>
                <w:color w:val="000000" w:themeColor="text1"/>
                <w:szCs w:val="21"/>
              </w:rPr>
              <w:t>1  ……</w:t>
            </w:r>
          </w:p>
          <w:p>
            <w:pPr>
              <w:spacing w:line="340" w:lineRule="exact"/>
              <w:rPr>
                <w:rFonts w:eastAsia="FangSong_GB2312"/>
                <w:color w:val="000000" w:themeColor="text1"/>
                <w:szCs w:val="21"/>
              </w:rPr>
            </w:pPr>
            <w:r>
              <w:rPr>
                <w:rFonts w:eastAsia="FangSong_GB2312"/>
                <w:color w:val="000000" w:themeColor="text1"/>
                <w:szCs w:val="21"/>
              </w:rPr>
              <w:t>2  ……</w:t>
            </w:r>
          </w:p>
          <w:p>
            <w:pPr>
              <w:spacing w:line="340" w:lineRule="exact"/>
              <w:rPr>
                <w:rFonts w:eastAsia="FangSong_GB2312"/>
                <w:color w:val="000000" w:themeColor="text1"/>
                <w:szCs w:val="21"/>
              </w:rPr>
            </w:pPr>
            <w:r>
              <w:rPr>
                <w:rFonts w:eastAsia="FangSong_GB2312"/>
                <w:color w:val="000000" w:themeColor="text1"/>
                <w:szCs w:val="21"/>
              </w:rPr>
              <w:t>3  ……</w:t>
            </w:r>
          </w:p>
        </w:tc>
        <w:tc>
          <w:tcPr>
            <w:tcW w:w="1560" w:type="dxa"/>
            <w:vAlign w:val="center"/>
          </w:tcPr>
          <w:p>
            <w:pPr>
              <w:rPr>
                <w:rFonts w:ascii="宋体" w:hAnsi="宋体"/>
                <w:color w:val="000000" w:themeColor="text1"/>
                <w:sz w:val="24"/>
              </w:rPr>
            </w:pPr>
            <w:r>
              <w:rPr>
                <w:rFonts w:ascii="宋体" w:hAnsi="宋体"/>
                <w:color w:val="000000" w:themeColor="text1"/>
                <w:sz w:val="24"/>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pStyle w:val="10"/>
              <w:jc w:val="center"/>
              <w:rPr>
                <w:rFonts w:hAnsi="宋体"/>
                <w:color w:val="000000" w:themeColor="text1"/>
                <w:spacing w:val="-20"/>
                <w:sz w:val="24"/>
                <w:szCs w:val="24"/>
              </w:rPr>
            </w:pPr>
            <w:r>
              <w:rPr>
                <w:rFonts w:hint="eastAsia" w:hAnsi="宋体"/>
                <w:color w:val="000000" w:themeColor="text1"/>
                <w:spacing w:val="-20"/>
                <w:sz w:val="24"/>
                <w:szCs w:val="24"/>
              </w:rPr>
              <w:t>二</w:t>
            </w:r>
          </w:p>
        </w:tc>
        <w:tc>
          <w:tcPr>
            <w:tcW w:w="3945" w:type="dxa"/>
            <w:vAlign w:val="center"/>
          </w:tcPr>
          <w:p>
            <w:pPr>
              <w:pStyle w:val="10"/>
              <w:spacing w:line="600" w:lineRule="exact"/>
              <w:jc w:val="center"/>
              <w:rPr>
                <w:rFonts w:hAnsi="宋体"/>
                <w:color w:val="000000" w:themeColor="text1"/>
                <w:sz w:val="24"/>
                <w:szCs w:val="24"/>
              </w:rPr>
            </w:pPr>
          </w:p>
        </w:tc>
        <w:tc>
          <w:tcPr>
            <w:tcW w:w="3258" w:type="dxa"/>
            <w:vAlign w:val="center"/>
          </w:tcPr>
          <w:p>
            <w:pPr>
              <w:pStyle w:val="10"/>
              <w:spacing w:line="600" w:lineRule="exact"/>
              <w:jc w:val="center"/>
              <w:rPr>
                <w:rFonts w:hAnsi="宋体"/>
                <w:color w:val="000000" w:themeColor="text1"/>
                <w:sz w:val="24"/>
                <w:szCs w:val="24"/>
              </w:rPr>
            </w:pPr>
          </w:p>
        </w:tc>
        <w:tc>
          <w:tcPr>
            <w:tcW w:w="1560" w:type="dxa"/>
            <w:vAlign w:val="center"/>
          </w:tcPr>
          <w:p>
            <w:pPr>
              <w:rPr>
                <w:rFonts w:ascii="宋体" w:hAnsi="宋体"/>
                <w:color w:val="000000" w:themeColor="text1"/>
                <w:sz w:val="24"/>
              </w:rPr>
            </w:pPr>
            <w:r>
              <w:rPr>
                <w:rFonts w:ascii="宋体" w:hAnsi="宋体"/>
                <w:color w:val="000000" w:themeColor="text1"/>
                <w:sz w:val="24"/>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pStyle w:val="10"/>
              <w:jc w:val="center"/>
              <w:rPr>
                <w:rFonts w:hAnsi="宋体"/>
                <w:color w:val="000000" w:themeColor="text1"/>
                <w:spacing w:val="-20"/>
                <w:sz w:val="24"/>
                <w:szCs w:val="24"/>
              </w:rPr>
            </w:pPr>
            <w:r>
              <w:rPr>
                <w:rFonts w:hAnsi="宋体"/>
                <w:color w:val="000000" w:themeColor="text1"/>
                <w:spacing w:val="-20"/>
                <w:sz w:val="24"/>
                <w:szCs w:val="24"/>
              </w:rPr>
              <w:t>...</w:t>
            </w:r>
          </w:p>
        </w:tc>
        <w:tc>
          <w:tcPr>
            <w:tcW w:w="3945" w:type="dxa"/>
            <w:vAlign w:val="center"/>
          </w:tcPr>
          <w:p>
            <w:pPr>
              <w:pStyle w:val="10"/>
              <w:spacing w:line="600" w:lineRule="exact"/>
              <w:jc w:val="center"/>
              <w:rPr>
                <w:rFonts w:hAnsi="宋体"/>
                <w:color w:val="000000" w:themeColor="text1"/>
                <w:sz w:val="24"/>
                <w:szCs w:val="24"/>
              </w:rPr>
            </w:pPr>
          </w:p>
        </w:tc>
        <w:tc>
          <w:tcPr>
            <w:tcW w:w="3258" w:type="dxa"/>
            <w:vAlign w:val="center"/>
          </w:tcPr>
          <w:p>
            <w:pPr>
              <w:pStyle w:val="10"/>
              <w:spacing w:line="600" w:lineRule="exact"/>
              <w:jc w:val="center"/>
              <w:rPr>
                <w:rFonts w:hAnsi="宋体"/>
                <w:color w:val="000000" w:themeColor="text1"/>
                <w:sz w:val="24"/>
                <w:szCs w:val="24"/>
              </w:rPr>
            </w:pPr>
          </w:p>
        </w:tc>
        <w:tc>
          <w:tcPr>
            <w:tcW w:w="1560" w:type="dxa"/>
            <w:vAlign w:val="center"/>
          </w:tcPr>
          <w:p>
            <w:pPr>
              <w:pStyle w:val="10"/>
              <w:spacing w:line="600" w:lineRule="exact"/>
              <w:jc w:val="center"/>
              <w:rPr>
                <w:rFonts w:hAnsi="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8" w:type="dxa"/>
            <w:gridSpan w:val="4"/>
            <w:vAlign w:val="center"/>
          </w:tcPr>
          <w:p>
            <w:pPr>
              <w:pStyle w:val="10"/>
              <w:spacing w:line="600" w:lineRule="exact"/>
              <w:rPr>
                <w:rFonts w:hAnsi="宋体"/>
                <w:color w:val="000000" w:themeColor="text1"/>
                <w:sz w:val="24"/>
                <w:szCs w:val="24"/>
                <w:u w:val="single"/>
              </w:rPr>
            </w:pPr>
            <w:r>
              <w:rPr>
                <w:rFonts w:hint="eastAsia" w:hAnsi="宋体"/>
                <w:color w:val="000000" w:themeColor="text1"/>
                <w:sz w:val="24"/>
                <w:szCs w:val="24"/>
              </w:rPr>
              <w:t>磋商供应商（盖单位公章）：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8" w:type="dxa"/>
            <w:gridSpan w:val="4"/>
            <w:vAlign w:val="center"/>
          </w:tcPr>
          <w:p>
            <w:pPr>
              <w:pStyle w:val="10"/>
              <w:spacing w:line="600" w:lineRule="exact"/>
              <w:jc w:val="left"/>
              <w:rPr>
                <w:rFonts w:hAnsi="宋体"/>
                <w:color w:val="000000" w:themeColor="text1"/>
                <w:sz w:val="24"/>
                <w:szCs w:val="24"/>
                <w:u w:val="single"/>
              </w:rPr>
            </w:pPr>
            <w:r>
              <w:rPr>
                <w:rFonts w:hint="eastAsia" w:hAnsi="宋体"/>
                <w:color w:val="000000" w:themeColor="text1"/>
                <w:sz w:val="24"/>
                <w:szCs w:val="24"/>
              </w:rPr>
              <w:t>法定代表人或其委托代理人（签字或盖章）：</w:t>
            </w:r>
            <w:r>
              <w:rPr>
                <w:rFonts w:hAnsi="宋体"/>
                <w:b/>
                <w:color w:val="000000" w:themeColor="text1"/>
                <w:sz w:val="32"/>
              </w:rPr>
              <w:br w:type="page"/>
            </w:r>
          </w:p>
        </w:tc>
      </w:tr>
    </w:tbl>
    <w:p>
      <w:pPr>
        <w:pStyle w:val="10"/>
        <w:rPr>
          <w:rFonts w:hAnsi="宋体"/>
          <w:color w:val="000000" w:themeColor="text1"/>
          <w:sz w:val="24"/>
          <w:szCs w:val="24"/>
        </w:rPr>
      </w:pPr>
      <w:r>
        <w:rPr>
          <w:rFonts w:hAnsi="宋体"/>
          <w:color w:val="000000" w:themeColor="text1"/>
          <w:sz w:val="24"/>
          <w:szCs w:val="24"/>
        </w:rPr>
        <w:t>......</w:t>
      </w:r>
    </w:p>
    <w:p>
      <w:pPr>
        <w:pStyle w:val="10"/>
        <w:spacing w:line="600" w:lineRule="exact"/>
        <w:rPr>
          <w:rFonts w:hAnsi="宋体"/>
          <w:color w:val="000000" w:themeColor="text1"/>
          <w:sz w:val="24"/>
          <w:szCs w:val="24"/>
        </w:rPr>
      </w:pPr>
    </w:p>
    <w:p>
      <w:pPr>
        <w:pStyle w:val="10"/>
        <w:spacing w:line="600" w:lineRule="exact"/>
        <w:rPr>
          <w:rFonts w:hAnsi="宋体"/>
          <w:color w:val="000000" w:themeColor="text1"/>
          <w:sz w:val="24"/>
          <w:szCs w:val="24"/>
        </w:rPr>
      </w:pPr>
      <w:r>
        <w:rPr>
          <w:rFonts w:hint="eastAsia" w:hAnsi="宋体"/>
          <w:color w:val="000000" w:themeColor="text1"/>
          <w:sz w:val="24"/>
          <w:szCs w:val="24"/>
        </w:rPr>
        <w:t>注：⑴表格内容均需按要求填写并盖章，不得留空，否则按投标无效处理。</w:t>
      </w:r>
    </w:p>
    <w:p>
      <w:pPr>
        <w:pStyle w:val="10"/>
        <w:spacing w:line="600" w:lineRule="exact"/>
        <w:ind w:firstLine="480" w:firstLineChars="200"/>
        <w:rPr>
          <w:rFonts w:hAnsi="宋体"/>
          <w:color w:val="000000" w:themeColor="text1"/>
          <w:sz w:val="24"/>
          <w:szCs w:val="24"/>
        </w:rPr>
      </w:pPr>
      <w:r>
        <w:rPr>
          <w:rFonts w:hint="eastAsia" w:hAnsi="宋体"/>
          <w:color w:val="000000" w:themeColor="text1"/>
          <w:sz w:val="24"/>
          <w:szCs w:val="24"/>
        </w:rPr>
        <w:t>⑵响应文件承诺不得直接复制招标文件需求，如果招标文件需求为小于或大于某个数值标准时，招标文件承诺内容应当写明投标货物具体参数或商务响应承诺的具体数值，否则按投标无效处理。</w:t>
      </w:r>
    </w:p>
    <w:p>
      <w:pPr>
        <w:pStyle w:val="10"/>
        <w:spacing w:line="600" w:lineRule="exact"/>
        <w:ind w:firstLine="480" w:firstLineChars="200"/>
        <w:rPr>
          <w:rFonts w:hAnsi="宋体"/>
          <w:color w:val="000000" w:themeColor="text1"/>
          <w:sz w:val="24"/>
          <w:szCs w:val="24"/>
        </w:rPr>
      </w:pPr>
      <w:r>
        <w:rPr>
          <w:rFonts w:hint="eastAsia" w:hAnsi="宋体"/>
          <w:color w:val="000000" w:themeColor="text1"/>
          <w:sz w:val="24"/>
          <w:szCs w:val="24"/>
        </w:rPr>
        <w:t>⑶当响应文件的技术参数或商务内容低于招标文件要求时，应当如实写明“负偏离”，否则视为虚假应标。</w:t>
      </w:r>
    </w:p>
    <w:p>
      <w:pPr>
        <w:pStyle w:val="10"/>
        <w:spacing w:line="600" w:lineRule="exact"/>
        <w:rPr>
          <w:rFonts w:hAnsi="宋体"/>
          <w:color w:val="000000" w:themeColor="text1"/>
          <w:sz w:val="24"/>
          <w:szCs w:val="24"/>
          <w:u w:val="single"/>
        </w:rPr>
      </w:pPr>
    </w:p>
    <w:p>
      <w:pPr>
        <w:pStyle w:val="10"/>
        <w:spacing w:line="600" w:lineRule="exact"/>
        <w:rPr>
          <w:rFonts w:hAnsi="宋体"/>
          <w:b/>
          <w:color w:val="000000" w:themeColor="text1"/>
        </w:rPr>
        <w:sectPr>
          <w:pgSz w:w="11906" w:h="16838"/>
          <w:pgMar w:top="1440" w:right="1080" w:bottom="1118" w:left="1080" w:header="720" w:footer="720" w:gutter="0"/>
          <w:cols w:space="720" w:num="1"/>
          <w:docGrid w:type="lines" w:linePitch="331" w:charSpace="0"/>
        </w:sectPr>
      </w:pPr>
    </w:p>
    <w:p>
      <w:pPr>
        <w:pStyle w:val="10"/>
        <w:spacing w:line="600" w:lineRule="exact"/>
        <w:rPr>
          <w:rFonts w:hAnsi="宋体"/>
          <w:color w:val="000000" w:themeColor="text1"/>
          <w:u w:val="single"/>
        </w:rPr>
      </w:pPr>
      <w:r>
        <w:rPr>
          <w:rFonts w:hint="eastAsia" w:hAnsi="宋体"/>
          <w:b/>
          <w:color w:val="000000" w:themeColor="text1"/>
        </w:rPr>
        <w:t>格式</w:t>
      </w:r>
      <w:r>
        <w:rPr>
          <w:rFonts w:hAnsi="宋体"/>
          <w:b/>
          <w:color w:val="000000" w:themeColor="text1"/>
        </w:rPr>
        <w:t>8</w:t>
      </w:r>
      <w:r>
        <w:rPr>
          <w:rFonts w:hint="eastAsia" w:hAnsi="宋体"/>
          <w:b/>
          <w:color w:val="000000" w:themeColor="text1"/>
        </w:rPr>
        <w:t>：</w:t>
      </w:r>
    </w:p>
    <w:p>
      <w:pPr>
        <w:pStyle w:val="10"/>
        <w:spacing w:line="500" w:lineRule="exact"/>
        <w:jc w:val="center"/>
        <w:outlineLvl w:val="2"/>
        <w:rPr>
          <w:rFonts w:hAnsi="宋体"/>
          <w:b/>
          <w:bCs/>
          <w:color w:val="000000" w:themeColor="text1"/>
          <w:sz w:val="30"/>
          <w:szCs w:val="30"/>
        </w:rPr>
      </w:pPr>
      <w:r>
        <w:rPr>
          <w:rFonts w:hint="eastAsia" w:hAnsi="宋体"/>
          <w:b/>
          <w:bCs/>
          <w:color w:val="000000" w:themeColor="text1"/>
          <w:sz w:val="30"/>
          <w:szCs w:val="30"/>
        </w:rPr>
        <w:t>法定代表人授权委托书（格式）</w:t>
      </w:r>
    </w:p>
    <w:p>
      <w:pPr>
        <w:pStyle w:val="10"/>
        <w:spacing w:line="500" w:lineRule="exact"/>
        <w:ind w:firstLine="420" w:firstLineChars="200"/>
        <w:rPr>
          <w:rFonts w:hAnsi="宋体"/>
          <w:color w:val="000000" w:themeColor="text1"/>
          <w:u w:val="single"/>
        </w:rPr>
      </w:pPr>
    </w:p>
    <w:p>
      <w:pPr>
        <w:pStyle w:val="10"/>
        <w:spacing w:line="440" w:lineRule="exact"/>
        <w:ind w:firstLine="480" w:firstLineChars="200"/>
        <w:rPr>
          <w:rFonts w:hAnsi="宋体"/>
          <w:color w:val="000000" w:themeColor="text1"/>
          <w:sz w:val="24"/>
          <w:szCs w:val="24"/>
        </w:rPr>
      </w:pPr>
      <w:r>
        <w:rPr>
          <w:rFonts w:hint="eastAsia" w:hAnsi="宋体"/>
          <w:color w:val="000000" w:themeColor="text1"/>
          <w:sz w:val="24"/>
          <w:szCs w:val="24"/>
        </w:rPr>
        <w:t>致：</w:t>
      </w:r>
      <w:r>
        <w:rPr>
          <w:rFonts w:hAnsi="宋体"/>
          <w:color w:val="000000" w:themeColor="text1"/>
          <w:sz w:val="24"/>
          <w:szCs w:val="24"/>
          <w:u w:val="single"/>
        </w:rPr>
        <w:t xml:space="preserve">               </w:t>
      </w:r>
      <w:r>
        <w:rPr>
          <w:rFonts w:hint="eastAsia" w:hAnsi="宋体"/>
          <w:color w:val="000000" w:themeColor="text1"/>
          <w:sz w:val="24"/>
          <w:szCs w:val="24"/>
        </w:rPr>
        <w:t>（采购代理机构名称）</w:t>
      </w:r>
    </w:p>
    <w:p>
      <w:pPr>
        <w:pStyle w:val="10"/>
        <w:spacing w:line="440" w:lineRule="exact"/>
        <w:ind w:firstLine="480" w:firstLineChars="200"/>
        <w:rPr>
          <w:rFonts w:hAnsi="宋体"/>
          <w:color w:val="000000" w:themeColor="text1"/>
          <w:sz w:val="24"/>
          <w:szCs w:val="24"/>
        </w:rPr>
      </w:pPr>
    </w:p>
    <w:p>
      <w:pPr>
        <w:pStyle w:val="10"/>
        <w:spacing w:line="440" w:lineRule="exact"/>
        <w:ind w:firstLine="480" w:firstLineChars="200"/>
        <w:rPr>
          <w:rFonts w:hAnsi="宋体"/>
          <w:color w:val="000000" w:themeColor="text1"/>
          <w:sz w:val="24"/>
          <w:szCs w:val="24"/>
        </w:rPr>
      </w:pPr>
      <w:r>
        <w:rPr>
          <w:rFonts w:hint="eastAsia" w:hAnsi="宋体"/>
          <w:color w:val="000000" w:themeColor="text1"/>
          <w:sz w:val="24"/>
          <w:szCs w:val="24"/>
        </w:rPr>
        <w:t>本人</w:t>
      </w:r>
      <w:r>
        <w:rPr>
          <w:rFonts w:hAnsi="宋体"/>
          <w:color w:val="000000" w:themeColor="text1"/>
          <w:sz w:val="24"/>
          <w:szCs w:val="24"/>
          <w:u w:val="single"/>
        </w:rPr>
        <w:t xml:space="preserve">      </w:t>
      </w:r>
      <w:r>
        <w:rPr>
          <w:rFonts w:hAnsi="宋体"/>
          <w:color w:val="000000" w:themeColor="text1"/>
          <w:sz w:val="24"/>
          <w:szCs w:val="24"/>
        </w:rPr>
        <w:t xml:space="preserve"> </w:t>
      </w:r>
      <w:r>
        <w:rPr>
          <w:rFonts w:hint="eastAsia" w:hAnsi="宋体"/>
          <w:color w:val="000000" w:themeColor="text1"/>
          <w:sz w:val="24"/>
          <w:szCs w:val="24"/>
        </w:rPr>
        <w:t>（姓名）系</w:t>
      </w:r>
      <w:r>
        <w:rPr>
          <w:rFonts w:hAnsi="宋体"/>
          <w:color w:val="000000" w:themeColor="text1"/>
          <w:sz w:val="24"/>
          <w:szCs w:val="24"/>
          <w:u w:val="single"/>
        </w:rPr>
        <w:t xml:space="preserve">            </w:t>
      </w:r>
      <w:r>
        <w:rPr>
          <w:rFonts w:hint="eastAsia" w:hAnsi="宋体"/>
          <w:color w:val="000000" w:themeColor="text1"/>
          <w:sz w:val="24"/>
          <w:szCs w:val="24"/>
        </w:rPr>
        <w:t>（磋商供应商名称）的法定代表人，现授权</w:t>
      </w:r>
      <w:r>
        <w:rPr>
          <w:rFonts w:hAnsi="宋体"/>
          <w:color w:val="000000" w:themeColor="text1"/>
          <w:sz w:val="24"/>
          <w:szCs w:val="24"/>
          <w:u w:val="single"/>
        </w:rPr>
        <w:t xml:space="preserve">     </w:t>
      </w:r>
      <w:r>
        <w:rPr>
          <w:rFonts w:hint="eastAsia" w:hAnsi="宋体"/>
          <w:color w:val="000000" w:themeColor="text1"/>
          <w:sz w:val="24"/>
          <w:szCs w:val="24"/>
        </w:rPr>
        <w:t>（姓名和职务）为我方代理人。代理人根据授权，以我方名义签署、澄清、说明、补正、提交、撤回、修改贵方组织的项目</w:t>
      </w:r>
      <w:r>
        <w:rPr>
          <w:rFonts w:hAnsi="宋体"/>
          <w:color w:val="000000" w:themeColor="text1"/>
          <w:sz w:val="24"/>
          <w:szCs w:val="24"/>
          <w:u w:val="single"/>
        </w:rPr>
        <w:t xml:space="preserve">          </w:t>
      </w:r>
      <w:r>
        <w:rPr>
          <w:rFonts w:hint="eastAsia" w:hAnsi="宋体"/>
          <w:color w:val="000000" w:themeColor="text1"/>
          <w:sz w:val="24"/>
          <w:szCs w:val="24"/>
        </w:rPr>
        <w:t>（项目编号：</w:t>
      </w:r>
      <w:r>
        <w:rPr>
          <w:rFonts w:hAnsi="宋体"/>
          <w:color w:val="000000" w:themeColor="text1"/>
          <w:sz w:val="24"/>
          <w:szCs w:val="24"/>
          <w:u w:val="single"/>
        </w:rPr>
        <w:t xml:space="preserve">          </w:t>
      </w:r>
      <w:r>
        <w:rPr>
          <w:rFonts w:hint="eastAsia" w:hAnsi="宋体"/>
          <w:color w:val="000000" w:themeColor="text1"/>
          <w:sz w:val="24"/>
          <w:szCs w:val="24"/>
        </w:rPr>
        <w:t>）的响应文件、签订合同和处理一切有关事宜，其法律后果由我方承担。</w:t>
      </w:r>
    </w:p>
    <w:p>
      <w:pPr>
        <w:pStyle w:val="10"/>
        <w:spacing w:line="360" w:lineRule="auto"/>
        <w:ind w:firstLine="435"/>
        <w:rPr>
          <w:rFonts w:hAnsi="宋体"/>
          <w:color w:val="000000" w:themeColor="text1"/>
          <w:sz w:val="24"/>
          <w:szCs w:val="24"/>
        </w:rPr>
      </w:pPr>
      <w:r>
        <w:rPr>
          <w:rFonts w:hint="eastAsia" w:hAnsi="宋体"/>
          <w:color w:val="000000" w:themeColor="text1"/>
          <w:sz w:val="24"/>
          <w:szCs w:val="24"/>
        </w:rPr>
        <w:t>本授权书于</w:t>
      </w:r>
      <w:r>
        <w:rPr>
          <w:rFonts w:hAnsi="宋体"/>
          <w:color w:val="000000" w:themeColor="text1"/>
          <w:sz w:val="24"/>
          <w:szCs w:val="24"/>
          <w:u w:val="single"/>
        </w:rPr>
        <w:t xml:space="preserve">     </w:t>
      </w:r>
      <w:r>
        <w:rPr>
          <w:rFonts w:hint="eastAsia" w:hAnsi="宋体"/>
          <w:color w:val="000000" w:themeColor="text1"/>
          <w:sz w:val="24"/>
          <w:szCs w:val="24"/>
        </w:rPr>
        <w:t>年</w:t>
      </w:r>
      <w:r>
        <w:rPr>
          <w:rFonts w:hAnsi="宋体"/>
          <w:color w:val="000000" w:themeColor="text1"/>
          <w:sz w:val="24"/>
          <w:szCs w:val="24"/>
          <w:u w:val="single"/>
        </w:rPr>
        <w:t xml:space="preserve">     </w:t>
      </w:r>
      <w:r>
        <w:rPr>
          <w:rFonts w:hint="eastAsia" w:hAnsi="宋体"/>
          <w:color w:val="000000" w:themeColor="text1"/>
          <w:sz w:val="24"/>
          <w:szCs w:val="24"/>
        </w:rPr>
        <w:t>月</w:t>
      </w:r>
      <w:r>
        <w:rPr>
          <w:rFonts w:hAnsi="宋体"/>
          <w:color w:val="000000" w:themeColor="text1"/>
          <w:sz w:val="24"/>
          <w:szCs w:val="24"/>
          <w:u w:val="single"/>
        </w:rPr>
        <w:t xml:space="preserve">     </w:t>
      </w:r>
      <w:r>
        <w:rPr>
          <w:rFonts w:hint="eastAsia" w:hAnsi="宋体"/>
          <w:color w:val="000000" w:themeColor="text1"/>
          <w:sz w:val="24"/>
          <w:szCs w:val="24"/>
        </w:rPr>
        <w:t>日签字生效，委托期限：</w:t>
      </w:r>
      <w:r>
        <w:rPr>
          <w:rFonts w:hAnsi="宋体"/>
          <w:color w:val="000000" w:themeColor="text1"/>
          <w:sz w:val="24"/>
          <w:szCs w:val="24"/>
          <w:u w:val="single"/>
        </w:rPr>
        <w:t xml:space="preserve">     </w:t>
      </w:r>
      <w:r>
        <w:rPr>
          <w:rFonts w:hint="eastAsia" w:hAnsi="宋体"/>
          <w:color w:val="000000" w:themeColor="text1"/>
          <w:sz w:val="24"/>
          <w:szCs w:val="24"/>
        </w:rPr>
        <w:t>。</w:t>
      </w:r>
    </w:p>
    <w:p>
      <w:pPr>
        <w:pStyle w:val="10"/>
        <w:spacing w:line="360" w:lineRule="auto"/>
        <w:ind w:firstLine="420"/>
        <w:rPr>
          <w:rFonts w:hAnsi="宋体"/>
          <w:color w:val="000000" w:themeColor="text1"/>
          <w:sz w:val="24"/>
          <w:szCs w:val="24"/>
        </w:rPr>
      </w:pPr>
      <w:r>
        <w:rPr>
          <w:rFonts w:hint="eastAsia" w:hAnsi="宋体"/>
          <w:color w:val="000000" w:themeColor="text1"/>
          <w:sz w:val="24"/>
          <w:szCs w:val="24"/>
        </w:rPr>
        <w:t>代理人无转委托权。</w:t>
      </w:r>
    </w:p>
    <w:p>
      <w:pPr>
        <w:pStyle w:val="10"/>
        <w:spacing w:line="360" w:lineRule="auto"/>
        <w:ind w:firstLine="420"/>
        <w:rPr>
          <w:rFonts w:hAnsi="宋体"/>
          <w:color w:val="000000" w:themeColor="text1"/>
          <w:sz w:val="24"/>
          <w:szCs w:val="24"/>
        </w:rPr>
      </w:pPr>
    </w:p>
    <w:p>
      <w:pPr>
        <w:pStyle w:val="10"/>
        <w:spacing w:line="360" w:lineRule="auto"/>
        <w:ind w:firstLine="420"/>
        <w:rPr>
          <w:rFonts w:hAnsi="宋体"/>
          <w:color w:val="000000" w:themeColor="text1"/>
          <w:sz w:val="24"/>
          <w:szCs w:val="24"/>
          <w:u w:val="single"/>
        </w:rPr>
      </w:pPr>
      <w:r>
        <w:rPr>
          <w:rFonts w:hint="eastAsia" w:hAnsi="宋体"/>
          <w:color w:val="000000" w:themeColor="text1"/>
          <w:sz w:val="24"/>
          <w:szCs w:val="24"/>
        </w:rPr>
        <w:t>磋商供应商（盖单位公章）：</w:t>
      </w:r>
      <w:r>
        <w:rPr>
          <w:rFonts w:hAnsi="宋体"/>
          <w:color w:val="000000" w:themeColor="text1"/>
          <w:sz w:val="24"/>
          <w:szCs w:val="24"/>
          <w:u w:val="single"/>
        </w:rPr>
        <w:t xml:space="preserve">                                   </w:t>
      </w:r>
    </w:p>
    <w:p>
      <w:pPr>
        <w:pStyle w:val="10"/>
        <w:spacing w:line="360" w:lineRule="auto"/>
        <w:ind w:firstLine="420"/>
        <w:rPr>
          <w:rFonts w:hAnsi="宋体"/>
          <w:color w:val="000000" w:themeColor="text1"/>
          <w:sz w:val="24"/>
          <w:szCs w:val="24"/>
          <w:u w:val="single"/>
        </w:rPr>
      </w:pPr>
      <w:r>
        <w:rPr>
          <w:rFonts w:hAnsi="宋体"/>
          <w:color w:val="000000" w:themeColor="text1"/>
          <w:sz w:val="24"/>
          <w:szCs w:val="24"/>
        </w:rPr>
        <w:t>社会统一信用代码:</w:t>
      </w:r>
      <w:r>
        <w:rPr>
          <w:rFonts w:hAnsi="宋体"/>
          <w:color w:val="000000" w:themeColor="text1"/>
          <w:sz w:val="24"/>
          <w:szCs w:val="24"/>
          <w:u w:val="single"/>
        </w:rPr>
        <w:t xml:space="preserve">                                         </w:t>
      </w:r>
      <w:r>
        <w:rPr>
          <w:rFonts w:hint="eastAsia" w:hAnsi="宋体"/>
          <w:color w:val="000000" w:themeColor="text1"/>
          <w:sz w:val="24"/>
          <w:szCs w:val="24"/>
          <w:u w:val="single"/>
        </w:rPr>
        <w:t xml:space="preserve">   </w:t>
      </w:r>
    </w:p>
    <w:p>
      <w:pPr>
        <w:pStyle w:val="10"/>
        <w:spacing w:line="360" w:lineRule="auto"/>
        <w:ind w:firstLine="420"/>
        <w:rPr>
          <w:rFonts w:hAnsi="宋体"/>
          <w:color w:val="000000" w:themeColor="text1"/>
          <w:sz w:val="24"/>
          <w:szCs w:val="24"/>
          <w:u w:val="single"/>
        </w:rPr>
      </w:pPr>
      <w:r>
        <w:rPr>
          <w:rFonts w:hint="eastAsia" w:hAnsi="宋体"/>
          <w:color w:val="000000" w:themeColor="text1"/>
          <w:sz w:val="24"/>
          <w:szCs w:val="24"/>
        </w:rPr>
        <w:t>法定代表人（签字或盖章）：</w:t>
      </w:r>
      <w:r>
        <w:rPr>
          <w:rFonts w:hAnsi="宋体"/>
          <w:color w:val="000000" w:themeColor="text1"/>
          <w:sz w:val="24"/>
          <w:szCs w:val="24"/>
          <w:u w:val="single"/>
        </w:rPr>
        <w:t xml:space="preserve">                                   </w:t>
      </w:r>
    </w:p>
    <w:p>
      <w:pPr>
        <w:pStyle w:val="10"/>
        <w:spacing w:line="360" w:lineRule="auto"/>
        <w:ind w:firstLine="420"/>
        <w:rPr>
          <w:rFonts w:hAnsi="宋体"/>
          <w:color w:val="000000" w:themeColor="text1"/>
          <w:sz w:val="24"/>
          <w:szCs w:val="24"/>
          <w:u w:val="single"/>
        </w:rPr>
      </w:pPr>
      <w:r>
        <w:rPr>
          <w:rFonts w:hint="eastAsia" w:hAnsi="宋体"/>
          <w:color w:val="000000" w:themeColor="text1"/>
          <w:sz w:val="24"/>
          <w:szCs w:val="24"/>
        </w:rPr>
        <w:t>法定代表人身份证号码：</w:t>
      </w:r>
      <w:r>
        <w:rPr>
          <w:rFonts w:hAnsi="宋体"/>
          <w:color w:val="000000" w:themeColor="text1"/>
          <w:sz w:val="24"/>
          <w:szCs w:val="24"/>
          <w:u w:val="single"/>
        </w:rPr>
        <w:t xml:space="preserve">                                  </w:t>
      </w:r>
      <w:r>
        <w:rPr>
          <w:rFonts w:hint="eastAsia" w:hAnsi="宋体"/>
          <w:color w:val="000000" w:themeColor="text1"/>
          <w:sz w:val="24"/>
          <w:szCs w:val="24"/>
          <w:u w:val="single"/>
        </w:rPr>
        <w:t xml:space="preserve">    </w:t>
      </w:r>
      <w:r>
        <w:rPr>
          <w:rFonts w:hAnsi="宋体"/>
          <w:color w:val="000000" w:themeColor="text1"/>
          <w:sz w:val="24"/>
          <w:szCs w:val="24"/>
          <w:u w:val="single"/>
        </w:rPr>
        <w:t xml:space="preserve"> </w:t>
      </w:r>
    </w:p>
    <w:p>
      <w:pPr>
        <w:pStyle w:val="10"/>
        <w:spacing w:line="360" w:lineRule="auto"/>
        <w:ind w:firstLine="480" w:firstLineChars="200"/>
        <w:rPr>
          <w:rFonts w:hAnsi="宋体"/>
          <w:color w:val="000000" w:themeColor="text1"/>
          <w:sz w:val="24"/>
          <w:szCs w:val="24"/>
        </w:rPr>
      </w:pPr>
      <w:r>
        <w:rPr>
          <w:rFonts w:hint="eastAsia" w:hAnsi="宋体"/>
          <w:color w:val="000000" w:themeColor="text1"/>
          <w:sz w:val="24"/>
          <w:szCs w:val="24"/>
        </w:rPr>
        <w:t>委托代理人（签字或盖章）：</w:t>
      </w:r>
      <w:r>
        <w:rPr>
          <w:rFonts w:hAnsi="宋体"/>
          <w:color w:val="000000" w:themeColor="text1"/>
          <w:sz w:val="24"/>
          <w:szCs w:val="24"/>
          <w:u w:val="single"/>
        </w:rPr>
        <w:t xml:space="preserve">                                   </w:t>
      </w:r>
    </w:p>
    <w:p>
      <w:pPr>
        <w:pStyle w:val="10"/>
        <w:spacing w:line="360" w:lineRule="auto"/>
        <w:ind w:firstLine="420"/>
        <w:rPr>
          <w:rFonts w:hAnsi="宋体"/>
          <w:color w:val="000000" w:themeColor="text1"/>
          <w:sz w:val="24"/>
          <w:szCs w:val="24"/>
          <w:u w:val="single"/>
        </w:rPr>
      </w:pPr>
      <w:r>
        <w:rPr>
          <w:rFonts w:hint="eastAsia" w:hAnsi="宋体"/>
          <w:color w:val="000000" w:themeColor="text1"/>
          <w:sz w:val="24"/>
          <w:szCs w:val="24"/>
        </w:rPr>
        <w:t>委托代理人身份证号码：</w:t>
      </w:r>
      <w:r>
        <w:rPr>
          <w:rFonts w:hAnsi="宋体"/>
          <w:color w:val="000000" w:themeColor="text1"/>
          <w:sz w:val="24"/>
          <w:szCs w:val="24"/>
          <w:u w:val="single"/>
        </w:rPr>
        <w:t xml:space="preserve">                                   </w:t>
      </w:r>
      <w:r>
        <w:rPr>
          <w:rFonts w:hint="eastAsia" w:hAnsi="宋体"/>
          <w:color w:val="000000" w:themeColor="text1"/>
          <w:sz w:val="24"/>
          <w:szCs w:val="24"/>
          <w:u w:val="single"/>
        </w:rPr>
        <w:t xml:space="preserve">    </w:t>
      </w:r>
    </w:p>
    <w:p>
      <w:pPr>
        <w:pStyle w:val="10"/>
        <w:spacing w:line="360" w:lineRule="auto"/>
        <w:ind w:firstLine="420"/>
        <w:jc w:val="right"/>
        <w:rPr>
          <w:rFonts w:hAnsi="宋体"/>
          <w:color w:val="000000" w:themeColor="text1"/>
          <w:sz w:val="24"/>
          <w:szCs w:val="24"/>
          <w:u w:val="single"/>
        </w:rPr>
      </w:pPr>
    </w:p>
    <w:p>
      <w:pPr>
        <w:pStyle w:val="16"/>
        <w:outlineLvl w:val="9"/>
        <w:rPr>
          <w:rFonts w:ascii="宋体"/>
          <w:color w:val="000000" w:themeColor="text1"/>
        </w:rPr>
        <w:sectPr>
          <w:pgSz w:w="11906" w:h="16838"/>
          <w:pgMar w:top="1440" w:right="1080" w:bottom="1118" w:left="1080" w:header="720" w:footer="720" w:gutter="0"/>
          <w:cols w:space="720" w:num="1"/>
          <w:docGrid w:type="lines" w:linePitch="331" w:charSpace="0"/>
        </w:sectPr>
      </w:pPr>
    </w:p>
    <w:p>
      <w:pPr>
        <w:pStyle w:val="10"/>
        <w:spacing w:line="360" w:lineRule="auto"/>
        <w:outlineLvl w:val="1"/>
        <w:rPr>
          <w:rFonts w:hAnsi="宋体"/>
          <w:b/>
          <w:color w:val="000000" w:themeColor="text1"/>
        </w:rPr>
      </w:pPr>
      <w:bookmarkStart w:id="115" w:name="_Toc8010"/>
      <w:bookmarkStart w:id="116" w:name="_Toc19457"/>
      <w:bookmarkStart w:id="117" w:name="_Toc3746"/>
      <w:r>
        <w:rPr>
          <w:rFonts w:hint="eastAsia" w:hAnsi="宋体"/>
          <w:b/>
          <w:color w:val="000000" w:themeColor="text1"/>
        </w:rPr>
        <w:t>格式</w:t>
      </w:r>
      <w:r>
        <w:rPr>
          <w:rFonts w:hAnsi="宋体"/>
          <w:b/>
          <w:color w:val="000000" w:themeColor="text1"/>
        </w:rPr>
        <w:t>9</w:t>
      </w:r>
      <w:r>
        <w:rPr>
          <w:rFonts w:hint="eastAsia" w:hAnsi="宋体"/>
          <w:b/>
          <w:color w:val="000000" w:themeColor="text1"/>
        </w:rPr>
        <w:t>：</w:t>
      </w:r>
      <w:bookmarkEnd w:id="115"/>
      <w:bookmarkEnd w:id="116"/>
      <w:bookmarkEnd w:id="117"/>
    </w:p>
    <w:p>
      <w:pPr>
        <w:pStyle w:val="10"/>
        <w:jc w:val="center"/>
        <w:outlineLvl w:val="2"/>
        <w:rPr>
          <w:rFonts w:hAnsi="宋体"/>
          <w:b/>
          <w:color w:val="000000" w:themeColor="text1"/>
          <w:sz w:val="30"/>
          <w:szCs w:val="30"/>
        </w:rPr>
      </w:pPr>
      <w:r>
        <w:rPr>
          <w:rFonts w:hint="eastAsia" w:hAnsi="宋体"/>
          <w:b/>
          <w:color w:val="000000" w:themeColor="text1"/>
          <w:sz w:val="30"/>
          <w:szCs w:val="30"/>
        </w:rPr>
        <w:t>信用声明函（格式）</w:t>
      </w:r>
    </w:p>
    <w:p>
      <w:pPr>
        <w:pStyle w:val="10"/>
        <w:jc w:val="center"/>
        <w:rPr>
          <w:rFonts w:hAnsi="宋体" w:cs="宋体"/>
          <w:b/>
          <w:color w:val="000000" w:themeColor="text1"/>
          <w:sz w:val="24"/>
          <w:szCs w:val="24"/>
        </w:rPr>
      </w:pPr>
    </w:p>
    <w:p>
      <w:pPr>
        <w:tabs>
          <w:tab w:val="left" w:pos="7200"/>
        </w:tabs>
        <w:spacing w:line="360" w:lineRule="auto"/>
        <w:rPr>
          <w:rFonts w:ascii="宋体" w:cs="宋体"/>
          <w:color w:val="000000" w:themeColor="text1"/>
          <w:sz w:val="24"/>
        </w:rPr>
      </w:pPr>
      <w:r>
        <w:rPr>
          <w:rFonts w:hint="eastAsia" w:ascii="宋体" w:hAnsi="宋体" w:cs="宋体"/>
          <w:color w:val="000000" w:themeColor="text1"/>
          <w:sz w:val="24"/>
        </w:rPr>
        <w:t>致：</w:t>
      </w:r>
      <w:r>
        <w:rPr>
          <w:rFonts w:ascii="宋体" w:hAnsi="宋体" w:cs="宋体"/>
          <w:color w:val="000000" w:themeColor="text1"/>
          <w:sz w:val="24"/>
          <w:u w:val="single"/>
        </w:rPr>
        <w:t xml:space="preserve">                     </w:t>
      </w:r>
      <w:r>
        <w:rPr>
          <w:rFonts w:hint="eastAsia" w:ascii="宋体" w:hAnsi="宋体" w:cs="宋体"/>
          <w:color w:val="000000" w:themeColor="text1"/>
          <w:sz w:val="24"/>
        </w:rPr>
        <w:t>（采购代理机构名称）</w:t>
      </w:r>
    </w:p>
    <w:p>
      <w:pPr>
        <w:tabs>
          <w:tab w:val="left" w:pos="7200"/>
        </w:tabs>
        <w:spacing w:line="360" w:lineRule="auto"/>
        <w:ind w:firstLine="600" w:firstLineChars="250"/>
        <w:rPr>
          <w:rFonts w:ascii="宋体" w:cs="宋体"/>
          <w:color w:val="000000" w:themeColor="text1"/>
          <w:sz w:val="24"/>
        </w:rPr>
      </w:pPr>
      <w:r>
        <w:rPr>
          <w:rFonts w:ascii="宋体" w:hAnsi="宋体" w:cs="宋体"/>
          <w:color w:val="000000" w:themeColor="text1"/>
          <w:sz w:val="24"/>
          <w:u w:val="single"/>
        </w:rPr>
        <w:t xml:space="preserve">           </w:t>
      </w:r>
      <w:r>
        <w:rPr>
          <w:rFonts w:hint="eastAsia" w:ascii="宋体" w:hAnsi="宋体" w:cs="宋体"/>
          <w:color w:val="000000" w:themeColor="text1"/>
          <w:sz w:val="24"/>
        </w:rPr>
        <w:t>（供应商名称）系中华人民共和国合法企业,经营地址</w:t>
      </w:r>
      <w:r>
        <w:rPr>
          <w:rFonts w:ascii="宋体" w:hAnsi="宋体" w:cs="宋体"/>
          <w:color w:val="000000" w:themeColor="text1"/>
          <w:sz w:val="24"/>
          <w:u w:val="single"/>
        </w:rPr>
        <w:t xml:space="preserve">                   </w:t>
      </w:r>
      <w:r>
        <w:rPr>
          <w:rFonts w:hint="eastAsia" w:ascii="宋体" w:hAnsi="宋体" w:cs="宋体"/>
          <w:color w:val="000000" w:themeColor="text1"/>
          <w:sz w:val="24"/>
        </w:rPr>
        <w:t>。</w:t>
      </w:r>
    </w:p>
    <w:p>
      <w:pPr>
        <w:tabs>
          <w:tab w:val="left" w:pos="7200"/>
        </w:tabs>
        <w:spacing w:line="360" w:lineRule="auto"/>
        <w:ind w:left="420" w:leftChars="200" w:firstLine="600" w:firstLineChars="250"/>
        <w:rPr>
          <w:rFonts w:ascii="宋体" w:cs="宋体"/>
          <w:color w:val="000000" w:themeColor="text1"/>
          <w:sz w:val="24"/>
        </w:rPr>
      </w:pPr>
      <w:r>
        <w:rPr>
          <w:rFonts w:hint="eastAsia" w:ascii="宋体" w:hAnsi="宋体" w:cs="宋体"/>
          <w:color w:val="000000" w:themeColor="text1"/>
          <w:sz w:val="24"/>
        </w:rPr>
        <w:t>我</w:t>
      </w:r>
      <w:r>
        <w:rPr>
          <w:rFonts w:ascii="宋体" w:hAnsi="宋体" w:cs="宋体"/>
          <w:color w:val="000000" w:themeColor="text1"/>
          <w:sz w:val="24"/>
        </w:rPr>
        <w:t xml:space="preserve"> </w:t>
      </w:r>
      <w:r>
        <w:rPr>
          <w:rFonts w:ascii="宋体" w:hAnsi="宋体" w:cs="宋体"/>
          <w:color w:val="000000" w:themeColor="text1"/>
          <w:sz w:val="24"/>
          <w:u w:val="single"/>
        </w:rPr>
        <w:t xml:space="preserve">       </w:t>
      </w:r>
      <w:r>
        <w:rPr>
          <w:rFonts w:hint="eastAsia" w:ascii="宋体" w:hAnsi="宋体" w:cs="宋体"/>
          <w:color w:val="000000" w:themeColor="text1"/>
          <w:sz w:val="24"/>
        </w:rPr>
        <w:t>（姓名）系</w:t>
      </w:r>
      <w:r>
        <w:rPr>
          <w:rFonts w:ascii="宋体" w:hAnsi="宋体" w:cs="宋体"/>
          <w:color w:val="000000" w:themeColor="text1"/>
          <w:sz w:val="24"/>
          <w:u w:val="single"/>
        </w:rPr>
        <w:t xml:space="preserve">           </w:t>
      </w:r>
      <w:r>
        <w:rPr>
          <w:rFonts w:hint="eastAsia" w:ascii="宋体" w:hAnsi="宋体" w:cs="宋体"/>
          <w:color w:val="000000" w:themeColor="text1"/>
          <w:sz w:val="24"/>
        </w:rPr>
        <w:t>（供应商名称）的法定代表人，我方愿意参加贵方组织的</w:t>
      </w:r>
      <w:r>
        <w:rPr>
          <w:rFonts w:ascii="宋体" w:hAnsi="宋体" w:cs="宋体"/>
          <w:color w:val="000000" w:themeColor="text1"/>
          <w:sz w:val="24"/>
          <w:u w:val="single"/>
        </w:rPr>
        <w:t xml:space="preserve">         </w:t>
      </w:r>
      <w:r>
        <w:rPr>
          <w:rFonts w:hint="eastAsia" w:ascii="宋体" w:hAnsi="宋体" w:cs="宋体"/>
          <w:color w:val="000000" w:themeColor="text1"/>
          <w:sz w:val="24"/>
        </w:rPr>
        <w:t>项目的本次政府采购活动，为便于贵方公正、择优地确定成交人及采购服务成果和服务，我方就本次政府采购活动有关事项郑重声明如下：</w:t>
      </w:r>
    </w:p>
    <w:p>
      <w:pPr>
        <w:tabs>
          <w:tab w:val="left" w:pos="7200"/>
        </w:tabs>
        <w:spacing w:line="360" w:lineRule="auto"/>
        <w:ind w:firstLine="480" w:firstLineChars="200"/>
        <w:rPr>
          <w:rFonts w:ascii="宋体" w:cs="宋体"/>
          <w:color w:val="000000" w:themeColor="text1"/>
          <w:sz w:val="24"/>
          <w:u w:val="single"/>
        </w:rPr>
      </w:pPr>
      <w:r>
        <w:rPr>
          <w:rFonts w:ascii="宋体" w:hAnsi="宋体" w:cs="宋体"/>
          <w:color w:val="000000" w:themeColor="text1"/>
          <w:sz w:val="24"/>
        </w:rPr>
        <w:t xml:space="preserve">1. </w:t>
      </w:r>
      <w:r>
        <w:rPr>
          <w:rFonts w:hint="eastAsia" w:ascii="宋体" w:hAnsi="宋体" w:cs="宋体"/>
          <w:color w:val="000000" w:themeColor="text1"/>
          <w:sz w:val="24"/>
        </w:rPr>
        <w:t>经查询，在“信用中国”和“中国政府采购网”网站我方未被列入失信被执行人、重大税收违法案件当事人名单、政府采购严重违法失信行为记录名单。</w:t>
      </w:r>
    </w:p>
    <w:p>
      <w:pPr>
        <w:tabs>
          <w:tab w:val="left" w:pos="7200"/>
        </w:tabs>
        <w:spacing w:line="360" w:lineRule="auto"/>
        <w:ind w:firstLine="480" w:firstLineChars="200"/>
        <w:rPr>
          <w:rFonts w:ascii="宋体" w:cs="宋体"/>
          <w:color w:val="000000" w:themeColor="text1"/>
          <w:sz w:val="24"/>
        </w:rPr>
      </w:pPr>
      <w:r>
        <w:rPr>
          <w:rFonts w:ascii="宋体" w:hAnsi="宋体" w:cs="宋体"/>
          <w:color w:val="000000" w:themeColor="text1"/>
          <w:sz w:val="24"/>
        </w:rPr>
        <w:t xml:space="preserve">2. </w:t>
      </w:r>
      <w:r>
        <w:rPr>
          <w:rFonts w:hint="eastAsia" w:ascii="宋体" w:hAnsi="宋体" w:cs="宋体"/>
          <w:color w:val="000000" w:themeColor="text1"/>
          <w:sz w:val="24"/>
        </w:rPr>
        <w:t>以上事项如有虚假或隐瞒，我方愿意承担一切后果，并不再寻求任何旨在减轻或免除法律责任的辩解。</w:t>
      </w:r>
    </w:p>
    <w:p>
      <w:pPr>
        <w:tabs>
          <w:tab w:val="left" w:pos="7200"/>
        </w:tabs>
        <w:spacing w:line="360" w:lineRule="auto"/>
        <w:ind w:firstLine="480" w:firstLineChars="200"/>
        <w:rPr>
          <w:rFonts w:ascii="宋体" w:cs="宋体"/>
          <w:color w:val="000000" w:themeColor="text1"/>
          <w:sz w:val="24"/>
        </w:rPr>
      </w:pPr>
    </w:p>
    <w:p>
      <w:pPr>
        <w:tabs>
          <w:tab w:val="left" w:pos="7200"/>
        </w:tabs>
        <w:spacing w:line="360" w:lineRule="auto"/>
        <w:ind w:firstLine="5040" w:firstLineChars="2100"/>
        <w:rPr>
          <w:rFonts w:ascii="宋体" w:cs="宋体"/>
          <w:color w:val="000000" w:themeColor="text1"/>
          <w:sz w:val="24"/>
          <w:u w:val="single"/>
        </w:rPr>
      </w:pPr>
      <w:r>
        <w:rPr>
          <w:rFonts w:hint="eastAsia" w:ascii="宋体" w:hAnsi="宋体" w:cs="宋体"/>
          <w:color w:val="000000" w:themeColor="text1"/>
          <w:sz w:val="24"/>
        </w:rPr>
        <w:t>法定代表人或委托代理人（签字或盖章）：</w:t>
      </w:r>
      <w:r>
        <w:rPr>
          <w:rFonts w:ascii="宋体" w:hAnsi="宋体" w:cs="宋体"/>
          <w:color w:val="000000" w:themeColor="text1"/>
          <w:sz w:val="24"/>
          <w:u w:val="single"/>
        </w:rPr>
        <w:t xml:space="preserve">        </w:t>
      </w:r>
    </w:p>
    <w:p>
      <w:pPr>
        <w:tabs>
          <w:tab w:val="left" w:pos="7200"/>
        </w:tabs>
        <w:spacing w:line="360" w:lineRule="auto"/>
        <w:ind w:firstLine="4668" w:firstLineChars="1945"/>
        <w:rPr>
          <w:rFonts w:ascii="宋体" w:cs="宋体"/>
          <w:color w:val="000000" w:themeColor="text1"/>
          <w:sz w:val="24"/>
        </w:rPr>
      </w:pPr>
      <w:r>
        <w:rPr>
          <w:rFonts w:ascii="宋体" w:hAnsi="宋体" w:cs="宋体"/>
          <w:color w:val="000000" w:themeColor="text1"/>
          <w:sz w:val="24"/>
        </w:rPr>
        <w:t xml:space="preserve">   </w:t>
      </w:r>
      <w:r>
        <w:rPr>
          <w:rFonts w:hint="eastAsia" w:ascii="宋体" w:hAnsi="宋体" w:cs="宋体"/>
          <w:color w:val="000000" w:themeColor="text1"/>
          <w:sz w:val="24"/>
        </w:rPr>
        <w:t>供应商（盖章）：</w:t>
      </w:r>
      <w:r>
        <w:rPr>
          <w:rFonts w:ascii="宋体" w:hAnsi="宋体" w:cs="宋体"/>
          <w:color w:val="000000" w:themeColor="text1"/>
          <w:sz w:val="24"/>
          <w:u w:val="single"/>
        </w:rPr>
        <w:t xml:space="preserve">               </w:t>
      </w:r>
      <w:r>
        <w:rPr>
          <w:rFonts w:ascii="宋体" w:hAnsi="宋体" w:cs="宋体"/>
          <w:color w:val="000000" w:themeColor="text1"/>
          <w:sz w:val="24"/>
        </w:rPr>
        <w:t xml:space="preserve">                     </w:t>
      </w:r>
    </w:p>
    <w:p>
      <w:pPr>
        <w:tabs>
          <w:tab w:val="left" w:pos="7200"/>
        </w:tabs>
        <w:spacing w:line="360" w:lineRule="auto"/>
        <w:ind w:firstLine="955" w:firstLineChars="398"/>
        <w:rPr>
          <w:rFonts w:ascii="宋体" w:cs="宋体"/>
          <w:color w:val="000000" w:themeColor="text1"/>
          <w:sz w:val="24"/>
        </w:rPr>
      </w:pPr>
      <w:r>
        <w:rPr>
          <w:rFonts w:ascii="宋体" w:hAnsi="宋体" w:cs="宋体"/>
          <w:color w:val="000000" w:themeColor="text1"/>
          <w:sz w:val="24"/>
        </w:rPr>
        <w:t xml:space="preserve">                                  </w:t>
      </w:r>
      <w:r>
        <w:rPr>
          <w:rFonts w:hint="eastAsia" w:ascii="宋体" w:hAnsi="宋体" w:cs="宋体"/>
          <w:color w:val="000000" w:themeColor="text1"/>
          <w:sz w:val="24"/>
        </w:rPr>
        <w:t>年</w:t>
      </w:r>
      <w:r>
        <w:rPr>
          <w:rFonts w:ascii="宋体" w:hAnsi="宋体" w:cs="宋体"/>
          <w:color w:val="000000" w:themeColor="text1"/>
          <w:sz w:val="24"/>
        </w:rPr>
        <w:t xml:space="preserve">    </w:t>
      </w:r>
      <w:r>
        <w:rPr>
          <w:rFonts w:hint="eastAsia" w:ascii="宋体" w:hAnsi="宋体" w:cs="宋体"/>
          <w:color w:val="000000" w:themeColor="text1"/>
          <w:sz w:val="24"/>
        </w:rPr>
        <w:t>月</w:t>
      </w:r>
      <w:r>
        <w:rPr>
          <w:rFonts w:ascii="宋体" w:hAnsi="宋体" w:cs="宋体"/>
          <w:color w:val="000000" w:themeColor="text1"/>
          <w:sz w:val="24"/>
        </w:rPr>
        <w:t xml:space="preserve">    </w:t>
      </w:r>
      <w:r>
        <w:rPr>
          <w:rFonts w:hint="eastAsia" w:ascii="宋体" w:hAnsi="宋体" w:cs="宋体"/>
          <w:color w:val="000000" w:themeColor="text1"/>
          <w:sz w:val="24"/>
        </w:rPr>
        <w:t>日</w:t>
      </w:r>
    </w:p>
    <w:p>
      <w:pPr>
        <w:pStyle w:val="16"/>
        <w:outlineLvl w:val="9"/>
        <w:rPr>
          <w:color w:val="000000" w:themeColor="text1"/>
        </w:rPr>
        <w:sectPr>
          <w:pgSz w:w="11906" w:h="16838"/>
          <w:pgMar w:top="1440" w:right="1080" w:bottom="1440" w:left="1080" w:header="720" w:footer="720" w:gutter="0"/>
          <w:cols w:space="720" w:num="1"/>
          <w:docGrid w:type="lines" w:linePitch="331" w:charSpace="0"/>
        </w:sectPr>
      </w:pPr>
    </w:p>
    <w:p>
      <w:pPr>
        <w:pStyle w:val="10"/>
        <w:spacing w:line="360" w:lineRule="auto"/>
        <w:rPr>
          <w:rFonts w:hAnsi="宋体"/>
          <w:b/>
          <w:color w:val="000000" w:themeColor="text1"/>
        </w:rPr>
      </w:pPr>
      <w:r>
        <w:rPr>
          <w:rFonts w:hint="eastAsia" w:hAnsi="宋体"/>
          <w:b/>
          <w:color w:val="000000" w:themeColor="text1"/>
        </w:rPr>
        <w:t>格式10：</w:t>
      </w:r>
    </w:p>
    <w:p>
      <w:pPr>
        <w:pStyle w:val="10"/>
        <w:spacing w:line="500" w:lineRule="exact"/>
        <w:jc w:val="center"/>
        <w:rPr>
          <w:rFonts w:hAnsi="宋体" w:cs="宋体"/>
          <w:b/>
          <w:bCs/>
          <w:color w:val="000000" w:themeColor="text1"/>
          <w:sz w:val="30"/>
          <w:szCs w:val="30"/>
        </w:rPr>
      </w:pPr>
      <w:r>
        <w:rPr>
          <w:rFonts w:hint="eastAsia" w:hAnsi="宋体" w:cs="宋体"/>
          <w:b/>
          <w:bCs/>
          <w:color w:val="000000" w:themeColor="text1"/>
          <w:sz w:val="30"/>
          <w:szCs w:val="30"/>
        </w:rPr>
        <w:t>磋商供应商直接控股、管理关系信息表（格式）</w:t>
      </w:r>
    </w:p>
    <w:p>
      <w:pPr>
        <w:snapToGrid w:val="0"/>
        <w:spacing w:before="50" w:afterLines="50"/>
        <w:jc w:val="center"/>
        <w:rPr>
          <w:rFonts w:ascii="宋体" w:hAnsi="宋体"/>
          <w:b/>
          <w:color w:val="000000" w:themeColor="text1"/>
          <w:sz w:val="28"/>
          <w:szCs w:val="28"/>
        </w:rPr>
      </w:pPr>
    </w:p>
    <w:p>
      <w:pPr>
        <w:snapToGrid w:val="0"/>
        <w:spacing w:before="50" w:afterLines="50"/>
        <w:jc w:val="center"/>
        <w:rPr>
          <w:rFonts w:ascii="宋体" w:hAnsi="宋体"/>
          <w:b/>
          <w:color w:val="000000" w:themeColor="text1"/>
          <w:sz w:val="28"/>
          <w:szCs w:val="28"/>
        </w:rPr>
      </w:pPr>
      <w:r>
        <w:rPr>
          <w:rFonts w:hint="eastAsia" w:ascii="宋体" w:hAnsi="宋体"/>
          <w:b/>
          <w:color w:val="000000" w:themeColor="text1"/>
          <w:sz w:val="28"/>
          <w:szCs w:val="28"/>
        </w:rPr>
        <w:t>磋商供应商直接控股股东信息表</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828"/>
        <w:gridCol w:w="2269"/>
        <w:gridCol w:w="1239"/>
        <w:gridCol w:w="3722"/>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blHeader/>
        </w:trPr>
        <w:tc>
          <w:tcPr>
            <w:tcW w:w="828" w:type="dxa"/>
            <w:tcBorders>
              <w:tl2br w:val="nil"/>
              <w:tr2bl w:val="nil"/>
            </w:tcBorders>
            <w:shd w:val="clear" w:color="auto" w:fill="FFFFFF"/>
            <w:tcMar>
              <w:top w:w="120" w:type="dxa"/>
              <w:left w:w="120" w:type="dxa"/>
              <w:bottom w:w="120" w:type="dxa"/>
              <w:right w:w="120" w:type="dxa"/>
            </w:tcMar>
            <w:vAlign w:val="center"/>
          </w:tcPr>
          <w:p>
            <w:pPr>
              <w:widowControl/>
              <w:wordWrap w:val="0"/>
              <w:spacing w:line="200" w:lineRule="atLeast"/>
              <w:jc w:val="center"/>
              <w:rPr>
                <w:rFonts w:ascii="宋体" w:hAnsi="宋体" w:cs="宋体"/>
                <w:color w:val="000000" w:themeColor="text1"/>
                <w:kern w:val="0"/>
                <w:sz w:val="24"/>
              </w:rPr>
            </w:pPr>
            <w:r>
              <w:rPr>
                <w:rFonts w:hint="eastAsia" w:ascii="宋体" w:hAnsi="宋体" w:cs="宋体"/>
                <w:color w:val="000000" w:themeColor="text1"/>
                <w:kern w:val="0"/>
                <w:sz w:val="24"/>
              </w:rPr>
              <w:t>序号</w:t>
            </w:r>
          </w:p>
        </w:tc>
        <w:tc>
          <w:tcPr>
            <w:tcW w:w="2269" w:type="dxa"/>
            <w:tcBorders>
              <w:tl2br w:val="nil"/>
              <w:tr2bl w:val="nil"/>
            </w:tcBorders>
            <w:shd w:val="clear" w:color="auto" w:fill="FFFFFF"/>
            <w:tcMar>
              <w:top w:w="120" w:type="dxa"/>
              <w:left w:w="120" w:type="dxa"/>
              <w:bottom w:w="120" w:type="dxa"/>
              <w:right w:w="120" w:type="dxa"/>
            </w:tcMar>
            <w:vAlign w:val="center"/>
          </w:tcPr>
          <w:p>
            <w:pPr>
              <w:widowControl/>
              <w:wordWrap w:val="0"/>
              <w:spacing w:line="200" w:lineRule="atLeast"/>
              <w:jc w:val="center"/>
              <w:rPr>
                <w:rFonts w:ascii="宋体" w:hAnsi="宋体" w:cs="宋体"/>
                <w:color w:val="000000" w:themeColor="text1"/>
                <w:kern w:val="0"/>
                <w:sz w:val="24"/>
              </w:rPr>
            </w:pPr>
            <w:r>
              <w:rPr>
                <w:rFonts w:hint="eastAsia" w:ascii="宋体" w:hAnsi="宋体" w:cs="宋体"/>
                <w:color w:val="000000" w:themeColor="text1"/>
                <w:kern w:val="0"/>
                <w:sz w:val="24"/>
              </w:rPr>
              <w:t>直接控股股东名称</w:t>
            </w:r>
          </w:p>
        </w:tc>
        <w:tc>
          <w:tcPr>
            <w:tcW w:w="1239" w:type="dxa"/>
            <w:tcBorders>
              <w:tl2br w:val="nil"/>
              <w:tr2bl w:val="nil"/>
            </w:tcBorders>
            <w:shd w:val="clear" w:color="auto" w:fill="FFFFFF"/>
            <w:tcMar>
              <w:top w:w="120" w:type="dxa"/>
              <w:left w:w="120" w:type="dxa"/>
              <w:bottom w:w="120" w:type="dxa"/>
              <w:right w:w="120" w:type="dxa"/>
            </w:tcMar>
            <w:vAlign w:val="center"/>
          </w:tcPr>
          <w:p>
            <w:pPr>
              <w:widowControl/>
              <w:wordWrap w:val="0"/>
              <w:spacing w:line="200" w:lineRule="atLeast"/>
              <w:jc w:val="center"/>
              <w:rPr>
                <w:rFonts w:ascii="宋体" w:hAnsi="宋体" w:cs="宋体"/>
                <w:color w:val="000000" w:themeColor="text1"/>
                <w:kern w:val="0"/>
                <w:sz w:val="24"/>
              </w:rPr>
            </w:pPr>
            <w:r>
              <w:rPr>
                <w:rFonts w:hint="eastAsia" w:ascii="宋体" w:hAnsi="宋体" w:cs="宋体"/>
                <w:color w:val="000000" w:themeColor="text1"/>
                <w:kern w:val="0"/>
                <w:sz w:val="24"/>
              </w:rPr>
              <w:t>出资比例</w:t>
            </w:r>
          </w:p>
        </w:tc>
        <w:tc>
          <w:tcPr>
            <w:tcW w:w="3722" w:type="dxa"/>
            <w:tcBorders>
              <w:tl2br w:val="nil"/>
              <w:tr2bl w:val="nil"/>
            </w:tcBorders>
            <w:shd w:val="clear" w:color="auto" w:fill="FFFFFF"/>
            <w:tcMar>
              <w:top w:w="120" w:type="dxa"/>
              <w:left w:w="120" w:type="dxa"/>
              <w:bottom w:w="120" w:type="dxa"/>
              <w:right w:w="120" w:type="dxa"/>
            </w:tcMar>
            <w:vAlign w:val="center"/>
          </w:tcPr>
          <w:p>
            <w:pPr>
              <w:widowControl/>
              <w:wordWrap w:val="0"/>
              <w:spacing w:line="200" w:lineRule="atLeast"/>
              <w:jc w:val="center"/>
              <w:rPr>
                <w:rFonts w:ascii="宋体" w:hAnsi="宋体" w:cs="宋体"/>
                <w:color w:val="000000" w:themeColor="text1"/>
                <w:kern w:val="0"/>
                <w:sz w:val="24"/>
              </w:rPr>
            </w:pPr>
            <w:r>
              <w:rPr>
                <w:rFonts w:hint="eastAsia" w:ascii="宋体" w:hAnsi="宋体" w:cs="宋体"/>
                <w:color w:val="000000" w:themeColor="text1"/>
                <w:kern w:val="0"/>
                <w:sz w:val="24"/>
              </w:rPr>
              <w:t>身份证号码或统一社会信用代码</w:t>
            </w:r>
          </w:p>
        </w:tc>
        <w:tc>
          <w:tcPr>
            <w:tcW w:w="1418" w:type="dxa"/>
            <w:tcBorders>
              <w:tl2br w:val="nil"/>
              <w:tr2bl w:val="nil"/>
            </w:tcBorders>
            <w:shd w:val="clear" w:color="auto" w:fill="FFFFFF"/>
            <w:tcMar>
              <w:top w:w="120" w:type="dxa"/>
              <w:left w:w="120" w:type="dxa"/>
              <w:bottom w:w="120" w:type="dxa"/>
              <w:right w:w="120" w:type="dxa"/>
            </w:tcMar>
            <w:vAlign w:val="center"/>
          </w:tcPr>
          <w:p>
            <w:pPr>
              <w:widowControl/>
              <w:wordWrap w:val="0"/>
              <w:spacing w:line="200" w:lineRule="atLeast"/>
              <w:jc w:val="center"/>
              <w:rPr>
                <w:rFonts w:ascii="宋体" w:hAnsi="宋体" w:cs="宋体"/>
                <w:color w:val="000000" w:themeColor="text1"/>
                <w:kern w:val="0"/>
                <w:sz w:val="24"/>
              </w:rPr>
            </w:pPr>
            <w:r>
              <w:rPr>
                <w:rFonts w:hint="eastAsia" w:ascii="宋体" w:hAnsi="宋体" w:cs="宋体"/>
                <w:color w:val="000000" w:themeColor="text1"/>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828" w:type="dxa"/>
            <w:tcBorders>
              <w:tl2br w:val="nil"/>
              <w:tr2bl w:val="nil"/>
            </w:tcBorders>
            <w:shd w:val="clear" w:color="auto" w:fill="FFFFFF"/>
            <w:tcMar>
              <w:top w:w="120" w:type="dxa"/>
              <w:left w:w="120" w:type="dxa"/>
              <w:bottom w:w="120" w:type="dxa"/>
              <w:right w:w="120" w:type="dxa"/>
            </w:tcMar>
            <w:vAlign w:val="center"/>
          </w:tcPr>
          <w:p>
            <w:pPr>
              <w:widowControl/>
              <w:wordWrap w:val="0"/>
              <w:spacing w:line="200" w:lineRule="atLeast"/>
              <w:jc w:val="center"/>
              <w:rPr>
                <w:rFonts w:ascii="宋体" w:hAnsi="宋体" w:cs="宋体"/>
                <w:color w:val="000000" w:themeColor="text1"/>
                <w:kern w:val="0"/>
                <w:sz w:val="24"/>
              </w:rPr>
            </w:pPr>
            <w:r>
              <w:rPr>
                <w:rFonts w:hint="eastAsia" w:ascii="宋体" w:hAnsi="宋体" w:cs="宋体"/>
                <w:color w:val="000000" w:themeColor="text1"/>
                <w:kern w:val="0"/>
                <w:sz w:val="24"/>
              </w:rPr>
              <w:t>1</w:t>
            </w:r>
          </w:p>
        </w:tc>
        <w:tc>
          <w:tcPr>
            <w:tcW w:w="2269" w:type="dxa"/>
            <w:tcBorders>
              <w:tl2br w:val="nil"/>
              <w:tr2bl w:val="nil"/>
            </w:tcBorders>
            <w:shd w:val="clear" w:color="auto" w:fill="FFFFFF"/>
            <w:tcMar>
              <w:top w:w="120" w:type="dxa"/>
              <w:left w:w="120" w:type="dxa"/>
              <w:bottom w:w="120" w:type="dxa"/>
              <w:right w:w="120" w:type="dxa"/>
            </w:tcMar>
            <w:vAlign w:val="center"/>
          </w:tcPr>
          <w:p>
            <w:pPr>
              <w:widowControl/>
              <w:wordWrap w:val="0"/>
              <w:spacing w:line="200" w:lineRule="atLeast"/>
              <w:jc w:val="center"/>
              <w:rPr>
                <w:rFonts w:ascii="宋体" w:hAnsi="宋体" w:cs="宋体"/>
                <w:color w:val="000000" w:themeColor="text1"/>
                <w:kern w:val="0"/>
                <w:sz w:val="24"/>
              </w:rPr>
            </w:pPr>
          </w:p>
        </w:tc>
        <w:tc>
          <w:tcPr>
            <w:tcW w:w="1239" w:type="dxa"/>
            <w:tcBorders>
              <w:tl2br w:val="nil"/>
              <w:tr2bl w:val="nil"/>
            </w:tcBorders>
            <w:shd w:val="clear" w:color="auto" w:fill="FFFFFF"/>
            <w:tcMar>
              <w:top w:w="120" w:type="dxa"/>
              <w:left w:w="120" w:type="dxa"/>
              <w:bottom w:w="120" w:type="dxa"/>
              <w:right w:w="120" w:type="dxa"/>
            </w:tcMar>
            <w:vAlign w:val="center"/>
          </w:tcPr>
          <w:p>
            <w:pPr>
              <w:widowControl/>
              <w:wordWrap w:val="0"/>
              <w:spacing w:line="200" w:lineRule="atLeast"/>
              <w:jc w:val="center"/>
              <w:rPr>
                <w:rFonts w:ascii="宋体" w:hAnsi="宋体" w:cs="宋体"/>
                <w:color w:val="000000" w:themeColor="text1"/>
                <w:kern w:val="0"/>
                <w:sz w:val="24"/>
              </w:rPr>
            </w:pPr>
          </w:p>
        </w:tc>
        <w:tc>
          <w:tcPr>
            <w:tcW w:w="3722" w:type="dxa"/>
            <w:tcBorders>
              <w:tl2br w:val="nil"/>
              <w:tr2bl w:val="nil"/>
            </w:tcBorders>
            <w:shd w:val="clear" w:color="auto" w:fill="FFFFFF"/>
            <w:tcMar>
              <w:top w:w="120" w:type="dxa"/>
              <w:left w:w="120" w:type="dxa"/>
              <w:bottom w:w="120" w:type="dxa"/>
              <w:right w:w="120" w:type="dxa"/>
            </w:tcMar>
            <w:vAlign w:val="center"/>
          </w:tcPr>
          <w:p>
            <w:pPr>
              <w:widowControl/>
              <w:wordWrap w:val="0"/>
              <w:spacing w:line="200" w:lineRule="atLeast"/>
              <w:jc w:val="center"/>
              <w:rPr>
                <w:rFonts w:ascii="宋体" w:hAnsi="宋体" w:cs="宋体"/>
                <w:color w:val="000000" w:themeColor="text1"/>
                <w:kern w:val="0"/>
                <w:sz w:val="24"/>
              </w:rPr>
            </w:pPr>
          </w:p>
        </w:tc>
        <w:tc>
          <w:tcPr>
            <w:tcW w:w="1418" w:type="dxa"/>
            <w:tcBorders>
              <w:tl2br w:val="nil"/>
              <w:tr2bl w:val="nil"/>
            </w:tcBorders>
            <w:shd w:val="clear" w:color="auto" w:fill="FFFFFF"/>
            <w:tcMar>
              <w:top w:w="120" w:type="dxa"/>
              <w:left w:w="120" w:type="dxa"/>
              <w:bottom w:w="120" w:type="dxa"/>
              <w:right w:w="120" w:type="dxa"/>
            </w:tcMar>
            <w:vAlign w:val="center"/>
          </w:tcPr>
          <w:p>
            <w:pPr>
              <w:widowControl/>
              <w:wordWrap w:val="0"/>
              <w:spacing w:line="200" w:lineRule="atLeast"/>
              <w:jc w:val="center"/>
              <w:rPr>
                <w:rFonts w:ascii="宋体" w:hAnsi="宋体" w:cs="宋体"/>
                <w:color w:val="000000" w:themeColor="text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828" w:type="dxa"/>
            <w:tcBorders>
              <w:tl2br w:val="nil"/>
              <w:tr2bl w:val="nil"/>
            </w:tcBorders>
            <w:shd w:val="clear" w:color="auto" w:fill="FFFFFF"/>
            <w:tcMar>
              <w:top w:w="120" w:type="dxa"/>
              <w:left w:w="120" w:type="dxa"/>
              <w:bottom w:w="120" w:type="dxa"/>
              <w:right w:w="120" w:type="dxa"/>
            </w:tcMar>
            <w:vAlign w:val="center"/>
          </w:tcPr>
          <w:p>
            <w:pPr>
              <w:widowControl/>
              <w:wordWrap w:val="0"/>
              <w:spacing w:line="200" w:lineRule="atLeast"/>
              <w:jc w:val="center"/>
              <w:rPr>
                <w:rFonts w:ascii="宋体" w:hAnsi="宋体" w:cs="宋体"/>
                <w:color w:val="000000" w:themeColor="text1"/>
                <w:kern w:val="0"/>
                <w:sz w:val="24"/>
              </w:rPr>
            </w:pPr>
            <w:r>
              <w:rPr>
                <w:rFonts w:hint="eastAsia" w:ascii="宋体" w:hAnsi="宋体" w:cs="宋体"/>
                <w:color w:val="000000" w:themeColor="text1"/>
                <w:kern w:val="0"/>
                <w:sz w:val="24"/>
              </w:rPr>
              <w:t>2</w:t>
            </w:r>
          </w:p>
        </w:tc>
        <w:tc>
          <w:tcPr>
            <w:tcW w:w="2269" w:type="dxa"/>
            <w:tcBorders>
              <w:tl2br w:val="nil"/>
              <w:tr2bl w:val="nil"/>
            </w:tcBorders>
            <w:shd w:val="clear" w:color="auto" w:fill="FFFFFF"/>
            <w:tcMar>
              <w:top w:w="120" w:type="dxa"/>
              <w:left w:w="120" w:type="dxa"/>
              <w:bottom w:w="120" w:type="dxa"/>
              <w:right w:w="120" w:type="dxa"/>
            </w:tcMar>
            <w:vAlign w:val="center"/>
          </w:tcPr>
          <w:p>
            <w:pPr>
              <w:widowControl/>
              <w:wordWrap w:val="0"/>
              <w:spacing w:line="200" w:lineRule="atLeast"/>
              <w:jc w:val="center"/>
              <w:rPr>
                <w:rFonts w:ascii="宋体" w:hAnsi="宋体" w:cs="宋体"/>
                <w:color w:val="000000" w:themeColor="text1"/>
                <w:kern w:val="0"/>
                <w:sz w:val="24"/>
              </w:rPr>
            </w:pPr>
          </w:p>
        </w:tc>
        <w:tc>
          <w:tcPr>
            <w:tcW w:w="1239" w:type="dxa"/>
            <w:tcBorders>
              <w:tl2br w:val="nil"/>
              <w:tr2bl w:val="nil"/>
            </w:tcBorders>
            <w:shd w:val="clear" w:color="auto" w:fill="FFFFFF"/>
            <w:tcMar>
              <w:top w:w="120" w:type="dxa"/>
              <w:left w:w="120" w:type="dxa"/>
              <w:bottom w:w="120" w:type="dxa"/>
              <w:right w:w="120" w:type="dxa"/>
            </w:tcMar>
            <w:vAlign w:val="center"/>
          </w:tcPr>
          <w:p>
            <w:pPr>
              <w:widowControl/>
              <w:wordWrap w:val="0"/>
              <w:spacing w:line="200" w:lineRule="atLeast"/>
              <w:jc w:val="center"/>
              <w:rPr>
                <w:rFonts w:ascii="宋体" w:hAnsi="宋体" w:cs="宋体"/>
                <w:color w:val="000000" w:themeColor="text1"/>
                <w:kern w:val="0"/>
                <w:sz w:val="24"/>
              </w:rPr>
            </w:pPr>
          </w:p>
        </w:tc>
        <w:tc>
          <w:tcPr>
            <w:tcW w:w="3722" w:type="dxa"/>
            <w:tcBorders>
              <w:tl2br w:val="nil"/>
              <w:tr2bl w:val="nil"/>
            </w:tcBorders>
            <w:shd w:val="clear" w:color="auto" w:fill="FFFFFF"/>
            <w:tcMar>
              <w:top w:w="120" w:type="dxa"/>
              <w:left w:w="120" w:type="dxa"/>
              <w:bottom w:w="120" w:type="dxa"/>
              <w:right w:w="120" w:type="dxa"/>
            </w:tcMar>
            <w:vAlign w:val="center"/>
          </w:tcPr>
          <w:p>
            <w:pPr>
              <w:widowControl/>
              <w:wordWrap w:val="0"/>
              <w:spacing w:line="200" w:lineRule="atLeast"/>
              <w:jc w:val="center"/>
              <w:rPr>
                <w:rFonts w:ascii="宋体" w:hAnsi="宋体" w:cs="宋体"/>
                <w:color w:val="000000" w:themeColor="text1"/>
                <w:kern w:val="0"/>
                <w:sz w:val="24"/>
              </w:rPr>
            </w:pPr>
          </w:p>
        </w:tc>
        <w:tc>
          <w:tcPr>
            <w:tcW w:w="1418" w:type="dxa"/>
            <w:tcBorders>
              <w:tl2br w:val="nil"/>
              <w:tr2bl w:val="nil"/>
            </w:tcBorders>
            <w:shd w:val="clear" w:color="auto" w:fill="FFFFFF"/>
            <w:tcMar>
              <w:top w:w="120" w:type="dxa"/>
              <w:left w:w="120" w:type="dxa"/>
              <w:bottom w:w="120" w:type="dxa"/>
              <w:right w:w="120" w:type="dxa"/>
            </w:tcMar>
            <w:vAlign w:val="center"/>
          </w:tcPr>
          <w:p>
            <w:pPr>
              <w:widowControl/>
              <w:wordWrap w:val="0"/>
              <w:spacing w:line="200" w:lineRule="atLeast"/>
              <w:jc w:val="center"/>
              <w:rPr>
                <w:rFonts w:ascii="宋体" w:hAnsi="宋体" w:cs="宋体"/>
                <w:color w:val="000000" w:themeColor="text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828" w:type="dxa"/>
            <w:tcBorders>
              <w:tl2br w:val="nil"/>
              <w:tr2bl w:val="nil"/>
            </w:tcBorders>
            <w:shd w:val="clear" w:color="auto" w:fill="FFFFFF"/>
            <w:tcMar>
              <w:top w:w="120" w:type="dxa"/>
              <w:left w:w="120" w:type="dxa"/>
              <w:bottom w:w="120" w:type="dxa"/>
              <w:right w:w="120" w:type="dxa"/>
            </w:tcMar>
            <w:vAlign w:val="center"/>
          </w:tcPr>
          <w:p>
            <w:pPr>
              <w:widowControl/>
              <w:wordWrap w:val="0"/>
              <w:spacing w:line="200" w:lineRule="atLeast"/>
              <w:jc w:val="center"/>
              <w:rPr>
                <w:rFonts w:ascii="宋体" w:hAnsi="宋体" w:cs="宋体"/>
                <w:color w:val="000000" w:themeColor="text1"/>
                <w:kern w:val="0"/>
                <w:sz w:val="24"/>
              </w:rPr>
            </w:pPr>
            <w:r>
              <w:rPr>
                <w:rFonts w:hint="eastAsia" w:ascii="宋体" w:hAnsi="宋体" w:cs="宋体"/>
                <w:color w:val="000000" w:themeColor="text1"/>
                <w:kern w:val="0"/>
                <w:sz w:val="24"/>
              </w:rPr>
              <w:t>3</w:t>
            </w:r>
          </w:p>
        </w:tc>
        <w:tc>
          <w:tcPr>
            <w:tcW w:w="2269" w:type="dxa"/>
            <w:tcBorders>
              <w:tl2br w:val="nil"/>
              <w:tr2bl w:val="nil"/>
            </w:tcBorders>
            <w:shd w:val="clear" w:color="auto" w:fill="FFFFFF"/>
            <w:tcMar>
              <w:top w:w="120" w:type="dxa"/>
              <w:left w:w="120" w:type="dxa"/>
              <w:bottom w:w="120" w:type="dxa"/>
              <w:right w:w="120" w:type="dxa"/>
            </w:tcMar>
            <w:vAlign w:val="center"/>
          </w:tcPr>
          <w:p>
            <w:pPr>
              <w:widowControl/>
              <w:wordWrap w:val="0"/>
              <w:spacing w:line="200" w:lineRule="atLeast"/>
              <w:jc w:val="center"/>
              <w:rPr>
                <w:rFonts w:ascii="宋体" w:hAnsi="宋体" w:cs="宋体"/>
                <w:color w:val="000000" w:themeColor="text1"/>
                <w:kern w:val="0"/>
                <w:sz w:val="24"/>
              </w:rPr>
            </w:pPr>
          </w:p>
        </w:tc>
        <w:tc>
          <w:tcPr>
            <w:tcW w:w="1239" w:type="dxa"/>
            <w:tcBorders>
              <w:tl2br w:val="nil"/>
              <w:tr2bl w:val="nil"/>
            </w:tcBorders>
            <w:shd w:val="clear" w:color="auto" w:fill="FFFFFF"/>
            <w:tcMar>
              <w:top w:w="120" w:type="dxa"/>
              <w:left w:w="120" w:type="dxa"/>
              <w:bottom w:w="120" w:type="dxa"/>
              <w:right w:w="120" w:type="dxa"/>
            </w:tcMar>
            <w:vAlign w:val="center"/>
          </w:tcPr>
          <w:p>
            <w:pPr>
              <w:widowControl/>
              <w:wordWrap w:val="0"/>
              <w:spacing w:line="200" w:lineRule="atLeast"/>
              <w:jc w:val="center"/>
              <w:rPr>
                <w:rFonts w:ascii="宋体" w:hAnsi="宋体" w:cs="宋体"/>
                <w:color w:val="000000" w:themeColor="text1"/>
                <w:kern w:val="0"/>
                <w:sz w:val="24"/>
              </w:rPr>
            </w:pPr>
          </w:p>
        </w:tc>
        <w:tc>
          <w:tcPr>
            <w:tcW w:w="3722" w:type="dxa"/>
            <w:tcBorders>
              <w:tl2br w:val="nil"/>
              <w:tr2bl w:val="nil"/>
            </w:tcBorders>
            <w:shd w:val="clear" w:color="auto" w:fill="FFFFFF"/>
            <w:tcMar>
              <w:top w:w="120" w:type="dxa"/>
              <w:left w:w="120" w:type="dxa"/>
              <w:bottom w:w="120" w:type="dxa"/>
              <w:right w:w="120" w:type="dxa"/>
            </w:tcMar>
            <w:vAlign w:val="center"/>
          </w:tcPr>
          <w:p>
            <w:pPr>
              <w:widowControl/>
              <w:wordWrap w:val="0"/>
              <w:spacing w:line="200" w:lineRule="atLeast"/>
              <w:jc w:val="center"/>
              <w:rPr>
                <w:rFonts w:ascii="宋体" w:hAnsi="宋体" w:cs="宋体"/>
                <w:color w:val="000000" w:themeColor="text1"/>
                <w:kern w:val="0"/>
                <w:sz w:val="24"/>
              </w:rPr>
            </w:pPr>
          </w:p>
        </w:tc>
        <w:tc>
          <w:tcPr>
            <w:tcW w:w="1418" w:type="dxa"/>
            <w:tcBorders>
              <w:tl2br w:val="nil"/>
              <w:tr2bl w:val="nil"/>
            </w:tcBorders>
            <w:shd w:val="clear" w:color="auto" w:fill="FFFFFF"/>
            <w:tcMar>
              <w:top w:w="120" w:type="dxa"/>
              <w:left w:w="120" w:type="dxa"/>
              <w:bottom w:w="120" w:type="dxa"/>
              <w:right w:w="120" w:type="dxa"/>
            </w:tcMar>
            <w:vAlign w:val="center"/>
          </w:tcPr>
          <w:p>
            <w:pPr>
              <w:widowControl/>
              <w:wordWrap w:val="0"/>
              <w:spacing w:line="200" w:lineRule="atLeast"/>
              <w:jc w:val="center"/>
              <w:rPr>
                <w:rFonts w:ascii="宋体" w:hAnsi="宋体" w:cs="宋体"/>
                <w:color w:val="000000" w:themeColor="text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828" w:type="dxa"/>
            <w:tcBorders>
              <w:tl2br w:val="nil"/>
              <w:tr2bl w:val="nil"/>
            </w:tcBorders>
            <w:shd w:val="clear" w:color="auto" w:fill="FFFFFF"/>
            <w:tcMar>
              <w:top w:w="120" w:type="dxa"/>
              <w:left w:w="120" w:type="dxa"/>
              <w:bottom w:w="120" w:type="dxa"/>
              <w:right w:w="120" w:type="dxa"/>
            </w:tcMar>
            <w:vAlign w:val="center"/>
          </w:tcPr>
          <w:p>
            <w:pPr>
              <w:widowControl/>
              <w:wordWrap w:val="0"/>
              <w:spacing w:line="200" w:lineRule="atLeast"/>
              <w:jc w:val="center"/>
              <w:rPr>
                <w:rFonts w:ascii="宋体" w:hAnsi="宋体" w:cs="宋体"/>
                <w:color w:val="000000" w:themeColor="text1"/>
                <w:kern w:val="0"/>
                <w:sz w:val="24"/>
              </w:rPr>
            </w:pPr>
            <w:r>
              <w:rPr>
                <w:rFonts w:hint="eastAsia" w:ascii="宋体" w:hAnsi="宋体" w:cs="宋体"/>
                <w:color w:val="000000" w:themeColor="text1"/>
                <w:kern w:val="0"/>
                <w:sz w:val="24"/>
              </w:rPr>
              <w:t>……</w:t>
            </w:r>
          </w:p>
        </w:tc>
        <w:tc>
          <w:tcPr>
            <w:tcW w:w="2269" w:type="dxa"/>
            <w:tcBorders>
              <w:tl2br w:val="nil"/>
              <w:tr2bl w:val="nil"/>
            </w:tcBorders>
            <w:shd w:val="clear" w:color="auto" w:fill="FFFFFF"/>
            <w:tcMar>
              <w:top w:w="120" w:type="dxa"/>
              <w:left w:w="120" w:type="dxa"/>
              <w:bottom w:w="120" w:type="dxa"/>
              <w:right w:w="120" w:type="dxa"/>
            </w:tcMar>
            <w:vAlign w:val="center"/>
          </w:tcPr>
          <w:p>
            <w:pPr>
              <w:widowControl/>
              <w:wordWrap w:val="0"/>
              <w:spacing w:line="200" w:lineRule="atLeast"/>
              <w:jc w:val="center"/>
              <w:rPr>
                <w:rFonts w:ascii="宋体" w:hAnsi="宋体" w:cs="宋体"/>
                <w:color w:val="000000" w:themeColor="text1"/>
                <w:kern w:val="0"/>
                <w:sz w:val="24"/>
              </w:rPr>
            </w:pPr>
          </w:p>
        </w:tc>
        <w:tc>
          <w:tcPr>
            <w:tcW w:w="1239" w:type="dxa"/>
            <w:tcBorders>
              <w:tl2br w:val="nil"/>
              <w:tr2bl w:val="nil"/>
            </w:tcBorders>
            <w:shd w:val="clear" w:color="auto" w:fill="FFFFFF"/>
            <w:tcMar>
              <w:top w:w="120" w:type="dxa"/>
              <w:left w:w="120" w:type="dxa"/>
              <w:bottom w:w="120" w:type="dxa"/>
              <w:right w:w="120" w:type="dxa"/>
            </w:tcMar>
            <w:vAlign w:val="center"/>
          </w:tcPr>
          <w:p>
            <w:pPr>
              <w:widowControl/>
              <w:wordWrap w:val="0"/>
              <w:spacing w:line="200" w:lineRule="atLeast"/>
              <w:jc w:val="center"/>
              <w:rPr>
                <w:rFonts w:ascii="宋体" w:hAnsi="宋体" w:cs="宋体"/>
                <w:color w:val="000000" w:themeColor="text1"/>
                <w:kern w:val="0"/>
                <w:sz w:val="24"/>
              </w:rPr>
            </w:pPr>
          </w:p>
        </w:tc>
        <w:tc>
          <w:tcPr>
            <w:tcW w:w="3722" w:type="dxa"/>
            <w:tcBorders>
              <w:tl2br w:val="nil"/>
              <w:tr2bl w:val="nil"/>
            </w:tcBorders>
            <w:shd w:val="clear" w:color="auto" w:fill="FFFFFF"/>
            <w:tcMar>
              <w:top w:w="120" w:type="dxa"/>
              <w:left w:w="120" w:type="dxa"/>
              <w:bottom w:w="120" w:type="dxa"/>
              <w:right w:w="120" w:type="dxa"/>
            </w:tcMar>
            <w:vAlign w:val="center"/>
          </w:tcPr>
          <w:p>
            <w:pPr>
              <w:widowControl/>
              <w:wordWrap w:val="0"/>
              <w:spacing w:line="200" w:lineRule="atLeast"/>
              <w:jc w:val="center"/>
              <w:rPr>
                <w:rFonts w:ascii="宋体" w:hAnsi="宋体" w:cs="宋体"/>
                <w:color w:val="000000" w:themeColor="text1"/>
                <w:kern w:val="0"/>
                <w:sz w:val="24"/>
              </w:rPr>
            </w:pPr>
          </w:p>
        </w:tc>
        <w:tc>
          <w:tcPr>
            <w:tcW w:w="1418" w:type="dxa"/>
            <w:tcBorders>
              <w:tl2br w:val="nil"/>
              <w:tr2bl w:val="nil"/>
            </w:tcBorders>
            <w:shd w:val="clear" w:color="auto" w:fill="FFFFFF"/>
            <w:tcMar>
              <w:top w:w="120" w:type="dxa"/>
              <w:left w:w="120" w:type="dxa"/>
              <w:bottom w:w="120" w:type="dxa"/>
              <w:right w:w="120" w:type="dxa"/>
            </w:tcMar>
            <w:vAlign w:val="center"/>
          </w:tcPr>
          <w:p>
            <w:pPr>
              <w:widowControl/>
              <w:wordWrap w:val="0"/>
              <w:spacing w:line="200" w:lineRule="atLeast"/>
              <w:jc w:val="center"/>
              <w:rPr>
                <w:rFonts w:ascii="宋体" w:hAnsi="宋体" w:cs="宋体"/>
                <w:color w:val="000000" w:themeColor="text1"/>
                <w:kern w:val="0"/>
                <w:sz w:val="24"/>
              </w:rPr>
            </w:pPr>
          </w:p>
        </w:tc>
      </w:tr>
    </w:tbl>
    <w:p>
      <w:pPr>
        <w:snapToGrid w:val="0"/>
        <w:jc w:val="left"/>
        <w:rPr>
          <w:rFonts w:ascii="宋体" w:hAnsi="宋体"/>
          <w:color w:val="000000" w:themeColor="text1"/>
          <w:sz w:val="24"/>
        </w:rPr>
      </w:pPr>
      <w:r>
        <w:rPr>
          <w:rFonts w:hint="eastAsia" w:ascii="宋体" w:hAnsi="宋体"/>
          <w:color w:val="000000" w:themeColor="text1"/>
          <w:sz w:val="24"/>
        </w:rPr>
        <w:t>注：</w:t>
      </w:r>
    </w:p>
    <w:p>
      <w:pPr>
        <w:snapToGrid w:val="0"/>
        <w:jc w:val="left"/>
        <w:rPr>
          <w:rFonts w:ascii="宋体" w:hAnsi="宋体"/>
          <w:color w:val="000000" w:themeColor="text1"/>
          <w:sz w:val="24"/>
        </w:rPr>
      </w:pPr>
      <w:r>
        <w:rPr>
          <w:rFonts w:hint="eastAsia" w:ascii="宋体" w:hAnsi="宋体"/>
          <w:color w:val="000000" w:themeColor="text1"/>
          <w:sz w:val="24"/>
        </w:rPr>
        <w:t>1.直接控股股东：是指其出资额占有限责任公司资本总额百分之五十以上或者其持有的股份占股份有限公司股份总额百分之五十以上的股东；出资额或者持有股份的比例虽然不足百分之五十，但依其出资额或者持有的股份所享有的表决权已足以对股东会、股东大会的决议产生重大影响的股东。</w:t>
      </w:r>
    </w:p>
    <w:p>
      <w:pPr>
        <w:snapToGrid w:val="0"/>
        <w:jc w:val="left"/>
        <w:rPr>
          <w:rFonts w:ascii="宋体" w:hAnsi="宋体"/>
          <w:color w:val="000000" w:themeColor="text1"/>
          <w:sz w:val="24"/>
        </w:rPr>
      </w:pPr>
      <w:r>
        <w:rPr>
          <w:rFonts w:hint="eastAsia" w:ascii="宋体" w:hAnsi="宋体"/>
          <w:color w:val="000000" w:themeColor="text1"/>
          <w:sz w:val="24"/>
        </w:rPr>
        <w:t>2.本表所指的控股关系仅限于直接控股关系，不包括间接的控股关系。公司实际控制人与公司之间的关系不属于本表所指的直接控股关系。</w:t>
      </w:r>
    </w:p>
    <w:p>
      <w:pPr>
        <w:snapToGrid w:val="0"/>
        <w:jc w:val="left"/>
        <w:rPr>
          <w:rFonts w:ascii="宋体" w:hAnsi="宋体"/>
          <w:color w:val="000000" w:themeColor="text1"/>
          <w:sz w:val="24"/>
        </w:rPr>
      </w:pPr>
    </w:p>
    <w:p>
      <w:pPr>
        <w:snapToGrid w:val="0"/>
        <w:jc w:val="left"/>
        <w:rPr>
          <w:rFonts w:ascii="宋体" w:hAnsi="宋体"/>
          <w:color w:val="000000" w:themeColor="text1"/>
          <w:sz w:val="24"/>
        </w:rPr>
      </w:pPr>
    </w:p>
    <w:p>
      <w:pPr>
        <w:snapToGrid w:val="0"/>
        <w:jc w:val="left"/>
        <w:rPr>
          <w:rFonts w:ascii="宋体" w:hAnsi="宋体"/>
          <w:color w:val="000000" w:themeColor="text1"/>
          <w:sz w:val="24"/>
        </w:rPr>
      </w:pPr>
    </w:p>
    <w:p>
      <w:pPr>
        <w:snapToGrid w:val="0"/>
        <w:jc w:val="left"/>
        <w:rPr>
          <w:rFonts w:ascii="宋体" w:hAnsi="宋体"/>
          <w:color w:val="000000" w:themeColor="text1"/>
          <w:sz w:val="24"/>
        </w:rPr>
      </w:pPr>
    </w:p>
    <w:p>
      <w:pPr>
        <w:snapToGrid w:val="0"/>
        <w:jc w:val="left"/>
        <w:rPr>
          <w:rFonts w:ascii="宋体" w:hAnsi="宋体"/>
          <w:color w:val="000000" w:themeColor="text1"/>
          <w:sz w:val="24"/>
        </w:rPr>
      </w:pPr>
    </w:p>
    <w:p>
      <w:pPr>
        <w:snapToGrid w:val="0"/>
        <w:jc w:val="left"/>
        <w:rPr>
          <w:rFonts w:ascii="宋体" w:hAnsi="宋体"/>
          <w:color w:val="000000" w:themeColor="text1"/>
          <w:sz w:val="24"/>
        </w:rPr>
      </w:pPr>
    </w:p>
    <w:p>
      <w:pPr>
        <w:snapToGrid w:val="0"/>
        <w:jc w:val="left"/>
        <w:rPr>
          <w:rFonts w:ascii="宋体" w:hAnsi="宋体"/>
          <w:color w:val="000000" w:themeColor="text1"/>
          <w:sz w:val="24"/>
        </w:rPr>
      </w:pPr>
    </w:p>
    <w:p>
      <w:pPr>
        <w:pStyle w:val="10"/>
        <w:spacing w:line="600" w:lineRule="exact"/>
        <w:rPr>
          <w:rFonts w:hAnsi="宋体" w:cs="宋体"/>
          <w:color w:val="000000" w:themeColor="text1"/>
          <w:sz w:val="24"/>
          <w:szCs w:val="24"/>
          <w:u w:val="single"/>
        </w:rPr>
      </w:pPr>
      <w:r>
        <w:rPr>
          <w:rFonts w:hint="eastAsia" w:hAnsi="宋体" w:cs="宋体"/>
          <w:color w:val="000000" w:themeColor="text1"/>
          <w:sz w:val="24"/>
          <w:szCs w:val="24"/>
        </w:rPr>
        <w:t>磋商供应商（盖单位公章）：</w:t>
      </w:r>
      <w:r>
        <w:rPr>
          <w:rFonts w:hAnsi="宋体" w:cs="宋体"/>
          <w:color w:val="000000" w:themeColor="text1"/>
          <w:sz w:val="24"/>
          <w:szCs w:val="24"/>
          <w:u w:val="single"/>
        </w:rPr>
        <w:t xml:space="preserve">                                    </w:t>
      </w:r>
    </w:p>
    <w:p>
      <w:pPr>
        <w:pStyle w:val="10"/>
        <w:spacing w:line="600" w:lineRule="exact"/>
        <w:rPr>
          <w:rFonts w:hAnsi="宋体" w:cs="宋体"/>
          <w:color w:val="000000" w:themeColor="text1"/>
          <w:sz w:val="24"/>
          <w:szCs w:val="24"/>
        </w:rPr>
      </w:pPr>
    </w:p>
    <w:p>
      <w:pPr>
        <w:pStyle w:val="10"/>
        <w:spacing w:line="600" w:lineRule="exact"/>
        <w:rPr>
          <w:rFonts w:hAnsi="宋体" w:cs="宋体"/>
          <w:color w:val="000000" w:themeColor="text1"/>
          <w:sz w:val="24"/>
          <w:szCs w:val="24"/>
          <w:u w:val="single"/>
        </w:rPr>
      </w:pPr>
      <w:r>
        <w:rPr>
          <w:rFonts w:hint="eastAsia" w:hAnsi="宋体" w:cs="宋体"/>
          <w:color w:val="000000" w:themeColor="text1"/>
          <w:sz w:val="24"/>
          <w:szCs w:val="24"/>
        </w:rPr>
        <w:t>法定代表人或其委托代理人（签字或盖章）：</w:t>
      </w:r>
      <w:r>
        <w:rPr>
          <w:rFonts w:hAnsi="宋体" w:cs="宋体"/>
          <w:color w:val="000000" w:themeColor="text1"/>
          <w:sz w:val="24"/>
          <w:szCs w:val="24"/>
          <w:u w:val="single"/>
        </w:rPr>
        <w:t xml:space="preserve">                  </w:t>
      </w:r>
    </w:p>
    <w:p>
      <w:pPr>
        <w:snapToGrid w:val="0"/>
        <w:spacing w:beforeLines="50" w:after="50"/>
        <w:ind w:right="480" w:firstLine="5520" w:firstLineChars="2300"/>
        <w:rPr>
          <w:rFonts w:ascii="宋体" w:hAnsi="宋体"/>
          <w:color w:val="000000" w:themeColor="text1"/>
          <w:sz w:val="24"/>
        </w:rPr>
      </w:pPr>
    </w:p>
    <w:p>
      <w:pPr>
        <w:snapToGrid w:val="0"/>
        <w:spacing w:beforeLines="50" w:after="50"/>
        <w:ind w:right="480" w:firstLine="240" w:firstLineChars="100"/>
        <w:jc w:val="left"/>
        <w:rPr>
          <w:rFonts w:ascii="宋体" w:hAnsi="宋体"/>
          <w:color w:val="000000" w:themeColor="text1"/>
          <w:szCs w:val="21"/>
        </w:rPr>
      </w:pPr>
      <w:r>
        <w:rPr>
          <w:rFonts w:hint="eastAsia" w:ascii="宋体" w:hAnsi="宋体"/>
          <w:color w:val="000000" w:themeColor="text1"/>
          <w:sz w:val="24"/>
        </w:rPr>
        <w:t>年    月    日</w:t>
      </w:r>
    </w:p>
    <w:p>
      <w:pPr>
        <w:snapToGrid w:val="0"/>
        <w:jc w:val="center"/>
        <w:rPr>
          <w:rFonts w:ascii="宋体" w:hAnsi="宋体"/>
          <w:color w:val="000000" w:themeColor="text1"/>
        </w:rPr>
      </w:pPr>
      <w:r>
        <w:rPr>
          <w:rFonts w:ascii="宋体" w:hAnsi="宋体"/>
          <w:b/>
          <w:color w:val="000000" w:themeColor="text1"/>
          <w:sz w:val="28"/>
          <w:szCs w:val="28"/>
        </w:rPr>
        <w:br w:type="page"/>
      </w:r>
      <w:r>
        <w:rPr>
          <w:rFonts w:hint="eastAsia" w:ascii="宋体" w:hAnsi="宋体"/>
          <w:b/>
          <w:color w:val="000000" w:themeColor="text1"/>
          <w:sz w:val="28"/>
          <w:szCs w:val="28"/>
        </w:rPr>
        <w:t>磋商供应商直接管理关系信息表</w:t>
      </w:r>
    </w:p>
    <w:tbl>
      <w:tblPr>
        <w:tblStyle w:val="18"/>
        <w:tblW w:w="0" w:type="auto"/>
        <w:tblInd w:w="0" w:type="dxa"/>
        <w:shd w:val="clear" w:color="auto" w:fill="FFFFFF"/>
        <w:tblLayout w:type="fixed"/>
        <w:tblCellMar>
          <w:top w:w="0" w:type="dxa"/>
          <w:left w:w="0" w:type="dxa"/>
          <w:bottom w:w="0" w:type="dxa"/>
          <w:right w:w="0" w:type="dxa"/>
        </w:tblCellMar>
      </w:tblPr>
      <w:tblGrid>
        <w:gridCol w:w="1005"/>
        <w:gridCol w:w="2659"/>
        <w:gridCol w:w="3924"/>
        <w:gridCol w:w="2064"/>
      </w:tblGrid>
      <w:tr>
        <w:tblPrEx>
          <w:shd w:val="clear" w:color="auto" w:fill="FFFFFF"/>
          <w:tblCellMar>
            <w:top w:w="0" w:type="dxa"/>
            <w:left w:w="0" w:type="dxa"/>
            <w:bottom w:w="0" w:type="dxa"/>
            <w:right w:w="0" w:type="dxa"/>
          </w:tblCellMar>
        </w:tblPrEx>
        <w:trPr>
          <w:tblHeader/>
        </w:trPr>
        <w:tc>
          <w:tcPr>
            <w:tcW w:w="1005" w:type="dxa"/>
            <w:tcBorders>
              <w:top w:val="single" w:color="auto" w:sz="4" w:space="0"/>
              <w:left w:val="single" w:color="auto" w:sz="4" w:space="0"/>
              <w:bottom w:val="single" w:color="auto" w:sz="4" w:space="0"/>
              <w:right w:val="single" w:color="auto" w:sz="4" w:space="0"/>
            </w:tcBorders>
            <w:shd w:val="clear" w:color="auto" w:fill="FFFFFF"/>
            <w:tcMar>
              <w:top w:w="120" w:type="dxa"/>
              <w:left w:w="120" w:type="dxa"/>
              <w:bottom w:w="120" w:type="dxa"/>
              <w:right w:w="120" w:type="dxa"/>
            </w:tcMar>
            <w:vAlign w:val="center"/>
          </w:tcPr>
          <w:p>
            <w:pPr>
              <w:widowControl/>
              <w:jc w:val="center"/>
              <w:rPr>
                <w:rFonts w:ascii="宋体" w:hAnsi="宋体" w:cs="宋体"/>
                <w:b/>
                <w:bCs/>
                <w:color w:val="000000" w:themeColor="text1"/>
                <w:kern w:val="0"/>
                <w:sz w:val="24"/>
              </w:rPr>
            </w:pPr>
            <w:r>
              <w:rPr>
                <w:rFonts w:hint="eastAsia" w:ascii="宋体" w:hAnsi="宋体" w:cs="宋体"/>
                <w:b/>
                <w:bCs/>
                <w:color w:val="000000" w:themeColor="text1"/>
                <w:kern w:val="0"/>
                <w:sz w:val="24"/>
              </w:rPr>
              <w:t>序号</w:t>
            </w:r>
          </w:p>
        </w:tc>
        <w:tc>
          <w:tcPr>
            <w:tcW w:w="2659" w:type="dxa"/>
            <w:tcBorders>
              <w:top w:val="single" w:color="auto" w:sz="4" w:space="0"/>
              <w:left w:val="single" w:color="auto" w:sz="4" w:space="0"/>
              <w:bottom w:val="single" w:color="auto" w:sz="4" w:space="0"/>
              <w:right w:val="single" w:color="auto" w:sz="4" w:space="0"/>
            </w:tcBorders>
            <w:shd w:val="clear" w:color="auto" w:fill="FFFFFF"/>
            <w:tcMar>
              <w:top w:w="120" w:type="dxa"/>
              <w:left w:w="120" w:type="dxa"/>
              <w:bottom w:w="120" w:type="dxa"/>
              <w:right w:w="120" w:type="dxa"/>
            </w:tcMar>
            <w:vAlign w:val="center"/>
          </w:tcPr>
          <w:p>
            <w:pPr>
              <w:widowControl/>
              <w:jc w:val="center"/>
              <w:rPr>
                <w:rFonts w:ascii="宋体" w:hAnsi="宋体" w:cs="宋体"/>
                <w:b/>
                <w:bCs/>
                <w:color w:val="000000" w:themeColor="text1"/>
                <w:kern w:val="0"/>
                <w:sz w:val="24"/>
              </w:rPr>
            </w:pPr>
            <w:r>
              <w:rPr>
                <w:rFonts w:hint="eastAsia" w:ascii="宋体" w:hAnsi="宋体" w:cs="宋体"/>
                <w:b/>
                <w:bCs/>
                <w:color w:val="000000" w:themeColor="text1"/>
                <w:kern w:val="0"/>
                <w:sz w:val="24"/>
              </w:rPr>
              <w:t>直接管理关系单位名称</w:t>
            </w:r>
          </w:p>
        </w:tc>
        <w:tc>
          <w:tcPr>
            <w:tcW w:w="3924" w:type="dxa"/>
            <w:tcBorders>
              <w:top w:val="single" w:color="auto" w:sz="4" w:space="0"/>
              <w:left w:val="single" w:color="auto" w:sz="4" w:space="0"/>
              <w:bottom w:val="single" w:color="auto" w:sz="4" w:space="0"/>
              <w:right w:val="single" w:color="auto" w:sz="4" w:space="0"/>
            </w:tcBorders>
            <w:shd w:val="clear" w:color="auto" w:fill="FFFFFF"/>
            <w:tcMar>
              <w:top w:w="120" w:type="dxa"/>
              <w:left w:w="120" w:type="dxa"/>
              <w:bottom w:w="120" w:type="dxa"/>
              <w:right w:w="120" w:type="dxa"/>
            </w:tcMar>
            <w:vAlign w:val="center"/>
          </w:tcPr>
          <w:p>
            <w:pPr>
              <w:widowControl/>
              <w:jc w:val="center"/>
              <w:rPr>
                <w:rFonts w:ascii="宋体" w:hAnsi="宋体" w:cs="宋体"/>
                <w:b/>
                <w:bCs/>
                <w:color w:val="000000" w:themeColor="text1"/>
                <w:kern w:val="0"/>
                <w:sz w:val="24"/>
              </w:rPr>
            </w:pPr>
            <w:r>
              <w:rPr>
                <w:rFonts w:hint="eastAsia" w:ascii="宋体" w:hAnsi="宋体" w:cs="宋体"/>
                <w:b/>
                <w:bCs/>
                <w:color w:val="000000" w:themeColor="text1"/>
                <w:kern w:val="0"/>
                <w:sz w:val="24"/>
              </w:rPr>
              <w:t>统一社会信用代码</w:t>
            </w:r>
          </w:p>
        </w:tc>
        <w:tc>
          <w:tcPr>
            <w:tcW w:w="2064" w:type="dxa"/>
            <w:tcBorders>
              <w:top w:val="single" w:color="auto" w:sz="4" w:space="0"/>
              <w:left w:val="single" w:color="auto" w:sz="4" w:space="0"/>
              <w:bottom w:val="single" w:color="auto" w:sz="4" w:space="0"/>
              <w:right w:val="single" w:color="auto" w:sz="4" w:space="0"/>
            </w:tcBorders>
            <w:shd w:val="clear" w:color="auto" w:fill="FFFFFF"/>
            <w:tcMar>
              <w:top w:w="120" w:type="dxa"/>
              <w:left w:w="120" w:type="dxa"/>
              <w:bottom w:w="120" w:type="dxa"/>
              <w:right w:w="120" w:type="dxa"/>
            </w:tcMar>
            <w:vAlign w:val="center"/>
          </w:tcPr>
          <w:p>
            <w:pPr>
              <w:widowControl/>
              <w:jc w:val="center"/>
              <w:rPr>
                <w:rFonts w:ascii="宋体" w:hAnsi="宋体" w:cs="宋体"/>
                <w:b/>
                <w:bCs/>
                <w:color w:val="000000" w:themeColor="text1"/>
                <w:kern w:val="0"/>
                <w:sz w:val="24"/>
              </w:rPr>
            </w:pPr>
            <w:r>
              <w:rPr>
                <w:rFonts w:hint="eastAsia" w:ascii="宋体" w:hAnsi="宋体" w:cs="宋体"/>
                <w:b/>
                <w:bCs/>
                <w:color w:val="000000" w:themeColor="text1"/>
                <w:kern w:val="0"/>
                <w:sz w:val="24"/>
              </w:rPr>
              <w:t>备注</w:t>
            </w:r>
          </w:p>
        </w:tc>
      </w:tr>
      <w:tr>
        <w:tblPrEx>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shd w:val="clear" w:color="auto" w:fill="FFFFFF"/>
            <w:tcMar>
              <w:top w:w="120" w:type="dxa"/>
              <w:left w:w="120" w:type="dxa"/>
              <w:bottom w:w="120" w:type="dxa"/>
              <w:right w:w="120" w:type="dxa"/>
            </w:tcMar>
            <w:vAlign w:val="center"/>
          </w:tcPr>
          <w:p>
            <w:pPr>
              <w:widowControl/>
              <w:wordWrap w:val="0"/>
              <w:spacing w:line="200" w:lineRule="atLeast"/>
              <w:jc w:val="center"/>
              <w:rPr>
                <w:rFonts w:ascii="宋体" w:hAnsi="宋体" w:cs="宋体"/>
                <w:color w:val="000000" w:themeColor="text1"/>
                <w:kern w:val="0"/>
                <w:sz w:val="24"/>
              </w:rPr>
            </w:pPr>
            <w:r>
              <w:rPr>
                <w:rFonts w:hint="eastAsia" w:ascii="宋体" w:hAnsi="宋体" w:cs="宋体"/>
                <w:color w:val="000000" w:themeColor="text1"/>
                <w:kern w:val="0"/>
                <w:sz w:val="24"/>
              </w:rPr>
              <w:t>1</w:t>
            </w:r>
          </w:p>
        </w:tc>
        <w:tc>
          <w:tcPr>
            <w:tcW w:w="2659" w:type="dxa"/>
            <w:tcBorders>
              <w:top w:val="single" w:color="auto" w:sz="4" w:space="0"/>
              <w:left w:val="single" w:color="auto" w:sz="4" w:space="0"/>
              <w:bottom w:val="single" w:color="auto" w:sz="4" w:space="0"/>
              <w:right w:val="single" w:color="auto" w:sz="4" w:space="0"/>
            </w:tcBorders>
            <w:shd w:val="clear" w:color="auto" w:fill="FFFFFF"/>
            <w:tcMar>
              <w:top w:w="120" w:type="dxa"/>
              <w:left w:w="120" w:type="dxa"/>
              <w:bottom w:w="120" w:type="dxa"/>
              <w:right w:w="120" w:type="dxa"/>
            </w:tcMar>
            <w:vAlign w:val="center"/>
          </w:tcPr>
          <w:p>
            <w:pPr>
              <w:widowControl/>
              <w:wordWrap w:val="0"/>
              <w:spacing w:line="200" w:lineRule="atLeast"/>
              <w:jc w:val="center"/>
              <w:rPr>
                <w:rFonts w:ascii="宋体" w:hAnsi="宋体" w:cs="宋体"/>
                <w:color w:val="000000" w:themeColor="text1"/>
                <w:kern w:val="0"/>
                <w:sz w:val="24"/>
              </w:rPr>
            </w:pPr>
          </w:p>
        </w:tc>
        <w:tc>
          <w:tcPr>
            <w:tcW w:w="3924" w:type="dxa"/>
            <w:tcBorders>
              <w:top w:val="single" w:color="auto" w:sz="4" w:space="0"/>
              <w:left w:val="single" w:color="auto" w:sz="4" w:space="0"/>
              <w:bottom w:val="single" w:color="auto" w:sz="4" w:space="0"/>
              <w:right w:val="single" w:color="auto" w:sz="4" w:space="0"/>
            </w:tcBorders>
            <w:shd w:val="clear" w:color="auto" w:fill="FFFFFF"/>
            <w:tcMar>
              <w:top w:w="120" w:type="dxa"/>
              <w:left w:w="120" w:type="dxa"/>
              <w:bottom w:w="120" w:type="dxa"/>
              <w:right w:w="120" w:type="dxa"/>
            </w:tcMar>
            <w:vAlign w:val="center"/>
          </w:tcPr>
          <w:p>
            <w:pPr>
              <w:widowControl/>
              <w:wordWrap w:val="0"/>
              <w:spacing w:line="200" w:lineRule="atLeast"/>
              <w:jc w:val="center"/>
              <w:rPr>
                <w:rFonts w:ascii="宋体" w:hAnsi="宋体" w:cs="宋体"/>
                <w:color w:val="000000" w:themeColor="text1"/>
                <w:kern w:val="0"/>
                <w:sz w:val="24"/>
              </w:rPr>
            </w:pPr>
          </w:p>
        </w:tc>
        <w:tc>
          <w:tcPr>
            <w:tcW w:w="2064" w:type="dxa"/>
            <w:tcBorders>
              <w:top w:val="single" w:color="auto" w:sz="4" w:space="0"/>
              <w:left w:val="single" w:color="auto" w:sz="4" w:space="0"/>
              <w:bottom w:val="single" w:color="auto" w:sz="4" w:space="0"/>
              <w:right w:val="single" w:color="auto" w:sz="4" w:space="0"/>
            </w:tcBorders>
            <w:shd w:val="clear" w:color="auto" w:fill="FFFFFF"/>
            <w:tcMar>
              <w:top w:w="120" w:type="dxa"/>
              <w:left w:w="120" w:type="dxa"/>
              <w:bottom w:w="120" w:type="dxa"/>
              <w:right w:w="120" w:type="dxa"/>
            </w:tcMar>
            <w:vAlign w:val="center"/>
          </w:tcPr>
          <w:p>
            <w:pPr>
              <w:widowControl/>
              <w:wordWrap w:val="0"/>
              <w:spacing w:line="200" w:lineRule="atLeast"/>
              <w:jc w:val="center"/>
              <w:rPr>
                <w:rFonts w:ascii="宋体" w:hAnsi="宋体" w:cs="宋体"/>
                <w:color w:val="000000" w:themeColor="text1"/>
                <w:kern w:val="0"/>
                <w:sz w:val="24"/>
              </w:rPr>
            </w:pPr>
          </w:p>
        </w:tc>
      </w:tr>
      <w:tr>
        <w:tblPrEx>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shd w:val="clear" w:color="auto" w:fill="FFFFFF"/>
            <w:tcMar>
              <w:top w:w="120" w:type="dxa"/>
              <w:left w:w="120" w:type="dxa"/>
              <w:bottom w:w="120" w:type="dxa"/>
              <w:right w:w="120" w:type="dxa"/>
            </w:tcMar>
            <w:vAlign w:val="center"/>
          </w:tcPr>
          <w:p>
            <w:pPr>
              <w:widowControl/>
              <w:wordWrap w:val="0"/>
              <w:spacing w:line="200" w:lineRule="atLeast"/>
              <w:jc w:val="center"/>
              <w:rPr>
                <w:rFonts w:ascii="宋体" w:hAnsi="宋体" w:cs="宋体"/>
                <w:color w:val="000000" w:themeColor="text1"/>
                <w:kern w:val="0"/>
                <w:sz w:val="24"/>
              </w:rPr>
            </w:pPr>
            <w:r>
              <w:rPr>
                <w:rFonts w:hint="eastAsia" w:ascii="宋体" w:hAnsi="宋体" w:cs="宋体"/>
                <w:color w:val="000000" w:themeColor="text1"/>
                <w:kern w:val="0"/>
                <w:sz w:val="24"/>
              </w:rPr>
              <w:t>2</w:t>
            </w:r>
          </w:p>
        </w:tc>
        <w:tc>
          <w:tcPr>
            <w:tcW w:w="2659" w:type="dxa"/>
            <w:tcBorders>
              <w:top w:val="single" w:color="auto" w:sz="4" w:space="0"/>
              <w:left w:val="single" w:color="auto" w:sz="4" w:space="0"/>
              <w:bottom w:val="single" w:color="auto" w:sz="4" w:space="0"/>
              <w:right w:val="single" w:color="auto" w:sz="4" w:space="0"/>
            </w:tcBorders>
            <w:shd w:val="clear" w:color="auto" w:fill="FFFFFF"/>
            <w:tcMar>
              <w:top w:w="120" w:type="dxa"/>
              <w:left w:w="120" w:type="dxa"/>
              <w:bottom w:w="120" w:type="dxa"/>
              <w:right w:w="120" w:type="dxa"/>
            </w:tcMar>
            <w:vAlign w:val="center"/>
          </w:tcPr>
          <w:p>
            <w:pPr>
              <w:widowControl/>
              <w:wordWrap w:val="0"/>
              <w:spacing w:line="200" w:lineRule="atLeast"/>
              <w:jc w:val="center"/>
              <w:rPr>
                <w:rFonts w:ascii="宋体" w:hAnsi="宋体" w:cs="宋体"/>
                <w:color w:val="000000" w:themeColor="text1"/>
                <w:kern w:val="0"/>
                <w:sz w:val="24"/>
              </w:rPr>
            </w:pPr>
          </w:p>
        </w:tc>
        <w:tc>
          <w:tcPr>
            <w:tcW w:w="3924" w:type="dxa"/>
            <w:tcBorders>
              <w:top w:val="single" w:color="auto" w:sz="4" w:space="0"/>
              <w:left w:val="single" w:color="auto" w:sz="4" w:space="0"/>
              <w:bottom w:val="single" w:color="auto" w:sz="4" w:space="0"/>
              <w:right w:val="single" w:color="auto" w:sz="4" w:space="0"/>
            </w:tcBorders>
            <w:shd w:val="clear" w:color="auto" w:fill="FFFFFF"/>
            <w:tcMar>
              <w:top w:w="120" w:type="dxa"/>
              <w:left w:w="120" w:type="dxa"/>
              <w:bottom w:w="120" w:type="dxa"/>
              <w:right w:w="120" w:type="dxa"/>
            </w:tcMar>
            <w:vAlign w:val="center"/>
          </w:tcPr>
          <w:p>
            <w:pPr>
              <w:widowControl/>
              <w:wordWrap w:val="0"/>
              <w:spacing w:line="200" w:lineRule="atLeast"/>
              <w:jc w:val="center"/>
              <w:rPr>
                <w:rFonts w:ascii="宋体" w:hAnsi="宋体" w:cs="宋体"/>
                <w:color w:val="000000" w:themeColor="text1"/>
                <w:kern w:val="0"/>
                <w:sz w:val="24"/>
              </w:rPr>
            </w:pPr>
          </w:p>
        </w:tc>
        <w:tc>
          <w:tcPr>
            <w:tcW w:w="2064" w:type="dxa"/>
            <w:tcBorders>
              <w:top w:val="single" w:color="auto" w:sz="4" w:space="0"/>
              <w:left w:val="single" w:color="auto" w:sz="4" w:space="0"/>
              <w:bottom w:val="single" w:color="auto" w:sz="4" w:space="0"/>
              <w:right w:val="single" w:color="auto" w:sz="4" w:space="0"/>
            </w:tcBorders>
            <w:shd w:val="clear" w:color="auto" w:fill="FFFFFF"/>
            <w:tcMar>
              <w:top w:w="120" w:type="dxa"/>
              <w:left w:w="120" w:type="dxa"/>
              <w:bottom w:w="120" w:type="dxa"/>
              <w:right w:w="120" w:type="dxa"/>
            </w:tcMar>
            <w:vAlign w:val="center"/>
          </w:tcPr>
          <w:p>
            <w:pPr>
              <w:widowControl/>
              <w:wordWrap w:val="0"/>
              <w:spacing w:line="200" w:lineRule="atLeast"/>
              <w:jc w:val="center"/>
              <w:rPr>
                <w:rFonts w:ascii="宋体" w:hAnsi="宋体" w:cs="宋体"/>
                <w:color w:val="000000" w:themeColor="text1"/>
                <w:kern w:val="0"/>
                <w:sz w:val="24"/>
              </w:rPr>
            </w:pPr>
          </w:p>
        </w:tc>
      </w:tr>
      <w:tr>
        <w:tblPrEx>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shd w:val="clear" w:color="auto" w:fill="FFFFFF"/>
            <w:tcMar>
              <w:top w:w="120" w:type="dxa"/>
              <w:left w:w="120" w:type="dxa"/>
              <w:bottom w:w="120" w:type="dxa"/>
              <w:right w:w="120" w:type="dxa"/>
            </w:tcMar>
            <w:vAlign w:val="center"/>
          </w:tcPr>
          <w:p>
            <w:pPr>
              <w:widowControl/>
              <w:wordWrap w:val="0"/>
              <w:spacing w:line="200" w:lineRule="atLeast"/>
              <w:jc w:val="center"/>
              <w:rPr>
                <w:rFonts w:ascii="宋体" w:hAnsi="宋体" w:cs="宋体"/>
                <w:color w:val="000000" w:themeColor="text1"/>
                <w:kern w:val="0"/>
                <w:sz w:val="24"/>
              </w:rPr>
            </w:pPr>
            <w:r>
              <w:rPr>
                <w:rFonts w:hint="eastAsia" w:ascii="宋体" w:hAnsi="宋体" w:cs="宋体"/>
                <w:color w:val="000000" w:themeColor="text1"/>
                <w:kern w:val="0"/>
                <w:sz w:val="24"/>
              </w:rPr>
              <w:t>3</w:t>
            </w:r>
          </w:p>
        </w:tc>
        <w:tc>
          <w:tcPr>
            <w:tcW w:w="2659" w:type="dxa"/>
            <w:tcBorders>
              <w:top w:val="single" w:color="auto" w:sz="4" w:space="0"/>
              <w:left w:val="single" w:color="auto" w:sz="4" w:space="0"/>
              <w:bottom w:val="single" w:color="auto" w:sz="4" w:space="0"/>
              <w:right w:val="single" w:color="auto" w:sz="4" w:space="0"/>
            </w:tcBorders>
            <w:shd w:val="clear" w:color="auto" w:fill="FFFFFF"/>
            <w:tcMar>
              <w:top w:w="120" w:type="dxa"/>
              <w:left w:w="120" w:type="dxa"/>
              <w:bottom w:w="120" w:type="dxa"/>
              <w:right w:w="120" w:type="dxa"/>
            </w:tcMar>
            <w:vAlign w:val="center"/>
          </w:tcPr>
          <w:p>
            <w:pPr>
              <w:widowControl/>
              <w:wordWrap w:val="0"/>
              <w:spacing w:line="200" w:lineRule="atLeast"/>
              <w:jc w:val="center"/>
              <w:rPr>
                <w:rFonts w:ascii="宋体" w:hAnsi="宋体" w:cs="宋体"/>
                <w:color w:val="000000" w:themeColor="text1"/>
                <w:kern w:val="0"/>
                <w:sz w:val="24"/>
              </w:rPr>
            </w:pPr>
          </w:p>
        </w:tc>
        <w:tc>
          <w:tcPr>
            <w:tcW w:w="3924" w:type="dxa"/>
            <w:tcBorders>
              <w:top w:val="single" w:color="auto" w:sz="4" w:space="0"/>
              <w:left w:val="single" w:color="auto" w:sz="4" w:space="0"/>
              <w:bottom w:val="single" w:color="auto" w:sz="4" w:space="0"/>
              <w:right w:val="single" w:color="auto" w:sz="4" w:space="0"/>
            </w:tcBorders>
            <w:shd w:val="clear" w:color="auto" w:fill="FFFFFF"/>
            <w:tcMar>
              <w:top w:w="120" w:type="dxa"/>
              <w:left w:w="120" w:type="dxa"/>
              <w:bottom w:w="120" w:type="dxa"/>
              <w:right w:w="120" w:type="dxa"/>
            </w:tcMar>
            <w:vAlign w:val="center"/>
          </w:tcPr>
          <w:p>
            <w:pPr>
              <w:widowControl/>
              <w:wordWrap w:val="0"/>
              <w:spacing w:line="200" w:lineRule="atLeast"/>
              <w:jc w:val="center"/>
              <w:rPr>
                <w:rFonts w:ascii="宋体" w:hAnsi="宋体" w:cs="宋体"/>
                <w:color w:val="000000" w:themeColor="text1"/>
                <w:kern w:val="0"/>
                <w:sz w:val="24"/>
              </w:rPr>
            </w:pPr>
          </w:p>
        </w:tc>
        <w:tc>
          <w:tcPr>
            <w:tcW w:w="2064" w:type="dxa"/>
            <w:tcBorders>
              <w:top w:val="single" w:color="auto" w:sz="4" w:space="0"/>
              <w:left w:val="single" w:color="auto" w:sz="4" w:space="0"/>
              <w:bottom w:val="single" w:color="auto" w:sz="4" w:space="0"/>
              <w:right w:val="single" w:color="auto" w:sz="4" w:space="0"/>
            </w:tcBorders>
            <w:shd w:val="clear" w:color="auto" w:fill="FFFFFF"/>
            <w:tcMar>
              <w:top w:w="120" w:type="dxa"/>
              <w:left w:w="120" w:type="dxa"/>
              <w:bottom w:w="120" w:type="dxa"/>
              <w:right w:w="120" w:type="dxa"/>
            </w:tcMar>
            <w:vAlign w:val="center"/>
          </w:tcPr>
          <w:p>
            <w:pPr>
              <w:widowControl/>
              <w:wordWrap w:val="0"/>
              <w:spacing w:line="200" w:lineRule="atLeast"/>
              <w:jc w:val="center"/>
              <w:rPr>
                <w:rFonts w:ascii="宋体" w:hAnsi="宋体" w:cs="宋体"/>
                <w:color w:val="000000" w:themeColor="text1"/>
                <w:kern w:val="0"/>
                <w:sz w:val="24"/>
              </w:rPr>
            </w:pPr>
          </w:p>
        </w:tc>
      </w:tr>
      <w:tr>
        <w:tblPrEx>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shd w:val="clear" w:color="auto" w:fill="FFFFFF"/>
            <w:tcMar>
              <w:top w:w="120" w:type="dxa"/>
              <w:left w:w="120" w:type="dxa"/>
              <w:bottom w:w="120" w:type="dxa"/>
              <w:right w:w="120" w:type="dxa"/>
            </w:tcMar>
            <w:vAlign w:val="center"/>
          </w:tcPr>
          <w:p>
            <w:pPr>
              <w:widowControl/>
              <w:wordWrap w:val="0"/>
              <w:spacing w:line="200" w:lineRule="atLeast"/>
              <w:jc w:val="center"/>
              <w:rPr>
                <w:rFonts w:ascii="宋体" w:hAnsi="宋体" w:cs="宋体"/>
                <w:color w:val="000000" w:themeColor="text1"/>
                <w:kern w:val="0"/>
                <w:sz w:val="24"/>
              </w:rPr>
            </w:pPr>
            <w:r>
              <w:rPr>
                <w:rFonts w:hint="eastAsia" w:ascii="宋体" w:hAnsi="宋体" w:cs="宋体"/>
                <w:color w:val="000000" w:themeColor="text1"/>
                <w:kern w:val="0"/>
                <w:sz w:val="24"/>
              </w:rPr>
              <w:t>……</w:t>
            </w:r>
          </w:p>
        </w:tc>
        <w:tc>
          <w:tcPr>
            <w:tcW w:w="2659" w:type="dxa"/>
            <w:tcBorders>
              <w:top w:val="single" w:color="auto" w:sz="4" w:space="0"/>
              <w:left w:val="single" w:color="auto" w:sz="4" w:space="0"/>
              <w:bottom w:val="single" w:color="auto" w:sz="4" w:space="0"/>
              <w:right w:val="single" w:color="auto" w:sz="4" w:space="0"/>
            </w:tcBorders>
            <w:shd w:val="clear" w:color="auto" w:fill="FFFFFF"/>
            <w:tcMar>
              <w:top w:w="120" w:type="dxa"/>
              <w:left w:w="120" w:type="dxa"/>
              <w:bottom w:w="120" w:type="dxa"/>
              <w:right w:w="120" w:type="dxa"/>
            </w:tcMar>
            <w:vAlign w:val="center"/>
          </w:tcPr>
          <w:p>
            <w:pPr>
              <w:widowControl/>
              <w:wordWrap w:val="0"/>
              <w:spacing w:line="200" w:lineRule="atLeast"/>
              <w:jc w:val="center"/>
              <w:rPr>
                <w:rFonts w:ascii="宋体" w:hAnsi="宋体" w:cs="宋体"/>
                <w:color w:val="000000" w:themeColor="text1"/>
                <w:kern w:val="0"/>
                <w:sz w:val="24"/>
              </w:rPr>
            </w:pPr>
          </w:p>
        </w:tc>
        <w:tc>
          <w:tcPr>
            <w:tcW w:w="3924" w:type="dxa"/>
            <w:tcBorders>
              <w:top w:val="single" w:color="auto" w:sz="4" w:space="0"/>
              <w:left w:val="single" w:color="auto" w:sz="4" w:space="0"/>
              <w:bottom w:val="single" w:color="auto" w:sz="4" w:space="0"/>
              <w:right w:val="single" w:color="auto" w:sz="4" w:space="0"/>
            </w:tcBorders>
            <w:shd w:val="clear" w:color="auto" w:fill="FFFFFF"/>
            <w:tcMar>
              <w:top w:w="120" w:type="dxa"/>
              <w:left w:w="120" w:type="dxa"/>
              <w:bottom w:w="120" w:type="dxa"/>
              <w:right w:w="120" w:type="dxa"/>
            </w:tcMar>
            <w:vAlign w:val="center"/>
          </w:tcPr>
          <w:p>
            <w:pPr>
              <w:widowControl/>
              <w:wordWrap w:val="0"/>
              <w:spacing w:line="200" w:lineRule="atLeast"/>
              <w:jc w:val="center"/>
              <w:rPr>
                <w:rFonts w:ascii="宋体" w:hAnsi="宋体" w:cs="宋体"/>
                <w:color w:val="000000" w:themeColor="text1"/>
                <w:kern w:val="0"/>
                <w:sz w:val="24"/>
              </w:rPr>
            </w:pPr>
          </w:p>
        </w:tc>
        <w:tc>
          <w:tcPr>
            <w:tcW w:w="2064" w:type="dxa"/>
            <w:tcBorders>
              <w:top w:val="single" w:color="auto" w:sz="4" w:space="0"/>
              <w:left w:val="single" w:color="auto" w:sz="4" w:space="0"/>
              <w:bottom w:val="single" w:color="auto" w:sz="4" w:space="0"/>
              <w:right w:val="single" w:color="auto" w:sz="4" w:space="0"/>
            </w:tcBorders>
            <w:shd w:val="clear" w:color="auto" w:fill="FFFFFF"/>
            <w:tcMar>
              <w:top w:w="120" w:type="dxa"/>
              <w:left w:w="120" w:type="dxa"/>
              <w:bottom w:w="120" w:type="dxa"/>
              <w:right w:w="120" w:type="dxa"/>
            </w:tcMar>
            <w:vAlign w:val="center"/>
          </w:tcPr>
          <w:p>
            <w:pPr>
              <w:widowControl/>
              <w:wordWrap w:val="0"/>
              <w:spacing w:line="200" w:lineRule="atLeast"/>
              <w:jc w:val="center"/>
              <w:rPr>
                <w:rFonts w:ascii="宋体" w:hAnsi="宋体" w:cs="宋体"/>
                <w:color w:val="000000" w:themeColor="text1"/>
                <w:kern w:val="0"/>
                <w:sz w:val="24"/>
              </w:rPr>
            </w:pPr>
          </w:p>
        </w:tc>
      </w:tr>
    </w:tbl>
    <w:p>
      <w:pPr>
        <w:snapToGrid w:val="0"/>
        <w:jc w:val="left"/>
        <w:rPr>
          <w:rFonts w:ascii="宋体" w:hAnsi="宋体"/>
          <w:color w:val="000000" w:themeColor="text1"/>
          <w:sz w:val="24"/>
        </w:rPr>
      </w:pPr>
      <w:r>
        <w:rPr>
          <w:rFonts w:hint="eastAsia" w:ascii="宋体" w:hAnsi="宋体"/>
          <w:color w:val="000000" w:themeColor="text1"/>
          <w:sz w:val="24"/>
        </w:rPr>
        <w:t>注：</w:t>
      </w:r>
    </w:p>
    <w:p>
      <w:pPr>
        <w:snapToGrid w:val="0"/>
        <w:jc w:val="left"/>
        <w:rPr>
          <w:rFonts w:ascii="宋体" w:hAnsi="宋体"/>
          <w:color w:val="000000" w:themeColor="text1"/>
          <w:sz w:val="24"/>
        </w:rPr>
      </w:pPr>
      <w:r>
        <w:rPr>
          <w:rFonts w:hint="eastAsia" w:ascii="宋体" w:hAnsi="宋体"/>
          <w:color w:val="000000" w:themeColor="text1"/>
          <w:sz w:val="24"/>
        </w:rPr>
        <w:t>1.管理关系：是指不具有出资持股关系的其他单位之间存在的管理与被管理关系，如一些上下级关系的事业单位和团体组织。</w:t>
      </w:r>
    </w:p>
    <w:p>
      <w:pPr>
        <w:snapToGrid w:val="0"/>
        <w:jc w:val="left"/>
        <w:rPr>
          <w:rFonts w:ascii="宋体" w:hAnsi="宋体"/>
          <w:color w:val="000000" w:themeColor="text1"/>
        </w:rPr>
      </w:pPr>
      <w:r>
        <w:rPr>
          <w:rFonts w:hint="eastAsia" w:ascii="宋体" w:hAnsi="宋体"/>
          <w:color w:val="000000" w:themeColor="text1"/>
          <w:sz w:val="24"/>
        </w:rPr>
        <w:t>2.本表所指的管理关系仅限于直接管理关系，不包括间接的管理关系。</w:t>
      </w:r>
    </w:p>
    <w:p>
      <w:pPr>
        <w:snapToGrid w:val="0"/>
        <w:jc w:val="left"/>
        <w:rPr>
          <w:rFonts w:ascii="宋体" w:hAnsi="宋体"/>
          <w:color w:val="000000" w:themeColor="text1"/>
        </w:rPr>
      </w:pPr>
    </w:p>
    <w:p>
      <w:pPr>
        <w:snapToGrid w:val="0"/>
        <w:jc w:val="left"/>
        <w:rPr>
          <w:rFonts w:ascii="宋体" w:hAnsi="宋体"/>
          <w:color w:val="000000" w:themeColor="text1"/>
        </w:rPr>
      </w:pPr>
    </w:p>
    <w:p>
      <w:pPr>
        <w:snapToGrid w:val="0"/>
        <w:jc w:val="left"/>
        <w:rPr>
          <w:rFonts w:ascii="宋体" w:hAnsi="宋体"/>
          <w:color w:val="000000" w:themeColor="text1"/>
        </w:rPr>
      </w:pPr>
    </w:p>
    <w:p>
      <w:pPr>
        <w:snapToGrid w:val="0"/>
        <w:jc w:val="left"/>
        <w:rPr>
          <w:color w:val="000000" w:themeColor="text1"/>
        </w:rPr>
      </w:pPr>
    </w:p>
    <w:p>
      <w:pPr>
        <w:snapToGrid w:val="0"/>
        <w:jc w:val="left"/>
        <w:rPr>
          <w:color w:val="000000" w:themeColor="text1"/>
        </w:rPr>
      </w:pPr>
    </w:p>
    <w:p>
      <w:pPr>
        <w:snapToGrid w:val="0"/>
        <w:jc w:val="left"/>
        <w:rPr>
          <w:color w:val="000000" w:themeColor="text1"/>
        </w:rPr>
      </w:pPr>
    </w:p>
    <w:p>
      <w:pPr>
        <w:snapToGrid w:val="0"/>
        <w:jc w:val="left"/>
        <w:rPr>
          <w:rFonts w:ascii="宋体" w:hAnsi="宋体"/>
          <w:color w:val="000000" w:themeColor="text1"/>
          <w:szCs w:val="21"/>
        </w:rPr>
      </w:pPr>
    </w:p>
    <w:p>
      <w:pPr>
        <w:pStyle w:val="10"/>
        <w:spacing w:line="600" w:lineRule="exact"/>
        <w:rPr>
          <w:rFonts w:hAnsi="宋体" w:cs="宋体"/>
          <w:color w:val="000000" w:themeColor="text1"/>
          <w:sz w:val="24"/>
          <w:szCs w:val="24"/>
          <w:u w:val="single"/>
        </w:rPr>
      </w:pPr>
      <w:r>
        <w:rPr>
          <w:rFonts w:hint="eastAsia" w:hAnsi="宋体" w:cs="宋体"/>
          <w:color w:val="000000" w:themeColor="text1"/>
          <w:sz w:val="24"/>
          <w:szCs w:val="24"/>
        </w:rPr>
        <w:t>磋商供应商（盖单位公章）：</w:t>
      </w:r>
      <w:r>
        <w:rPr>
          <w:rFonts w:hAnsi="宋体" w:cs="宋体"/>
          <w:color w:val="000000" w:themeColor="text1"/>
          <w:sz w:val="24"/>
          <w:szCs w:val="24"/>
          <w:u w:val="single"/>
        </w:rPr>
        <w:t xml:space="preserve">                                </w:t>
      </w:r>
    </w:p>
    <w:p>
      <w:pPr>
        <w:pStyle w:val="10"/>
        <w:spacing w:line="600" w:lineRule="exact"/>
        <w:rPr>
          <w:rFonts w:hAnsi="宋体" w:cs="宋体"/>
          <w:color w:val="000000" w:themeColor="text1"/>
          <w:sz w:val="24"/>
          <w:szCs w:val="24"/>
        </w:rPr>
      </w:pPr>
    </w:p>
    <w:p>
      <w:pPr>
        <w:pStyle w:val="10"/>
        <w:spacing w:line="600" w:lineRule="exact"/>
        <w:rPr>
          <w:rFonts w:hAnsi="宋体" w:cs="宋体"/>
          <w:color w:val="000000" w:themeColor="text1"/>
          <w:sz w:val="24"/>
          <w:szCs w:val="24"/>
          <w:u w:val="single"/>
        </w:rPr>
      </w:pPr>
      <w:r>
        <w:rPr>
          <w:rFonts w:hint="eastAsia" w:hAnsi="宋体" w:cs="宋体"/>
          <w:color w:val="000000" w:themeColor="text1"/>
          <w:sz w:val="24"/>
          <w:szCs w:val="24"/>
        </w:rPr>
        <w:t>法定代表人或其委托代理人（签字或盖章）：</w:t>
      </w:r>
      <w:r>
        <w:rPr>
          <w:rFonts w:hAnsi="宋体" w:cs="宋体"/>
          <w:color w:val="000000" w:themeColor="text1"/>
          <w:sz w:val="24"/>
          <w:szCs w:val="24"/>
          <w:u w:val="single"/>
        </w:rPr>
        <w:t xml:space="preserve">                  </w:t>
      </w:r>
    </w:p>
    <w:p>
      <w:pPr>
        <w:snapToGrid w:val="0"/>
        <w:spacing w:beforeLines="50" w:after="50"/>
        <w:ind w:right="480" w:firstLine="5520" w:firstLineChars="2300"/>
        <w:rPr>
          <w:rFonts w:ascii="宋体" w:hAnsi="宋体"/>
          <w:color w:val="000000" w:themeColor="text1"/>
          <w:sz w:val="24"/>
        </w:rPr>
      </w:pPr>
    </w:p>
    <w:p>
      <w:pPr>
        <w:snapToGrid w:val="0"/>
        <w:spacing w:beforeLines="50" w:after="50"/>
        <w:ind w:right="480" w:firstLine="240" w:firstLineChars="100"/>
        <w:jc w:val="left"/>
        <w:rPr>
          <w:rFonts w:ascii="宋体" w:hAnsi="宋体"/>
          <w:color w:val="000000" w:themeColor="text1"/>
          <w:szCs w:val="21"/>
        </w:rPr>
      </w:pPr>
      <w:r>
        <w:rPr>
          <w:rFonts w:hint="eastAsia" w:ascii="宋体" w:hAnsi="宋体"/>
          <w:color w:val="000000" w:themeColor="text1"/>
          <w:sz w:val="24"/>
        </w:rPr>
        <w:t>年    月    日</w:t>
      </w:r>
    </w:p>
    <w:p>
      <w:pPr>
        <w:spacing w:line="600" w:lineRule="exact"/>
        <w:outlineLvl w:val="0"/>
        <w:rPr>
          <w:color w:val="000000" w:themeColor="text1"/>
        </w:rPr>
      </w:pPr>
    </w:p>
    <w:p>
      <w:pPr>
        <w:pStyle w:val="16"/>
        <w:rPr>
          <w:rFonts w:asciiTheme="majorEastAsia" w:hAnsiTheme="majorEastAsia" w:eastAsiaTheme="majorEastAsia" w:cstheme="majorEastAsia"/>
          <w:color w:val="000000" w:themeColor="text1"/>
        </w:rPr>
        <w:sectPr>
          <w:footerReference r:id="rId11" w:type="default"/>
          <w:pgSz w:w="11906" w:h="16838"/>
          <w:pgMar w:top="1440" w:right="1080" w:bottom="1440" w:left="880" w:header="720" w:footer="720" w:gutter="0"/>
          <w:cols w:space="720" w:num="1"/>
          <w:docGrid w:type="lines" w:linePitch="331" w:charSpace="0"/>
        </w:sectPr>
      </w:pPr>
    </w:p>
    <w:p>
      <w:pPr>
        <w:pStyle w:val="16"/>
        <w:rPr>
          <w:rFonts w:asciiTheme="majorEastAsia" w:hAnsiTheme="majorEastAsia" w:eastAsiaTheme="majorEastAsia" w:cstheme="majorEastAsia"/>
          <w:color w:val="000000" w:themeColor="text1"/>
          <w:u w:val="single"/>
        </w:rPr>
      </w:pPr>
      <w:bookmarkStart w:id="118" w:name="_Toc3353"/>
      <w:bookmarkStart w:id="119" w:name="_Toc26477"/>
      <w:r>
        <w:rPr>
          <w:rFonts w:hint="eastAsia" w:asciiTheme="majorEastAsia" w:hAnsiTheme="majorEastAsia" w:eastAsiaTheme="majorEastAsia" w:cstheme="majorEastAsia"/>
          <w:color w:val="000000" w:themeColor="text1"/>
        </w:rPr>
        <w:t>第六章  合同条款及格式</w:t>
      </w:r>
      <w:bookmarkEnd w:id="63"/>
      <w:bookmarkEnd w:id="94"/>
      <w:bookmarkEnd w:id="118"/>
      <w:bookmarkEnd w:id="119"/>
    </w:p>
    <w:p>
      <w:pPr>
        <w:spacing w:line="360" w:lineRule="auto"/>
        <w:ind w:firstLine="880" w:firstLineChars="200"/>
        <w:rPr>
          <w:rFonts w:asciiTheme="majorEastAsia" w:hAnsiTheme="majorEastAsia" w:eastAsiaTheme="majorEastAsia" w:cstheme="majorEastAsia"/>
          <w:color w:val="000000" w:themeColor="text1"/>
          <w:sz w:val="44"/>
        </w:rPr>
      </w:pPr>
    </w:p>
    <w:p>
      <w:pPr>
        <w:spacing w:line="360" w:lineRule="auto"/>
        <w:jc w:val="center"/>
        <w:rPr>
          <w:rFonts w:asciiTheme="majorEastAsia" w:hAnsiTheme="majorEastAsia" w:eastAsiaTheme="majorEastAsia" w:cstheme="majorEastAsia"/>
          <w:b/>
          <w:bCs/>
          <w:color w:val="000000" w:themeColor="text1"/>
          <w:sz w:val="52"/>
        </w:rPr>
      </w:pPr>
      <w:bookmarkStart w:id="120" w:name="_Toc9791"/>
      <w:r>
        <w:rPr>
          <w:rFonts w:hint="eastAsia" w:asciiTheme="majorEastAsia" w:hAnsiTheme="majorEastAsia" w:eastAsiaTheme="majorEastAsia" w:cstheme="majorEastAsia"/>
          <w:b/>
          <w:bCs/>
          <w:color w:val="000000" w:themeColor="text1"/>
          <w:sz w:val="52"/>
        </w:rPr>
        <w:t>南 宁 市 政 府 采 购</w:t>
      </w:r>
      <w:bookmarkEnd w:id="120"/>
    </w:p>
    <w:p>
      <w:pPr>
        <w:spacing w:line="360" w:lineRule="auto"/>
        <w:ind w:firstLine="420" w:firstLineChars="200"/>
        <w:rPr>
          <w:rFonts w:asciiTheme="majorEastAsia" w:hAnsiTheme="majorEastAsia" w:eastAsiaTheme="majorEastAsia" w:cstheme="majorEastAsia"/>
          <w:color w:val="000000" w:themeColor="text1"/>
        </w:rPr>
      </w:pPr>
    </w:p>
    <w:p>
      <w:pPr>
        <w:spacing w:line="360" w:lineRule="auto"/>
        <w:ind w:firstLine="440" w:firstLineChars="200"/>
        <w:rPr>
          <w:rFonts w:asciiTheme="majorEastAsia" w:hAnsiTheme="majorEastAsia" w:eastAsiaTheme="majorEastAsia" w:cstheme="majorEastAsia"/>
          <w:color w:val="000000" w:themeColor="text1"/>
          <w:sz w:val="22"/>
          <w:szCs w:val="28"/>
        </w:rPr>
      </w:pPr>
    </w:p>
    <w:p>
      <w:pPr>
        <w:jc w:val="center"/>
        <w:rPr>
          <w:rFonts w:asciiTheme="majorEastAsia" w:hAnsiTheme="majorEastAsia" w:eastAsiaTheme="majorEastAsia" w:cstheme="majorEastAsia"/>
          <w:b/>
          <w:color w:val="000000" w:themeColor="text1"/>
          <w:sz w:val="36"/>
          <w:szCs w:val="36"/>
        </w:rPr>
      </w:pPr>
      <w:bookmarkStart w:id="121" w:name="_Toc8939"/>
      <w:r>
        <w:rPr>
          <w:rFonts w:hint="eastAsia" w:asciiTheme="majorEastAsia" w:hAnsiTheme="majorEastAsia" w:eastAsiaTheme="majorEastAsia" w:cstheme="majorEastAsia"/>
          <w:b/>
          <w:bCs/>
          <w:color w:val="000000" w:themeColor="text1"/>
          <w:sz w:val="36"/>
          <w:szCs w:val="36"/>
          <w:u w:val="single"/>
        </w:rPr>
        <w:t>住房保障信息系统专线租用</w:t>
      </w:r>
      <w:r>
        <w:rPr>
          <w:rFonts w:hint="eastAsia" w:asciiTheme="majorEastAsia" w:hAnsiTheme="majorEastAsia" w:eastAsiaTheme="majorEastAsia" w:cstheme="majorEastAsia"/>
          <w:b/>
          <w:bCs/>
          <w:color w:val="000000" w:themeColor="text1"/>
          <w:sz w:val="36"/>
          <w:szCs w:val="36"/>
        </w:rPr>
        <w:t>合同</w:t>
      </w:r>
      <w:bookmarkEnd w:id="121"/>
    </w:p>
    <w:p>
      <w:pPr>
        <w:spacing w:line="360" w:lineRule="auto"/>
        <w:ind w:firstLine="2570" w:firstLineChars="800"/>
        <w:rPr>
          <w:rFonts w:asciiTheme="majorEastAsia" w:hAnsiTheme="majorEastAsia" w:eastAsiaTheme="majorEastAsia" w:cstheme="majorEastAsia"/>
          <w:b/>
          <w:color w:val="000000" w:themeColor="text1"/>
          <w:sz w:val="32"/>
          <w:szCs w:val="32"/>
        </w:rPr>
      </w:pPr>
    </w:p>
    <w:p>
      <w:pPr>
        <w:spacing w:line="360" w:lineRule="auto"/>
        <w:ind w:firstLine="2570" w:firstLineChars="800"/>
        <w:rPr>
          <w:rFonts w:asciiTheme="majorEastAsia" w:hAnsiTheme="majorEastAsia" w:eastAsiaTheme="majorEastAsia" w:cstheme="majorEastAsia"/>
          <w:b/>
          <w:color w:val="000000" w:themeColor="text1"/>
          <w:sz w:val="32"/>
          <w:szCs w:val="32"/>
          <w:u w:val="single"/>
        </w:rPr>
      </w:pPr>
      <w:bookmarkStart w:id="122" w:name="_Toc1355"/>
      <w:r>
        <w:rPr>
          <w:rFonts w:hint="eastAsia" w:asciiTheme="majorEastAsia" w:hAnsiTheme="majorEastAsia" w:eastAsiaTheme="majorEastAsia" w:cstheme="majorEastAsia"/>
          <w:b/>
          <w:color w:val="000000" w:themeColor="text1"/>
          <w:sz w:val="32"/>
          <w:szCs w:val="32"/>
        </w:rPr>
        <w:t>合同类别：</w:t>
      </w:r>
      <w:r>
        <w:rPr>
          <w:rFonts w:hint="eastAsia" w:asciiTheme="majorEastAsia" w:hAnsiTheme="majorEastAsia" w:eastAsiaTheme="majorEastAsia" w:cstheme="majorEastAsia"/>
          <w:b/>
          <w:color w:val="000000" w:themeColor="text1"/>
          <w:sz w:val="32"/>
          <w:szCs w:val="32"/>
          <w:u w:val="single"/>
        </w:rPr>
        <w:t>服务竞争性磋商</w:t>
      </w:r>
      <w:bookmarkEnd w:id="122"/>
      <w:r>
        <w:rPr>
          <w:rFonts w:hint="eastAsia" w:asciiTheme="majorEastAsia" w:hAnsiTheme="majorEastAsia" w:eastAsiaTheme="majorEastAsia" w:cstheme="majorEastAsia"/>
          <w:b/>
          <w:color w:val="000000" w:themeColor="text1"/>
          <w:sz w:val="32"/>
          <w:szCs w:val="32"/>
          <w:u w:val="single"/>
        </w:rPr>
        <w:t xml:space="preserve"> </w:t>
      </w:r>
    </w:p>
    <w:p>
      <w:pPr>
        <w:spacing w:line="360" w:lineRule="auto"/>
        <w:ind w:firstLine="2570" w:firstLineChars="800"/>
        <w:rPr>
          <w:rFonts w:asciiTheme="majorEastAsia" w:hAnsiTheme="majorEastAsia" w:eastAsiaTheme="majorEastAsia" w:cstheme="majorEastAsia"/>
          <w:b/>
          <w:color w:val="000000" w:themeColor="text1"/>
          <w:sz w:val="32"/>
          <w:szCs w:val="32"/>
          <w:u w:val="single"/>
        </w:rPr>
      </w:pPr>
      <w:bookmarkStart w:id="123" w:name="_Toc32558"/>
      <w:r>
        <w:rPr>
          <w:rFonts w:hint="eastAsia" w:asciiTheme="majorEastAsia" w:hAnsiTheme="majorEastAsia" w:eastAsiaTheme="majorEastAsia" w:cstheme="majorEastAsia"/>
          <w:b/>
          <w:color w:val="000000" w:themeColor="text1"/>
          <w:sz w:val="32"/>
          <w:szCs w:val="32"/>
        </w:rPr>
        <w:t>合同编号：</w:t>
      </w:r>
      <w:bookmarkEnd w:id="123"/>
      <w:r>
        <w:rPr>
          <w:rFonts w:hint="eastAsia" w:asciiTheme="majorEastAsia" w:hAnsiTheme="majorEastAsia" w:eastAsiaTheme="majorEastAsia" w:cstheme="majorEastAsia"/>
          <w:b/>
          <w:color w:val="000000" w:themeColor="text1"/>
          <w:sz w:val="32"/>
          <w:szCs w:val="32"/>
          <w:u w:val="single"/>
        </w:rPr>
        <w:t xml:space="preserve">NNZC2020-C3-990370-GXYZ  </w:t>
      </w:r>
    </w:p>
    <w:p>
      <w:pPr>
        <w:spacing w:line="360" w:lineRule="auto"/>
        <w:ind w:firstLine="2570" w:firstLineChars="800"/>
        <w:rPr>
          <w:rFonts w:asciiTheme="majorEastAsia" w:hAnsiTheme="majorEastAsia" w:eastAsiaTheme="majorEastAsia" w:cstheme="majorEastAsia"/>
          <w:b/>
          <w:color w:val="000000" w:themeColor="text1"/>
          <w:sz w:val="32"/>
          <w:szCs w:val="32"/>
          <w:u w:val="single"/>
        </w:rPr>
      </w:pPr>
      <w:r>
        <w:rPr>
          <w:rFonts w:hint="eastAsia" w:asciiTheme="majorEastAsia" w:hAnsiTheme="majorEastAsia" w:eastAsiaTheme="majorEastAsia" w:cstheme="majorEastAsia"/>
          <w:b/>
          <w:color w:val="000000" w:themeColor="text1"/>
          <w:sz w:val="32"/>
          <w:szCs w:val="32"/>
        </w:rPr>
        <w:t>采购计划文号：[2020]NCCJB518001/4170-001</w:t>
      </w:r>
    </w:p>
    <w:p>
      <w:pPr>
        <w:ind w:left="2520" w:leftChars="1200"/>
        <w:rPr>
          <w:rFonts w:asciiTheme="majorEastAsia" w:hAnsiTheme="majorEastAsia" w:eastAsiaTheme="majorEastAsia" w:cstheme="majorEastAsia"/>
          <w:b/>
          <w:color w:val="000000" w:themeColor="text1"/>
          <w:sz w:val="32"/>
          <w:szCs w:val="32"/>
          <w:u w:val="single"/>
        </w:rPr>
      </w:pPr>
    </w:p>
    <w:p>
      <w:pPr>
        <w:ind w:firstLine="2605" w:firstLineChars="811"/>
        <w:rPr>
          <w:rFonts w:asciiTheme="majorEastAsia" w:hAnsiTheme="majorEastAsia" w:eastAsiaTheme="majorEastAsia" w:cstheme="majorEastAsia"/>
          <w:b/>
          <w:color w:val="000000" w:themeColor="text1"/>
          <w:sz w:val="32"/>
          <w:szCs w:val="32"/>
          <w:u w:val="single"/>
        </w:rPr>
      </w:pPr>
    </w:p>
    <w:p>
      <w:pPr>
        <w:spacing w:line="360" w:lineRule="auto"/>
        <w:rPr>
          <w:rFonts w:asciiTheme="majorEastAsia" w:hAnsiTheme="majorEastAsia" w:eastAsiaTheme="majorEastAsia" w:cstheme="majorEastAsia"/>
          <w:b/>
          <w:color w:val="000000" w:themeColor="text1"/>
          <w:sz w:val="32"/>
          <w:szCs w:val="32"/>
        </w:rPr>
      </w:pPr>
    </w:p>
    <w:p>
      <w:pPr>
        <w:spacing w:line="360" w:lineRule="auto"/>
        <w:rPr>
          <w:rFonts w:asciiTheme="majorEastAsia" w:hAnsiTheme="majorEastAsia" w:eastAsiaTheme="majorEastAsia" w:cstheme="majorEastAsia"/>
          <w:b/>
          <w:bCs/>
          <w:color w:val="000000" w:themeColor="text1"/>
          <w:sz w:val="36"/>
          <w:szCs w:val="36"/>
        </w:rPr>
      </w:pPr>
    </w:p>
    <w:p>
      <w:pPr>
        <w:pStyle w:val="8"/>
        <w:rPr>
          <w:rFonts w:asciiTheme="majorEastAsia" w:hAnsiTheme="majorEastAsia" w:eastAsiaTheme="majorEastAsia" w:cstheme="majorEastAsia"/>
          <w:color w:val="000000" w:themeColor="text1"/>
          <w:sz w:val="28"/>
          <w:szCs w:val="28"/>
        </w:rPr>
      </w:pPr>
    </w:p>
    <w:p>
      <w:pPr>
        <w:tabs>
          <w:tab w:val="left" w:pos="7200"/>
        </w:tabs>
        <w:spacing w:line="360" w:lineRule="auto"/>
        <w:ind w:firstLine="1552" w:firstLineChars="552"/>
        <w:rPr>
          <w:rFonts w:asciiTheme="majorEastAsia" w:hAnsiTheme="majorEastAsia" w:eastAsiaTheme="majorEastAsia" w:cstheme="majorEastAsia"/>
          <w:b/>
          <w:color w:val="000000" w:themeColor="text1"/>
          <w:sz w:val="28"/>
          <w:szCs w:val="28"/>
        </w:rPr>
      </w:pPr>
    </w:p>
    <w:p>
      <w:pPr>
        <w:tabs>
          <w:tab w:val="left" w:pos="7200"/>
        </w:tabs>
        <w:spacing w:line="360" w:lineRule="auto"/>
        <w:ind w:firstLine="1552" w:firstLineChars="552"/>
        <w:rPr>
          <w:rFonts w:asciiTheme="majorEastAsia" w:hAnsiTheme="majorEastAsia" w:eastAsiaTheme="majorEastAsia" w:cstheme="majorEastAsia"/>
          <w:b/>
          <w:color w:val="000000" w:themeColor="text1"/>
          <w:sz w:val="28"/>
          <w:szCs w:val="28"/>
        </w:rPr>
      </w:pPr>
    </w:p>
    <w:p>
      <w:pPr>
        <w:tabs>
          <w:tab w:val="left" w:pos="7200"/>
        </w:tabs>
        <w:spacing w:line="360" w:lineRule="auto"/>
        <w:ind w:firstLine="2570" w:firstLineChars="800"/>
        <w:rPr>
          <w:rFonts w:asciiTheme="majorEastAsia" w:hAnsiTheme="majorEastAsia" w:eastAsiaTheme="majorEastAsia" w:cstheme="majorEastAsia"/>
          <w:b/>
          <w:color w:val="000000" w:themeColor="text1"/>
          <w:sz w:val="32"/>
          <w:szCs w:val="32"/>
          <w:u w:val="single"/>
        </w:rPr>
      </w:pPr>
      <w:bookmarkStart w:id="124" w:name="_Toc32276"/>
      <w:r>
        <w:rPr>
          <w:rFonts w:hint="eastAsia" w:asciiTheme="majorEastAsia" w:hAnsiTheme="majorEastAsia" w:eastAsiaTheme="majorEastAsia" w:cstheme="majorEastAsia"/>
          <w:b/>
          <w:color w:val="000000" w:themeColor="text1"/>
          <w:sz w:val="32"/>
          <w:szCs w:val="32"/>
        </w:rPr>
        <w:t>采购人：</w:t>
      </w:r>
      <w:bookmarkEnd w:id="124"/>
      <w:r>
        <w:rPr>
          <w:rFonts w:hint="eastAsia" w:asciiTheme="majorEastAsia" w:hAnsiTheme="majorEastAsia" w:eastAsiaTheme="majorEastAsia" w:cstheme="majorEastAsia"/>
          <w:b/>
          <w:color w:val="000000" w:themeColor="text1"/>
          <w:sz w:val="32"/>
          <w:szCs w:val="32"/>
          <w:u w:val="single"/>
        </w:rPr>
        <w:t xml:space="preserve">南宁市住房和城乡建设局        </w:t>
      </w:r>
    </w:p>
    <w:p>
      <w:pPr>
        <w:widowControl/>
        <w:tabs>
          <w:tab w:val="left" w:pos="7380"/>
        </w:tabs>
        <w:spacing w:line="360" w:lineRule="auto"/>
        <w:ind w:firstLine="2570" w:firstLineChars="800"/>
        <w:jc w:val="left"/>
        <w:rPr>
          <w:rFonts w:asciiTheme="majorEastAsia" w:hAnsiTheme="majorEastAsia" w:eastAsiaTheme="majorEastAsia" w:cstheme="majorEastAsia"/>
          <w:b/>
          <w:color w:val="000000" w:themeColor="text1"/>
          <w:sz w:val="36"/>
          <w:szCs w:val="36"/>
        </w:rPr>
        <w:sectPr>
          <w:pgSz w:w="11906" w:h="16838"/>
          <w:pgMar w:top="1440" w:right="1080" w:bottom="1440" w:left="880" w:header="720" w:footer="720" w:gutter="0"/>
          <w:cols w:space="720" w:num="1"/>
          <w:docGrid w:type="lines" w:linePitch="331" w:charSpace="0"/>
        </w:sectPr>
      </w:pPr>
      <w:bookmarkStart w:id="125" w:name="_Toc32593"/>
      <w:r>
        <w:rPr>
          <w:rFonts w:hint="eastAsia" w:asciiTheme="majorEastAsia" w:hAnsiTheme="majorEastAsia" w:eastAsiaTheme="majorEastAsia" w:cstheme="majorEastAsia"/>
          <w:b/>
          <w:color w:val="000000" w:themeColor="text1"/>
          <w:sz w:val="32"/>
          <w:szCs w:val="32"/>
        </w:rPr>
        <w:t>成交供应商：</w:t>
      </w:r>
      <w:r>
        <w:rPr>
          <w:rFonts w:hint="eastAsia" w:asciiTheme="majorEastAsia" w:hAnsiTheme="majorEastAsia" w:eastAsiaTheme="majorEastAsia" w:cstheme="majorEastAsia"/>
          <w:b/>
          <w:color w:val="000000" w:themeColor="text1"/>
          <w:sz w:val="32"/>
          <w:szCs w:val="32"/>
          <w:u w:val="single"/>
        </w:rPr>
        <w:t xml:space="preserve">                    </w:t>
      </w:r>
      <w:bookmarkEnd w:id="125"/>
    </w:p>
    <w:p>
      <w:pPr>
        <w:widowControl/>
        <w:jc w:val="center"/>
        <w:rPr>
          <w:rFonts w:asciiTheme="majorEastAsia" w:hAnsiTheme="majorEastAsia" w:eastAsiaTheme="majorEastAsia" w:cstheme="majorEastAsia"/>
          <w:b/>
          <w:color w:val="000000" w:themeColor="text1"/>
          <w:sz w:val="36"/>
          <w:szCs w:val="36"/>
        </w:rPr>
      </w:pPr>
      <w:bookmarkStart w:id="126" w:name="_Toc20957"/>
      <w:r>
        <w:rPr>
          <w:rFonts w:hint="eastAsia" w:asciiTheme="majorEastAsia" w:hAnsiTheme="majorEastAsia" w:eastAsiaTheme="majorEastAsia" w:cstheme="majorEastAsia"/>
          <w:b/>
          <w:color w:val="000000" w:themeColor="text1"/>
          <w:sz w:val="36"/>
          <w:szCs w:val="36"/>
        </w:rPr>
        <w:t>目  录</w:t>
      </w:r>
      <w:bookmarkEnd w:id="126"/>
    </w:p>
    <w:p>
      <w:pPr>
        <w:tabs>
          <w:tab w:val="left" w:pos="1170"/>
        </w:tabs>
        <w:spacing w:line="360" w:lineRule="auto"/>
        <w:ind w:left="359" w:leftChars="171" w:firstLine="198" w:firstLineChars="71"/>
        <w:rPr>
          <w:rFonts w:asciiTheme="majorEastAsia" w:hAnsiTheme="majorEastAsia" w:eastAsiaTheme="majorEastAsia" w:cstheme="majorEastAsia"/>
          <w:color w:val="000000" w:themeColor="text1"/>
          <w:sz w:val="28"/>
        </w:rPr>
      </w:pPr>
      <w:r>
        <w:rPr>
          <w:rFonts w:hint="eastAsia" w:asciiTheme="majorEastAsia" w:hAnsiTheme="majorEastAsia" w:eastAsiaTheme="majorEastAsia" w:cstheme="majorEastAsia"/>
          <w:color w:val="000000" w:themeColor="text1"/>
          <w:sz w:val="28"/>
        </w:rPr>
        <w:tab/>
      </w:r>
    </w:p>
    <w:p>
      <w:pPr>
        <w:rPr>
          <w:rFonts w:asciiTheme="majorEastAsia" w:hAnsiTheme="majorEastAsia" w:eastAsiaTheme="majorEastAsia" w:cstheme="majorEastAsia"/>
          <w:b/>
          <w:color w:val="000000" w:themeColor="text1"/>
          <w:sz w:val="30"/>
          <w:szCs w:val="30"/>
        </w:rPr>
      </w:pPr>
      <w:bookmarkStart w:id="127" w:name="_Toc3040"/>
      <w:r>
        <w:rPr>
          <w:rFonts w:hint="eastAsia" w:asciiTheme="majorEastAsia" w:hAnsiTheme="majorEastAsia" w:eastAsiaTheme="majorEastAsia" w:cstheme="majorEastAsia"/>
          <w:b/>
          <w:color w:val="000000" w:themeColor="text1"/>
          <w:sz w:val="30"/>
          <w:szCs w:val="30"/>
        </w:rPr>
        <w:t>一、南宁市政府采购合同书</w:t>
      </w:r>
      <w:bookmarkEnd w:id="127"/>
    </w:p>
    <w:p>
      <w:pPr>
        <w:rPr>
          <w:rFonts w:asciiTheme="majorEastAsia" w:hAnsiTheme="majorEastAsia" w:eastAsiaTheme="majorEastAsia" w:cstheme="majorEastAsia"/>
          <w:b/>
          <w:color w:val="000000" w:themeColor="text1"/>
          <w:sz w:val="30"/>
          <w:szCs w:val="30"/>
        </w:rPr>
      </w:pPr>
      <w:bookmarkStart w:id="128" w:name="_Toc27532"/>
      <w:r>
        <w:rPr>
          <w:rFonts w:hint="eastAsia" w:asciiTheme="majorEastAsia" w:hAnsiTheme="majorEastAsia" w:eastAsiaTheme="majorEastAsia" w:cstheme="majorEastAsia"/>
          <w:b/>
          <w:color w:val="000000" w:themeColor="text1"/>
          <w:sz w:val="30"/>
          <w:szCs w:val="30"/>
        </w:rPr>
        <w:t>二、合同附件</w:t>
      </w:r>
      <w:bookmarkEnd w:id="128"/>
    </w:p>
    <w:p>
      <w:pPr>
        <w:numPr>
          <w:ilvl w:val="0"/>
          <w:numId w:val="4"/>
        </w:numPr>
        <w:spacing w:line="360" w:lineRule="auto"/>
        <w:ind w:left="357" w:firstLine="543"/>
        <w:rPr>
          <w:rFonts w:asciiTheme="majorEastAsia" w:hAnsiTheme="majorEastAsia" w:eastAsiaTheme="majorEastAsia" w:cstheme="majorEastAsia"/>
          <w:color w:val="000000" w:themeColor="text1"/>
          <w:sz w:val="28"/>
        </w:rPr>
      </w:pPr>
      <w:r>
        <w:rPr>
          <w:rFonts w:hint="eastAsia" w:asciiTheme="majorEastAsia" w:hAnsiTheme="majorEastAsia" w:eastAsiaTheme="majorEastAsia" w:cstheme="majorEastAsia"/>
          <w:color w:val="000000" w:themeColor="text1"/>
          <w:sz w:val="28"/>
        </w:rPr>
        <w:t>成交通知书</w:t>
      </w:r>
    </w:p>
    <w:p>
      <w:pPr>
        <w:numPr>
          <w:ilvl w:val="0"/>
          <w:numId w:val="4"/>
        </w:numPr>
        <w:spacing w:line="360" w:lineRule="auto"/>
        <w:ind w:left="357" w:firstLine="543"/>
        <w:rPr>
          <w:rFonts w:asciiTheme="majorEastAsia" w:hAnsiTheme="majorEastAsia" w:eastAsiaTheme="majorEastAsia" w:cstheme="majorEastAsia"/>
          <w:color w:val="000000" w:themeColor="text1"/>
          <w:sz w:val="28"/>
        </w:rPr>
      </w:pPr>
      <w:r>
        <w:rPr>
          <w:rFonts w:hint="eastAsia" w:asciiTheme="majorEastAsia" w:hAnsiTheme="majorEastAsia" w:eastAsiaTheme="majorEastAsia" w:cstheme="majorEastAsia"/>
          <w:color w:val="000000" w:themeColor="text1"/>
          <w:sz w:val="28"/>
        </w:rPr>
        <w:t>竞争性磋商文件服务需求一览表（见竞争性磋商文件）</w:t>
      </w:r>
    </w:p>
    <w:p>
      <w:pPr>
        <w:numPr>
          <w:ilvl w:val="0"/>
          <w:numId w:val="4"/>
        </w:numPr>
        <w:spacing w:line="360" w:lineRule="auto"/>
        <w:ind w:left="357" w:firstLine="543"/>
        <w:rPr>
          <w:rFonts w:asciiTheme="majorEastAsia" w:hAnsiTheme="majorEastAsia" w:eastAsiaTheme="majorEastAsia" w:cstheme="majorEastAsia"/>
          <w:color w:val="000000" w:themeColor="text1"/>
          <w:sz w:val="28"/>
        </w:rPr>
      </w:pPr>
      <w:r>
        <w:rPr>
          <w:rFonts w:hint="eastAsia" w:asciiTheme="majorEastAsia" w:hAnsiTheme="majorEastAsia" w:eastAsiaTheme="majorEastAsia" w:cstheme="majorEastAsia"/>
          <w:color w:val="000000" w:themeColor="text1"/>
          <w:sz w:val="28"/>
        </w:rPr>
        <w:t>竞争性磋商文件的澄清和修改（如有请提供）</w:t>
      </w:r>
    </w:p>
    <w:p>
      <w:pPr>
        <w:numPr>
          <w:ilvl w:val="0"/>
          <w:numId w:val="4"/>
        </w:numPr>
        <w:spacing w:line="360" w:lineRule="auto"/>
        <w:ind w:left="357" w:firstLine="543"/>
        <w:rPr>
          <w:rFonts w:asciiTheme="majorEastAsia" w:hAnsiTheme="majorEastAsia" w:eastAsiaTheme="majorEastAsia" w:cstheme="majorEastAsia"/>
          <w:color w:val="000000" w:themeColor="text1"/>
          <w:sz w:val="28"/>
        </w:rPr>
      </w:pPr>
      <w:r>
        <w:rPr>
          <w:rFonts w:hint="eastAsia" w:asciiTheme="majorEastAsia" w:hAnsiTheme="majorEastAsia" w:eastAsiaTheme="majorEastAsia" w:cstheme="majorEastAsia"/>
          <w:color w:val="000000" w:themeColor="text1"/>
          <w:sz w:val="28"/>
        </w:rPr>
        <w:t>响应文件报价表（见响应文件）、响应文件最终报价表</w:t>
      </w:r>
    </w:p>
    <w:p>
      <w:pPr>
        <w:numPr>
          <w:ilvl w:val="0"/>
          <w:numId w:val="4"/>
        </w:numPr>
        <w:spacing w:line="360" w:lineRule="auto"/>
        <w:ind w:left="357" w:firstLine="543"/>
        <w:rPr>
          <w:rFonts w:asciiTheme="majorEastAsia" w:hAnsiTheme="majorEastAsia" w:eastAsiaTheme="majorEastAsia" w:cstheme="majorEastAsia"/>
          <w:color w:val="000000" w:themeColor="text1"/>
          <w:sz w:val="28"/>
        </w:rPr>
      </w:pPr>
      <w:r>
        <w:rPr>
          <w:rFonts w:hint="eastAsia" w:asciiTheme="majorEastAsia" w:hAnsiTheme="majorEastAsia" w:eastAsiaTheme="majorEastAsia" w:cstheme="majorEastAsia"/>
          <w:color w:val="000000" w:themeColor="text1"/>
          <w:sz w:val="28"/>
        </w:rPr>
        <w:t>响应文件中的服务技术资料表、商务条款偏离表（见响应文件）</w:t>
      </w:r>
    </w:p>
    <w:p>
      <w:pPr>
        <w:numPr>
          <w:ilvl w:val="0"/>
          <w:numId w:val="4"/>
        </w:numPr>
        <w:spacing w:line="360" w:lineRule="auto"/>
        <w:ind w:left="357" w:firstLine="543"/>
        <w:rPr>
          <w:rFonts w:asciiTheme="majorEastAsia" w:hAnsiTheme="majorEastAsia" w:eastAsiaTheme="majorEastAsia" w:cstheme="majorEastAsia"/>
          <w:color w:val="000000" w:themeColor="text1"/>
          <w:sz w:val="28"/>
        </w:rPr>
      </w:pPr>
      <w:r>
        <w:rPr>
          <w:rFonts w:hint="eastAsia" w:asciiTheme="majorEastAsia" w:hAnsiTheme="majorEastAsia" w:eastAsiaTheme="majorEastAsia" w:cstheme="majorEastAsia"/>
          <w:color w:val="000000" w:themeColor="text1"/>
          <w:sz w:val="28"/>
        </w:rPr>
        <w:t>成交供应商澄清函</w:t>
      </w:r>
      <w:r>
        <w:rPr>
          <w:rFonts w:hint="eastAsia" w:asciiTheme="majorEastAsia" w:hAnsiTheme="majorEastAsia" w:eastAsiaTheme="majorEastAsia" w:cstheme="majorEastAsia"/>
          <w:color w:val="000000" w:themeColor="text1"/>
          <w:sz w:val="28"/>
          <w:szCs w:val="28"/>
        </w:rPr>
        <w:t>（如有请提</w:t>
      </w:r>
      <w:r>
        <w:rPr>
          <w:rFonts w:hint="eastAsia" w:asciiTheme="majorEastAsia" w:hAnsiTheme="majorEastAsia" w:eastAsiaTheme="majorEastAsia" w:cstheme="majorEastAsia"/>
          <w:color w:val="000000" w:themeColor="text1"/>
          <w:sz w:val="30"/>
          <w:szCs w:val="30"/>
        </w:rPr>
        <w:t>供</w:t>
      </w:r>
      <w:r>
        <w:rPr>
          <w:rFonts w:hint="eastAsia" w:asciiTheme="majorEastAsia" w:hAnsiTheme="majorEastAsia" w:eastAsiaTheme="majorEastAsia" w:cstheme="majorEastAsia"/>
          <w:color w:val="000000" w:themeColor="text1"/>
          <w:sz w:val="28"/>
          <w:szCs w:val="28"/>
        </w:rPr>
        <w:t>）</w:t>
      </w:r>
    </w:p>
    <w:p>
      <w:pPr>
        <w:numPr>
          <w:ilvl w:val="0"/>
          <w:numId w:val="4"/>
        </w:numPr>
        <w:spacing w:line="360" w:lineRule="auto"/>
        <w:ind w:left="357" w:firstLine="543"/>
        <w:rPr>
          <w:rFonts w:asciiTheme="majorEastAsia" w:hAnsiTheme="majorEastAsia" w:eastAsiaTheme="majorEastAsia" w:cstheme="majorEastAsia"/>
          <w:color w:val="000000" w:themeColor="text1"/>
          <w:sz w:val="28"/>
        </w:rPr>
      </w:pPr>
      <w:r>
        <w:rPr>
          <w:rFonts w:hint="eastAsia" w:asciiTheme="majorEastAsia" w:hAnsiTheme="majorEastAsia" w:eastAsiaTheme="majorEastAsia" w:cstheme="majorEastAsia"/>
          <w:color w:val="000000" w:themeColor="text1"/>
          <w:sz w:val="28"/>
        </w:rPr>
        <w:t>其他与本合同相关的资料（如有请提供）</w:t>
      </w:r>
    </w:p>
    <w:p>
      <w:pPr>
        <w:spacing w:line="360" w:lineRule="auto"/>
        <w:jc w:val="center"/>
        <w:rPr>
          <w:rFonts w:asciiTheme="majorEastAsia" w:hAnsiTheme="majorEastAsia" w:eastAsiaTheme="majorEastAsia" w:cstheme="majorEastAsia"/>
          <w:b/>
          <w:bCs/>
          <w:color w:val="000000" w:themeColor="text1"/>
          <w:sz w:val="28"/>
        </w:rPr>
      </w:pPr>
    </w:p>
    <w:p>
      <w:pPr>
        <w:spacing w:line="360" w:lineRule="auto"/>
        <w:jc w:val="center"/>
        <w:rPr>
          <w:rFonts w:asciiTheme="majorEastAsia" w:hAnsiTheme="majorEastAsia" w:eastAsiaTheme="majorEastAsia" w:cstheme="majorEastAsia"/>
          <w:b/>
          <w:bCs/>
          <w:color w:val="000000" w:themeColor="text1"/>
          <w:sz w:val="30"/>
          <w:szCs w:val="30"/>
        </w:rPr>
      </w:pPr>
      <w:r>
        <w:rPr>
          <w:rFonts w:hint="eastAsia" w:asciiTheme="majorEastAsia" w:hAnsiTheme="majorEastAsia" w:eastAsiaTheme="majorEastAsia" w:cstheme="majorEastAsia"/>
          <w:bCs/>
          <w:color w:val="000000" w:themeColor="text1"/>
          <w:sz w:val="28"/>
        </w:rPr>
        <w:br w:type="page"/>
      </w:r>
      <w:r>
        <w:rPr>
          <w:rFonts w:hint="eastAsia" w:asciiTheme="majorEastAsia" w:hAnsiTheme="majorEastAsia" w:eastAsiaTheme="majorEastAsia" w:cstheme="majorEastAsia"/>
          <w:b/>
          <w:color w:val="000000" w:themeColor="text1"/>
          <w:sz w:val="30"/>
          <w:szCs w:val="30"/>
        </w:rPr>
        <w:t>南宁市政府采购合同书</w:t>
      </w:r>
    </w:p>
    <w:p>
      <w:pPr>
        <w:pStyle w:val="10"/>
        <w:spacing w:line="360" w:lineRule="auto"/>
        <w:rPr>
          <w:rFonts w:asciiTheme="majorEastAsia" w:hAnsiTheme="majorEastAsia" w:eastAsiaTheme="majorEastAsia" w:cstheme="majorEastAsia"/>
          <w:color w:val="000000" w:themeColor="text1"/>
        </w:rPr>
      </w:pPr>
    </w:p>
    <w:p>
      <w:pPr>
        <w:pStyle w:val="10"/>
        <w:spacing w:line="360" w:lineRule="auto"/>
        <w:rPr>
          <w:rFonts w:asciiTheme="majorEastAsia" w:hAnsiTheme="majorEastAsia" w:eastAsiaTheme="majorEastAsia" w:cstheme="majorEastAsia"/>
          <w:color w:val="000000" w:themeColor="text1"/>
          <w:sz w:val="24"/>
          <w:szCs w:val="24"/>
          <w:u w:val="single"/>
        </w:rPr>
      </w:pPr>
      <w:r>
        <w:rPr>
          <w:rFonts w:hint="eastAsia" w:asciiTheme="majorEastAsia" w:hAnsiTheme="majorEastAsia" w:eastAsiaTheme="majorEastAsia" w:cstheme="majorEastAsia"/>
          <w:color w:val="000000" w:themeColor="text1"/>
          <w:sz w:val="24"/>
          <w:szCs w:val="24"/>
        </w:rPr>
        <w:t>项目名称：</w:t>
      </w:r>
      <w:r>
        <w:rPr>
          <w:rFonts w:hint="eastAsia" w:asciiTheme="majorEastAsia" w:hAnsiTheme="majorEastAsia" w:eastAsiaTheme="majorEastAsia" w:cstheme="majorEastAsia"/>
          <w:color w:val="000000" w:themeColor="text1"/>
          <w:sz w:val="24"/>
          <w:szCs w:val="24"/>
          <w:u w:val="single"/>
        </w:rPr>
        <w:t>住房保障信息系统专线租用</w:t>
      </w:r>
    </w:p>
    <w:p>
      <w:pPr>
        <w:pStyle w:val="10"/>
        <w:spacing w:line="360" w:lineRule="auto"/>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项目编号：</w:t>
      </w:r>
      <w:r>
        <w:rPr>
          <w:rFonts w:hint="eastAsia" w:asciiTheme="majorEastAsia" w:hAnsiTheme="majorEastAsia" w:eastAsiaTheme="majorEastAsia" w:cstheme="majorEastAsia"/>
          <w:color w:val="000000" w:themeColor="text1"/>
          <w:sz w:val="24"/>
          <w:szCs w:val="24"/>
          <w:u w:val="single"/>
        </w:rPr>
        <w:t>NNZC2020-C3-990370-GXYZ</w:t>
      </w:r>
    </w:p>
    <w:p>
      <w:pPr>
        <w:pStyle w:val="10"/>
        <w:spacing w:line="360" w:lineRule="auto"/>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分标号（有分标时填写）：</w:t>
      </w:r>
      <w:r>
        <w:rPr>
          <w:rFonts w:hint="eastAsia" w:asciiTheme="majorEastAsia" w:hAnsiTheme="majorEastAsia" w:eastAsiaTheme="majorEastAsia" w:cstheme="majorEastAsia"/>
          <w:color w:val="000000" w:themeColor="text1"/>
          <w:sz w:val="24"/>
          <w:szCs w:val="24"/>
          <w:u w:val="single"/>
        </w:rPr>
        <w:t xml:space="preserve"> / </w:t>
      </w:r>
    </w:p>
    <w:p>
      <w:pPr>
        <w:pStyle w:val="10"/>
        <w:spacing w:line="360" w:lineRule="auto"/>
        <w:rPr>
          <w:rFonts w:asciiTheme="majorEastAsia" w:hAnsiTheme="majorEastAsia" w:eastAsiaTheme="majorEastAsia" w:cstheme="majorEastAsia"/>
          <w:color w:val="000000" w:themeColor="text1"/>
          <w:sz w:val="24"/>
          <w:szCs w:val="24"/>
        </w:rPr>
      </w:pPr>
    </w:p>
    <w:p>
      <w:pPr>
        <w:pStyle w:val="10"/>
        <w:tabs>
          <w:tab w:val="left" w:pos="5250"/>
        </w:tabs>
        <w:spacing w:line="360" w:lineRule="auto"/>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采购人（甲方）：</w:t>
      </w:r>
      <w:r>
        <w:rPr>
          <w:rFonts w:hint="eastAsia" w:asciiTheme="majorEastAsia" w:hAnsiTheme="majorEastAsia" w:eastAsiaTheme="majorEastAsia" w:cstheme="majorEastAsia"/>
          <w:color w:val="000000" w:themeColor="text1"/>
          <w:sz w:val="24"/>
          <w:szCs w:val="24"/>
          <w:u w:val="single"/>
        </w:rPr>
        <w:t xml:space="preserve">南宁市住房和城乡建设局   </w:t>
      </w:r>
    </w:p>
    <w:p>
      <w:pPr>
        <w:pStyle w:val="10"/>
        <w:spacing w:line="360" w:lineRule="auto"/>
        <w:rPr>
          <w:rFonts w:asciiTheme="majorEastAsia" w:hAnsiTheme="majorEastAsia" w:eastAsiaTheme="majorEastAsia" w:cstheme="majorEastAsia"/>
          <w:b/>
          <w:color w:val="000000" w:themeColor="text1"/>
          <w:sz w:val="24"/>
          <w:szCs w:val="24"/>
        </w:rPr>
      </w:pPr>
      <w:r>
        <w:rPr>
          <w:rFonts w:hint="eastAsia" w:asciiTheme="majorEastAsia" w:hAnsiTheme="majorEastAsia" w:eastAsiaTheme="majorEastAsia" w:cstheme="majorEastAsia"/>
          <w:color w:val="000000" w:themeColor="text1"/>
          <w:sz w:val="24"/>
          <w:szCs w:val="24"/>
        </w:rPr>
        <w:t>成交供应商（乙方）：</w:t>
      </w:r>
      <w:r>
        <w:rPr>
          <w:rFonts w:hint="eastAsia" w:asciiTheme="majorEastAsia" w:hAnsiTheme="majorEastAsia" w:eastAsiaTheme="majorEastAsia" w:cstheme="majorEastAsia"/>
          <w:color w:val="000000" w:themeColor="text1"/>
          <w:sz w:val="24"/>
          <w:szCs w:val="24"/>
          <w:u w:val="single"/>
        </w:rPr>
        <w:t xml:space="preserve">               </w:t>
      </w:r>
    </w:p>
    <w:bookmarkEnd w:id="64"/>
    <w:bookmarkEnd w:id="65"/>
    <w:bookmarkEnd w:id="66"/>
    <w:bookmarkEnd w:id="67"/>
    <w:p>
      <w:pPr>
        <w:pStyle w:val="10"/>
        <w:spacing w:line="360" w:lineRule="auto"/>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 xml:space="preserve">    </w:t>
      </w:r>
    </w:p>
    <w:p>
      <w:pPr>
        <w:pStyle w:val="10"/>
        <w:spacing w:line="360" w:lineRule="auto"/>
        <w:rPr>
          <w:rFonts w:asciiTheme="majorEastAsia" w:hAnsiTheme="majorEastAsia" w:eastAsiaTheme="majorEastAsia" w:cstheme="majorEastAsia"/>
          <w:b/>
          <w:color w:val="000000" w:themeColor="text1"/>
          <w:sz w:val="24"/>
          <w:szCs w:val="24"/>
        </w:rPr>
      </w:pPr>
      <w:r>
        <w:rPr>
          <w:rFonts w:hint="eastAsia" w:asciiTheme="majorEastAsia" w:hAnsiTheme="majorEastAsia" w:eastAsiaTheme="majorEastAsia" w:cstheme="majorEastAsia"/>
          <w:color w:val="000000" w:themeColor="text1"/>
          <w:sz w:val="24"/>
          <w:szCs w:val="24"/>
        </w:rPr>
        <w:t>根据   年  月  日南宁市政府采购项目的采购结果，甲方接受乙方对本项目的响应，甲、乙双方同意签署本合同（以下简称合同）。</w:t>
      </w:r>
    </w:p>
    <w:p>
      <w:pPr>
        <w:pStyle w:val="10"/>
        <w:spacing w:line="360" w:lineRule="auto"/>
        <w:rPr>
          <w:rFonts w:asciiTheme="majorEastAsia" w:hAnsiTheme="majorEastAsia" w:eastAsiaTheme="majorEastAsia" w:cstheme="majorEastAsia"/>
          <w:b/>
          <w:color w:val="000000" w:themeColor="text1"/>
          <w:sz w:val="24"/>
          <w:szCs w:val="24"/>
        </w:rPr>
      </w:pPr>
    </w:p>
    <w:p>
      <w:pPr>
        <w:pStyle w:val="10"/>
        <w:spacing w:line="360" w:lineRule="auto"/>
        <w:rPr>
          <w:rFonts w:asciiTheme="majorEastAsia" w:hAnsiTheme="majorEastAsia" w:eastAsiaTheme="majorEastAsia" w:cstheme="majorEastAsia"/>
          <w:b/>
          <w:bCs/>
          <w:color w:val="000000" w:themeColor="text1"/>
          <w:sz w:val="24"/>
          <w:szCs w:val="24"/>
        </w:rPr>
      </w:pPr>
      <w:r>
        <w:rPr>
          <w:rFonts w:hint="eastAsia" w:asciiTheme="majorEastAsia" w:hAnsiTheme="majorEastAsia" w:eastAsiaTheme="majorEastAsia" w:cstheme="majorEastAsia"/>
          <w:b/>
          <w:bCs/>
          <w:color w:val="000000" w:themeColor="text1"/>
          <w:sz w:val="24"/>
          <w:szCs w:val="24"/>
        </w:rPr>
        <w:t>1.  采购内容</w:t>
      </w:r>
    </w:p>
    <w:p>
      <w:pPr>
        <w:pStyle w:val="10"/>
        <w:tabs>
          <w:tab w:val="left" w:pos="5220"/>
        </w:tabs>
        <w:spacing w:line="360" w:lineRule="auto"/>
        <w:ind w:firstLine="480" w:firstLineChars="200"/>
        <w:rPr>
          <w:rFonts w:asciiTheme="majorEastAsia" w:hAnsiTheme="majorEastAsia" w:eastAsiaTheme="majorEastAsia" w:cstheme="majorEastAsia"/>
          <w:color w:val="000000" w:themeColor="text1"/>
          <w:sz w:val="24"/>
          <w:szCs w:val="24"/>
          <w:u w:val="single"/>
        </w:rPr>
      </w:pPr>
      <w:r>
        <w:rPr>
          <w:rFonts w:hint="eastAsia" w:asciiTheme="majorEastAsia" w:hAnsiTheme="majorEastAsia" w:eastAsiaTheme="majorEastAsia" w:cstheme="majorEastAsia"/>
          <w:color w:val="000000" w:themeColor="text1"/>
          <w:sz w:val="24"/>
          <w:szCs w:val="24"/>
        </w:rPr>
        <w:t>1.1 服务名称：</w:t>
      </w:r>
      <w:r>
        <w:rPr>
          <w:rFonts w:hint="eastAsia" w:asciiTheme="majorEastAsia" w:hAnsiTheme="majorEastAsia" w:eastAsiaTheme="majorEastAsia" w:cstheme="majorEastAsia"/>
          <w:color w:val="000000" w:themeColor="text1"/>
          <w:sz w:val="24"/>
          <w:szCs w:val="24"/>
          <w:u w:val="single"/>
        </w:rPr>
        <w:t xml:space="preserve">详见合同附件中响应报价表       </w:t>
      </w:r>
    </w:p>
    <w:p>
      <w:pPr>
        <w:pStyle w:val="10"/>
        <w:tabs>
          <w:tab w:val="left" w:pos="5220"/>
        </w:tabs>
        <w:spacing w:line="360" w:lineRule="auto"/>
        <w:ind w:firstLine="480" w:firstLineChars="200"/>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1.2 数量：</w:t>
      </w:r>
      <w:r>
        <w:rPr>
          <w:rFonts w:hint="eastAsia" w:asciiTheme="majorEastAsia" w:hAnsiTheme="majorEastAsia" w:eastAsiaTheme="majorEastAsia" w:cstheme="majorEastAsia"/>
          <w:color w:val="000000" w:themeColor="text1"/>
          <w:sz w:val="24"/>
          <w:szCs w:val="24"/>
          <w:u w:val="single"/>
        </w:rPr>
        <w:t xml:space="preserve">详见合同附件中响应报价表           </w:t>
      </w:r>
    </w:p>
    <w:p>
      <w:pPr>
        <w:pStyle w:val="10"/>
        <w:tabs>
          <w:tab w:val="left" w:pos="5220"/>
        </w:tabs>
        <w:spacing w:line="360" w:lineRule="auto"/>
        <w:ind w:firstLine="480" w:firstLineChars="200"/>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1.2服务内容：</w:t>
      </w:r>
      <w:r>
        <w:rPr>
          <w:rFonts w:hint="eastAsia" w:asciiTheme="majorEastAsia" w:hAnsiTheme="majorEastAsia" w:eastAsiaTheme="majorEastAsia" w:cstheme="majorEastAsia"/>
          <w:color w:val="000000" w:themeColor="text1"/>
          <w:sz w:val="24"/>
          <w:szCs w:val="24"/>
          <w:u w:val="single"/>
        </w:rPr>
        <w:t xml:space="preserve">详见合同附件中响应服务技术资料表及澄清函（响应服务技术资料表与澄清函不一致的以澄清函为准） </w:t>
      </w:r>
    </w:p>
    <w:p>
      <w:pPr>
        <w:pStyle w:val="10"/>
        <w:spacing w:line="360" w:lineRule="auto"/>
        <w:rPr>
          <w:rFonts w:asciiTheme="majorEastAsia" w:hAnsiTheme="majorEastAsia" w:eastAsiaTheme="majorEastAsia" w:cstheme="majorEastAsia"/>
          <w:b/>
          <w:bCs/>
          <w:color w:val="000000" w:themeColor="text1"/>
          <w:sz w:val="24"/>
          <w:szCs w:val="24"/>
        </w:rPr>
      </w:pPr>
      <w:r>
        <w:rPr>
          <w:rFonts w:hint="eastAsia" w:asciiTheme="majorEastAsia" w:hAnsiTheme="majorEastAsia" w:eastAsiaTheme="majorEastAsia" w:cstheme="majorEastAsia"/>
          <w:b/>
          <w:bCs/>
          <w:color w:val="000000" w:themeColor="text1"/>
          <w:sz w:val="24"/>
          <w:szCs w:val="24"/>
        </w:rPr>
        <w:t>2.  合同金额</w:t>
      </w:r>
    </w:p>
    <w:p>
      <w:pPr>
        <w:pStyle w:val="10"/>
        <w:spacing w:line="360" w:lineRule="auto"/>
        <w:ind w:left="2" w:firstLine="410" w:firstLineChars="171"/>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2.1 本合同金额为（大写）人民币</w:t>
      </w:r>
      <w:r>
        <w:rPr>
          <w:rFonts w:hint="eastAsia" w:asciiTheme="majorEastAsia" w:hAnsiTheme="majorEastAsia" w:eastAsiaTheme="majorEastAsia" w:cstheme="majorEastAsia"/>
          <w:color w:val="000000" w:themeColor="text1"/>
          <w:sz w:val="24"/>
          <w:szCs w:val="24"/>
          <w:u w:val="single"/>
        </w:rPr>
        <w:t xml:space="preserve">　　　　　　   </w:t>
      </w:r>
      <w:r>
        <w:rPr>
          <w:rFonts w:hint="eastAsia" w:asciiTheme="majorEastAsia" w:hAnsiTheme="majorEastAsia" w:eastAsiaTheme="majorEastAsia" w:cstheme="majorEastAsia"/>
          <w:color w:val="000000" w:themeColor="text1"/>
          <w:sz w:val="24"/>
          <w:szCs w:val="24"/>
        </w:rPr>
        <w:t>（￥</w:t>
      </w:r>
      <w:r>
        <w:rPr>
          <w:rFonts w:hint="eastAsia" w:asciiTheme="majorEastAsia" w:hAnsiTheme="majorEastAsia" w:eastAsiaTheme="majorEastAsia" w:cstheme="majorEastAsia"/>
          <w:color w:val="000000" w:themeColor="text1"/>
          <w:sz w:val="24"/>
          <w:szCs w:val="24"/>
          <w:u w:val="single"/>
        </w:rPr>
        <w:t>　　　　　　</w:t>
      </w:r>
      <w:r>
        <w:rPr>
          <w:rFonts w:hint="eastAsia" w:asciiTheme="majorEastAsia" w:hAnsiTheme="majorEastAsia" w:eastAsiaTheme="majorEastAsia" w:cstheme="majorEastAsia"/>
          <w:color w:val="000000" w:themeColor="text1"/>
          <w:sz w:val="24"/>
          <w:szCs w:val="24"/>
        </w:rPr>
        <w:t>元）。（详见响应文件最终报价表）</w:t>
      </w:r>
    </w:p>
    <w:p>
      <w:pPr>
        <w:pStyle w:val="10"/>
        <w:tabs>
          <w:tab w:val="left" w:pos="5940"/>
        </w:tabs>
        <w:spacing w:line="360" w:lineRule="auto"/>
        <w:rPr>
          <w:rFonts w:asciiTheme="majorEastAsia" w:hAnsiTheme="majorEastAsia" w:eastAsiaTheme="majorEastAsia" w:cstheme="majorEastAsia"/>
          <w:b/>
          <w:bCs/>
          <w:color w:val="000000" w:themeColor="text1"/>
          <w:sz w:val="24"/>
          <w:szCs w:val="24"/>
        </w:rPr>
      </w:pPr>
      <w:r>
        <w:rPr>
          <w:rFonts w:hint="eastAsia" w:asciiTheme="majorEastAsia" w:hAnsiTheme="majorEastAsia" w:eastAsiaTheme="majorEastAsia" w:cstheme="majorEastAsia"/>
          <w:b/>
          <w:bCs/>
          <w:color w:val="000000" w:themeColor="text1"/>
          <w:sz w:val="24"/>
          <w:szCs w:val="24"/>
        </w:rPr>
        <w:t>3.  提交服务成果要求</w:t>
      </w:r>
    </w:p>
    <w:p>
      <w:pPr>
        <w:pStyle w:val="10"/>
        <w:tabs>
          <w:tab w:val="left" w:pos="5220"/>
        </w:tabs>
        <w:spacing w:line="360" w:lineRule="auto"/>
        <w:ind w:firstLine="360"/>
        <w:rPr>
          <w:rFonts w:asciiTheme="majorEastAsia" w:hAnsiTheme="majorEastAsia" w:eastAsiaTheme="majorEastAsia" w:cstheme="majorEastAsia"/>
          <w:bCs/>
          <w:color w:val="000000" w:themeColor="text1"/>
          <w:sz w:val="24"/>
          <w:szCs w:val="24"/>
        </w:rPr>
      </w:pPr>
      <w:r>
        <w:rPr>
          <w:rFonts w:hint="eastAsia" w:asciiTheme="majorEastAsia" w:hAnsiTheme="majorEastAsia" w:eastAsiaTheme="majorEastAsia" w:cstheme="majorEastAsia"/>
          <w:bCs/>
          <w:color w:val="000000" w:themeColor="text1"/>
          <w:sz w:val="24"/>
          <w:szCs w:val="24"/>
        </w:rPr>
        <w:t>3.1 提交服务成果时间：</w:t>
      </w:r>
      <w:r>
        <w:rPr>
          <w:rFonts w:hint="eastAsia" w:asciiTheme="majorEastAsia" w:hAnsiTheme="majorEastAsia" w:eastAsiaTheme="majorEastAsia" w:cstheme="majorEastAsia"/>
          <w:color w:val="000000" w:themeColor="text1"/>
          <w:sz w:val="24"/>
          <w:szCs w:val="24"/>
          <w:u w:val="single"/>
        </w:rPr>
        <w:t xml:space="preserve">　　　　　　　　　　　　      </w:t>
      </w:r>
    </w:p>
    <w:p>
      <w:pPr>
        <w:pStyle w:val="10"/>
        <w:spacing w:line="360" w:lineRule="auto"/>
        <w:ind w:firstLine="360"/>
        <w:rPr>
          <w:rFonts w:asciiTheme="majorEastAsia" w:hAnsiTheme="majorEastAsia" w:eastAsiaTheme="majorEastAsia" w:cstheme="majorEastAsia"/>
          <w:bCs/>
          <w:color w:val="000000" w:themeColor="text1"/>
          <w:sz w:val="24"/>
          <w:szCs w:val="24"/>
        </w:rPr>
      </w:pPr>
      <w:r>
        <w:rPr>
          <w:rFonts w:hint="eastAsia" w:asciiTheme="majorEastAsia" w:hAnsiTheme="majorEastAsia" w:eastAsiaTheme="majorEastAsia" w:cstheme="majorEastAsia"/>
          <w:bCs/>
          <w:color w:val="000000" w:themeColor="text1"/>
          <w:sz w:val="24"/>
          <w:szCs w:val="24"/>
        </w:rPr>
        <w:t>3.2 提交服务成果</w:t>
      </w:r>
      <w:r>
        <w:rPr>
          <w:rFonts w:hint="eastAsia" w:cs="宋体" w:asciiTheme="majorEastAsia" w:hAnsiTheme="majorEastAsia" w:eastAsiaTheme="majorEastAsia"/>
          <w:color w:val="000000" w:themeColor="text1"/>
          <w:sz w:val="24"/>
        </w:rPr>
        <w:t>地点</w:t>
      </w:r>
      <w:r>
        <w:rPr>
          <w:rFonts w:hint="eastAsia" w:asciiTheme="majorEastAsia" w:hAnsiTheme="majorEastAsia" w:eastAsiaTheme="majorEastAsia" w:cstheme="majorEastAsia"/>
          <w:bCs/>
          <w:color w:val="000000" w:themeColor="text1"/>
          <w:sz w:val="24"/>
          <w:szCs w:val="24"/>
        </w:rPr>
        <w:t>：</w:t>
      </w:r>
      <w:r>
        <w:rPr>
          <w:rFonts w:hint="eastAsia" w:asciiTheme="majorEastAsia" w:hAnsiTheme="majorEastAsia" w:eastAsiaTheme="majorEastAsia" w:cstheme="majorEastAsia"/>
          <w:color w:val="000000" w:themeColor="text1"/>
          <w:sz w:val="24"/>
          <w:szCs w:val="24"/>
          <w:u w:val="single"/>
        </w:rPr>
        <w:t xml:space="preserve">　　　　　　　　　　　　      </w:t>
      </w:r>
    </w:p>
    <w:p>
      <w:pPr>
        <w:pStyle w:val="10"/>
        <w:spacing w:line="360" w:lineRule="auto"/>
        <w:ind w:firstLine="360"/>
        <w:rPr>
          <w:rFonts w:asciiTheme="majorEastAsia" w:hAnsiTheme="majorEastAsia" w:eastAsiaTheme="majorEastAsia" w:cstheme="majorEastAsia"/>
          <w:b/>
          <w:color w:val="000000" w:themeColor="text1"/>
          <w:sz w:val="24"/>
          <w:szCs w:val="24"/>
        </w:rPr>
      </w:pPr>
      <w:r>
        <w:rPr>
          <w:rFonts w:hint="eastAsia" w:asciiTheme="majorEastAsia" w:hAnsiTheme="majorEastAsia" w:eastAsiaTheme="majorEastAsia" w:cstheme="majorEastAsia"/>
          <w:bCs/>
          <w:color w:val="000000" w:themeColor="text1"/>
          <w:sz w:val="24"/>
          <w:szCs w:val="24"/>
        </w:rPr>
        <w:t xml:space="preserve">3.3 </w:t>
      </w:r>
      <w:r>
        <w:rPr>
          <w:rFonts w:hint="eastAsia" w:asciiTheme="majorEastAsia" w:hAnsiTheme="majorEastAsia" w:eastAsiaTheme="majorEastAsia" w:cstheme="majorEastAsia"/>
          <w:color w:val="000000" w:themeColor="text1"/>
          <w:sz w:val="24"/>
          <w:szCs w:val="24"/>
        </w:rPr>
        <w:t>乙方必须按响应文件承诺的服务响应条款向甲方提供服务。</w:t>
      </w:r>
    </w:p>
    <w:p>
      <w:pPr>
        <w:pStyle w:val="10"/>
        <w:spacing w:line="360" w:lineRule="auto"/>
        <w:ind w:left="410" w:hanging="410" w:hangingChars="170"/>
        <w:rPr>
          <w:rFonts w:asciiTheme="majorEastAsia" w:hAnsiTheme="majorEastAsia" w:eastAsiaTheme="majorEastAsia" w:cstheme="majorEastAsia"/>
          <w:b/>
          <w:color w:val="000000" w:themeColor="text1"/>
          <w:sz w:val="24"/>
          <w:szCs w:val="24"/>
        </w:rPr>
      </w:pPr>
      <w:r>
        <w:rPr>
          <w:rFonts w:hint="eastAsia" w:asciiTheme="majorEastAsia" w:hAnsiTheme="majorEastAsia" w:eastAsiaTheme="majorEastAsia" w:cstheme="majorEastAsia"/>
          <w:b/>
          <w:bCs/>
          <w:color w:val="000000" w:themeColor="text1"/>
          <w:sz w:val="24"/>
          <w:szCs w:val="24"/>
        </w:rPr>
        <w:t>4.  履约保证金</w:t>
      </w:r>
    </w:p>
    <w:p>
      <w:pPr>
        <w:pStyle w:val="10"/>
        <w:spacing w:line="440" w:lineRule="exact"/>
        <w:ind w:firstLine="360" w:firstLineChars="150"/>
        <w:jc w:val="left"/>
        <w:rPr>
          <w:rFonts w:asciiTheme="majorEastAsia" w:hAnsiTheme="majorEastAsia" w:eastAsiaTheme="majorEastAsia" w:cstheme="majorEastAsia"/>
          <w:color w:val="000000" w:themeColor="text1"/>
          <w:szCs w:val="28"/>
        </w:rPr>
      </w:pPr>
      <w:r>
        <w:rPr>
          <w:rFonts w:hint="eastAsia" w:asciiTheme="majorEastAsia" w:hAnsiTheme="majorEastAsia" w:eastAsiaTheme="majorEastAsia" w:cstheme="majorEastAsia"/>
          <w:color w:val="000000" w:themeColor="text1"/>
          <w:sz w:val="24"/>
          <w:szCs w:val="24"/>
        </w:rPr>
        <w:t>本项目不收取履约保证金</w:t>
      </w:r>
      <w:r>
        <w:rPr>
          <w:rFonts w:hint="eastAsia" w:asciiTheme="majorEastAsia" w:hAnsiTheme="majorEastAsia" w:eastAsiaTheme="majorEastAsia" w:cstheme="majorEastAsia"/>
          <w:color w:val="000000" w:themeColor="text1"/>
          <w:szCs w:val="28"/>
        </w:rPr>
        <w:t>。</w:t>
      </w:r>
    </w:p>
    <w:p>
      <w:pPr>
        <w:pStyle w:val="10"/>
        <w:spacing w:line="360" w:lineRule="auto"/>
        <w:ind w:left="412" w:hanging="412" w:hangingChars="171"/>
        <w:rPr>
          <w:rFonts w:asciiTheme="majorEastAsia" w:hAnsiTheme="majorEastAsia" w:eastAsiaTheme="majorEastAsia" w:cstheme="majorEastAsia"/>
          <w:b/>
          <w:color w:val="000000" w:themeColor="text1"/>
          <w:sz w:val="24"/>
          <w:szCs w:val="24"/>
        </w:rPr>
      </w:pPr>
      <w:r>
        <w:rPr>
          <w:rFonts w:hint="eastAsia" w:asciiTheme="majorEastAsia" w:hAnsiTheme="majorEastAsia" w:eastAsiaTheme="majorEastAsia" w:cstheme="majorEastAsia"/>
          <w:b/>
          <w:bCs/>
          <w:color w:val="000000" w:themeColor="text1"/>
          <w:sz w:val="24"/>
          <w:szCs w:val="24"/>
        </w:rPr>
        <w:t>5.  产权</w:t>
      </w:r>
    </w:p>
    <w:p>
      <w:pPr>
        <w:pStyle w:val="10"/>
        <w:spacing w:line="360" w:lineRule="auto"/>
        <w:ind w:firstLine="480" w:firstLineChars="200"/>
        <w:rPr>
          <w:rFonts w:asciiTheme="majorEastAsia" w:hAnsiTheme="majorEastAsia" w:eastAsiaTheme="majorEastAsia" w:cstheme="majorEastAsia"/>
          <w:b/>
          <w:color w:val="000000" w:themeColor="text1"/>
          <w:sz w:val="24"/>
          <w:szCs w:val="24"/>
        </w:rPr>
      </w:pPr>
      <w:r>
        <w:rPr>
          <w:rFonts w:hint="eastAsia" w:asciiTheme="majorEastAsia" w:hAnsiTheme="majorEastAsia" w:eastAsiaTheme="majorEastAsia" w:cstheme="majorEastAsia"/>
          <w:color w:val="000000" w:themeColor="text1"/>
          <w:sz w:val="24"/>
          <w:szCs w:val="24"/>
        </w:rPr>
        <w:t>5.1 乙方应保证所提供的服务或其任何一部分均不会侵犯任何第三方的专利权、商标权或著作权</w:t>
      </w:r>
      <w:r>
        <w:rPr>
          <w:rFonts w:hint="eastAsia" w:asciiTheme="majorEastAsia" w:hAnsiTheme="majorEastAsia" w:eastAsiaTheme="majorEastAsia" w:cstheme="majorEastAsia"/>
          <w:bCs/>
          <w:color w:val="000000" w:themeColor="text1"/>
          <w:sz w:val="24"/>
          <w:szCs w:val="24"/>
        </w:rPr>
        <w:t>。</w:t>
      </w:r>
    </w:p>
    <w:p>
      <w:pPr>
        <w:pStyle w:val="10"/>
        <w:spacing w:line="360" w:lineRule="auto"/>
        <w:ind w:firstLine="480" w:firstLineChars="200"/>
        <w:rPr>
          <w:rFonts w:asciiTheme="majorEastAsia" w:hAnsiTheme="majorEastAsia" w:eastAsiaTheme="majorEastAsia" w:cstheme="majorEastAsia"/>
          <w:b/>
          <w:color w:val="000000" w:themeColor="text1"/>
          <w:sz w:val="24"/>
          <w:szCs w:val="24"/>
        </w:rPr>
      </w:pPr>
      <w:r>
        <w:rPr>
          <w:rFonts w:hint="eastAsia" w:asciiTheme="majorEastAsia" w:hAnsiTheme="majorEastAsia" w:eastAsiaTheme="majorEastAsia" w:cstheme="majorEastAsia"/>
          <w:color w:val="000000" w:themeColor="text1"/>
          <w:sz w:val="24"/>
          <w:szCs w:val="24"/>
        </w:rPr>
        <w:t>5.2 乙方保证所交付服务的所有权完全属于乙方且无任何抵押、查封等产权瑕疵。如乙方所交付服务有产权瑕疵的，视为乙方违约，按照本合同第10.3项的约定处理。但在已经全部支付完合同款后才发现有产权瑕疵的，乙方除了支付违约金还应负担甲方由此产生的一切损失。</w:t>
      </w:r>
    </w:p>
    <w:p>
      <w:pPr>
        <w:pStyle w:val="10"/>
        <w:spacing w:line="360" w:lineRule="auto"/>
        <w:rPr>
          <w:rFonts w:asciiTheme="majorEastAsia" w:hAnsiTheme="majorEastAsia" w:eastAsiaTheme="majorEastAsia" w:cstheme="majorEastAsia"/>
          <w:b/>
          <w:color w:val="000000" w:themeColor="text1"/>
          <w:sz w:val="24"/>
          <w:szCs w:val="24"/>
        </w:rPr>
      </w:pPr>
      <w:r>
        <w:rPr>
          <w:rFonts w:hint="eastAsia" w:asciiTheme="majorEastAsia" w:hAnsiTheme="majorEastAsia" w:eastAsiaTheme="majorEastAsia" w:cstheme="majorEastAsia"/>
          <w:b/>
          <w:bCs/>
          <w:color w:val="000000" w:themeColor="text1"/>
          <w:sz w:val="24"/>
          <w:szCs w:val="24"/>
        </w:rPr>
        <w:t>6.  技术资料</w:t>
      </w:r>
    </w:p>
    <w:p>
      <w:pPr>
        <w:pStyle w:val="10"/>
        <w:tabs>
          <w:tab w:val="left" w:pos="0"/>
        </w:tabs>
        <w:spacing w:line="360" w:lineRule="auto"/>
        <w:ind w:firstLine="480" w:firstLineChars="200"/>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6.1 甲方应向乙方提供提交服务成果所必需的有关数据、资料等。</w:t>
      </w:r>
    </w:p>
    <w:p>
      <w:pPr>
        <w:pStyle w:val="10"/>
        <w:tabs>
          <w:tab w:val="left" w:pos="0"/>
        </w:tabs>
        <w:spacing w:line="360" w:lineRule="auto"/>
        <w:ind w:firstLine="480" w:firstLineChars="200"/>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6.2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0"/>
        <w:spacing w:line="360" w:lineRule="auto"/>
        <w:rPr>
          <w:rFonts w:asciiTheme="majorEastAsia" w:hAnsiTheme="majorEastAsia" w:eastAsiaTheme="majorEastAsia" w:cstheme="majorEastAsia"/>
          <w:b/>
          <w:bCs/>
          <w:color w:val="000000" w:themeColor="text1"/>
          <w:sz w:val="24"/>
          <w:szCs w:val="24"/>
        </w:rPr>
      </w:pPr>
      <w:r>
        <w:rPr>
          <w:rFonts w:hint="eastAsia" w:asciiTheme="majorEastAsia" w:hAnsiTheme="majorEastAsia" w:eastAsiaTheme="majorEastAsia" w:cstheme="majorEastAsia"/>
          <w:b/>
          <w:bCs/>
          <w:color w:val="000000" w:themeColor="text1"/>
          <w:sz w:val="24"/>
          <w:szCs w:val="24"/>
        </w:rPr>
        <w:t>7.  验收</w:t>
      </w:r>
    </w:p>
    <w:p>
      <w:pPr>
        <w:pStyle w:val="10"/>
        <w:tabs>
          <w:tab w:val="left" w:pos="0"/>
        </w:tabs>
        <w:spacing w:line="360" w:lineRule="auto"/>
        <w:ind w:firstLine="480" w:firstLineChars="200"/>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7.1 乙方应对提交的服务成果作出全面检查和整理，并列出清单，作为甲方验收和使用的技术条件依据，清单应随提交的服务成果交给甲方。</w:t>
      </w:r>
    </w:p>
    <w:p>
      <w:pPr>
        <w:pStyle w:val="10"/>
        <w:tabs>
          <w:tab w:val="left" w:pos="0"/>
        </w:tabs>
        <w:spacing w:line="360" w:lineRule="auto"/>
        <w:ind w:firstLine="480" w:firstLineChars="200"/>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7.2 乙方在指定地点提交服务成果后，甲方应在五个工作日内依据竞争性磋商采购文件、乙方的响应文件等组织验收，验收完毕后作出书面验收报告。验收时乙方必须在现场。</w:t>
      </w:r>
    </w:p>
    <w:p>
      <w:pPr>
        <w:pStyle w:val="10"/>
        <w:tabs>
          <w:tab w:val="left" w:pos="0"/>
        </w:tabs>
        <w:spacing w:line="360" w:lineRule="auto"/>
        <w:ind w:firstLine="480" w:firstLineChars="200"/>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7.3 对复杂的服务，甲方可请国家认可的专业机构参与验收，并由其出具验收报告，相关费用由甲方承担。</w:t>
      </w:r>
    </w:p>
    <w:p>
      <w:pPr>
        <w:pStyle w:val="10"/>
        <w:spacing w:line="360" w:lineRule="auto"/>
        <w:rPr>
          <w:rFonts w:asciiTheme="majorEastAsia" w:hAnsiTheme="majorEastAsia" w:eastAsiaTheme="majorEastAsia" w:cstheme="majorEastAsia"/>
          <w:b/>
          <w:bCs/>
          <w:color w:val="000000" w:themeColor="text1"/>
          <w:sz w:val="24"/>
          <w:szCs w:val="24"/>
        </w:rPr>
      </w:pPr>
      <w:r>
        <w:rPr>
          <w:rFonts w:hint="eastAsia" w:asciiTheme="majorEastAsia" w:hAnsiTheme="majorEastAsia" w:eastAsiaTheme="majorEastAsia" w:cstheme="majorEastAsia"/>
          <w:b/>
          <w:bCs/>
          <w:color w:val="000000" w:themeColor="text1"/>
          <w:sz w:val="24"/>
          <w:szCs w:val="24"/>
        </w:rPr>
        <w:t>8.  合同款支付</w:t>
      </w:r>
    </w:p>
    <w:p>
      <w:pPr>
        <w:tabs>
          <w:tab w:val="left" w:pos="2101"/>
        </w:tabs>
        <w:spacing w:line="360" w:lineRule="auto"/>
        <w:ind w:firstLine="480" w:firstLineChars="200"/>
        <w:rPr>
          <w:rFonts w:asciiTheme="majorEastAsia" w:hAnsiTheme="majorEastAsia" w:eastAsiaTheme="majorEastAsia" w:cstheme="majorEastAsia"/>
          <w:color w:val="000000" w:themeColor="text1"/>
          <w:sz w:val="24"/>
          <w:u w:val="single"/>
        </w:rPr>
      </w:pPr>
      <w:r>
        <w:rPr>
          <w:rFonts w:hint="eastAsia" w:asciiTheme="majorEastAsia" w:hAnsiTheme="majorEastAsia" w:eastAsiaTheme="majorEastAsia" w:cstheme="majorEastAsia"/>
          <w:bCs/>
          <w:color w:val="000000" w:themeColor="text1"/>
          <w:sz w:val="24"/>
        </w:rPr>
        <w:t>8.1 付款方式：</w:t>
      </w:r>
      <w:r>
        <w:rPr>
          <w:rFonts w:hint="eastAsia" w:asciiTheme="majorEastAsia" w:hAnsiTheme="majorEastAsia" w:eastAsiaTheme="majorEastAsia" w:cstheme="majorEastAsia"/>
          <w:bCs/>
          <w:color w:val="000000" w:themeColor="text1"/>
          <w:sz w:val="24"/>
          <w:u w:val="single"/>
        </w:rPr>
        <w:t xml:space="preserve"> 本项目无预付款，成交供应商所提交的服务经采购人书面验收合格后，一次性支付合同款。</w:t>
      </w:r>
    </w:p>
    <w:p>
      <w:pPr>
        <w:pStyle w:val="10"/>
        <w:tabs>
          <w:tab w:val="left" w:pos="5145"/>
          <w:tab w:val="left" w:pos="5355"/>
          <w:tab w:val="left" w:pos="6195"/>
        </w:tabs>
        <w:spacing w:line="360" w:lineRule="auto"/>
        <w:ind w:firstLine="480" w:firstLineChars="200"/>
        <w:rPr>
          <w:rFonts w:asciiTheme="majorEastAsia" w:hAnsiTheme="majorEastAsia" w:eastAsiaTheme="majorEastAsia" w:cstheme="majorEastAsia"/>
          <w:bCs/>
          <w:color w:val="000000" w:themeColor="text1"/>
          <w:sz w:val="24"/>
          <w:szCs w:val="24"/>
          <w:u w:val="single"/>
        </w:rPr>
      </w:pPr>
      <w:r>
        <w:rPr>
          <w:rFonts w:hint="eastAsia" w:asciiTheme="majorEastAsia" w:hAnsiTheme="majorEastAsia" w:eastAsiaTheme="majorEastAsia" w:cstheme="majorEastAsia"/>
          <w:color w:val="000000" w:themeColor="text1"/>
          <w:sz w:val="24"/>
          <w:szCs w:val="24"/>
        </w:rPr>
        <w:t>8.2 支付合同款时，由甲方按照合同约定向南宁市财政局提交《南宁市政府采购履约验收证明和资金支付申请表》等完整且合格的支付申请材料；南宁市财政局按财政国库直接支付程序将款项直接支付给供应商。</w:t>
      </w:r>
    </w:p>
    <w:p>
      <w:pPr>
        <w:pStyle w:val="10"/>
        <w:tabs>
          <w:tab w:val="left" w:pos="5145"/>
          <w:tab w:val="left" w:pos="5355"/>
          <w:tab w:val="left" w:pos="6195"/>
        </w:tabs>
        <w:spacing w:line="360" w:lineRule="auto"/>
        <w:ind w:firstLine="480" w:firstLineChars="200"/>
        <w:rPr>
          <w:rFonts w:asciiTheme="majorEastAsia" w:hAnsiTheme="majorEastAsia" w:eastAsiaTheme="majorEastAsia" w:cstheme="majorEastAsia"/>
          <w:bCs/>
          <w:color w:val="000000" w:themeColor="text1"/>
          <w:sz w:val="24"/>
          <w:szCs w:val="24"/>
          <w:u w:val="single"/>
        </w:rPr>
      </w:pPr>
      <w:r>
        <w:rPr>
          <w:rFonts w:hint="eastAsia" w:asciiTheme="majorEastAsia" w:hAnsiTheme="majorEastAsia" w:eastAsiaTheme="majorEastAsia" w:cstheme="majorEastAsia"/>
          <w:color w:val="000000" w:themeColor="text1"/>
          <w:sz w:val="24"/>
          <w:szCs w:val="24"/>
        </w:rPr>
        <w:t>8.3 政府采购监督管理部门在处理投诉事项期间，可以视具体情况书面通知采购人暂停采购活动</w:t>
      </w:r>
      <w:r>
        <w:rPr>
          <w:rFonts w:hint="eastAsia" w:asciiTheme="majorEastAsia" w:hAnsiTheme="majorEastAsia" w:eastAsiaTheme="majorEastAsia" w:cstheme="majorEastAsia"/>
          <w:bCs/>
          <w:color w:val="000000" w:themeColor="text1"/>
          <w:sz w:val="24"/>
          <w:szCs w:val="24"/>
        </w:rPr>
        <w:t>，并延期支付合同款。</w:t>
      </w:r>
    </w:p>
    <w:p>
      <w:pPr>
        <w:pStyle w:val="10"/>
        <w:spacing w:line="360" w:lineRule="auto"/>
        <w:rPr>
          <w:rFonts w:asciiTheme="majorEastAsia" w:hAnsiTheme="majorEastAsia" w:eastAsiaTheme="majorEastAsia" w:cstheme="majorEastAsia"/>
          <w:b/>
          <w:bCs/>
          <w:color w:val="000000" w:themeColor="text1"/>
          <w:sz w:val="24"/>
          <w:szCs w:val="24"/>
        </w:rPr>
      </w:pPr>
      <w:r>
        <w:rPr>
          <w:rFonts w:hint="eastAsia" w:asciiTheme="majorEastAsia" w:hAnsiTheme="majorEastAsia" w:eastAsiaTheme="majorEastAsia" w:cstheme="majorEastAsia"/>
          <w:b/>
          <w:bCs/>
          <w:color w:val="000000" w:themeColor="text1"/>
          <w:sz w:val="24"/>
          <w:szCs w:val="24"/>
        </w:rPr>
        <w:t>9.  售后服务要求</w:t>
      </w:r>
    </w:p>
    <w:p>
      <w:pPr>
        <w:pStyle w:val="10"/>
        <w:spacing w:line="360" w:lineRule="auto"/>
        <w:ind w:firstLine="480" w:firstLineChars="200"/>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9.1 乙方提供服务的质量保证期为：</w:t>
      </w:r>
      <w:r>
        <w:rPr>
          <w:rFonts w:hint="eastAsia" w:asciiTheme="majorEastAsia" w:hAnsiTheme="majorEastAsia" w:eastAsiaTheme="majorEastAsia" w:cstheme="majorEastAsia"/>
          <w:color w:val="000000" w:themeColor="text1"/>
          <w:sz w:val="24"/>
          <w:szCs w:val="24"/>
          <w:u w:val="single"/>
        </w:rPr>
        <w:t xml:space="preserve">　　　　　　   </w:t>
      </w:r>
      <w:r>
        <w:rPr>
          <w:rFonts w:hint="eastAsia" w:asciiTheme="majorEastAsia" w:hAnsiTheme="majorEastAsia" w:eastAsiaTheme="majorEastAsia" w:cstheme="majorEastAsia"/>
          <w:color w:val="000000" w:themeColor="text1"/>
          <w:sz w:val="24"/>
          <w:szCs w:val="24"/>
        </w:rPr>
        <w:t>（自提交服务验收合格之日起计）</w:t>
      </w:r>
    </w:p>
    <w:p>
      <w:pPr>
        <w:pStyle w:val="10"/>
        <w:spacing w:line="360" w:lineRule="auto"/>
        <w:ind w:firstLine="480" w:firstLineChars="200"/>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9.2在本合同第9.1项约定的质量保证期内，乙方应对服务出现的问题负责处理解决并承担一切费用。</w:t>
      </w:r>
    </w:p>
    <w:p>
      <w:pPr>
        <w:pStyle w:val="10"/>
        <w:tabs>
          <w:tab w:val="left" w:pos="5250"/>
        </w:tabs>
        <w:spacing w:line="360" w:lineRule="auto"/>
        <w:ind w:firstLine="480" w:firstLineChars="200"/>
        <w:rPr>
          <w:rFonts w:asciiTheme="majorEastAsia" w:hAnsiTheme="majorEastAsia" w:eastAsiaTheme="majorEastAsia" w:cstheme="majorEastAsia"/>
          <w:color w:val="000000" w:themeColor="text1"/>
          <w:sz w:val="24"/>
          <w:szCs w:val="24"/>
          <w:u w:val="single"/>
        </w:rPr>
      </w:pPr>
      <w:r>
        <w:rPr>
          <w:rFonts w:hint="eastAsia" w:asciiTheme="majorEastAsia" w:hAnsiTheme="majorEastAsia" w:eastAsiaTheme="majorEastAsia" w:cstheme="majorEastAsia"/>
          <w:color w:val="000000" w:themeColor="text1"/>
          <w:sz w:val="24"/>
          <w:szCs w:val="24"/>
        </w:rPr>
        <w:t>9.5 其他售后服务要求：</w:t>
      </w:r>
    </w:p>
    <w:p>
      <w:pPr>
        <w:pStyle w:val="10"/>
        <w:spacing w:line="360" w:lineRule="auto"/>
        <w:rPr>
          <w:rFonts w:asciiTheme="majorEastAsia" w:hAnsiTheme="majorEastAsia" w:eastAsiaTheme="majorEastAsia" w:cstheme="majorEastAsia"/>
          <w:b/>
          <w:bCs/>
          <w:color w:val="000000" w:themeColor="text1"/>
          <w:sz w:val="24"/>
          <w:szCs w:val="24"/>
        </w:rPr>
      </w:pPr>
      <w:r>
        <w:rPr>
          <w:rFonts w:hint="eastAsia" w:asciiTheme="majorEastAsia" w:hAnsiTheme="majorEastAsia" w:eastAsiaTheme="majorEastAsia" w:cstheme="majorEastAsia"/>
          <w:b/>
          <w:bCs/>
          <w:color w:val="000000" w:themeColor="text1"/>
          <w:sz w:val="24"/>
          <w:szCs w:val="24"/>
        </w:rPr>
        <w:t>10.  违约责任</w:t>
      </w:r>
    </w:p>
    <w:p>
      <w:pPr>
        <w:pStyle w:val="10"/>
        <w:spacing w:line="360" w:lineRule="auto"/>
        <w:ind w:firstLine="410" w:firstLineChars="171"/>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10.1甲方无正当理由拒收服务的，甲方向乙方偿付拒收服务费总值的百分之五违约金。</w:t>
      </w:r>
    </w:p>
    <w:p>
      <w:pPr>
        <w:pStyle w:val="10"/>
        <w:spacing w:line="360" w:lineRule="auto"/>
        <w:ind w:firstLine="410" w:firstLineChars="171"/>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10.2 甲方无故逾期接收和办理服务费支付手续的,甲方应按逾期付款总额每日万分之五向乙方支付违约金。</w:t>
      </w:r>
    </w:p>
    <w:p>
      <w:pPr>
        <w:pStyle w:val="10"/>
        <w:spacing w:line="360" w:lineRule="auto"/>
        <w:ind w:firstLine="410" w:firstLineChars="171"/>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10.3 乙方逾期交付服务的，乙方应按逾期提供服务总额每日千分之六向甲方支付违约金，由甲方从待付服务费中扣除。逾期超过约定日期10个工作日不能提供服务的，甲方可解除本合同。乙方因逾期提供服务或因其他违约行为导致甲方解除合同的，乙方应向甲方支付合同总值5%的违约金，如造成甲方损失超过违约金的，超出部分由乙方继续承担赔偿责任。</w:t>
      </w:r>
    </w:p>
    <w:p>
      <w:pPr>
        <w:pStyle w:val="10"/>
        <w:spacing w:line="360" w:lineRule="auto"/>
        <w:rPr>
          <w:rFonts w:asciiTheme="majorEastAsia" w:hAnsiTheme="majorEastAsia" w:eastAsiaTheme="majorEastAsia" w:cstheme="majorEastAsia"/>
          <w:b/>
          <w:bCs/>
          <w:color w:val="000000" w:themeColor="text1"/>
          <w:sz w:val="24"/>
          <w:szCs w:val="24"/>
        </w:rPr>
      </w:pPr>
      <w:r>
        <w:rPr>
          <w:rFonts w:hint="eastAsia" w:asciiTheme="majorEastAsia" w:hAnsiTheme="majorEastAsia" w:eastAsiaTheme="majorEastAsia" w:cstheme="majorEastAsia"/>
          <w:b/>
          <w:bCs/>
          <w:color w:val="000000" w:themeColor="text1"/>
          <w:sz w:val="24"/>
          <w:szCs w:val="24"/>
        </w:rPr>
        <w:t>11.  不可抗力事件处理</w:t>
      </w:r>
    </w:p>
    <w:p>
      <w:pPr>
        <w:pStyle w:val="10"/>
        <w:spacing w:line="360" w:lineRule="auto"/>
        <w:ind w:firstLine="410" w:firstLineChars="171"/>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11.1 在合同有效期内，任何一方因不可抗力事件导致不能履行合同，则合同履行期可延长，其延长期与不可抗力影响期相同。</w:t>
      </w:r>
    </w:p>
    <w:p>
      <w:pPr>
        <w:pStyle w:val="10"/>
        <w:spacing w:line="360" w:lineRule="auto"/>
        <w:ind w:firstLine="410" w:firstLineChars="171"/>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11.2 不可抗力事件发生后，应立即通知对方，并寄送有关权威机构出具的证明。</w:t>
      </w:r>
    </w:p>
    <w:p>
      <w:pPr>
        <w:pStyle w:val="10"/>
        <w:spacing w:line="360" w:lineRule="auto"/>
        <w:ind w:firstLine="410" w:firstLineChars="171"/>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11.3 不可抗力事件延续120天以上，双方应通过友好协商，确定是否继续履行合同。</w:t>
      </w:r>
    </w:p>
    <w:p>
      <w:pPr>
        <w:pStyle w:val="10"/>
        <w:spacing w:line="360" w:lineRule="auto"/>
        <w:rPr>
          <w:rFonts w:asciiTheme="majorEastAsia" w:hAnsiTheme="majorEastAsia" w:eastAsiaTheme="majorEastAsia" w:cstheme="majorEastAsia"/>
          <w:b/>
          <w:bCs/>
          <w:color w:val="000000" w:themeColor="text1"/>
          <w:sz w:val="24"/>
          <w:szCs w:val="24"/>
        </w:rPr>
      </w:pPr>
      <w:r>
        <w:rPr>
          <w:rFonts w:hint="eastAsia" w:asciiTheme="majorEastAsia" w:hAnsiTheme="majorEastAsia" w:eastAsiaTheme="majorEastAsia" w:cstheme="majorEastAsia"/>
          <w:b/>
          <w:bCs/>
          <w:color w:val="000000" w:themeColor="text1"/>
          <w:sz w:val="24"/>
          <w:szCs w:val="24"/>
        </w:rPr>
        <w:t>12.  诉讼</w:t>
      </w:r>
    </w:p>
    <w:p>
      <w:pPr>
        <w:pStyle w:val="10"/>
        <w:tabs>
          <w:tab w:val="left" w:pos="0"/>
        </w:tabs>
        <w:spacing w:line="360" w:lineRule="auto"/>
        <w:ind w:firstLine="410" w:firstLineChars="171"/>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12.1 双方在执行合同中所发生的一切争议，应通过协商解决。如协商不成，可向合同签订地法院起诉，合同签订地在此约定为广西南宁市。</w:t>
      </w:r>
    </w:p>
    <w:p>
      <w:pPr>
        <w:pStyle w:val="10"/>
        <w:spacing w:line="360" w:lineRule="auto"/>
        <w:rPr>
          <w:rFonts w:asciiTheme="majorEastAsia" w:hAnsiTheme="majorEastAsia" w:eastAsiaTheme="majorEastAsia" w:cstheme="majorEastAsia"/>
          <w:b/>
          <w:bCs/>
          <w:color w:val="000000" w:themeColor="text1"/>
          <w:sz w:val="24"/>
          <w:szCs w:val="24"/>
        </w:rPr>
      </w:pPr>
      <w:r>
        <w:rPr>
          <w:rFonts w:hint="eastAsia" w:asciiTheme="majorEastAsia" w:hAnsiTheme="majorEastAsia" w:eastAsiaTheme="majorEastAsia" w:cstheme="majorEastAsia"/>
          <w:b/>
          <w:bCs/>
          <w:color w:val="000000" w:themeColor="text1"/>
          <w:sz w:val="24"/>
          <w:szCs w:val="24"/>
        </w:rPr>
        <w:t>13.  合同生效及其它</w:t>
      </w:r>
    </w:p>
    <w:p>
      <w:pPr>
        <w:pStyle w:val="10"/>
        <w:spacing w:line="360" w:lineRule="auto"/>
        <w:ind w:firstLine="360"/>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13.1 合同经双方法定代表人或授权委托代理人签字并加盖单位公章后生效。</w:t>
      </w:r>
    </w:p>
    <w:p>
      <w:pPr>
        <w:pStyle w:val="10"/>
        <w:spacing w:line="360" w:lineRule="auto"/>
        <w:ind w:firstLine="360"/>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13.2 合同执行中涉及采购资金和采购内容修改或补充的，须经市财政部门审批，并签书面补充协议报南宁市政府采购监督管理部门备案，方可作为主合同不可分割的一部分。</w:t>
      </w:r>
    </w:p>
    <w:p>
      <w:pPr>
        <w:pStyle w:val="10"/>
        <w:spacing w:line="360" w:lineRule="auto"/>
        <w:ind w:firstLine="360"/>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13.3 下述合同附件为本合同不可分割的部分并与本合同具有同等效力：</w:t>
      </w:r>
    </w:p>
    <w:p>
      <w:pPr>
        <w:pStyle w:val="10"/>
        <w:spacing w:line="360" w:lineRule="auto"/>
        <w:ind w:firstLine="360"/>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（1）成交通知书；</w:t>
      </w:r>
    </w:p>
    <w:p>
      <w:pPr>
        <w:pStyle w:val="10"/>
        <w:spacing w:line="360" w:lineRule="auto"/>
        <w:ind w:firstLine="360"/>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（2）竞争性磋商采购文件服务需求一览表；</w:t>
      </w:r>
    </w:p>
    <w:p>
      <w:pPr>
        <w:pStyle w:val="10"/>
        <w:spacing w:line="360" w:lineRule="auto"/>
        <w:ind w:firstLine="360"/>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（3）竞争性磋商采购文件的澄清和修改；</w:t>
      </w:r>
    </w:p>
    <w:p>
      <w:pPr>
        <w:pStyle w:val="10"/>
        <w:spacing w:line="360" w:lineRule="auto"/>
        <w:ind w:firstLine="360"/>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（4）响应文件报价表、响应文件最后报价表；</w:t>
      </w:r>
    </w:p>
    <w:p>
      <w:pPr>
        <w:pStyle w:val="10"/>
        <w:spacing w:line="360" w:lineRule="auto"/>
        <w:ind w:firstLine="360"/>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（5）响应文件中的服务技术资料表、商务条款偏离表；</w:t>
      </w:r>
    </w:p>
    <w:p>
      <w:pPr>
        <w:pStyle w:val="10"/>
        <w:spacing w:line="360" w:lineRule="auto"/>
        <w:ind w:firstLine="360"/>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（6）成交供应商澄清函；</w:t>
      </w:r>
    </w:p>
    <w:p>
      <w:pPr>
        <w:pStyle w:val="10"/>
        <w:spacing w:line="360" w:lineRule="auto"/>
        <w:ind w:firstLine="360"/>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（7）其他与本合同相关的资料。</w:t>
      </w:r>
    </w:p>
    <w:p>
      <w:pPr>
        <w:pStyle w:val="10"/>
        <w:spacing w:line="360" w:lineRule="auto"/>
        <w:ind w:firstLine="360"/>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13.4 本合同未尽事宜，遵照《中华人民共和国合同法》有关条文执行。</w:t>
      </w:r>
    </w:p>
    <w:p>
      <w:pPr>
        <w:pStyle w:val="10"/>
        <w:spacing w:line="360" w:lineRule="auto"/>
        <w:ind w:firstLine="360"/>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rPr>
        <w:t>13.5本合同正本一式</w:t>
      </w:r>
      <w:r>
        <w:rPr>
          <w:rFonts w:hint="eastAsia" w:asciiTheme="majorEastAsia" w:hAnsiTheme="majorEastAsia" w:eastAsiaTheme="majorEastAsia" w:cstheme="majorEastAsia"/>
          <w:b/>
          <w:color w:val="000000" w:themeColor="text1"/>
          <w:sz w:val="24"/>
        </w:rPr>
        <w:t>陆份</w:t>
      </w:r>
      <w:r>
        <w:rPr>
          <w:rFonts w:hint="eastAsia" w:asciiTheme="majorEastAsia" w:hAnsiTheme="majorEastAsia" w:eastAsiaTheme="majorEastAsia" w:cstheme="majorEastAsia"/>
          <w:color w:val="000000" w:themeColor="text1"/>
          <w:sz w:val="24"/>
        </w:rPr>
        <w:t>，具有同等法律效力，甲乙双方各执</w:t>
      </w:r>
      <w:r>
        <w:rPr>
          <w:rFonts w:hint="eastAsia" w:asciiTheme="majorEastAsia" w:hAnsiTheme="majorEastAsia" w:eastAsiaTheme="majorEastAsia" w:cstheme="majorEastAsia"/>
          <w:b/>
          <w:color w:val="000000" w:themeColor="text1"/>
          <w:sz w:val="24"/>
        </w:rPr>
        <w:t>叁份</w:t>
      </w:r>
      <w:r>
        <w:rPr>
          <w:rFonts w:hint="eastAsia" w:asciiTheme="majorEastAsia" w:hAnsiTheme="majorEastAsia" w:eastAsiaTheme="majorEastAsia" w:cstheme="majorEastAsia"/>
          <w:color w:val="000000" w:themeColor="text1"/>
          <w:sz w:val="24"/>
        </w:rPr>
        <w:t>；副本</w:t>
      </w:r>
      <w:r>
        <w:rPr>
          <w:rFonts w:hint="eastAsia" w:asciiTheme="majorEastAsia" w:hAnsiTheme="majorEastAsia" w:eastAsiaTheme="majorEastAsia" w:cstheme="majorEastAsia"/>
          <w:b/>
          <w:color w:val="000000" w:themeColor="text1"/>
          <w:sz w:val="24"/>
        </w:rPr>
        <w:t>肆份</w:t>
      </w:r>
      <w:r>
        <w:rPr>
          <w:rFonts w:hint="eastAsia" w:asciiTheme="majorEastAsia" w:hAnsiTheme="majorEastAsia" w:eastAsiaTheme="majorEastAsia" w:cstheme="majorEastAsia"/>
          <w:color w:val="000000" w:themeColor="text1"/>
          <w:sz w:val="24"/>
        </w:rPr>
        <w:t>，甲乙双方各执</w:t>
      </w:r>
      <w:r>
        <w:rPr>
          <w:rFonts w:hint="eastAsia" w:asciiTheme="majorEastAsia" w:hAnsiTheme="majorEastAsia" w:eastAsiaTheme="majorEastAsia" w:cstheme="majorEastAsia"/>
          <w:b/>
          <w:color w:val="000000" w:themeColor="text1"/>
          <w:sz w:val="24"/>
        </w:rPr>
        <w:t>壹份</w:t>
      </w:r>
      <w:r>
        <w:rPr>
          <w:rFonts w:hint="eastAsia" w:asciiTheme="majorEastAsia" w:hAnsiTheme="majorEastAsia" w:eastAsiaTheme="majorEastAsia" w:cstheme="majorEastAsia"/>
          <w:color w:val="000000" w:themeColor="text1"/>
          <w:sz w:val="24"/>
        </w:rPr>
        <w:t>，采购代理</w:t>
      </w:r>
      <w:r>
        <w:rPr>
          <w:rFonts w:hint="eastAsia" w:asciiTheme="majorEastAsia" w:hAnsiTheme="majorEastAsia" w:eastAsiaTheme="majorEastAsia" w:cstheme="majorEastAsia"/>
          <w:b/>
          <w:color w:val="000000" w:themeColor="text1"/>
          <w:sz w:val="24"/>
        </w:rPr>
        <w:t>贰份</w:t>
      </w:r>
      <w:r>
        <w:rPr>
          <w:rFonts w:hint="eastAsia" w:asciiTheme="majorEastAsia" w:hAnsiTheme="majorEastAsia" w:eastAsiaTheme="majorEastAsia" w:cstheme="majorEastAsia"/>
          <w:color w:val="000000" w:themeColor="text1"/>
          <w:sz w:val="24"/>
          <w:szCs w:val="24"/>
        </w:rPr>
        <w:t>。自合同签订之日起2个工作日内由成交供应商将合同送至采购代理机构处。采购代理机构将政府采购合同在省级以上人民政府财政部门指定的媒体上公告，同时采购代理机构将政府采购合同的电子档案及相关资料上传至“南宁市财政局政府采购监督管理系统”备案。</w:t>
      </w:r>
    </w:p>
    <w:p>
      <w:pPr>
        <w:spacing w:line="360" w:lineRule="auto"/>
        <w:rPr>
          <w:rFonts w:asciiTheme="majorEastAsia" w:hAnsiTheme="majorEastAsia" w:eastAsiaTheme="majorEastAsia" w:cstheme="majorEastAsia"/>
          <w:color w:val="000000" w:themeColor="text1"/>
          <w:sz w:val="24"/>
        </w:rPr>
      </w:pPr>
    </w:p>
    <w:p>
      <w:pPr>
        <w:pStyle w:val="10"/>
        <w:spacing w:line="360" w:lineRule="auto"/>
        <w:rPr>
          <w:rFonts w:asciiTheme="majorEastAsia" w:hAnsiTheme="majorEastAsia" w:eastAsiaTheme="majorEastAsia" w:cstheme="majorEastAsia"/>
          <w:color w:val="000000" w:themeColor="text1"/>
          <w:sz w:val="24"/>
          <w:szCs w:val="24"/>
          <w:u w:val="single"/>
        </w:rPr>
      </w:pPr>
      <w:r>
        <w:rPr>
          <w:rFonts w:hint="eastAsia" w:asciiTheme="majorEastAsia" w:hAnsiTheme="majorEastAsia" w:eastAsiaTheme="majorEastAsia" w:cstheme="majorEastAsia"/>
          <w:color w:val="000000" w:themeColor="text1"/>
          <w:sz w:val="24"/>
          <w:szCs w:val="24"/>
        </w:rPr>
        <w:t>甲方：</w:t>
      </w:r>
      <w:r>
        <w:rPr>
          <w:rFonts w:hint="eastAsia" w:asciiTheme="majorEastAsia" w:hAnsiTheme="majorEastAsia" w:eastAsiaTheme="majorEastAsia" w:cstheme="majorEastAsia"/>
          <w:color w:val="000000" w:themeColor="text1"/>
          <w:sz w:val="24"/>
          <w:szCs w:val="24"/>
          <w:u w:val="single"/>
        </w:rPr>
        <w:t xml:space="preserve">                                    </w:t>
      </w:r>
      <w:r>
        <w:rPr>
          <w:rFonts w:hint="eastAsia" w:asciiTheme="majorEastAsia" w:hAnsiTheme="majorEastAsia" w:eastAsiaTheme="majorEastAsia" w:cstheme="majorEastAsia"/>
          <w:color w:val="000000" w:themeColor="text1"/>
          <w:sz w:val="24"/>
          <w:szCs w:val="24"/>
        </w:rPr>
        <w:t xml:space="preserve">    乙方：</w:t>
      </w:r>
      <w:r>
        <w:rPr>
          <w:rFonts w:hint="eastAsia" w:asciiTheme="majorEastAsia" w:hAnsiTheme="majorEastAsia" w:eastAsiaTheme="majorEastAsia" w:cstheme="majorEastAsia"/>
          <w:color w:val="000000" w:themeColor="text1"/>
          <w:sz w:val="24"/>
          <w:szCs w:val="24"/>
          <w:u w:val="single"/>
        </w:rPr>
        <w:t xml:space="preserve">                                    </w:t>
      </w:r>
    </w:p>
    <w:p>
      <w:pPr>
        <w:pStyle w:val="10"/>
        <w:spacing w:line="360" w:lineRule="auto"/>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地址：</w:t>
      </w:r>
      <w:r>
        <w:rPr>
          <w:rFonts w:hint="eastAsia" w:asciiTheme="majorEastAsia" w:hAnsiTheme="majorEastAsia" w:eastAsiaTheme="majorEastAsia" w:cstheme="majorEastAsia"/>
          <w:color w:val="000000" w:themeColor="text1"/>
          <w:sz w:val="24"/>
          <w:szCs w:val="24"/>
          <w:u w:val="single"/>
        </w:rPr>
        <w:t xml:space="preserve">                                    </w:t>
      </w:r>
      <w:r>
        <w:rPr>
          <w:rFonts w:hint="eastAsia" w:asciiTheme="majorEastAsia" w:hAnsiTheme="majorEastAsia" w:eastAsiaTheme="majorEastAsia" w:cstheme="majorEastAsia"/>
          <w:color w:val="000000" w:themeColor="text1"/>
          <w:sz w:val="24"/>
          <w:szCs w:val="24"/>
        </w:rPr>
        <w:t xml:space="preserve">    地址：</w:t>
      </w:r>
      <w:r>
        <w:rPr>
          <w:rFonts w:hint="eastAsia" w:asciiTheme="majorEastAsia" w:hAnsiTheme="majorEastAsia" w:eastAsiaTheme="majorEastAsia" w:cstheme="majorEastAsia"/>
          <w:color w:val="000000" w:themeColor="text1"/>
          <w:sz w:val="24"/>
          <w:szCs w:val="24"/>
          <w:u w:val="single"/>
        </w:rPr>
        <w:t xml:space="preserve">                                    </w:t>
      </w:r>
      <w:r>
        <w:rPr>
          <w:rFonts w:hint="eastAsia" w:asciiTheme="majorEastAsia" w:hAnsiTheme="majorEastAsia" w:eastAsiaTheme="majorEastAsia" w:cstheme="majorEastAsia"/>
          <w:color w:val="000000" w:themeColor="text1"/>
          <w:sz w:val="24"/>
          <w:szCs w:val="24"/>
        </w:rPr>
        <w:t xml:space="preserve">     </w:t>
      </w:r>
    </w:p>
    <w:p>
      <w:pPr>
        <w:pStyle w:val="10"/>
        <w:spacing w:line="360" w:lineRule="auto"/>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法定代表人：</w:t>
      </w:r>
      <w:r>
        <w:rPr>
          <w:rFonts w:hint="eastAsia" w:asciiTheme="majorEastAsia" w:hAnsiTheme="majorEastAsia" w:eastAsiaTheme="majorEastAsia" w:cstheme="majorEastAsia"/>
          <w:color w:val="000000" w:themeColor="text1"/>
          <w:sz w:val="24"/>
          <w:szCs w:val="24"/>
          <w:u w:val="single"/>
        </w:rPr>
        <w:t xml:space="preserve">                              </w:t>
      </w:r>
      <w:r>
        <w:rPr>
          <w:rFonts w:hint="eastAsia" w:asciiTheme="majorEastAsia" w:hAnsiTheme="majorEastAsia" w:eastAsiaTheme="majorEastAsia" w:cstheme="majorEastAsia"/>
          <w:color w:val="000000" w:themeColor="text1"/>
          <w:sz w:val="24"/>
          <w:szCs w:val="24"/>
        </w:rPr>
        <w:t xml:space="preserve">    法定代表人：</w:t>
      </w:r>
      <w:r>
        <w:rPr>
          <w:rFonts w:hint="eastAsia" w:asciiTheme="majorEastAsia" w:hAnsiTheme="majorEastAsia" w:eastAsiaTheme="majorEastAsia" w:cstheme="majorEastAsia"/>
          <w:color w:val="000000" w:themeColor="text1"/>
          <w:sz w:val="24"/>
          <w:szCs w:val="24"/>
          <w:u w:val="single"/>
        </w:rPr>
        <w:t xml:space="preserve">                              </w:t>
      </w:r>
    </w:p>
    <w:p>
      <w:pPr>
        <w:pStyle w:val="10"/>
        <w:spacing w:line="360" w:lineRule="auto"/>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委托代理人：</w:t>
      </w:r>
      <w:r>
        <w:rPr>
          <w:rFonts w:hint="eastAsia" w:asciiTheme="majorEastAsia" w:hAnsiTheme="majorEastAsia" w:eastAsiaTheme="majorEastAsia" w:cstheme="majorEastAsia"/>
          <w:color w:val="000000" w:themeColor="text1"/>
          <w:sz w:val="24"/>
          <w:szCs w:val="24"/>
          <w:u w:val="single"/>
        </w:rPr>
        <w:t xml:space="preserve">                              </w:t>
      </w:r>
      <w:r>
        <w:rPr>
          <w:rFonts w:hint="eastAsia" w:asciiTheme="majorEastAsia" w:hAnsiTheme="majorEastAsia" w:eastAsiaTheme="majorEastAsia" w:cstheme="majorEastAsia"/>
          <w:color w:val="000000" w:themeColor="text1"/>
          <w:sz w:val="24"/>
          <w:szCs w:val="24"/>
        </w:rPr>
        <w:t xml:space="preserve">    委托代理人：</w:t>
      </w:r>
      <w:r>
        <w:rPr>
          <w:rFonts w:hint="eastAsia" w:asciiTheme="majorEastAsia" w:hAnsiTheme="majorEastAsia" w:eastAsiaTheme="majorEastAsia" w:cstheme="majorEastAsia"/>
          <w:color w:val="000000" w:themeColor="text1"/>
          <w:sz w:val="24"/>
          <w:szCs w:val="24"/>
          <w:u w:val="single"/>
        </w:rPr>
        <w:t xml:space="preserve">                              </w:t>
      </w:r>
    </w:p>
    <w:p>
      <w:pPr>
        <w:pStyle w:val="10"/>
        <w:spacing w:line="360" w:lineRule="auto"/>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电话：</w:t>
      </w:r>
      <w:r>
        <w:rPr>
          <w:rFonts w:hint="eastAsia" w:asciiTheme="majorEastAsia" w:hAnsiTheme="majorEastAsia" w:eastAsiaTheme="majorEastAsia" w:cstheme="majorEastAsia"/>
          <w:color w:val="000000" w:themeColor="text1"/>
          <w:sz w:val="24"/>
          <w:szCs w:val="24"/>
          <w:u w:val="single"/>
        </w:rPr>
        <w:t xml:space="preserve">                                    </w:t>
      </w:r>
      <w:r>
        <w:rPr>
          <w:rFonts w:hint="eastAsia" w:asciiTheme="majorEastAsia" w:hAnsiTheme="majorEastAsia" w:eastAsiaTheme="majorEastAsia" w:cstheme="majorEastAsia"/>
          <w:color w:val="000000" w:themeColor="text1"/>
          <w:sz w:val="24"/>
          <w:szCs w:val="24"/>
        </w:rPr>
        <w:t xml:space="preserve">    电话：</w:t>
      </w:r>
      <w:r>
        <w:rPr>
          <w:rFonts w:hint="eastAsia" w:asciiTheme="majorEastAsia" w:hAnsiTheme="majorEastAsia" w:eastAsiaTheme="majorEastAsia" w:cstheme="majorEastAsia"/>
          <w:color w:val="000000" w:themeColor="text1"/>
          <w:sz w:val="24"/>
          <w:szCs w:val="24"/>
          <w:u w:val="single"/>
        </w:rPr>
        <w:t xml:space="preserve">                                    </w:t>
      </w:r>
      <w:r>
        <w:rPr>
          <w:rFonts w:hint="eastAsia" w:asciiTheme="majorEastAsia" w:hAnsiTheme="majorEastAsia" w:eastAsiaTheme="majorEastAsia" w:cstheme="majorEastAsia"/>
          <w:color w:val="000000" w:themeColor="text1"/>
          <w:sz w:val="24"/>
          <w:szCs w:val="24"/>
        </w:rPr>
        <w:t xml:space="preserve">       </w:t>
      </w:r>
    </w:p>
    <w:p>
      <w:pPr>
        <w:pStyle w:val="10"/>
        <w:spacing w:line="360" w:lineRule="auto"/>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传真：</w:t>
      </w:r>
      <w:r>
        <w:rPr>
          <w:rFonts w:hint="eastAsia" w:asciiTheme="majorEastAsia" w:hAnsiTheme="majorEastAsia" w:eastAsiaTheme="majorEastAsia" w:cstheme="majorEastAsia"/>
          <w:color w:val="000000" w:themeColor="text1"/>
          <w:sz w:val="24"/>
          <w:szCs w:val="24"/>
          <w:u w:val="single"/>
        </w:rPr>
        <w:t xml:space="preserve">                                    </w:t>
      </w:r>
      <w:r>
        <w:rPr>
          <w:rFonts w:hint="eastAsia" w:asciiTheme="majorEastAsia" w:hAnsiTheme="majorEastAsia" w:eastAsiaTheme="majorEastAsia" w:cstheme="majorEastAsia"/>
          <w:color w:val="000000" w:themeColor="text1"/>
          <w:sz w:val="24"/>
          <w:szCs w:val="24"/>
        </w:rPr>
        <w:t xml:space="preserve">    传真：</w:t>
      </w:r>
      <w:r>
        <w:rPr>
          <w:rFonts w:hint="eastAsia" w:asciiTheme="majorEastAsia" w:hAnsiTheme="majorEastAsia" w:eastAsiaTheme="majorEastAsia" w:cstheme="majorEastAsia"/>
          <w:color w:val="000000" w:themeColor="text1"/>
          <w:sz w:val="24"/>
          <w:szCs w:val="24"/>
          <w:u w:val="single"/>
        </w:rPr>
        <w:t xml:space="preserve">                                    </w:t>
      </w:r>
      <w:r>
        <w:rPr>
          <w:rFonts w:hint="eastAsia" w:asciiTheme="majorEastAsia" w:hAnsiTheme="majorEastAsia" w:eastAsiaTheme="majorEastAsia" w:cstheme="majorEastAsia"/>
          <w:color w:val="000000" w:themeColor="text1"/>
          <w:sz w:val="24"/>
          <w:szCs w:val="24"/>
        </w:rPr>
        <w:t xml:space="preserve">    </w:t>
      </w:r>
    </w:p>
    <w:p>
      <w:pPr>
        <w:pStyle w:val="10"/>
        <w:spacing w:line="360" w:lineRule="auto"/>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邮政编码：</w:t>
      </w:r>
      <w:r>
        <w:rPr>
          <w:rFonts w:hint="eastAsia" w:asciiTheme="majorEastAsia" w:hAnsiTheme="majorEastAsia" w:eastAsiaTheme="majorEastAsia" w:cstheme="majorEastAsia"/>
          <w:color w:val="000000" w:themeColor="text1"/>
          <w:sz w:val="24"/>
          <w:szCs w:val="24"/>
          <w:u w:val="single"/>
        </w:rPr>
        <w:t xml:space="preserve">                                </w:t>
      </w:r>
      <w:r>
        <w:rPr>
          <w:rFonts w:hint="eastAsia" w:asciiTheme="majorEastAsia" w:hAnsiTheme="majorEastAsia" w:eastAsiaTheme="majorEastAsia" w:cstheme="majorEastAsia"/>
          <w:color w:val="000000" w:themeColor="text1"/>
          <w:sz w:val="24"/>
          <w:szCs w:val="24"/>
        </w:rPr>
        <w:t xml:space="preserve">    邮政编码：</w:t>
      </w:r>
      <w:r>
        <w:rPr>
          <w:rFonts w:hint="eastAsia" w:asciiTheme="majorEastAsia" w:hAnsiTheme="majorEastAsia" w:eastAsiaTheme="majorEastAsia" w:cstheme="majorEastAsia"/>
          <w:color w:val="000000" w:themeColor="text1"/>
          <w:sz w:val="24"/>
          <w:szCs w:val="24"/>
          <w:u w:val="single"/>
        </w:rPr>
        <w:t xml:space="preserve">                                </w:t>
      </w:r>
    </w:p>
    <w:p>
      <w:pPr>
        <w:pStyle w:val="10"/>
        <w:spacing w:line="360" w:lineRule="auto"/>
        <w:ind w:firstLine="5520" w:firstLineChars="2300"/>
        <w:rPr>
          <w:rFonts w:asciiTheme="majorEastAsia" w:hAnsiTheme="majorEastAsia" w:eastAsiaTheme="majorEastAsia" w:cstheme="majorEastAsia"/>
          <w:color w:val="000000" w:themeColor="text1"/>
          <w:u w:val="single"/>
        </w:rPr>
      </w:pPr>
      <w:r>
        <w:rPr>
          <w:rFonts w:hint="eastAsia" w:asciiTheme="majorEastAsia" w:hAnsiTheme="majorEastAsia" w:eastAsiaTheme="majorEastAsia" w:cstheme="majorEastAsia"/>
          <w:color w:val="000000" w:themeColor="text1"/>
          <w:sz w:val="24"/>
          <w:szCs w:val="24"/>
        </w:rPr>
        <w:t>统一社会代码：</w:t>
      </w:r>
      <w:r>
        <w:rPr>
          <w:rFonts w:hint="eastAsia" w:asciiTheme="majorEastAsia" w:hAnsiTheme="majorEastAsia" w:eastAsiaTheme="majorEastAsia" w:cstheme="majorEastAsia"/>
          <w:color w:val="000000" w:themeColor="text1"/>
          <w:sz w:val="24"/>
          <w:szCs w:val="24"/>
          <w:u w:val="single"/>
        </w:rPr>
        <w:t xml:space="preserve">  </w:t>
      </w:r>
      <w:r>
        <w:rPr>
          <w:rFonts w:hint="eastAsia" w:asciiTheme="majorEastAsia" w:hAnsiTheme="majorEastAsia" w:eastAsiaTheme="majorEastAsia" w:cstheme="majorEastAsia"/>
          <w:color w:val="000000" w:themeColor="text1"/>
          <w:u w:val="single"/>
        </w:rPr>
        <w:t xml:space="preserve">                      </w:t>
      </w:r>
    </w:p>
    <w:p>
      <w:pPr>
        <w:pStyle w:val="10"/>
        <w:spacing w:line="360" w:lineRule="auto"/>
        <w:ind w:firstLine="5520" w:firstLineChars="2300"/>
        <w:rPr>
          <w:rFonts w:asciiTheme="majorEastAsia" w:hAnsiTheme="majorEastAsia" w:eastAsiaTheme="majorEastAsia" w:cstheme="majorEastAsia"/>
          <w:color w:val="000000" w:themeColor="text1"/>
          <w:sz w:val="24"/>
          <w:szCs w:val="24"/>
          <w:u w:val="single"/>
        </w:rPr>
      </w:pPr>
      <w:r>
        <w:rPr>
          <w:rFonts w:hint="eastAsia" w:asciiTheme="majorEastAsia" w:hAnsiTheme="majorEastAsia" w:eastAsiaTheme="majorEastAsia" w:cstheme="majorEastAsia"/>
          <w:color w:val="000000" w:themeColor="text1"/>
          <w:sz w:val="24"/>
          <w:szCs w:val="24"/>
        </w:rPr>
        <w:t>开户银行：</w:t>
      </w:r>
      <w:r>
        <w:rPr>
          <w:rFonts w:hint="eastAsia" w:asciiTheme="majorEastAsia" w:hAnsiTheme="majorEastAsia" w:eastAsiaTheme="majorEastAsia" w:cstheme="majorEastAsia"/>
          <w:color w:val="000000" w:themeColor="text1"/>
          <w:sz w:val="24"/>
          <w:szCs w:val="24"/>
          <w:u w:val="single"/>
        </w:rPr>
        <w:t xml:space="preserve">                                </w:t>
      </w:r>
    </w:p>
    <w:p>
      <w:pPr>
        <w:pStyle w:val="10"/>
        <w:spacing w:line="360" w:lineRule="auto"/>
        <w:ind w:firstLine="5520" w:firstLineChars="2300"/>
        <w:rPr>
          <w:rFonts w:asciiTheme="majorEastAsia" w:hAnsiTheme="majorEastAsia" w:eastAsiaTheme="majorEastAsia" w:cstheme="majorEastAsia"/>
          <w:color w:val="000000" w:themeColor="text1"/>
          <w:sz w:val="24"/>
          <w:szCs w:val="24"/>
          <w:u w:val="single"/>
        </w:rPr>
      </w:pPr>
      <w:r>
        <w:rPr>
          <w:rFonts w:hint="eastAsia" w:asciiTheme="majorEastAsia" w:hAnsiTheme="majorEastAsia" w:eastAsiaTheme="majorEastAsia" w:cstheme="majorEastAsia"/>
          <w:color w:val="000000" w:themeColor="text1"/>
          <w:sz w:val="24"/>
          <w:szCs w:val="24"/>
        </w:rPr>
        <w:t>开户名称：</w:t>
      </w:r>
      <w:r>
        <w:rPr>
          <w:rFonts w:hint="eastAsia" w:asciiTheme="majorEastAsia" w:hAnsiTheme="majorEastAsia" w:eastAsiaTheme="majorEastAsia" w:cstheme="majorEastAsia"/>
          <w:color w:val="000000" w:themeColor="text1"/>
          <w:sz w:val="24"/>
          <w:szCs w:val="24"/>
          <w:u w:val="single"/>
        </w:rPr>
        <w:t xml:space="preserve">                                </w:t>
      </w:r>
    </w:p>
    <w:p>
      <w:pPr>
        <w:pStyle w:val="10"/>
        <w:spacing w:line="360" w:lineRule="auto"/>
        <w:ind w:firstLine="5520" w:firstLineChars="2300"/>
        <w:rPr>
          <w:rFonts w:asciiTheme="majorEastAsia" w:hAnsiTheme="majorEastAsia" w:eastAsiaTheme="majorEastAsia" w:cstheme="majorEastAsia"/>
          <w:color w:val="000000" w:themeColor="text1"/>
          <w:sz w:val="24"/>
          <w:szCs w:val="24"/>
          <w:u w:val="single"/>
        </w:rPr>
      </w:pPr>
      <w:r>
        <w:rPr>
          <w:rFonts w:hint="eastAsia" w:asciiTheme="majorEastAsia" w:hAnsiTheme="majorEastAsia" w:eastAsiaTheme="majorEastAsia" w:cstheme="majorEastAsia"/>
          <w:color w:val="000000" w:themeColor="text1"/>
          <w:sz w:val="24"/>
          <w:szCs w:val="24"/>
        </w:rPr>
        <w:t>银行账号：</w:t>
      </w:r>
      <w:r>
        <w:rPr>
          <w:rFonts w:hint="eastAsia" w:asciiTheme="majorEastAsia" w:hAnsiTheme="majorEastAsia" w:eastAsiaTheme="majorEastAsia" w:cstheme="majorEastAsia"/>
          <w:color w:val="000000" w:themeColor="text1"/>
          <w:sz w:val="24"/>
          <w:szCs w:val="24"/>
          <w:u w:val="single"/>
        </w:rPr>
        <w:t xml:space="preserve">                                </w:t>
      </w:r>
    </w:p>
    <w:p>
      <w:pPr>
        <w:pStyle w:val="10"/>
        <w:spacing w:line="360" w:lineRule="auto"/>
        <w:rPr>
          <w:rFonts w:asciiTheme="majorEastAsia" w:hAnsiTheme="majorEastAsia" w:eastAsiaTheme="majorEastAsia" w:cstheme="majorEastAsia"/>
          <w:color w:val="000000" w:themeColor="text1"/>
          <w:sz w:val="24"/>
          <w:szCs w:val="24"/>
        </w:rPr>
      </w:pPr>
    </w:p>
    <w:p>
      <w:pPr>
        <w:pStyle w:val="10"/>
        <w:spacing w:line="360" w:lineRule="auto"/>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 xml:space="preserve">合同签订地点：广西南宁市 </w:t>
      </w:r>
    </w:p>
    <w:p>
      <w:pPr>
        <w:pStyle w:val="10"/>
        <w:spacing w:line="360" w:lineRule="auto"/>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合同签订日期：</w:t>
      </w:r>
      <w:r>
        <w:rPr>
          <w:rFonts w:hint="eastAsia" w:asciiTheme="majorEastAsia" w:hAnsiTheme="majorEastAsia" w:eastAsiaTheme="majorEastAsia" w:cstheme="majorEastAsia"/>
          <w:color w:val="000000" w:themeColor="text1"/>
          <w:sz w:val="24"/>
          <w:szCs w:val="24"/>
          <w:u w:val="single"/>
        </w:rPr>
        <w:t xml:space="preserve">    </w:t>
      </w:r>
      <w:r>
        <w:rPr>
          <w:rFonts w:hint="eastAsia" w:asciiTheme="majorEastAsia" w:hAnsiTheme="majorEastAsia" w:eastAsiaTheme="majorEastAsia" w:cstheme="majorEastAsia"/>
          <w:color w:val="000000" w:themeColor="text1"/>
          <w:sz w:val="24"/>
          <w:szCs w:val="24"/>
        </w:rPr>
        <w:t>年</w:t>
      </w:r>
      <w:r>
        <w:rPr>
          <w:rFonts w:hint="eastAsia" w:asciiTheme="majorEastAsia" w:hAnsiTheme="majorEastAsia" w:eastAsiaTheme="majorEastAsia" w:cstheme="majorEastAsia"/>
          <w:color w:val="000000" w:themeColor="text1"/>
          <w:sz w:val="24"/>
          <w:szCs w:val="24"/>
          <w:u w:val="single"/>
        </w:rPr>
        <w:t xml:space="preserve">    </w:t>
      </w:r>
      <w:r>
        <w:rPr>
          <w:rFonts w:hint="eastAsia" w:asciiTheme="majorEastAsia" w:hAnsiTheme="majorEastAsia" w:eastAsiaTheme="majorEastAsia" w:cstheme="majorEastAsia"/>
          <w:color w:val="000000" w:themeColor="text1"/>
          <w:sz w:val="24"/>
          <w:szCs w:val="24"/>
        </w:rPr>
        <w:t>月</w:t>
      </w:r>
      <w:r>
        <w:rPr>
          <w:rFonts w:hint="eastAsia" w:asciiTheme="majorEastAsia" w:hAnsiTheme="majorEastAsia" w:eastAsiaTheme="majorEastAsia" w:cstheme="majorEastAsia"/>
          <w:color w:val="000000" w:themeColor="text1"/>
          <w:sz w:val="24"/>
          <w:szCs w:val="24"/>
          <w:u w:val="single"/>
        </w:rPr>
        <w:t xml:space="preserve">    </w:t>
      </w:r>
      <w:r>
        <w:rPr>
          <w:rFonts w:hint="eastAsia" w:asciiTheme="majorEastAsia" w:hAnsiTheme="majorEastAsia" w:eastAsiaTheme="majorEastAsia" w:cstheme="majorEastAsia"/>
          <w:color w:val="000000" w:themeColor="text1"/>
          <w:sz w:val="24"/>
          <w:szCs w:val="24"/>
        </w:rPr>
        <w:t>日</w:t>
      </w:r>
    </w:p>
    <w:p>
      <w:pPr>
        <w:pStyle w:val="10"/>
        <w:spacing w:line="360" w:lineRule="auto"/>
        <w:rPr>
          <w:rFonts w:asciiTheme="majorEastAsia" w:hAnsiTheme="majorEastAsia" w:eastAsiaTheme="majorEastAsia" w:cstheme="majorEastAsia"/>
          <w:color w:val="000000" w:themeColor="text1"/>
          <w:sz w:val="24"/>
          <w:szCs w:val="24"/>
        </w:rPr>
      </w:pPr>
    </w:p>
    <w:p>
      <w:pPr>
        <w:rPr>
          <w:rFonts w:asciiTheme="majorEastAsia" w:hAnsiTheme="majorEastAsia" w:eastAsiaTheme="majorEastAsia"/>
        </w:rPr>
      </w:pPr>
    </w:p>
    <w:sectPr>
      <w:pgSz w:w="11906" w:h="16838"/>
      <w:pgMar w:top="1440" w:right="1080" w:bottom="1440" w:left="1080" w:header="720" w:footer="720" w:gutter="0"/>
      <w:cols w:space="720" w:num="1"/>
      <w:docGrid w:type="lines" w:linePitch="33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新宋体">
    <w:panose1 w:val="02010609030101010101"/>
    <w:charset w:val="86"/>
    <w:family w:val="modern"/>
    <w:pitch w:val="default"/>
    <w:sig w:usb0="00000283" w:usb1="288F0000" w:usb2="00000006" w:usb3="00000000" w:csb0="00040001" w:csb1="00000000"/>
  </w:font>
  <w:font w:name="FangSong_GB2312">
    <w:altName w:val="仿宋"/>
    <w:panose1 w:val="00000000000000000000"/>
    <w:charset w:val="00"/>
    <w:family w:val="roma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3</w:t>
    </w:r>
    <w:r>
      <w:rPr>
        <w:lang w:val="zh-CN"/>
      </w:rPr>
      <w:fldChar w:fldCharType="end"/>
    </w:r>
  </w:p>
  <w:p>
    <w:pPr>
      <w:pStyle w:val="2"/>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26954"/>
    </w:sdtPr>
    <w:sdtContent>
      <w:p>
        <w:pPr>
          <w:pStyle w:val="2"/>
          <w:jc w:val="center"/>
        </w:pPr>
        <w:r>
          <w:fldChar w:fldCharType="begin"/>
        </w:r>
        <w:r>
          <w:instrText xml:space="preserve"> PAGE   \* MERGEFORMAT </w:instrText>
        </w:r>
        <w:r>
          <w:fldChar w:fldCharType="separate"/>
        </w:r>
        <w:r>
          <w:rPr>
            <w:lang w:val="zh-CN"/>
          </w:rPr>
          <w:t>14</w:t>
        </w:r>
        <w:r>
          <w:rPr>
            <w:lang w:val="zh-CN"/>
          </w:rPr>
          <w:fldChar w:fldCharType="end"/>
        </w:r>
      </w:p>
    </w:sdtContent>
  </w:sdt>
  <w:p>
    <w:pPr>
      <w:pStyle w:val="2"/>
      <w:jc w:val="both"/>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2049" o:spid="_x0000_s2049" o:spt="202" type="#_x0000_t202" style="position:absolute;left:0pt;margin-top:0pt;height:10.35pt;width:9.05pt;mso-position-horizontal:center;mso-position-horizontal-relative:margin;mso-wrap-style:none;z-index:251661312;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CsJ1bjUAQAApQMAAA4AAABkcnMvZTJvRG9jLnhtbK1TS27bMBDdF8gd&#10;CO5rWbFTNILloIWRoEDRFkh6AJoiLQL8gUNb8gXaG3TVTfc9l8+RISU5bbrJohtqODN8M+/NaHXT&#10;G00OIoBytqblbE6JsNw1yu5q+vXh9vVbSiAy2zDtrKjpUQC9WV+8WnW+EpeudboRgSCIharzNW1j&#10;9FVRAG+FYTBzXlgMShcMi3gNu6IJrEN0o4vL+fxN0bnQ+OC4AEDvZgjSETG8BNBJqbjYOL43wsYB&#10;NQjNIlKCVnmg69ytlILHz1KCiETXFJnGfGIRtLfpLNYrVu0C863iYwvsJS0842SYslj0DLVhkZF9&#10;UP9AGcWDAyfjjDtTDESyIsiinD/T5r5lXmQuKDX4s+jw/2D5p8OXQFRT0wUllhkc+OnH99PP36df&#10;38giydN5qDDr3mNe7N+7Hpdm8gM6E+teBpO+yIdgHMU9nsUVfSQ8PSqX14srSjiGykW5XF4llOLp&#10;sQ8Q74QzJBk1DTi7LCk7fIQ4pE4pqZZ1t0rrPD9t/3Ig5uAReQHG14nH0G+yYr/tR3Jb1xyRW4dL&#10;UFOLO0+J/mBR47QvkxEmYzsZex/UrsVGy9wl+Hf7iC3lTlOFARYZpgtOL3MdNy2tx5/3nPX0d60f&#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EPlfknQAAAAAwEAAA8AAAAAAAAAAQAgAAAAIgAAAGRy&#10;cy9kb3ducmV2LnhtbFBLAQIUABQAAAAIAIdO4kArCdW41AEAAKUDAAAOAAAAAAAAAAEAIAAAAB8B&#10;AABkcnMvZTJvRG9jLnhtbFBLBQYAAAAABgAGAFkBAABlBQAAAAA=&#10;">
          <v:path/>
          <v:fill on="f" focussize="0,0"/>
          <v:stroke on="f" joinstyle="miter"/>
          <v:imagedata o:title=""/>
          <o:lock v:ext="edit"/>
          <v:textbox inset="0mm,0mm,0mm,0mm" style="mso-fit-shape-to-text:t;">
            <w:txbxContent>
              <w:p>
                <w:pPr>
                  <w:pStyle w:val="2"/>
                </w:pPr>
                <w:r>
                  <w:fldChar w:fldCharType="begin"/>
                </w:r>
                <w:r>
                  <w:instrText xml:space="preserve"> PAGE  \* MERGEFORMAT </w:instrText>
                </w:r>
                <w:r>
                  <w:fldChar w:fldCharType="separate"/>
                </w:r>
                <w:r>
                  <w:t>44</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outlineLvl w:val="0"/>
      <w:rPr>
        <w:rFonts w:asciiTheme="minorEastAsia" w:hAnsiTheme="minorEastAsia" w:eastAsiaTheme="minorEastAsia"/>
        <w:b/>
        <w:color w:val="000000" w:themeColor="text1"/>
        <w:sz w:val="16"/>
        <w:szCs w:val="16"/>
        <w:u w:val="single"/>
      </w:rPr>
    </w:pPr>
    <w:r>
      <w:rPr>
        <w:rFonts w:hint="eastAsia" w:asciiTheme="minorEastAsia" w:hAnsiTheme="minorEastAsia" w:eastAsiaTheme="minorEastAsia"/>
        <w:b/>
        <w:color w:val="000000" w:themeColor="text1"/>
        <w:sz w:val="16"/>
        <w:szCs w:val="16"/>
        <w:u w:val="single"/>
      </w:rPr>
      <w:t xml:space="preserve">项目名称：住房保障信息系统专线租用                                                    项目编号：NNZC2020-C3-990370-GXYZ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tabs>
        <w:tab w:val="center" w:pos="4153"/>
        <w:tab w:val="right" w:pos="8306"/>
      </w:tabs>
      <w:snapToGrid w:val="0"/>
      <w:jc w:val="right"/>
      <w:rPr>
        <w:rFonts w:ascii="宋体" w:hAnsi="宋体"/>
        <w:color w:val="0D0D0D"/>
        <w:szCs w:val="21"/>
      </w:rPr>
    </w:pPr>
    <w:r>
      <w:rPr>
        <w:rFonts w:ascii="宋体" w:cs="宋体"/>
        <w:b/>
        <w:szCs w:val="21"/>
      </w:rPr>
      <w:drawing>
        <wp:inline distT="0" distB="0" distL="114300" distR="114300">
          <wp:extent cx="332740" cy="332740"/>
          <wp:effectExtent l="0" t="0" r="10160" b="10160"/>
          <wp:docPr id="1" name="图片 1" descr="af2a504d3d9e3c99805d76a76177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af2a504d3d9e3c99805d76a76177922"/>
                  <pic:cNvPicPr>
                    <a:picLocks noChangeAspect="1"/>
                  </pic:cNvPicPr>
                </pic:nvPicPr>
                <pic:blipFill>
                  <a:blip r:embed="rId1"/>
                  <a:stretch>
                    <a:fillRect/>
                  </a:stretch>
                </pic:blipFill>
                <pic:spPr>
                  <a:xfrm>
                    <a:off x="0" y="0"/>
                    <a:ext cx="332740" cy="332740"/>
                  </a:xfrm>
                  <a:prstGeom prst="rect">
                    <a:avLst/>
                  </a:prstGeom>
                  <a:noFill/>
                  <a:ln>
                    <a:noFill/>
                  </a:ln>
                </pic:spPr>
              </pic:pic>
            </a:graphicData>
          </a:graphic>
        </wp:inline>
      </w:drawing>
    </w:r>
    <w:r>
      <w:rPr>
        <w:rFonts w:hint="eastAsia" w:ascii="宋体" w:hAnsi="宋体" w:cs="宋体"/>
        <w:b/>
        <w:szCs w:val="21"/>
      </w:rPr>
      <w:t>广西邕政采购代理有限公司</w:t>
    </w:r>
  </w:p>
  <w:p>
    <w:pPr>
      <w:pStyle w:val="1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outlineLvl w:val="0"/>
      <w:rPr>
        <w:rFonts w:asciiTheme="minorEastAsia" w:hAnsiTheme="minorEastAsia" w:eastAsiaTheme="minorEastAsia"/>
        <w:b/>
        <w:color w:val="000000" w:themeColor="text1"/>
        <w:sz w:val="16"/>
        <w:szCs w:val="16"/>
        <w:u w:val="single"/>
      </w:rPr>
    </w:pPr>
    <w:r>
      <w:rPr>
        <w:rFonts w:hint="eastAsia" w:asciiTheme="minorEastAsia" w:hAnsiTheme="minorEastAsia" w:eastAsiaTheme="minorEastAsia"/>
        <w:b/>
        <w:color w:val="000000" w:themeColor="text1"/>
        <w:sz w:val="16"/>
        <w:szCs w:val="16"/>
        <w:u w:val="single"/>
      </w:rPr>
      <w:t>项目名称：住房保障信息系统专线租用                                                      项目编号：NNZC2020-C3-990370-GXYZ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620E"/>
    <w:multiLevelType w:val="multilevel"/>
    <w:tmpl w:val="0315620E"/>
    <w:lvl w:ilvl="0" w:tentative="0">
      <w:start w:val="1"/>
      <w:numFmt w:val="decimal"/>
      <w:lvlText w:val="%1"/>
      <w:lvlJc w:val="left"/>
      <w:pPr>
        <w:tabs>
          <w:tab w:val="left" w:pos="360"/>
        </w:tabs>
        <w:ind w:left="284" w:hanging="284"/>
      </w:pPr>
      <w:rPr>
        <w:rFonts w:hint="default" w:ascii="Times New Roman" w:hAnsi="Times New Roman"/>
        <w:b/>
        <w:i w:val="0"/>
        <w:sz w:val="28"/>
      </w:rPr>
    </w:lvl>
    <w:lvl w:ilvl="1" w:tentative="0">
      <w:start w:val="1"/>
      <w:numFmt w:val="decimal"/>
      <w:lvlText w:val="%1.%2"/>
      <w:lvlJc w:val="left"/>
      <w:pPr>
        <w:tabs>
          <w:tab w:val="left" w:pos="1021"/>
        </w:tabs>
        <w:ind w:left="1021" w:hanging="596"/>
      </w:pPr>
      <w:rPr>
        <w:rFonts w:hint="default" w:ascii="Times New Roman" w:hAnsi="Times New Roman"/>
        <w:b/>
        <w:i w:val="0"/>
        <w:sz w:val="28"/>
      </w:rPr>
    </w:lvl>
    <w:lvl w:ilvl="2" w:tentative="0">
      <w:start w:val="1"/>
      <w:numFmt w:val="decimal"/>
      <w:lvlText w:val="%1.%2.%3"/>
      <w:lvlJc w:val="left"/>
      <w:pPr>
        <w:tabs>
          <w:tab w:val="left" w:pos="1588"/>
        </w:tabs>
        <w:ind w:left="1588" w:hanging="737"/>
      </w:pPr>
      <w:rPr>
        <w:rFonts w:hint="default" w:ascii="Times New Roman" w:hAnsi="Times New Roman"/>
        <w:b/>
        <w:i w:val="0"/>
        <w:sz w:val="24"/>
      </w:rPr>
    </w:lvl>
    <w:lvl w:ilvl="3" w:tentative="0">
      <w:start w:val="1"/>
      <w:numFmt w:val="decimal"/>
      <w:pStyle w:val="4"/>
      <w:lvlText w:val="%1.%2.%3.%4"/>
      <w:lvlJc w:val="left"/>
      <w:pPr>
        <w:tabs>
          <w:tab w:val="left" w:pos="2155"/>
        </w:tabs>
        <w:ind w:left="2155" w:hanging="1078"/>
      </w:pPr>
      <w:rPr>
        <w:rFonts w:hint="default" w:ascii="Arial" w:hAnsi="Arial"/>
        <w:b w:val="0"/>
        <w:i w:val="0"/>
        <w:sz w:val="24"/>
      </w:rPr>
    </w:lvl>
    <w:lvl w:ilvl="4" w:tentative="0">
      <w:start w:val="1"/>
      <w:numFmt w:val="decimal"/>
      <w:lvlText w:val="%1.%2.%3.%4.%5"/>
      <w:lvlJc w:val="left"/>
      <w:pPr>
        <w:tabs>
          <w:tab w:val="left" w:pos="314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513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1">
    <w:nsid w:val="20B6157B"/>
    <w:multiLevelType w:val="multilevel"/>
    <w:tmpl w:val="20B6157B"/>
    <w:lvl w:ilvl="0" w:tentative="0">
      <w:start w:val="1"/>
      <w:numFmt w:val="decimal"/>
      <w:lvlText w:val="%1、"/>
      <w:lvlJc w:val="left"/>
      <w:pPr>
        <w:tabs>
          <w:tab w:val="left" w:pos="1778"/>
        </w:tabs>
        <w:ind w:left="1778"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20D07223"/>
    <w:multiLevelType w:val="multilevel"/>
    <w:tmpl w:val="20D07223"/>
    <w:lvl w:ilvl="0" w:tentative="0">
      <w:start w:val="1"/>
      <w:numFmt w:val="decimal"/>
      <w:lvlText w:val="（%1）"/>
      <w:lvlJc w:val="left"/>
      <w:pPr>
        <w:tabs>
          <w:tab w:val="left" w:pos="1140"/>
        </w:tabs>
        <w:ind w:left="1140" w:hanging="720"/>
      </w:pPr>
      <w:rPr>
        <w:rFonts w:ascii="宋体" w:hAnsi="宋体" w:eastAsia="宋体" w:cs="Times New Roman"/>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3">
    <w:nsid w:val="22B364E5"/>
    <w:multiLevelType w:val="multilevel"/>
    <w:tmpl w:val="22B364E5"/>
    <w:lvl w:ilvl="0" w:tentative="0">
      <w:start w:val="1"/>
      <w:numFmt w:val="decimal"/>
      <w:lvlText w:val="（%1）"/>
      <w:lvlJc w:val="left"/>
      <w:pPr>
        <w:tabs>
          <w:tab w:val="left" w:pos="1140"/>
        </w:tabs>
        <w:ind w:left="1140" w:hanging="72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dit="readOnly" w:enforcement="1" w:cryptProviderType="rsaFull" w:cryptAlgorithmClass="hash" w:cryptAlgorithmType="typeAny" w:cryptAlgorithmSid="4" w:cryptSpinCount="0" w:hash="BOvr6RJvfPbZtS7wjU8csoqn04U=" w:salt="D5ZhFAs7ZBuAaJHnfSO1eQ=="/>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366F739B"/>
    <w:rsid w:val="000002FA"/>
    <w:rsid w:val="000040C9"/>
    <w:rsid w:val="00024D9F"/>
    <w:rsid w:val="0004060B"/>
    <w:rsid w:val="000432F7"/>
    <w:rsid w:val="00053129"/>
    <w:rsid w:val="00070589"/>
    <w:rsid w:val="000752E0"/>
    <w:rsid w:val="00085A7C"/>
    <w:rsid w:val="000B32BA"/>
    <w:rsid w:val="000F5E31"/>
    <w:rsid w:val="00125052"/>
    <w:rsid w:val="001957BE"/>
    <w:rsid w:val="001A6919"/>
    <w:rsid w:val="001B40F2"/>
    <w:rsid w:val="001C01C1"/>
    <w:rsid w:val="00214C7D"/>
    <w:rsid w:val="002228E4"/>
    <w:rsid w:val="0023052C"/>
    <w:rsid w:val="003266DA"/>
    <w:rsid w:val="0034558D"/>
    <w:rsid w:val="00377C36"/>
    <w:rsid w:val="003A4EF0"/>
    <w:rsid w:val="00435D49"/>
    <w:rsid w:val="004C7E68"/>
    <w:rsid w:val="004E424D"/>
    <w:rsid w:val="005026EC"/>
    <w:rsid w:val="005051E3"/>
    <w:rsid w:val="00582119"/>
    <w:rsid w:val="00592DB9"/>
    <w:rsid w:val="005F04A4"/>
    <w:rsid w:val="006154C5"/>
    <w:rsid w:val="0061637A"/>
    <w:rsid w:val="00680DBA"/>
    <w:rsid w:val="00683547"/>
    <w:rsid w:val="00695049"/>
    <w:rsid w:val="00697F93"/>
    <w:rsid w:val="0070378F"/>
    <w:rsid w:val="00705517"/>
    <w:rsid w:val="0072386A"/>
    <w:rsid w:val="00760548"/>
    <w:rsid w:val="0077180D"/>
    <w:rsid w:val="00783B2F"/>
    <w:rsid w:val="008920DA"/>
    <w:rsid w:val="008E3C20"/>
    <w:rsid w:val="00904440"/>
    <w:rsid w:val="00943EF0"/>
    <w:rsid w:val="009C0A12"/>
    <w:rsid w:val="009D2F88"/>
    <w:rsid w:val="009E1905"/>
    <w:rsid w:val="009E6DA3"/>
    <w:rsid w:val="00A07B9C"/>
    <w:rsid w:val="00A210FC"/>
    <w:rsid w:val="00A60930"/>
    <w:rsid w:val="00AB3899"/>
    <w:rsid w:val="00AB6D42"/>
    <w:rsid w:val="00AE33B5"/>
    <w:rsid w:val="00B02DA1"/>
    <w:rsid w:val="00B24A8B"/>
    <w:rsid w:val="00B54099"/>
    <w:rsid w:val="00B56C0D"/>
    <w:rsid w:val="00B705B4"/>
    <w:rsid w:val="00B94FD4"/>
    <w:rsid w:val="00BC2698"/>
    <w:rsid w:val="00BD4491"/>
    <w:rsid w:val="00C46701"/>
    <w:rsid w:val="00C574D2"/>
    <w:rsid w:val="00C608C8"/>
    <w:rsid w:val="00C60A4A"/>
    <w:rsid w:val="00C933DC"/>
    <w:rsid w:val="00CC08B5"/>
    <w:rsid w:val="00CC3E7E"/>
    <w:rsid w:val="00CF33EA"/>
    <w:rsid w:val="00D04D12"/>
    <w:rsid w:val="00D21A9C"/>
    <w:rsid w:val="00D30457"/>
    <w:rsid w:val="00D90B82"/>
    <w:rsid w:val="00DA7796"/>
    <w:rsid w:val="00DC16E1"/>
    <w:rsid w:val="00DF6F2F"/>
    <w:rsid w:val="00E1262B"/>
    <w:rsid w:val="00E55322"/>
    <w:rsid w:val="00E561D8"/>
    <w:rsid w:val="00E80440"/>
    <w:rsid w:val="00E84001"/>
    <w:rsid w:val="00E87619"/>
    <w:rsid w:val="00F454B6"/>
    <w:rsid w:val="00F94EE1"/>
    <w:rsid w:val="025D606C"/>
    <w:rsid w:val="0311203F"/>
    <w:rsid w:val="0427060F"/>
    <w:rsid w:val="04EE591F"/>
    <w:rsid w:val="058D0A4C"/>
    <w:rsid w:val="05B31345"/>
    <w:rsid w:val="083400AC"/>
    <w:rsid w:val="0A49209C"/>
    <w:rsid w:val="0B79019E"/>
    <w:rsid w:val="0E35212B"/>
    <w:rsid w:val="0E4A5BFC"/>
    <w:rsid w:val="0EB914D4"/>
    <w:rsid w:val="0F4B7D2A"/>
    <w:rsid w:val="0F552FFC"/>
    <w:rsid w:val="1182700E"/>
    <w:rsid w:val="119B152C"/>
    <w:rsid w:val="11D84B27"/>
    <w:rsid w:val="13AA14DB"/>
    <w:rsid w:val="14A94DBC"/>
    <w:rsid w:val="152C74D3"/>
    <w:rsid w:val="15327DB4"/>
    <w:rsid w:val="167C1841"/>
    <w:rsid w:val="16AC3696"/>
    <w:rsid w:val="1A0D3202"/>
    <w:rsid w:val="1A193D20"/>
    <w:rsid w:val="1A50195F"/>
    <w:rsid w:val="1AA0222D"/>
    <w:rsid w:val="1C23702D"/>
    <w:rsid w:val="1D425AA9"/>
    <w:rsid w:val="1E075742"/>
    <w:rsid w:val="1E542989"/>
    <w:rsid w:val="1F593428"/>
    <w:rsid w:val="1FBD6068"/>
    <w:rsid w:val="226E4327"/>
    <w:rsid w:val="24441F5B"/>
    <w:rsid w:val="244933C0"/>
    <w:rsid w:val="24C03F0A"/>
    <w:rsid w:val="24EC692B"/>
    <w:rsid w:val="25D05A00"/>
    <w:rsid w:val="26A77876"/>
    <w:rsid w:val="27C124AD"/>
    <w:rsid w:val="2A3A7028"/>
    <w:rsid w:val="2BAA5DF0"/>
    <w:rsid w:val="2C71603E"/>
    <w:rsid w:val="2D4F4033"/>
    <w:rsid w:val="2E8C02E1"/>
    <w:rsid w:val="30423579"/>
    <w:rsid w:val="30DE4E8D"/>
    <w:rsid w:val="31375325"/>
    <w:rsid w:val="318E11FE"/>
    <w:rsid w:val="31B7446D"/>
    <w:rsid w:val="3200053D"/>
    <w:rsid w:val="32554FAD"/>
    <w:rsid w:val="32D058DD"/>
    <w:rsid w:val="32D83F95"/>
    <w:rsid w:val="333E4947"/>
    <w:rsid w:val="33A27A9E"/>
    <w:rsid w:val="344A1F6B"/>
    <w:rsid w:val="3509018A"/>
    <w:rsid w:val="35241260"/>
    <w:rsid w:val="359308A7"/>
    <w:rsid w:val="35B956BD"/>
    <w:rsid w:val="36323856"/>
    <w:rsid w:val="366F739B"/>
    <w:rsid w:val="369F3368"/>
    <w:rsid w:val="36BB5952"/>
    <w:rsid w:val="389669D4"/>
    <w:rsid w:val="38BB46C5"/>
    <w:rsid w:val="3A27786D"/>
    <w:rsid w:val="3A291F24"/>
    <w:rsid w:val="3B3218AD"/>
    <w:rsid w:val="3C0C5142"/>
    <w:rsid w:val="3CCB74BB"/>
    <w:rsid w:val="3EE44E28"/>
    <w:rsid w:val="40476D59"/>
    <w:rsid w:val="410E37D9"/>
    <w:rsid w:val="42BD67C5"/>
    <w:rsid w:val="44503016"/>
    <w:rsid w:val="44E767D7"/>
    <w:rsid w:val="48976E40"/>
    <w:rsid w:val="48F40B44"/>
    <w:rsid w:val="49BD214C"/>
    <w:rsid w:val="4A5B4721"/>
    <w:rsid w:val="4B1056C5"/>
    <w:rsid w:val="4B1D1E17"/>
    <w:rsid w:val="4D0577C0"/>
    <w:rsid w:val="4FCA3997"/>
    <w:rsid w:val="51313C94"/>
    <w:rsid w:val="527346A4"/>
    <w:rsid w:val="52CF34D3"/>
    <w:rsid w:val="52CF55BD"/>
    <w:rsid w:val="535167B0"/>
    <w:rsid w:val="568A57DA"/>
    <w:rsid w:val="56A777E0"/>
    <w:rsid w:val="56DD5E95"/>
    <w:rsid w:val="57D50164"/>
    <w:rsid w:val="596C6F4A"/>
    <w:rsid w:val="59EB2798"/>
    <w:rsid w:val="5AA14481"/>
    <w:rsid w:val="5D0B0FC3"/>
    <w:rsid w:val="5D0C3903"/>
    <w:rsid w:val="5D4E044B"/>
    <w:rsid w:val="5E8953B1"/>
    <w:rsid w:val="5EBD36FB"/>
    <w:rsid w:val="5F670F26"/>
    <w:rsid w:val="5F704A31"/>
    <w:rsid w:val="60E06998"/>
    <w:rsid w:val="60E92C84"/>
    <w:rsid w:val="6112581E"/>
    <w:rsid w:val="62360514"/>
    <w:rsid w:val="646B69A7"/>
    <w:rsid w:val="676C32FB"/>
    <w:rsid w:val="682334EA"/>
    <w:rsid w:val="68706A52"/>
    <w:rsid w:val="68FD661D"/>
    <w:rsid w:val="690E229C"/>
    <w:rsid w:val="69B67C51"/>
    <w:rsid w:val="6A346E25"/>
    <w:rsid w:val="6BE236CD"/>
    <w:rsid w:val="6D2A5503"/>
    <w:rsid w:val="6D3A06B4"/>
    <w:rsid w:val="6F6B1E53"/>
    <w:rsid w:val="6F883D93"/>
    <w:rsid w:val="6FDA342A"/>
    <w:rsid w:val="70003322"/>
    <w:rsid w:val="70EE4854"/>
    <w:rsid w:val="7112379E"/>
    <w:rsid w:val="713A3D57"/>
    <w:rsid w:val="72A97EA5"/>
    <w:rsid w:val="74502C29"/>
    <w:rsid w:val="76931D5E"/>
    <w:rsid w:val="778340A1"/>
    <w:rsid w:val="77D958CB"/>
    <w:rsid w:val="77DA4C1D"/>
    <w:rsid w:val="78951C87"/>
    <w:rsid w:val="78D0745D"/>
    <w:rsid w:val="78EB44E6"/>
    <w:rsid w:val="79EA0736"/>
    <w:rsid w:val="7A51613A"/>
    <w:rsid w:val="7A656099"/>
    <w:rsid w:val="7AA45E39"/>
    <w:rsid w:val="7B881844"/>
    <w:rsid w:val="7ECB34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nhideWhenUsed="0" w:uiPriority="99"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99"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9"/>
    <w:pPr>
      <w:keepNext/>
      <w:keepLines/>
      <w:adjustRightInd w:val="0"/>
      <w:spacing w:before="120" w:line="360" w:lineRule="auto"/>
      <w:ind w:left="284"/>
      <w:textAlignment w:val="baseline"/>
      <w:outlineLvl w:val="0"/>
    </w:pPr>
    <w:rPr>
      <w:rFonts w:eastAsia="黑体"/>
      <w:color w:val="000000"/>
      <w:kern w:val="44"/>
      <w:sz w:val="36"/>
      <w:szCs w:val="20"/>
    </w:rPr>
  </w:style>
  <w:style w:type="paragraph" w:styleId="4">
    <w:name w:val="heading 4"/>
    <w:basedOn w:val="1"/>
    <w:next w:val="1"/>
    <w:qFormat/>
    <w:uiPriority w:val="99"/>
    <w:pPr>
      <w:numPr>
        <w:ilvl w:val="3"/>
        <w:numId w:val="1"/>
      </w:numPr>
      <w:adjustRightInd w:val="0"/>
      <w:spacing w:before="120" w:line="360" w:lineRule="auto"/>
      <w:textAlignment w:val="baseline"/>
      <w:outlineLvl w:val="3"/>
    </w:pPr>
    <w:rPr>
      <w:rFonts w:ascii="Arial" w:eastAsia="黑体"/>
      <w:kern w:val="0"/>
      <w:sz w:val="28"/>
      <w:szCs w:val="20"/>
    </w:rPr>
  </w:style>
  <w:style w:type="character" w:default="1" w:styleId="19">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5">
    <w:name w:val="index 8"/>
    <w:basedOn w:val="1"/>
    <w:next w:val="1"/>
    <w:qFormat/>
    <w:uiPriority w:val="0"/>
    <w:pPr>
      <w:ind w:left="2940"/>
    </w:pPr>
  </w:style>
  <w:style w:type="paragraph" w:styleId="6">
    <w:name w:val="Document Map"/>
    <w:basedOn w:val="1"/>
    <w:link w:val="29"/>
    <w:qFormat/>
    <w:uiPriority w:val="0"/>
    <w:rPr>
      <w:rFonts w:ascii="宋体"/>
      <w:sz w:val="18"/>
      <w:szCs w:val="18"/>
    </w:rPr>
  </w:style>
  <w:style w:type="paragraph" w:styleId="7">
    <w:name w:val="annotation text"/>
    <w:basedOn w:val="1"/>
    <w:link w:val="27"/>
    <w:unhideWhenUsed/>
    <w:qFormat/>
    <w:uiPriority w:val="99"/>
    <w:pPr>
      <w:jc w:val="left"/>
    </w:pPr>
  </w:style>
  <w:style w:type="paragraph" w:styleId="8">
    <w:name w:val="Body Text"/>
    <w:basedOn w:val="1"/>
    <w:qFormat/>
    <w:uiPriority w:val="0"/>
  </w:style>
  <w:style w:type="paragraph" w:styleId="9">
    <w:name w:val="Body Text Indent"/>
    <w:basedOn w:val="1"/>
    <w:qFormat/>
    <w:uiPriority w:val="0"/>
    <w:pPr>
      <w:spacing w:line="200" w:lineRule="exact"/>
      <w:ind w:firstLine="301"/>
    </w:pPr>
    <w:rPr>
      <w:rFonts w:ascii="宋体" w:hAnsi="Courier New"/>
      <w:spacing w:val="-4"/>
      <w:sz w:val="18"/>
      <w:szCs w:val="20"/>
    </w:rPr>
  </w:style>
  <w:style w:type="paragraph" w:styleId="10">
    <w:name w:val="Plain Text"/>
    <w:basedOn w:val="1"/>
    <w:next w:val="4"/>
    <w:link w:val="30"/>
    <w:qFormat/>
    <w:uiPriority w:val="0"/>
    <w:rPr>
      <w:rFonts w:ascii="宋体" w:hAnsi="Courier New"/>
      <w:szCs w:val="20"/>
    </w:rPr>
  </w:style>
  <w:style w:type="paragraph" w:styleId="11">
    <w:name w:val="Balloon Text"/>
    <w:basedOn w:val="1"/>
    <w:link w:val="26"/>
    <w:qFormat/>
    <w:uiPriority w:val="0"/>
    <w:rPr>
      <w:sz w:val="18"/>
      <w:szCs w:val="18"/>
    </w:rPr>
  </w:style>
  <w:style w:type="paragraph" w:styleId="12">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99"/>
    <w:pPr>
      <w:spacing w:before="120" w:after="120"/>
      <w:jc w:val="left"/>
      <w:outlineLvl w:val="0"/>
    </w:pPr>
    <w:rPr>
      <w:b/>
      <w:color w:val="000000"/>
      <w:sz w:val="48"/>
      <w:szCs w:val="48"/>
    </w:rPr>
  </w:style>
  <w:style w:type="paragraph" w:styleId="14">
    <w:name w:val="toc 2"/>
    <w:basedOn w:val="1"/>
    <w:next w:val="1"/>
    <w:qFormat/>
    <w:uiPriority w:val="0"/>
    <w:pPr>
      <w:ind w:left="420" w:leftChars="200"/>
    </w:pPr>
  </w:style>
  <w:style w:type="paragraph" w:styleId="15">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6">
    <w:name w:val="Title"/>
    <w:basedOn w:val="1"/>
    <w:next w:val="1"/>
    <w:qFormat/>
    <w:uiPriority w:val="99"/>
    <w:pPr>
      <w:spacing w:before="240" w:after="60"/>
      <w:jc w:val="center"/>
      <w:outlineLvl w:val="0"/>
    </w:pPr>
    <w:rPr>
      <w:rFonts w:ascii="Cambria" w:hAnsi="Cambria"/>
      <w:b/>
      <w:bCs/>
      <w:sz w:val="32"/>
      <w:szCs w:val="32"/>
    </w:rPr>
  </w:style>
  <w:style w:type="paragraph" w:styleId="17">
    <w:name w:val="annotation subject"/>
    <w:basedOn w:val="7"/>
    <w:next w:val="7"/>
    <w:link w:val="28"/>
    <w:qFormat/>
    <w:uiPriority w:val="0"/>
    <w:rPr>
      <w:b/>
      <w:bCs/>
    </w:rPr>
  </w:style>
  <w:style w:type="character" w:styleId="20">
    <w:name w:val="Emphasis"/>
    <w:qFormat/>
    <w:uiPriority w:val="99"/>
    <w:rPr>
      <w:rFonts w:cs="Times New Roman"/>
    </w:rPr>
  </w:style>
  <w:style w:type="character" w:styleId="21">
    <w:name w:val="Hyperlink"/>
    <w:basedOn w:val="19"/>
    <w:qFormat/>
    <w:uiPriority w:val="99"/>
    <w:rPr>
      <w:color w:val="0000FF"/>
      <w:u w:val="none"/>
    </w:rPr>
  </w:style>
  <w:style w:type="character" w:styleId="22">
    <w:name w:val="annotation reference"/>
    <w:semiHidden/>
    <w:qFormat/>
    <w:uiPriority w:val="99"/>
    <w:rPr>
      <w:sz w:val="21"/>
      <w:szCs w:val="21"/>
    </w:rPr>
  </w:style>
  <w:style w:type="paragraph" w:customStyle="1" w:styleId="23">
    <w:name w:val="正文段"/>
    <w:basedOn w:val="1"/>
    <w:qFormat/>
    <w:uiPriority w:val="99"/>
    <w:pPr>
      <w:widowControl/>
      <w:snapToGrid w:val="0"/>
      <w:spacing w:afterLines="50"/>
      <w:ind w:firstLine="200" w:firstLineChars="200"/>
    </w:pPr>
    <w:rPr>
      <w:kern w:val="0"/>
      <w:sz w:val="24"/>
      <w:szCs w:val="20"/>
    </w:rPr>
  </w:style>
  <w:style w:type="paragraph" w:customStyle="1" w:styleId="24">
    <w:name w:val="WPSOffice手动目录 1"/>
    <w:qFormat/>
    <w:uiPriority w:val="0"/>
    <w:rPr>
      <w:rFonts w:ascii="Times New Roman" w:hAnsi="Times New Roman" w:eastAsia="宋体" w:cs="Times New Roman"/>
      <w:lang w:val="en-US" w:eastAsia="zh-CN" w:bidi="ar-SA"/>
    </w:rPr>
  </w:style>
  <w:style w:type="paragraph" w:customStyle="1" w:styleId="25">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26">
    <w:name w:val="批注框文本 Char"/>
    <w:basedOn w:val="19"/>
    <w:link w:val="11"/>
    <w:qFormat/>
    <w:uiPriority w:val="0"/>
    <w:rPr>
      <w:kern w:val="2"/>
      <w:sz w:val="18"/>
      <w:szCs w:val="18"/>
    </w:rPr>
  </w:style>
  <w:style w:type="character" w:customStyle="1" w:styleId="27">
    <w:name w:val="批注文字 Char"/>
    <w:basedOn w:val="19"/>
    <w:link w:val="7"/>
    <w:qFormat/>
    <w:uiPriority w:val="99"/>
    <w:rPr>
      <w:kern w:val="2"/>
      <w:sz w:val="21"/>
      <w:szCs w:val="24"/>
    </w:rPr>
  </w:style>
  <w:style w:type="character" w:customStyle="1" w:styleId="28">
    <w:name w:val="批注主题 Char"/>
    <w:basedOn w:val="27"/>
    <w:link w:val="17"/>
    <w:qFormat/>
    <w:uiPriority w:val="0"/>
  </w:style>
  <w:style w:type="character" w:customStyle="1" w:styleId="29">
    <w:name w:val="文档结构图 Char"/>
    <w:basedOn w:val="19"/>
    <w:link w:val="6"/>
    <w:qFormat/>
    <w:uiPriority w:val="0"/>
    <w:rPr>
      <w:rFonts w:ascii="宋体" w:hAnsi="Times New Roman" w:eastAsia="宋体" w:cs="Times New Roman"/>
      <w:kern w:val="2"/>
      <w:sz w:val="18"/>
      <w:szCs w:val="18"/>
    </w:rPr>
  </w:style>
  <w:style w:type="character" w:customStyle="1" w:styleId="30">
    <w:name w:val="纯文本 Char"/>
    <w:basedOn w:val="19"/>
    <w:link w:val="10"/>
    <w:qFormat/>
    <w:uiPriority w:val="0"/>
    <w:rPr>
      <w:rFonts w:ascii="宋体" w:hAnsi="Courier New" w:eastAsia="宋体" w:cs="Times New Roman"/>
      <w:kern w:val="2"/>
      <w:sz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2.png"/><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50</Pages>
  <Words>4884</Words>
  <Characters>27843</Characters>
  <Lines>232</Lines>
  <Paragraphs>65</Paragraphs>
  <TotalTime>1</TotalTime>
  <ScaleCrop>false</ScaleCrop>
  <LinksUpToDate>false</LinksUpToDate>
  <CharactersWithSpaces>32662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2020-11-04T08:37:00Z</dcterms:created>
  <dc:creator>Administrator</dc:creator>
  <cp:lastModifiedBy>Administrator</cp:lastModifiedBy>
  <cp:lastPrinted>2020-09-13T08:46:00Z</cp:lastPrinted>
  <dcterms:modified xsi:type="dcterms:W3CDTF">2020-11-04T09:25:45Z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