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center" w:pos="4950"/>
          <w:tab w:val="right" w:pos="9781"/>
        </w:tabs>
        <w:rPr>
          <w:rFonts w:asciiTheme="majorEastAsia" w:hAnsiTheme="majorEastAsia" w:eastAsiaTheme="majorEastAsia"/>
          <w:color w:val="000000" w:themeColor="text1"/>
          <w:sz w:val="96"/>
          <w:szCs w:val="96"/>
        </w:rPr>
      </w:pPr>
      <w:bookmarkStart w:id="0" w:name="_Toc139967210"/>
      <w:bookmarkStart w:id="1" w:name="_Toc139966426"/>
    </w:p>
    <w:p>
      <w:pPr>
        <w:pStyle w:val="9"/>
        <w:tabs>
          <w:tab w:val="center" w:pos="4950"/>
          <w:tab w:val="right" w:pos="9781"/>
        </w:tabs>
        <w:jc w:val="center"/>
        <w:rPr>
          <w:rFonts w:asciiTheme="majorEastAsia" w:hAnsiTheme="majorEastAsia" w:eastAsiaTheme="majorEastAsia"/>
          <w:b/>
          <w:bCs/>
          <w:color w:val="000000" w:themeColor="text1"/>
          <w:sz w:val="72"/>
          <w:szCs w:val="72"/>
        </w:rPr>
      </w:pPr>
      <w:r>
        <w:rPr>
          <w:rFonts w:hint="eastAsia" w:asciiTheme="majorEastAsia" w:hAnsiTheme="majorEastAsia" w:eastAsiaTheme="majorEastAsia"/>
          <w:color w:val="000000" w:themeColor="text1"/>
          <w:sz w:val="96"/>
          <w:szCs w:val="96"/>
        </w:rPr>
        <w:t>竞争性磋商</w:t>
      </w:r>
      <w:r>
        <w:rPr>
          <w:rFonts w:asciiTheme="majorEastAsia" w:hAnsiTheme="majorEastAsia" w:eastAsiaTheme="majorEastAsia"/>
          <w:color w:val="000000" w:themeColor="text1"/>
          <w:sz w:val="96"/>
          <w:szCs w:val="96"/>
        </w:rPr>
        <w:t>文件</w:t>
      </w:r>
    </w:p>
    <w:p>
      <w:pPr>
        <w:ind w:left="2962" w:leftChars="550" w:hanging="1807" w:hangingChars="500"/>
        <w:rPr>
          <w:rFonts w:cs="宋体" w:asciiTheme="majorEastAsia" w:hAnsiTheme="majorEastAsia" w:eastAsiaTheme="majorEastAsia"/>
          <w:b/>
          <w:bCs/>
          <w:color w:val="000000" w:themeColor="text1"/>
          <w:sz w:val="36"/>
          <w:szCs w:val="36"/>
        </w:rPr>
      </w:pPr>
    </w:p>
    <w:p>
      <w:pPr>
        <w:ind w:left="2962" w:leftChars="550" w:hanging="1807" w:hangingChars="500"/>
        <w:rPr>
          <w:rFonts w:cs="宋体" w:asciiTheme="majorEastAsia" w:hAnsiTheme="majorEastAsia" w:eastAsiaTheme="majorEastAsia"/>
          <w:b/>
          <w:bCs/>
          <w:color w:val="000000" w:themeColor="text1"/>
          <w:sz w:val="36"/>
          <w:szCs w:val="36"/>
        </w:rPr>
      </w:pPr>
    </w:p>
    <w:p>
      <w:pPr>
        <w:ind w:left="2883" w:leftChars="608" w:hanging="1606" w:hangingChars="500"/>
        <w:rPr>
          <w:rFonts w:cs="宋体" w:asciiTheme="majorEastAsia" w:hAnsiTheme="majorEastAsia" w:eastAsiaTheme="majorEastAsia"/>
          <w:b/>
          <w:bCs/>
          <w:color w:val="000000" w:themeColor="text1"/>
          <w:sz w:val="32"/>
          <w:szCs w:val="32"/>
        </w:rPr>
      </w:pPr>
      <w:r>
        <w:rPr>
          <w:rFonts w:hint="eastAsia" w:cs="宋体" w:asciiTheme="majorEastAsia" w:hAnsiTheme="majorEastAsia" w:eastAsiaTheme="majorEastAsia"/>
          <w:b/>
          <w:bCs/>
          <w:color w:val="000000" w:themeColor="text1"/>
          <w:sz w:val="32"/>
          <w:szCs w:val="32"/>
        </w:rPr>
        <w:t>项目名称：南宁市物业服务管理平台</w:t>
      </w:r>
    </w:p>
    <w:p>
      <w:pPr>
        <w:ind w:left="2883" w:leftChars="608" w:hanging="1606" w:hangingChars="500"/>
        <w:rPr>
          <w:rFonts w:cs="宋体" w:asciiTheme="majorEastAsia" w:hAnsiTheme="majorEastAsia" w:eastAsiaTheme="majorEastAsia"/>
          <w:b/>
          <w:bCs/>
          <w:color w:val="000000" w:themeColor="text1"/>
          <w:sz w:val="32"/>
          <w:szCs w:val="32"/>
        </w:rPr>
      </w:pPr>
      <w:r>
        <w:rPr>
          <w:rFonts w:hint="eastAsia" w:cs="宋体" w:asciiTheme="majorEastAsia" w:hAnsiTheme="majorEastAsia" w:eastAsiaTheme="majorEastAsia"/>
          <w:b/>
          <w:bCs/>
          <w:color w:val="000000" w:themeColor="text1"/>
          <w:sz w:val="32"/>
          <w:szCs w:val="32"/>
        </w:rPr>
        <w:t>项目编号：NNZC2020-C3-990368-GXYZ</w:t>
      </w:r>
    </w:p>
    <w:p>
      <w:pPr>
        <w:ind w:left="2883" w:leftChars="608" w:hanging="1606" w:hangingChars="500"/>
        <w:rPr>
          <w:rFonts w:cs="宋体" w:asciiTheme="majorEastAsia" w:hAnsiTheme="majorEastAsia" w:eastAsiaTheme="majorEastAsia"/>
          <w:b/>
          <w:bCs/>
          <w:color w:val="000000" w:themeColor="text1"/>
          <w:sz w:val="32"/>
          <w:szCs w:val="32"/>
        </w:rPr>
      </w:pPr>
      <w:r>
        <w:rPr>
          <w:rFonts w:hint="eastAsia" w:cs="宋体" w:asciiTheme="majorEastAsia" w:hAnsiTheme="majorEastAsia" w:eastAsiaTheme="majorEastAsia"/>
          <w:b/>
          <w:bCs/>
          <w:color w:val="000000" w:themeColor="text1"/>
          <w:sz w:val="32"/>
          <w:szCs w:val="32"/>
        </w:rPr>
        <w:t>采购计划文号：[2020]NCCJB518001/1776-001</w:t>
      </w:r>
    </w:p>
    <w:p>
      <w:pPr>
        <w:rPr>
          <w:rFonts w:cs="宋体" w:asciiTheme="majorEastAsia" w:hAnsiTheme="majorEastAsia" w:eastAsiaTheme="majorEastAsia"/>
          <w:b/>
          <w:bCs/>
          <w:color w:val="000000" w:themeColor="text1"/>
          <w:sz w:val="32"/>
          <w:szCs w:val="32"/>
        </w:rPr>
      </w:pPr>
    </w:p>
    <w:p>
      <w:pPr>
        <w:rPr>
          <w:rFonts w:cs="宋体" w:asciiTheme="majorEastAsia" w:hAnsiTheme="majorEastAsia" w:eastAsiaTheme="majorEastAsia"/>
          <w:b/>
          <w:bCs/>
          <w:color w:val="000000" w:themeColor="text1"/>
          <w:sz w:val="32"/>
          <w:szCs w:val="32"/>
        </w:rPr>
      </w:pPr>
    </w:p>
    <w:p>
      <w:pPr>
        <w:ind w:firstLine="840" w:firstLineChars="400"/>
        <w:rPr>
          <w:rFonts w:cs="宋体" w:asciiTheme="majorEastAsia" w:hAnsiTheme="majorEastAsia" w:eastAsiaTheme="majorEastAsia"/>
          <w:b/>
          <w:bCs/>
          <w:color w:val="000000" w:themeColor="text1"/>
          <w:sz w:val="32"/>
          <w:szCs w:val="32"/>
        </w:rPr>
      </w:pPr>
      <w:r>
        <w:drawing>
          <wp:anchor distT="0" distB="0" distL="114300" distR="114300" simplePos="0" relativeHeight="251667456" behindDoc="1" locked="0" layoutInCell="1" allowOverlap="1">
            <wp:simplePos x="0" y="0"/>
            <wp:positionH relativeFrom="column">
              <wp:posOffset>104775</wp:posOffset>
            </wp:positionH>
            <wp:positionV relativeFrom="paragraph">
              <wp:posOffset>-105410</wp:posOffset>
            </wp:positionV>
            <wp:extent cx="5857875" cy="2905125"/>
            <wp:effectExtent l="0" t="0" r="9525" b="9525"/>
            <wp:wrapTight wrapText="bothSides">
              <wp:wrapPolygon>
                <wp:start x="0" y="0"/>
                <wp:lineTo x="0" y="21529"/>
                <wp:lineTo x="21565" y="21529"/>
                <wp:lineTo x="21565"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5857875" cy="2905125"/>
                    </a:xfrm>
                    <a:prstGeom prst="rect">
                      <a:avLst/>
                    </a:prstGeom>
                    <a:noFill/>
                    <a:ln>
                      <a:noFill/>
                    </a:ln>
                  </pic:spPr>
                </pic:pic>
              </a:graphicData>
            </a:graphic>
          </wp:anchor>
        </w:drawing>
      </w:r>
    </w:p>
    <w:p>
      <w:pPr>
        <w:ind w:firstLine="1285" w:firstLineChars="400"/>
        <w:rPr>
          <w:rFonts w:cs="宋体" w:asciiTheme="majorEastAsia" w:hAnsiTheme="majorEastAsia" w:eastAsiaTheme="majorEastAsia"/>
          <w:b/>
          <w:bCs/>
          <w:color w:val="000000" w:themeColor="text1"/>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118" w:left="1080" w:header="720" w:footer="720" w:gutter="0"/>
          <w:cols w:space="720" w:num="1"/>
          <w:titlePg/>
          <w:docGrid w:type="lines" w:linePitch="331" w:charSpace="0"/>
        </w:sectPr>
      </w:pPr>
    </w:p>
    <w:p>
      <w:pPr>
        <w:tabs>
          <w:tab w:val="left" w:pos="2092"/>
          <w:tab w:val="center" w:pos="5174"/>
        </w:tabs>
        <w:spacing w:before="100" w:beforeAutospacing="1" w:after="100" w:afterAutospacing="1" w:line="380" w:lineRule="atLeast"/>
        <w:ind w:firstLine="482"/>
        <w:jc w:val="center"/>
        <w:rPr>
          <w:rFonts w:asciiTheme="majorEastAsia" w:hAnsiTheme="majorEastAsia" w:eastAsiaTheme="majorEastAsia"/>
          <w:b/>
          <w:color w:val="000000" w:themeColor="text1"/>
          <w:sz w:val="36"/>
        </w:rPr>
      </w:pPr>
      <w:r>
        <w:rPr>
          <w:rFonts w:hint="eastAsia" w:asciiTheme="majorEastAsia" w:hAnsiTheme="majorEastAsia" w:eastAsiaTheme="majorEastAsia"/>
          <w:b/>
          <w:color w:val="000000" w:themeColor="text1"/>
          <w:sz w:val="36"/>
        </w:rPr>
        <w:t>通知</w:t>
      </w:r>
    </w:p>
    <w:p>
      <w:pPr>
        <w:spacing w:before="100" w:beforeAutospacing="1" w:after="100" w:afterAutospacing="1" w:line="380" w:lineRule="atLeast"/>
        <w:ind w:firstLine="482"/>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为做好新型冠状病毒肺炎疫情防控工作，根据南宁市财政局《关于做好疫情防控期间政府采购工作有关事项的通知》（南财采〔2020〕12号）要求，现对本项目相关事项通知如下：</w:t>
      </w:r>
    </w:p>
    <w:p>
      <w:pPr>
        <w:widowControl/>
        <w:spacing w:before="100" w:beforeAutospacing="1" w:after="100" w:afterAutospacing="1" w:line="380" w:lineRule="atLeast"/>
        <w:ind w:firstLine="482"/>
        <w:jc w:val="left"/>
        <w:rPr>
          <w:rFonts w:cs="宋体" w:asciiTheme="majorEastAsia" w:hAnsiTheme="majorEastAsia" w:eastAsiaTheme="majorEastAsia"/>
          <w:b/>
          <w:bCs/>
          <w:color w:val="000000" w:themeColor="text1"/>
          <w:kern w:val="0"/>
          <w:sz w:val="24"/>
          <w:u w:val="single"/>
        </w:rPr>
      </w:pPr>
      <w:r>
        <w:rPr>
          <w:rFonts w:hint="eastAsia" w:cs="宋体" w:asciiTheme="majorEastAsia" w:hAnsiTheme="majorEastAsia" w:eastAsiaTheme="majorEastAsia"/>
          <w:color w:val="000000" w:themeColor="text1"/>
          <w:kern w:val="0"/>
          <w:sz w:val="24"/>
        </w:rPr>
        <w:t>一、本项目的响应文件通过</w:t>
      </w:r>
      <w:r>
        <w:rPr>
          <w:rFonts w:hint="eastAsia" w:cs="宋体" w:asciiTheme="majorEastAsia" w:hAnsiTheme="majorEastAsia" w:eastAsiaTheme="majorEastAsia"/>
          <w:b/>
          <w:bCs/>
          <w:color w:val="000000" w:themeColor="text1"/>
          <w:kern w:val="0"/>
          <w:sz w:val="24"/>
          <w:u w:val="single"/>
        </w:rPr>
        <w:t>邮寄快递方式送达。</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一）接收邮寄快递包裹的时间为工作日9：00～17：00。响应文件必须在响应截止时间前送达，且须交由采购代理机构当面签收。采购代理机构签收邮寄包裹的时间即为磋商供货商响应文件的送达时间，逾期送达的响应文件无效，后果由磋商供应商自行承担。</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（二）采购代理机构将在响应截止时间前一个小时（即</w:t>
      </w:r>
      <w:r>
        <w:rPr>
          <w:rFonts w:hint="eastAsia" w:cs="宋体" w:asciiTheme="majorEastAsia" w:hAnsiTheme="majorEastAsia" w:eastAsiaTheme="majorEastAsia"/>
          <w:color w:val="000000" w:themeColor="text1"/>
          <w:kern w:val="0"/>
          <w:sz w:val="24"/>
          <w:lang w:val="en-US" w:eastAsia="zh-CN"/>
        </w:rPr>
        <w:t>12</w:t>
      </w:r>
      <w:r>
        <w:rPr>
          <w:rFonts w:hint="eastAsia" w:cs="宋体" w:asciiTheme="majorEastAsia" w:hAnsiTheme="majorEastAsia" w:eastAsiaTheme="majorEastAsia"/>
          <w:color w:val="000000" w:themeColor="text1"/>
          <w:kern w:val="0"/>
          <w:sz w:val="24"/>
        </w:rPr>
        <w:t>时</w:t>
      </w:r>
      <w:r>
        <w:rPr>
          <w:rFonts w:hint="eastAsia" w:cs="宋体" w:asciiTheme="majorEastAsia" w:hAnsiTheme="majorEastAsia" w:eastAsiaTheme="majorEastAsia"/>
          <w:color w:val="000000" w:themeColor="text1"/>
          <w:kern w:val="0"/>
          <w:sz w:val="24"/>
          <w:lang w:val="en-US" w:eastAsia="zh-CN"/>
        </w:rPr>
        <w:t>00</w:t>
      </w:r>
      <w:r>
        <w:rPr>
          <w:rFonts w:hint="eastAsia" w:cs="宋体" w:asciiTheme="majorEastAsia" w:hAnsiTheme="majorEastAsia" w:eastAsiaTheme="majorEastAsia"/>
          <w:color w:val="000000" w:themeColor="text1"/>
          <w:kern w:val="0"/>
          <w:sz w:val="24"/>
        </w:rPr>
        <w:t>分）统一将收到的响应文件运送至南宁市公共资源交易中心，以确保本项目能在响应截止（开标）时间准时开标。供应商应充分预留响应文件邮寄、送达所需要的时间。为确保疫情防控期间邮寄包裹能及时送达，应选择邮寄运送时间有保障的快递公司寄送响应文件，并尽量在投标截止日期</w:t>
      </w:r>
      <w:r>
        <w:rPr>
          <w:rFonts w:cs="宋体" w:asciiTheme="majorEastAsia" w:hAnsiTheme="majorEastAsia" w:eastAsiaTheme="majorEastAsia"/>
          <w:color w:val="000000" w:themeColor="text1"/>
          <w:kern w:val="0"/>
          <w:sz w:val="24"/>
        </w:rPr>
        <w:t>1</w:t>
      </w:r>
      <w:r>
        <w:rPr>
          <w:rFonts w:hint="eastAsia" w:cs="宋体" w:asciiTheme="majorEastAsia" w:hAnsiTheme="majorEastAsia" w:eastAsiaTheme="majorEastAsia"/>
          <w:color w:val="000000" w:themeColor="text1"/>
          <w:kern w:val="0"/>
          <w:sz w:val="24"/>
        </w:rPr>
        <w:t>日前送达。</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（三）供应商按照采购文件要求装订密封好响应文件后，应使用不透明、防水的邮寄袋或箱子再次包裹已密封的响应文件，</w:t>
      </w:r>
      <w:r>
        <w:rPr>
          <w:rFonts w:hint="eastAsia" w:cs="宋体" w:asciiTheme="majorEastAsia" w:hAnsiTheme="majorEastAsia" w:eastAsiaTheme="majorEastAsia"/>
          <w:b/>
          <w:bCs/>
          <w:color w:val="000000" w:themeColor="text1"/>
          <w:kern w:val="0"/>
          <w:sz w:val="24"/>
          <w:u w:val="single"/>
        </w:rPr>
        <w:t>并在邮寄袋或箱子上粘牢注明项目名称、项目编号、有效的电子邮箱、联系人及联系方式的纸质表格</w:t>
      </w:r>
      <w:r>
        <w:rPr>
          <w:rFonts w:hint="eastAsia" w:cs="宋体" w:asciiTheme="majorEastAsia" w:hAnsiTheme="majorEastAsia" w:eastAsiaTheme="majorEastAsia"/>
          <w:color w:val="000000" w:themeColor="text1"/>
          <w:kern w:val="0"/>
          <w:sz w:val="24"/>
        </w:rPr>
        <w:t>。如因响应文件包裹信息注明不完整或缺失造成响应文件无法辨认属于哪一个项目造成的后果供应商自负。</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（四）响应文件邮寄地址：南宁市青秀区思贤路45号创投中心16A层</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 xml:space="preserve">      收件人：罗工  联系电话：0771-2442850</w:t>
      </w:r>
    </w:p>
    <w:p>
      <w:pPr>
        <w:widowControl/>
        <w:spacing w:before="100" w:beforeAutospacing="1" w:after="100" w:afterAutospacing="1" w:line="380" w:lineRule="atLeast"/>
        <w:jc w:val="left"/>
        <w:rPr>
          <w:rFonts w:cs="宋体" w:asciiTheme="majorEastAsia" w:hAnsiTheme="majorEastAsia" w:eastAsiaTheme="majorEastAsia"/>
          <w:b/>
          <w:color w:val="000000" w:themeColor="text1"/>
          <w:kern w:val="0"/>
          <w:sz w:val="24"/>
        </w:rPr>
      </w:pPr>
      <w:r>
        <w:rPr>
          <w:rFonts w:hint="eastAsia" w:cs="宋体" w:asciiTheme="majorEastAsia" w:hAnsiTheme="majorEastAsia" w:eastAsiaTheme="majorEastAsia"/>
          <w:b/>
          <w:color w:val="000000" w:themeColor="text1"/>
          <w:kern w:val="0"/>
          <w:sz w:val="24"/>
        </w:rPr>
        <w:t>（五）磋商供应商不参加现场开标活动。</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 xml:space="preserve">      响应文件拆封及密封性检查：</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 xml:space="preserve">      截标后，采购代理机构工作人员在南宁市公共资源交易中心工作人员和采购人的见证下拆开响应文件包封，采购人对响应文件密封性进行签字确认。</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二、关于澄清、谈判的有关要求</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（一）为便于采购代理机构或谈判小组在项目评审期间与供应商取得联系，做好评审过程中供应商对响应文件的澄清、说明或者补正，以及谈判等工作，供应商务必做到：</w:t>
      </w:r>
      <w:r>
        <w:rPr>
          <w:rFonts w:hint="eastAsia" w:cs="宋体" w:asciiTheme="majorEastAsia" w:hAnsiTheme="majorEastAsia" w:eastAsiaTheme="majorEastAsia"/>
          <w:b/>
          <w:bCs/>
          <w:color w:val="000000" w:themeColor="text1"/>
          <w:kern w:val="0"/>
          <w:sz w:val="24"/>
          <w:u w:val="single"/>
        </w:rPr>
        <w:t>“第五章响应文件格式”中“响应函（格式）”落款处的“电话”务必填写法定代表人或委托代理人的电话联系方式</w:t>
      </w:r>
      <w:r>
        <w:rPr>
          <w:rFonts w:hint="eastAsia" w:cs="宋体" w:asciiTheme="majorEastAsia" w:hAnsiTheme="majorEastAsia" w:eastAsiaTheme="majorEastAsia"/>
          <w:color w:val="000000" w:themeColor="text1"/>
          <w:kern w:val="0"/>
          <w:sz w:val="24"/>
        </w:rPr>
        <w:t>。</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二）评审当天供应商务必保持电话畅通。如果评审过程中需要与供应商进行谈判、要求供应商进行报价以及对响应文件作出澄清、说明或者补正的，谈判小组会通知供应商在规定的时间内通过电子邮件、传真等方式提交。</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三）如供应商未按上述要求，致使采购代理机构或谈判小组在项目评审期间无法与供应商取得联系进行谈判的，或因自身原因未能保持电话畅通或未按谈判小组要求提交澄清、说明或者补正的，后果由供应商自行承担。</w:t>
      </w:r>
    </w:p>
    <w:p>
      <w:pPr>
        <w:widowControl/>
        <w:jc w:val="left"/>
        <w:rPr>
          <w:rFonts w:asciiTheme="majorEastAsia" w:hAnsiTheme="majorEastAsia" w:eastAsiaTheme="majorEastAsia"/>
          <w:b/>
          <w:color w:val="000000" w:themeColor="text1"/>
          <w:sz w:val="48"/>
          <w:szCs w:val="48"/>
        </w:rPr>
      </w:pPr>
      <w:r>
        <w:rPr>
          <w:rFonts w:hint="eastAsia" w:cs="宋体" w:asciiTheme="majorEastAsia" w:hAnsiTheme="majorEastAsia" w:eastAsiaTheme="majorEastAsia"/>
          <w:color w:val="000000" w:themeColor="text1"/>
          <w:kern w:val="0"/>
          <w:sz w:val="24"/>
        </w:rPr>
        <w:t>四、请按通知内容执行，采购文件其余内容不变。</w:t>
      </w:r>
    </w:p>
    <w:p>
      <w:pPr>
        <w:pStyle w:val="9"/>
        <w:spacing w:line="560" w:lineRule="exact"/>
        <w:rPr>
          <w:rFonts w:asciiTheme="majorEastAsia" w:hAnsiTheme="majorEastAsia" w:eastAsiaTheme="majorEastAsia"/>
          <w:color w:val="000000" w:themeColor="text1"/>
          <w:sz w:val="24"/>
          <w:szCs w:val="24"/>
        </w:rPr>
      </w:pPr>
    </w:p>
    <w:p>
      <w:pPr>
        <w:pStyle w:val="9"/>
        <w:spacing w:line="560" w:lineRule="exact"/>
        <w:rPr>
          <w:rFonts w:asciiTheme="majorEastAsia" w:hAnsiTheme="majorEastAsia" w:eastAsiaTheme="majorEastAsia"/>
          <w:color w:val="000000" w:themeColor="text1"/>
          <w:sz w:val="24"/>
          <w:szCs w:val="24"/>
        </w:rPr>
      </w:pPr>
    </w:p>
    <w:p>
      <w:pPr>
        <w:pStyle w:val="9"/>
        <w:spacing w:line="560" w:lineRule="exact"/>
        <w:rPr>
          <w:rFonts w:asciiTheme="majorEastAsia" w:hAnsiTheme="majorEastAsia" w:eastAsiaTheme="majorEastAsia"/>
          <w:color w:val="000000" w:themeColor="text1"/>
          <w:sz w:val="24"/>
          <w:szCs w:val="24"/>
        </w:rPr>
      </w:pPr>
    </w:p>
    <w:p>
      <w:pPr>
        <w:pStyle w:val="9"/>
        <w:spacing w:line="560" w:lineRule="exac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                                   采购代理机构：广西邕政采购代理有限公司                                  </w:t>
      </w:r>
    </w:p>
    <w:p>
      <w:pPr>
        <w:widowControl/>
        <w:jc w:val="center"/>
        <w:rPr>
          <w:rFonts w:asciiTheme="majorEastAsia" w:hAnsiTheme="majorEastAsia" w:eastAsiaTheme="majorEastAsia" w:cstheme="majorEastAsia"/>
          <w:b/>
          <w:color w:val="000000" w:themeColor="text1"/>
          <w:sz w:val="48"/>
          <w:szCs w:val="48"/>
        </w:rPr>
        <w:sectPr>
          <w:pgSz w:w="11906" w:h="16838"/>
          <w:pgMar w:top="1440" w:right="1080" w:bottom="1118" w:left="1080" w:header="720" w:footer="720" w:gutter="0"/>
          <w:cols w:space="720" w:num="1"/>
          <w:docGrid w:type="lines" w:linePitch="331" w:charSpace="0"/>
        </w:sectPr>
      </w:pPr>
      <w:r>
        <w:rPr>
          <w:rFonts w:hint="eastAsia" w:asciiTheme="majorEastAsia" w:hAnsiTheme="majorEastAsia" w:eastAsiaTheme="majorEastAsia"/>
          <w:color w:val="000000" w:themeColor="text1"/>
          <w:sz w:val="24"/>
        </w:rPr>
        <w:t xml:space="preserve">          日期：2020年</w:t>
      </w:r>
      <w:r>
        <w:rPr>
          <w:rFonts w:hint="eastAsia" w:asciiTheme="majorEastAsia" w:hAnsiTheme="majorEastAsia" w:eastAsiaTheme="majorEastAsia"/>
          <w:color w:val="000000" w:themeColor="text1"/>
          <w:sz w:val="24"/>
          <w:lang w:val="en-US" w:eastAsia="zh-CN"/>
        </w:rPr>
        <w:t>11</w:t>
      </w:r>
      <w:r>
        <w:rPr>
          <w:rFonts w:hint="eastAsia" w:asciiTheme="majorEastAsia" w:hAnsiTheme="majorEastAsia" w:eastAsiaTheme="majorEastAsia"/>
          <w:color w:val="000000" w:themeColor="text1"/>
          <w:sz w:val="24"/>
        </w:rPr>
        <w:t>月</w:t>
      </w:r>
      <w:r>
        <w:rPr>
          <w:rFonts w:hint="eastAsia" w:asciiTheme="majorEastAsia" w:hAnsiTheme="majorEastAsia" w:eastAsiaTheme="majorEastAsia"/>
          <w:color w:val="000000" w:themeColor="text1"/>
          <w:sz w:val="24"/>
          <w:lang w:val="en-US" w:eastAsia="zh-CN"/>
        </w:rPr>
        <w:t>04</w:t>
      </w:r>
      <w:r>
        <w:rPr>
          <w:rFonts w:hint="eastAsia" w:asciiTheme="majorEastAsia" w:hAnsiTheme="majorEastAsia" w:eastAsiaTheme="majorEastAsia"/>
          <w:color w:val="000000" w:themeColor="text1"/>
          <w:sz w:val="24"/>
        </w:rPr>
        <w:t>日</w:t>
      </w:r>
    </w:p>
    <w:sdt>
      <w:sdtPr>
        <w:rPr>
          <w:rFonts w:asciiTheme="majorEastAsia" w:hAnsiTheme="majorEastAsia" w:eastAsiaTheme="majorEastAsia"/>
        </w:rPr>
        <w:id w:val="147457188"/>
        <w:docPartObj>
          <w:docPartGallery w:val="Table of Contents"/>
          <w:docPartUnique/>
        </w:docPartObj>
      </w:sdtPr>
      <w:sdtEndPr>
        <w:rPr>
          <w:rFonts w:asciiTheme="majorEastAsia" w:hAnsiTheme="majorEastAsia" w:eastAsiaTheme="majorEastAsia" w:cstheme="majorEastAsia"/>
          <w:b/>
          <w:color w:val="000000" w:themeColor="text1"/>
          <w:sz w:val="18"/>
          <w:szCs w:val="21"/>
        </w:rPr>
      </w:sdtEndPr>
      <w:sdtContent>
        <w:p>
          <w:pPr>
            <w:jc w:val="center"/>
            <w:rPr>
              <w:rFonts w:asciiTheme="majorEastAsia" w:hAnsiTheme="majorEastAsia" w:eastAsiaTheme="majorEastAsia"/>
              <w:sz w:val="28"/>
              <w:szCs w:val="28"/>
            </w:rPr>
          </w:pPr>
          <w:bookmarkStart w:id="2" w:name="_Toc485920200"/>
          <w:bookmarkStart w:id="3" w:name="_Toc460253689"/>
          <w:r>
            <w:rPr>
              <w:rFonts w:asciiTheme="majorEastAsia" w:hAnsiTheme="majorEastAsia" w:eastAsiaTheme="majorEastAsia"/>
              <w:b/>
              <w:sz w:val="28"/>
              <w:szCs w:val="28"/>
            </w:rPr>
            <w:t>目录</w:t>
          </w:r>
        </w:p>
        <w:p>
          <w:pPr>
            <w:pStyle w:val="13"/>
            <w:tabs>
              <w:tab w:val="right" w:leader="dot" w:pos="9746"/>
            </w:tabs>
            <w:rPr>
              <w:sz w:val="28"/>
              <w:szCs w:val="28"/>
            </w:rPr>
          </w:pPr>
          <w:r>
            <w:rPr>
              <w:rFonts w:asciiTheme="majorEastAsia" w:hAnsiTheme="majorEastAsia" w:eastAsiaTheme="majorEastAsia" w:cstheme="majorEastAsia"/>
              <w:color w:val="000000" w:themeColor="text1"/>
              <w:sz w:val="28"/>
              <w:szCs w:val="28"/>
              <w:highlight w:val="yellow"/>
            </w:rPr>
            <w:fldChar w:fldCharType="begin"/>
          </w:r>
          <w:r>
            <w:rPr>
              <w:rFonts w:asciiTheme="majorEastAsia" w:hAnsiTheme="majorEastAsia" w:eastAsiaTheme="majorEastAsia" w:cstheme="majorEastAsia"/>
              <w:color w:val="000000" w:themeColor="text1"/>
              <w:sz w:val="28"/>
              <w:szCs w:val="28"/>
              <w:highlight w:val="yellow"/>
            </w:rPr>
            <w:instrText xml:space="preserve">TOC \o "1-2" \h \u </w:instrText>
          </w:r>
          <w:r>
            <w:rPr>
              <w:rFonts w:asciiTheme="majorEastAsia" w:hAnsiTheme="majorEastAsia" w:eastAsiaTheme="majorEastAsia" w:cstheme="majorEastAsia"/>
              <w:color w:val="000000" w:themeColor="text1"/>
              <w:sz w:val="28"/>
              <w:szCs w:val="28"/>
              <w:highlight w:val="yellow"/>
            </w:rPr>
            <w:fldChar w:fldCharType="separate"/>
          </w:r>
          <w:r>
            <w:fldChar w:fldCharType="begin"/>
          </w:r>
          <w:r>
            <w:instrText xml:space="preserve"> HYPERLINK \l "_Toc21992" </w:instrText>
          </w:r>
          <w:r>
            <w:fldChar w:fldCharType="separate"/>
          </w:r>
          <w:r>
            <w:rPr>
              <w:rFonts w:hint="eastAsia" w:cs="宋体" w:asciiTheme="majorEastAsia" w:hAnsiTheme="majorEastAsia" w:eastAsiaTheme="majorEastAsia"/>
              <w:sz w:val="28"/>
              <w:szCs w:val="28"/>
            </w:rPr>
            <w:t>第一章 竞争性磋商公告</w:t>
          </w:r>
          <w:r>
            <w:rPr>
              <w:sz w:val="28"/>
              <w:szCs w:val="28"/>
            </w:rPr>
            <w:tab/>
          </w:r>
          <w:r>
            <w:rPr>
              <w:sz w:val="28"/>
              <w:szCs w:val="28"/>
            </w:rPr>
            <w:fldChar w:fldCharType="begin"/>
          </w:r>
          <w:r>
            <w:rPr>
              <w:sz w:val="28"/>
              <w:szCs w:val="28"/>
            </w:rPr>
            <w:instrText xml:space="preserve"> PAGEREF _Toc21992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"_Toc14792" </w:instrText>
          </w:r>
          <w:r>
            <w:fldChar w:fldCharType="separate"/>
          </w:r>
          <w:r>
            <w:rPr>
              <w:rFonts w:hint="eastAsia" w:asciiTheme="majorEastAsia" w:hAnsiTheme="majorEastAsia" w:eastAsiaTheme="majorEastAsia" w:cstheme="majorEastAsia"/>
              <w:bCs/>
              <w:sz w:val="28"/>
              <w:szCs w:val="28"/>
            </w:rPr>
            <w:t>第二章  服务需求一览表</w:t>
          </w:r>
          <w:r>
            <w:rPr>
              <w:sz w:val="28"/>
              <w:szCs w:val="28"/>
            </w:rPr>
            <w:tab/>
          </w:r>
          <w:r>
            <w:rPr>
              <w:sz w:val="28"/>
              <w:szCs w:val="28"/>
            </w:rPr>
            <w:fldChar w:fldCharType="begin"/>
          </w:r>
          <w:r>
            <w:rPr>
              <w:sz w:val="28"/>
              <w:szCs w:val="28"/>
            </w:rPr>
            <w:instrText xml:space="preserve"> PAGEREF _Toc14792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"_Toc32126" </w:instrText>
          </w:r>
          <w:r>
            <w:fldChar w:fldCharType="separate"/>
          </w:r>
          <w:r>
            <w:rPr>
              <w:rFonts w:hint="eastAsia" w:asciiTheme="majorEastAsia" w:hAnsiTheme="majorEastAsia" w:eastAsiaTheme="majorEastAsia" w:cstheme="majorEastAsia"/>
              <w:sz w:val="28"/>
              <w:szCs w:val="28"/>
            </w:rPr>
            <w:t>第三章  评审方法</w:t>
          </w:r>
          <w:r>
            <w:rPr>
              <w:sz w:val="28"/>
              <w:szCs w:val="28"/>
            </w:rPr>
            <w:tab/>
          </w:r>
          <w:r>
            <w:rPr>
              <w:sz w:val="28"/>
              <w:szCs w:val="28"/>
            </w:rPr>
            <w:fldChar w:fldCharType="begin"/>
          </w:r>
          <w:r>
            <w:rPr>
              <w:sz w:val="28"/>
              <w:szCs w:val="28"/>
            </w:rPr>
            <w:instrText xml:space="preserve"> PAGEREF _Toc32126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"_Toc5447" </w:instrText>
          </w:r>
          <w:r>
            <w:fldChar w:fldCharType="separate"/>
          </w:r>
          <w:r>
            <w:rPr>
              <w:rFonts w:hint="eastAsia" w:asciiTheme="majorEastAsia" w:hAnsiTheme="majorEastAsia" w:eastAsiaTheme="majorEastAsia" w:cstheme="majorEastAsia"/>
              <w:sz w:val="28"/>
              <w:szCs w:val="28"/>
            </w:rPr>
            <w:t>第四章   磋商供应商须知</w:t>
          </w:r>
          <w:r>
            <w:rPr>
              <w:sz w:val="28"/>
              <w:szCs w:val="28"/>
            </w:rPr>
            <w:tab/>
          </w:r>
          <w:r>
            <w:rPr>
              <w:sz w:val="28"/>
              <w:szCs w:val="28"/>
            </w:rPr>
            <w:fldChar w:fldCharType="begin"/>
          </w:r>
          <w:r>
            <w:rPr>
              <w:sz w:val="28"/>
              <w:szCs w:val="28"/>
            </w:rPr>
            <w:instrText xml:space="preserve"> PAGEREF _Toc5447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"_Toc21089" </w:instrText>
          </w:r>
          <w:r>
            <w:fldChar w:fldCharType="separate"/>
          </w:r>
          <w:r>
            <w:rPr>
              <w:rFonts w:hint="eastAsia" w:asciiTheme="majorEastAsia" w:hAnsiTheme="majorEastAsia" w:eastAsiaTheme="majorEastAsia" w:cstheme="majorEastAsia"/>
              <w:sz w:val="28"/>
              <w:szCs w:val="28"/>
            </w:rPr>
            <w:t>一   总则</w:t>
          </w:r>
          <w:r>
            <w:rPr>
              <w:sz w:val="28"/>
              <w:szCs w:val="28"/>
            </w:rPr>
            <w:tab/>
          </w:r>
          <w:r>
            <w:rPr>
              <w:sz w:val="28"/>
              <w:szCs w:val="28"/>
            </w:rPr>
            <w:fldChar w:fldCharType="begin"/>
          </w:r>
          <w:r>
            <w:rPr>
              <w:sz w:val="28"/>
              <w:szCs w:val="28"/>
            </w:rPr>
            <w:instrText xml:space="preserve"> PAGEREF _Toc21089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"_Toc17960" </w:instrText>
          </w:r>
          <w:r>
            <w:fldChar w:fldCharType="separate"/>
          </w:r>
          <w:r>
            <w:rPr>
              <w:rFonts w:hint="eastAsia" w:asciiTheme="majorEastAsia" w:hAnsiTheme="majorEastAsia" w:eastAsiaTheme="majorEastAsia" w:cstheme="majorEastAsia"/>
              <w:sz w:val="28"/>
              <w:szCs w:val="28"/>
            </w:rPr>
            <w:t>二   竞争性磋商采购文件</w:t>
          </w:r>
          <w:r>
            <w:rPr>
              <w:sz w:val="28"/>
              <w:szCs w:val="28"/>
            </w:rPr>
            <w:tab/>
          </w:r>
          <w:r>
            <w:rPr>
              <w:sz w:val="28"/>
              <w:szCs w:val="28"/>
            </w:rPr>
            <w:fldChar w:fldCharType="begin"/>
          </w:r>
          <w:r>
            <w:rPr>
              <w:sz w:val="28"/>
              <w:szCs w:val="28"/>
            </w:rPr>
            <w:instrText xml:space="preserve"> PAGEREF _Toc17960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"_Toc64" </w:instrText>
          </w:r>
          <w:r>
            <w:fldChar w:fldCharType="separate"/>
          </w:r>
          <w:r>
            <w:rPr>
              <w:rFonts w:hint="eastAsia" w:asciiTheme="majorEastAsia" w:hAnsiTheme="majorEastAsia" w:eastAsiaTheme="majorEastAsia" w:cstheme="majorEastAsia"/>
              <w:sz w:val="28"/>
              <w:szCs w:val="28"/>
            </w:rPr>
            <w:t>三   响应文件</w:t>
          </w:r>
          <w:r>
            <w:rPr>
              <w:sz w:val="28"/>
              <w:szCs w:val="28"/>
            </w:rPr>
            <w:tab/>
          </w:r>
          <w:r>
            <w:rPr>
              <w:sz w:val="28"/>
              <w:szCs w:val="28"/>
            </w:rPr>
            <w:fldChar w:fldCharType="begin"/>
          </w:r>
          <w:r>
            <w:rPr>
              <w:sz w:val="28"/>
              <w:szCs w:val="28"/>
            </w:rPr>
            <w:instrText xml:space="preserve"> PAGEREF _Toc64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"_Toc3487" </w:instrText>
          </w:r>
          <w:r>
            <w:fldChar w:fldCharType="separate"/>
          </w:r>
          <w:r>
            <w:rPr>
              <w:rFonts w:hint="eastAsia" w:asciiTheme="majorEastAsia" w:hAnsiTheme="majorEastAsia" w:eastAsiaTheme="majorEastAsia" w:cstheme="majorEastAsia"/>
              <w:sz w:val="28"/>
              <w:szCs w:val="28"/>
            </w:rPr>
            <w:t>四   磋商响应</w:t>
          </w:r>
          <w:r>
            <w:rPr>
              <w:sz w:val="28"/>
              <w:szCs w:val="28"/>
            </w:rPr>
            <w:tab/>
          </w:r>
          <w:r>
            <w:rPr>
              <w:sz w:val="28"/>
              <w:szCs w:val="28"/>
            </w:rPr>
            <w:fldChar w:fldCharType="begin"/>
          </w:r>
          <w:r>
            <w:rPr>
              <w:sz w:val="28"/>
              <w:szCs w:val="28"/>
            </w:rPr>
            <w:instrText xml:space="preserve"> PAGEREF _Toc3487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"_Toc32448" </w:instrText>
          </w:r>
          <w:r>
            <w:fldChar w:fldCharType="separate"/>
          </w:r>
          <w:r>
            <w:rPr>
              <w:rFonts w:hint="eastAsia" w:asciiTheme="majorEastAsia" w:hAnsiTheme="majorEastAsia" w:eastAsiaTheme="majorEastAsia" w:cstheme="majorEastAsia"/>
              <w:sz w:val="28"/>
              <w:szCs w:val="28"/>
            </w:rPr>
            <w:t>五   评审与磋商</w:t>
          </w:r>
          <w:r>
            <w:rPr>
              <w:sz w:val="28"/>
              <w:szCs w:val="28"/>
            </w:rPr>
            <w:tab/>
          </w:r>
          <w:r>
            <w:rPr>
              <w:sz w:val="28"/>
              <w:szCs w:val="28"/>
            </w:rPr>
            <w:fldChar w:fldCharType="begin"/>
          </w:r>
          <w:r>
            <w:rPr>
              <w:sz w:val="28"/>
              <w:szCs w:val="28"/>
            </w:rPr>
            <w:instrText xml:space="preserve"> PAGEREF _Toc32448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"_Toc15117" </w:instrText>
          </w:r>
          <w:r>
            <w:fldChar w:fldCharType="separate"/>
          </w:r>
          <w:r>
            <w:rPr>
              <w:rFonts w:hint="eastAsia" w:asciiTheme="majorEastAsia" w:hAnsiTheme="majorEastAsia" w:eastAsiaTheme="majorEastAsia" w:cstheme="majorEastAsia"/>
              <w:sz w:val="28"/>
              <w:szCs w:val="28"/>
            </w:rPr>
            <w:t>六   合同授予</w:t>
          </w:r>
          <w:r>
            <w:rPr>
              <w:sz w:val="28"/>
              <w:szCs w:val="28"/>
            </w:rPr>
            <w:tab/>
          </w:r>
          <w:r>
            <w:rPr>
              <w:sz w:val="28"/>
              <w:szCs w:val="28"/>
            </w:rPr>
            <w:fldChar w:fldCharType="begin"/>
          </w:r>
          <w:r>
            <w:rPr>
              <w:sz w:val="28"/>
              <w:szCs w:val="28"/>
            </w:rPr>
            <w:instrText xml:space="preserve"> PAGEREF _Toc15117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"_Toc1223" </w:instrText>
          </w:r>
          <w:r>
            <w:fldChar w:fldCharType="separate"/>
          </w:r>
          <w:r>
            <w:rPr>
              <w:rFonts w:hint="eastAsia" w:asciiTheme="majorEastAsia" w:hAnsiTheme="majorEastAsia" w:eastAsiaTheme="majorEastAsia" w:cstheme="majorEastAsia"/>
              <w:sz w:val="28"/>
              <w:szCs w:val="28"/>
            </w:rPr>
            <w:t>七   其他事项</w:t>
          </w:r>
          <w:r>
            <w:rPr>
              <w:sz w:val="28"/>
              <w:szCs w:val="28"/>
            </w:rPr>
            <w:tab/>
          </w:r>
          <w:r>
            <w:rPr>
              <w:sz w:val="28"/>
              <w:szCs w:val="28"/>
            </w:rPr>
            <w:fldChar w:fldCharType="begin"/>
          </w:r>
          <w:r>
            <w:rPr>
              <w:sz w:val="28"/>
              <w:szCs w:val="28"/>
            </w:rPr>
            <w:instrText xml:space="preserve"> PAGEREF _Toc1223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"_Toc25253" </w:instrText>
          </w:r>
          <w:r>
            <w:fldChar w:fldCharType="separate"/>
          </w:r>
          <w:r>
            <w:rPr>
              <w:rFonts w:hint="eastAsia" w:ascii="宋体" w:hAnsi="宋体"/>
              <w:sz w:val="28"/>
              <w:szCs w:val="28"/>
            </w:rPr>
            <w:t>第五章</w:t>
          </w:r>
          <w:r>
            <w:rPr>
              <w:rFonts w:ascii="宋体" w:hAnsi="宋体"/>
              <w:sz w:val="28"/>
              <w:szCs w:val="28"/>
            </w:rPr>
            <w:t xml:space="preserve">  </w:t>
          </w:r>
          <w:r>
            <w:rPr>
              <w:rFonts w:hint="eastAsia" w:ascii="宋体" w:hAnsi="宋体"/>
              <w:sz w:val="28"/>
              <w:szCs w:val="28"/>
            </w:rPr>
            <w:t>响应文件格式</w:t>
          </w:r>
          <w:r>
            <w:rPr>
              <w:sz w:val="28"/>
              <w:szCs w:val="28"/>
            </w:rPr>
            <w:tab/>
          </w:r>
          <w:r>
            <w:rPr>
              <w:sz w:val="28"/>
              <w:szCs w:val="28"/>
            </w:rPr>
            <w:fldChar w:fldCharType="begin"/>
          </w:r>
          <w:r>
            <w:rPr>
              <w:sz w:val="28"/>
              <w:szCs w:val="28"/>
            </w:rPr>
            <w:instrText xml:space="preserve"> PAGEREF _Toc25253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"_Toc25178" </w:instrText>
          </w:r>
          <w:r>
            <w:fldChar w:fldCharType="separate"/>
          </w:r>
          <w:r>
            <w:rPr>
              <w:rFonts w:hint="eastAsia" w:asciiTheme="majorEastAsia" w:hAnsiTheme="majorEastAsia" w:eastAsiaTheme="majorEastAsia" w:cstheme="majorEastAsia"/>
              <w:sz w:val="28"/>
              <w:szCs w:val="28"/>
            </w:rPr>
            <w:t>第六章  合同条款及格式</w:t>
          </w:r>
          <w:r>
            <w:rPr>
              <w:sz w:val="28"/>
              <w:szCs w:val="28"/>
            </w:rPr>
            <w:tab/>
          </w:r>
          <w:r>
            <w:rPr>
              <w:sz w:val="28"/>
              <w:szCs w:val="28"/>
            </w:rPr>
            <w:fldChar w:fldCharType="begin"/>
          </w:r>
          <w:r>
            <w:rPr>
              <w:sz w:val="28"/>
              <w:szCs w:val="28"/>
            </w:rPr>
            <w:instrText xml:space="preserve"> PAGEREF _Toc25178 </w:instrText>
          </w:r>
          <w:r>
            <w:rPr>
              <w:sz w:val="28"/>
              <w:szCs w:val="28"/>
            </w:rPr>
            <w:fldChar w:fldCharType="separate"/>
          </w:r>
          <w:r>
            <w:rPr>
              <w:sz w:val="28"/>
              <w:szCs w:val="28"/>
            </w:rPr>
            <w:t>50</w:t>
          </w:r>
          <w:r>
            <w:rPr>
              <w:sz w:val="28"/>
              <w:szCs w:val="28"/>
            </w:rPr>
            <w:fldChar w:fldCharType="end"/>
          </w:r>
          <w:r>
            <w:rPr>
              <w:sz w:val="28"/>
              <w:szCs w:val="28"/>
            </w:rPr>
            <w:fldChar w:fldCharType="end"/>
          </w:r>
        </w:p>
        <w:p>
          <w:pPr>
            <w:widowControl/>
            <w:jc w:val="left"/>
            <w:rPr>
              <w:rFonts w:asciiTheme="majorEastAsia" w:hAnsiTheme="majorEastAsia" w:eastAsiaTheme="majorEastAsia" w:cstheme="majorEastAsia"/>
              <w:color w:val="000000" w:themeColor="text1"/>
              <w:sz w:val="18"/>
              <w:szCs w:val="21"/>
            </w:rPr>
          </w:pPr>
          <w:r>
            <w:rPr>
              <w:rFonts w:asciiTheme="majorEastAsia" w:hAnsiTheme="majorEastAsia" w:eastAsiaTheme="majorEastAsia" w:cstheme="majorEastAsia"/>
              <w:color w:val="000000" w:themeColor="text1"/>
              <w:sz w:val="28"/>
              <w:szCs w:val="28"/>
              <w:highlight w:val="yellow"/>
            </w:rPr>
            <w:fldChar w:fldCharType="end"/>
          </w:r>
        </w:p>
      </w:sdtContent>
    </w:sdt>
    <w:bookmarkEnd w:id="2"/>
    <w:bookmarkEnd w:id="3"/>
    <w:p>
      <w:pPr>
        <w:rPr>
          <w:rFonts w:cs="宋体" w:asciiTheme="majorEastAsia" w:hAnsiTheme="majorEastAsia" w:eastAsiaTheme="majorEastAsia"/>
          <w:b/>
          <w:color w:val="000000" w:themeColor="text1"/>
          <w:sz w:val="24"/>
        </w:rPr>
      </w:pPr>
      <w:bookmarkStart w:id="4" w:name="_Toc12030"/>
      <w:r>
        <w:rPr>
          <w:rFonts w:hint="eastAsia" w:cs="宋体" w:asciiTheme="majorEastAsia" w:hAnsiTheme="majorEastAsia" w:eastAsiaTheme="majorEastAsia"/>
          <w:b/>
          <w:color w:val="000000" w:themeColor="text1"/>
          <w:sz w:val="24"/>
        </w:rPr>
        <w:br w:type="page"/>
      </w:r>
    </w:p>
    <w:p>
      <w:pPr>
        <w:pStyle w:val="3"/>
        <w:wordWrap w:val="0"/>
        <w:ind w:left="283" w:leftChars="135" w:firstLine="3534" w:firstLineChars="1100"/>
        <w:rPr>
          <w:rFonts w:cs="宋体" w:asciiTheme="majorEastAsia" w:hAnsiTheme="majorEastAsia" w:eastAsiaTheme="majorEastAsia"/>
          <w:b/>
          <w:color w:val="000000" w:themeColor="text1"/>
          <w:sz w:val="32"/>
          <w:szCs w:val="32"/>
        </w:rPr>
      </w:pPr>
      <w:bookmarkStart w:id="5" w:name="_Toc21992"/>
      <w:bookmarkStart w:id="6" w:name="_Toc32412"/>
      <w:r>
        <w:rPr>
          <w:rFonts w:hint="eastAsia" w:cs="宋体" w:asciiTheme="majorEastAsia" w:hAnsiTheme="majorEastAsia" w:eastAsiaTheme="majorEastAsia"/>
          <w:b/>
          <w:color w:val="000000" w:themeColor="text1"/>
          <w:sz w:val="32"/>
          <w:szCs w:val="32"/>
        </w:rPr>
        <w:t>第一章 竞争性磋商公告</w:t>
      </w:r>
      <w:bookmarkEnd w:id="4"/>
      <w:bookmarkEnd w:id="5"/>
      <w:bookmarkEnd w:id="6"/>
    </w:p>
    <w:p>
      <w:pPr>
        <w:pBdr>
          <w:top w:val="single" w:color="auto" w:sz="4" w:space="1"/>
          <w:left w:val="single" w:color="auto" w:sz="4" w:space="4"/>
          <w:bottom w:val="single" w:color="auto" w:sz="4" w:space="1"/>
          <w:right w:val="single" w:color="auto" w:sz="4" w:space="4"/>
        </w:pBdr>
        <w:spacing w:line="460" w:lineRule="exac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项目概况：</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u w:val="single"/>
        </w:rPr>
        <w:t>南宁市物业服务管理平台（项目编号：NNZC2020-C3-990368-GXYZ）</w:t>
      </w:r>
      <w:r>
        <w:rPr>
          <w:rFonts w:hint="eastAsia" w:cs="宋体" w:asciiTheme="majorEastAsia" w:hAnsiTheme="majorEastAsia" w:eastAsiaTheme="majorEastAsia"/>
          <w:color w:val="000000" w:themeColor="text1"/>
          <w:sz w:val="24"/>
        </w:rPr>
        <w:t>采购项目的潜在供应商应在</w:t>
      </w:r>
      <w:r>
        <w:rPr>
          <w:rFonts w:hint="eastAsia" w:cs="宋体" w:asciiTheme="majorEastAsia" w:hAnsiTheme="majorEastAsia" w:eastAsiaTheme="majorEastAsia"/>
          <w:color w:val="000000" w:themeColor="text1"/>
          <w:sz w:val="24"/>
          <w:u w:val="single"/>
        </w:rPr>
        <w:t>南宁市公共资源交易平台(https://www.nnggzy.org.cn/gxnnzbw/)</w:t>
      </w:r>
      <w:r>
        <w:rPr>
          <w:rFonts w:hint="eastAsia" w:cs="宋体" w:asciiTheme="majorEastAsia" w:hAnsiTheme="majorEastAsia" w:eastAsiaTheme="majorEastAsia"/>
          <w:color w:val="000000" w:themeColor="text1"/>
          <w:sz w:val="24"/>
        </w:rPr>
        <w:t>的信息公告处自行下载获取本项目采购文件，并于</w:t>
      </w:r>
      <w:r>
        <w:rPr>
          <w:rFonts w:hint="eastAsia" w:cs="宋体" w:asciiTheme="majorEastAsia" w:hAnsiTheme="majorEastAsia" w:eastAsiaTheme="majorEastAsia"/>
          <w:color w:val="000000" w:themeColor="text1"/>
          <w:sz w:val="24"/>
          <w:u w:val="single"/>
        </w:rPr>
        <w:t>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16</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u w:val="single"/>
          <w:lang w:val="en-US" w:eastAsia="zh-CN"/>
        </w:rPr>
        <w:t>13</w:t>
      </w:r>
      <w:r>
        <w:rPr>
          <w:rFonts w:hint="eastAsia" w:cs="宋体" w:asciiTheme="majorEastAsia" w:hAnsiTheme="majorEastAsia" w:eastAsiaTheme="majorEastAsia"/>
          <w:color w:val="000000" w:themeColor="text1"/>
          <w:sz w:val="24"/>
          <w:u w:val="single"/>
        </w:rPr>
        <w:t>点</w:t>
      </w:r>
      <w:r>
        <w:rPr>
          <w:rFonts w:hint="eastAsia" w:cs="宋体" w:asciiTheme="majorEastAsia" w:hAnsiTheme="majorEastAsia" w:eastAsiaTheme="majorEastAsia"/>
          <w:color w:val="000000" w:themeColor="text1"/>
          <w:sz w:val="24"/>
          <w:u w:val="single"/>
          <w:lang w:val="en-US" w:eastAsia="zh-CN"/>
        </w:rPr>
        <w:t>00</w:t>
      </w:r>
      <w:r>
        <w:rPr>
          <w:rFonts w:hint="eastAsia" w:cs="宋体" w:asciiTheme="majorEastAsia" w:hAnsiTheme="majorEastAsia" w:eastAsiaTheme="majorEastAsia"/>
          <w:color w:val="000000" w:themeColor="text1"/>
          <w:sz w:val="24"/>
          <w:u w:val="single"/>
        </w:rPr>
        <w:t>分</w:t>
      </w:r>
      <w:r>
        <w:rPr>
          <w:rFonts w:hint="eastAsia" w:cs="宋体" w:asciiTheme="majorEastAsia" w:hAnsiTheme="majorEastAsia" w:eastAsiaTheme="majorEastAsia"/>
          <w:color w:val="000000" w:themeColor="text1"/>
          <w:sz w:val="24"/>
        </w:rPr>
        <w:t>（北京时间）前提交响应文件。</w:t>
      </w:r>
    </w:p>
    <w:p>
      <w:pPr>
        <w:widowControl/>
        <w:numPr>
          <w:ilvl w:val="255"/>
          <w:numId w:val="0"/>
        </w:numPr>
        <w:tabs>
          <w:tab w:val="left" w:pos="1021"/>
        </w:tabs>
        <w:spacing w:line="460" w:lineRule="exac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一、项目基本情况</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项目编号：NNZC2020-C3-990368-GXYZ</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项目名称：南宁市物业服务管理平台</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采购计划文号：[2020]NCCJB518001/1776-001</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采购方式：竞争性磋商</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预算金额：</w:t>
      </w:r>
      <w:r>
        <w:rPr>
          <w:rFonts w:hint="eastAsia" w:asciiTheme="majorEastAsia" w:hAnsiTheme="majorEastAsia" w:eastAsiaTheme="majorEastAsia" w:cstheme="majorEastAsia"/>
          <w:color w:val="000000" w:themeColor="text1"/>
          <w:sz w:val="24"/>
        </w:rPr>
        <w:t>人民币柒拾万元整（¥700000.00元）</w:t>
      </w:r>
    </w:p>
    <w:p>
      <w:pPr>
        <w:spacing w:line="460" w:lineRule="exact"/>
        <w:ind w:firstLine="480" w:firstLineChars="200"/>
        <w:rPr>
          <w:rFonts w:asciiTheme="majorEastAsia" w:hAnsiTheme="majorEastAsia" w:eastAsiaTheme="majorEastAsia" w:cstheme="majorEastAsia"/>
          <w:color w:val="000000" w:themeColor="text1"/>
          <w:sz w:val="24"/>
        </w:rPr>
      </w:pPr>
      <w:r>
        <w:rPr>
          <w:rFonts w:hint="eastAsia" w:cs="宋体" w:asciiTheme="majorEastAsia" w:hAnsiTheme="majorEastAsia" w:eastAsiaTheme="majorEastAsia"/>
          <w:color w:val="000000" w:themeColor="text1"/>
          <w:sz w:val="24"/>
        </w:rPr>
        <w:t>最高限价：</w:t>
      </w:r>
      <w:r>
        <w:rPr>
          <w:rFonts w:hint="eastAsia" w:asciiTheme="majorEastAsia" w:hAnsiTheme="majorEastAsia" w:eastAsiaTheme="majorEastAsia" w:cstheme="majorEastAsia"/>
          <w:color w:val="000000" w:themeColor="text1"/>
          <w:sz w:val="24"/>
        </w:rPr>
        <w:t>人民币柒拾万元整（¥700000.00元）</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采购需求：</w:t>
      </w:r>
    </w:p>
    <w:tbl>
      <w:tblPr>
        <w:tblStyle w:val="18"/>
        <w:tblW w:w="95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2169"/>
        <w:gridCol w:w="1120"/>
        <w:gridCol w:w="5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2" w:type="dxa"/>
            <w:tcMar>
              <w:left w:w="0" w:type="dxa"/>
              <w:bottom w:w="0" w:type="dxa"/>
              <w:right w:w="0" w:type="dxa"/>
            </w:tcMar>
            <w:vAlign w:val="center"/>
          </w:tcPr>
          <w:p>
            <w:pPr>
              <w:spacing w:line="360" w:lineRule="auto"/>
              <w:jc w:val="center"/>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sz w:val="24"/>
              </w:rPr>
              <w:t>项号</w:t>
            </w:r>
          </w:p>
        </w:tc>
        <w:tc>
          <w:tcPr>
            <w:tcW w:w="2169" w:type="dxa"/>
            <w:vAlign w:val="center"/>
          </w:tcPr>
          <w:p>
            <w:pPr>
              <w:spacing w:line="360" w:lineRule="auto"/>
              <w:jc w:val="center"/>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sz w:val="24"/>
              </w:rPr>
              <w:t>服务名称</w:t>
            </w:r>
          </w:p>
        </w:tc>
        <w:tc>
          <w:tcPr>
            <w:tcW w:w="1120" w:type="dxa"/>
            <w:vAlign w:val="center"/>
          </w:tcPr>
          <w:p>
            <w:pPr>
              <w:spacing w:line="360" w:lineRule="auto"/>
              <w:jc w:val="center"/>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kern w:val="0"/>
                <w:sz w:val="24"/>
              </w:rPr>
              <w:t>数量</w:t>
            </w:r>
          </w:p>
        </w:tc>
        <w:tc>
          <w:tcPr>
            <w:tcW w:w="5506" w:type="dxa"/>
            <w:tcBorders>
              <w:right w:val="single" w:color="auto" w:sz="4" w:space="0"/>
            </w:tcBorders>
            <w:vAlign w:val="center"/>
          </w:tcPr>
          <w:p>
            <w:pPr>
              <w:spacing w:line="360" w:lineRule="auto"/>
              <w:jc w:val="center"/>
              <w:rPr>
                <w:rFonts w:cs="新宋体" w:asciiTheme="majorEastAsia" w:hAnsiTheme="majorEastAsia" w:eastAsiaTheme="majorEastAsia"/>
                <w:bCs/>
                <w:sz w:val="24"/>
              </w:rPr>
            </w:pPr>
            <w:r>
              <w:rPr>
                <w:rFonts w:hint="eastAsia" w:cs="新宋体" w:asciiTheme="majorEastAsia" w:hAnsiTheme="majorEastAsia" w:eastAsiaTheme="majorEastAsia"/>
                <w:bCs/>
                <w:sz w:val="24"/>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5" w:hRule="atLeast"/>
        </w:trPr>
        <w:tc>
          <w:tcPr>
            <w:tcW w:w="782" w:type="dxa"/>
            <w:vAlign w:val="center"/>
          </w:tcPr>
          <w:p>
            <w:pPr>
              <w:spacing w:line="360" w:lineRule="auto"/>
              <w:jc w:val="center"/>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sz w:val="24"/>
              </w:rPr>
              <w:t>1</w:t>
            </w:r>
          </w:p>
        </w:tc>
        <w:tc>
          <w:tcPr>
            <w:tcW w:w="2169" w:type="dxa"/>
            <w:vAlign w:val="center"/>
          </w:tcPr>
          <w:p>
            <w:pPr>
              <w:spacing w:line="360" w:lineRule="auto"/>
              <w:rPr>
                <w:rFonts w:cs="新宋体" w:asciiTheme="majorEastAsia" w:hAnsiTheme="majorEastAsia" w:eastAsiaTheme="majorEastAsia"/>
                <w:bCs/>
                <w:color w:val="000000" w:themeColor="text1"/>
                <w:sz w:val="24"/>
              </w:rPr>
            </w:pPr>
            <w:r>
              <w:rPr>
                <w:rFonts w:hint="eastAsia" w:cs="宋体" w:asciiTheme="majorEastAsia" w:hAnsiTheme="majorEastAsia" w:eastAsiaTheme="majorEastAsia"/>
                <w:color w:val="000000" w:themeColor="text1"/>
                <w:sz w:val="24"/>
              </w:rPr>
              <w:t>南宁市物业服务管理平台</w:t>
            </w:r>
          </w:p>
        </w:tc>
        <w:tc>
          <w:tcPr>
            <w:tcW w:w="1120" w:type="dxa"/>
            <w:vAlign w:val="center"/>
          </w:tcPr>
          <w:p>
            <w:pPr>
              <w:spacing w:line="360" w:lineRule="auto"/>
              <w:ind w:firstLine="240" w:firstLineChars="100"/>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sz w:val="24"/>
              </w:rPr>
              <w:t>1项</w:t>
            </w:r>
          </w:p>
        </w:tc>
        <w:tc>
          <w:tcPr>
            <w:tcW w:w="5506" w:type="dxa"/>
            <w:tcBorders>
              <w:right w:val="single" w:color="auto" w:sz="4"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一、建设目标：</w:t>
            </w:r>
          </w:p>
          <w:p>
            <w:pPr>
              <w:spacing w:line="360" w:lineRule="auto"/>
              <w:rPr>
                <w:rFonts w:ascii="宋体" w:hAnsi="宋体" w:cs="宋体"/>
                <w:sz w:val="24"/>
              </w:rPr>
            </w:pPr>
            <w:r>
              <w:rPr>
                <w:rFonts w:hint="eastAsia" w:ascii="宋体" w:hAnsi="宋体" w:cs="宋体"/>
                <w:sz w:val="24"/>
              </w:rPr>
              <w:t>在建设一期的基础上，建立全市统一的物业管理信息系统,补齐物业管理信息化短板，解决物业管理矛盾纠纷、管理服务机制不顺、优化物业维修资金申请等问题，借助信息化技术手段对物业管理活动进行有效管理，为政府部门提供管理决策依据，更好地服务广大业主，有力地促进物业小区和谐，积极推动物业服务行业发展。</w:t>
            </w:r>
          </w:p>
          <w:p>
            <w:pPr>
              <w:spacing w:line="360" w:lineRule="auto"/>
              <w:rPr>
                <w:rFonts w:cs="新宋体" w:asciiTheme="majorEastAsia" w:hAnsiTheme="majorEastAsia" w:eastAsiaTheme="majorEastAsia"/>
                <w:sz w:val="24"/>
              </w:rPr>
            </w:pPr>
            <w:r>
              <w:rPr>
                <w:rFonts w:hint="eastAsia" w:cs="新宋体" w:asciiTheme="majorEastAsia" w:hAnsiTheme="majorEastAsia" w:eastAsiaTheme="majorEastAsia"/>
                <w:sz w:val="24"/>
              </w:rPr>
              <w:t>......</w:t>
            </w:r>
          </w:p>
        </w:tc>
      </w:tr>
    </w:tbl>
    <w:p>
      <w:pPr>
        <w:spacing w:line="460" w:lineRule="exact"/>
        <w:ind w:firstLine="480" w:firstLineChars="20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合同履行期限：详见竞争性磋商文件。</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二、申请人的资格要求：</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1、满足《中华人民共和国政府采购法》第二十二条规定；</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2、落实政府采购政策需满足的资格要求：本项目适用政府采购促进中小企业、监狱企业发展、促进残疾人就业等有关政策，具体详见竞争性磋商文件；</w:t>
      </w:r>
    </w:p>
    <w:p>
      <w:pPr>
        <w:numPr>
          <w:ilvl w:val="255"/>
          <w:numId w:val="0"/>
        </w:num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3、本项目的特定资格要求：无</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4、具有国内法人资格，注册经营范围满足所采购内容的供应商。</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7、不接受联合体响应。</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三、获取采购文件</w:t>
      </w:r>
    </w:p>
    <w:p>
      <w:pPr>
        <w:spacing w:line="460" w:lineRule="exact"/>
        <w:ind w:firstLine="54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时间：</w:t>
      </w:r>
      <w:r>
        <w:rPr>
          <w:rFonts w:hint="eastAsia" w:cs="宋体" w:asciiTheme="majorEastAsia" w:hAnsiTheme="majorEastAsia" w:eastAsiaTheme="majorEastAsia"/>
          <w:color w:val="000000" w:themeColor="text1"/>
          <w:sz w:val="24"/>
          <w:u w:val="single"/>
        </w:rPr>
        <w:t>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05</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rPr>
        <w:t>至</w:t>
      </w:r>
      <w:r>
        <w:rPr>
          <w:rFonts w:hint="eastAsia" w:cs="宋体" w:asciiTheme="majorEastAsia" w:hAnsiTheme="majorEastAsia" w:eastAsiaTheme="majorEastAsia"/>
          <w:color w:val="000000" w:themeColor="text1"/>
          <w:sz w:val="24"/>
          <w:u w:val="single"/>
        </w:rPr>
        <w:t>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rPr>
        <w:t>，（北京时间，法定节假日除外 ）。</w:t>
      </w:r>
    </w:p>
    <w:p>
      <w:pPr>
        <w:spacing w:line="460" w:lineRule="exact"/>
        <w:ind w:firstLine="54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地点：南宁市公共资源交易平台(https://www.nnggzy.org.cn/gxnnhy)的信息公告处。</w:t>
      </w:r>
    </w:p>
    <w:p>
      <w:pPr>
        <w:pStyle w:val="15"/>
        <w:spacing w:before="75" w:beforeAutospacing="0" w:after="75" w:afterAutospacing="0" w:line="460" w:lineRule="exact"/>
        <w:ind w:firstLine="420"/>
        <w:jc w:val="both"/>
        <w:rPr>
          <w:rFonts w:asciiTheme="majorEastAsia" w:hAnsiTheme="majorEastAsia" w:eastAsiaTheme="majorEastAsia"/>
          <w:color w:val="000000" w:themeColor="text1"/>
          <w:kern w:val="2"/>
          <w:u w:val="single"/>
        </w:rPr>
      </w:pPr>
      <w:r>
        <w:rPr>
          <w:rFonts w:hint="eastAsia" w:asciiTheme="majorEastAsia" w:hAnsiTheme="majorEastAsia" w:eastAsiaTheme="majorEastAsia"/>
          <w:color w:val="000000" w:themeColor="text1"/>
          <w:kern w:val="2"/>
        </w:rPr>
        <w:t>方式：</w:t>
      </w:r>
      <w:r>
        <w:rPr>
          <w:rFonts w:hint="eastAsia" w:asciiTheme="majorEastAsia" w:hAnsiTheme="majorEastAsia" w:eastAsiaTheme="majorEastAsia"/>
          <w:color w:val="000000" w:themeColor="text1"/>
        </w:rPr>
        <w:t>本项目不发放纸质文件，供应商自行在南宁市公共资源交易平台(https://www.nnggzy.org.cn/gxnnhy)的信息公告处下载采购文件。</w:t>
      </w:r>
    </w:p>
    <w:p>
      <w:pPr>
        <w:spacing w:line="460" w:lineRule="exact"/>
        <w:ind w:firstLine="54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售价：0元</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四、响应文件提交</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截止时间：</w:t>
      </w:r>
      <w:r>
        <w:rPr>
          <w:rFonts w:hint="eastAsia" w:cs="宋体" w:asciiTheme="majorEastAsia" w:hAnsiTheme="majorEastAsia" w:eastAsiaTheme="majorEastAsia"/>
          <w:color w:val="000000" w:themeColor="text1"/>
          <w:sz w:val="24"/>
          <w:u w:val="single"/>
        </w:rPr>
        <w:t>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16</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u w:val="single"/>
          <w:lang w:val="en-US" w:eastAsia="zh-CN"/>
        </w:rPr>
        <w:t>13</w:t>
      </w:r>
      <w:r>
        <w:rPr>
          <w:rFonts w:hint="eastAsia" w:cs="宋体" w:asciiTheme="majorEastAsia" w:hAnsiTheme="majorEastAsia" w:eastAsiaTheme="majorEastAsia"/>
          <w:color w:val="000000" w:themeColor="text1"/>
          <w:sz w:val="24"/>
          <w:u w:val="single"/>
        </w:rPr>
        <w:t>点</w:t>
      </w:r>
      <w:r>
        <w:rPr>
          <w:rFonts w:hint="eastAsia" w:cs="宋体" w:asciiTheme="majorEastAsia" w:hAnsiTheme="majorEastAsia" w:eastAsiaTheme="majorEastAsia"/>
          <w:color w:val="000000" w:themeColor="text1"/>
          <w:sz w:val="24"/>
          <w:u w:val="single"/>
          <w:lang w:val="en-US" w:eastAsia="zh-CN"/>
        </w:rPr>
        <w:t>00</w:t>
      </w:r>
      <w:r>
        <w:rPr>
          <w:rFonts w:hint="eastAsia" w:cs="宋体" w:asciiTheme="majorEastAsia" w:hAnsiTheme="majorEastAsia" w:eastAsiaTheme="majorEastAsia"/>
          <w:color w:val="000000" w:themeColor="text1"/>
          <w:sz w:val="24"/>
          <w:u w:val="single"/>
        </w:rPr>
        <w:t>分</w:t>
      </w:r>
      <w:r>
        <w:rPr>
          <w:rFonts w:hint="eastAsia" w:cs="宋体" w:asciiTheme="majorEastAsia" w:hAnsiTheme="majorEastAsia" w:eastAsiaTheme="majorEastAsia"/>
          <w:color w:val="000000" w:themeColor="text1"/>
          <w:sz w:val="24"/>
        </w:rPr>
        <w:t>（北京时间）</w:t>
      </w:r>
    </w:p>
    <w:p>
      <w:pPr>
        <w:pStyle w:val="15"/>
        <w:spacing w:before="75" w:beforeAutospacing="0" w:after="75" w:afterAutospacing="0" w:line="460" w:lineRule="exact"/>
        <w:ind w:firstLine="480" w:firstLineChars="200"/>
        <w:jc w:val="both"/>
        <w:rPr>
          <w:rFonts w:asciiTheme="majorEastAsia" w:hAnsiTheme="majorEastAsia" w:eastAsiaTheme="majorEastAsia"/>
          <w:color w:val="000000" w:themeColor="text1"/>
          <w:kern w:val="2"/>
          <w:u w:val="single"/>
        </w:rPr>
      </w:pPr>
      <w:r>
        <w:rPr>
          <w:rFonts w:hint="eastAsia" w:asciiTheme="majorEastAsia" w:hAnsiTheme="majorEastAsia" w:eastAsiaTheme="majorEastAsia"/>
          <w:color w:val="000000" w:themeColor="text1"/>
          <w:kern w:val="2"/>
        </w:rPr>
        <w:t>地点：</w:t>
      </w:r>
      <w:r>
        <w:rPr>
          <w:rFonts w:hint="eastAsia" w:asciiTheme="majorEastAsia" w:hAnsiTheme="majorEastAsia" w:eastAsiaTheme="majorEastAsia"/>
          <w:color w:val="000000" w:themeColor="text1"/>
        </w:rPr>
        <w:t>南宁市良庆区玉洞大道33号（青少年活动中心旁）市民中心9楼南宁市公共资源交易中心（具体详见9楼电子显示屏场地安排）。</w:t>
      </w:r>
      <w:r>
        <w:rPr>
          <w:rFonts w:hint="eastAsia" w:asciiTheme="majorEastAsia" w:hAnsiTheme="majorEastAsia" w:eastAsiaTheme="majorEastAsia"/>
          <w:b/>
          <w:bCs/>
          <w:color w:val="000000" w:themeColor="text1"/>
        </w:rPr>
        <w:t>为做好疫情防控工作，本项目的响应文件通过邮寄快递的方式送达，具体要求详见关于响应文件邮寄形式的通知。</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五、开启</w:t>
      </w:r>
    </w:p>
    <w:p>
      <w:pPr>
        <w:spacing w:line="460" w:lineRule="exact"/>
        <w:ind w:firstLine="480" w:firstLineChars="20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时间：</w:t>
      </w:r>
      <w:r>
        <w:rPr>
          <w:rFonts w:hint="eastAsia" w:cs="宋体" w:asciiTheme="majorEastAsia" w:hAnsiTheme="majorEastAsia" w:eastAsiaTheme="majorEastAsia"/>
          <w:color w:val="000000" w:themeColor="text1"/>
          <w:sz w:val="24"/>
          <w:u w:val="single"/>
        </w:rPr>
        <w:t>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16</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u w:val="single"/>
          <w:lang w:val="en-US" w:eastAsia="zh-CN"/>
        </w:rPr>
        <w:t>13</w:t>
      </w:r>
      <w:r>
        <w:rPr>
          <w:rFonts w:hint="eastAsia" w:cs="宋体" w:asciiTheme="majorEastAsia" w:hAnsiTheme="majorEastAsia" w:eastAsiaTheme="majorEastAsia"/>
          <w:color w:val="000000" w:themeColor="text1"/>
          <w:sz w:val="24"/>
          <w:u w:val="single"/>
        </w:rPr>
        <w:t>点</w:t>
      </w:r>
      <w:r>
        <w:rPr>
          <w:rFonts w:hint="eastAsia" w:cs="宋体" w:asciiTheme="majorEastAsia" w:hAnsiTheme="majorEastAsia" w:eastAsiaTheme="majorEastAsia"/>
          <w:color w:val="000000" w:themeColor="text1"/>
          <w:sz w:val="24"/>
          <w:u w:val="single"/>
          <w:lang w:val="en-US" w:eastAsia="zh-CN"/>
        </w:rPr>
        <w:t>00</w:t>
      </w:r>
      <w:r>
        <w:rPr>
          <w:rFonts w:hint="eastAsia" w:cs="宋体" w:asciiTheme="majorEastAsia" w:hAnsiTheme="majorEastAsia" w:eastAsiaTheme="majorEastAsia"/>
          <w:color w:val="000000" w:themeColor="text1"/>
          <w:sz w:val="24"/>
          <w:u w:val="single"/>
        </w:rPr>
        <w:t>分</w:t>
      </w:r>
      <w:r>
        <w:rPr>
          <w:rFonts w:hint="eastAsia" w:cs="宋体" w:asciiTheme="majorEastAsia" w:hAnsiTheme="majorEastAsia" w:eastAsiaTheme="majorEastAsia"/>
          <w:color w:val="000000" w:themeColor="text1"/>
          <w:sz w:val="24"/>
        </w:rPr>
        <w:t>（北京时间）</w:t>
      </w:r>
    </w:p>
    <w:p>
      <w:pPr>
        <w:spacing w:line="460" w:lineRule="exact"/>
        <w:ind w:firstLine="480" w:firstLineChars="20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地点：南宁市良庆区玉洞大道33号（青少年活动中心旁）市民中心9楼南宁市公共资源交易中心（具体详见9楼电子显示屏场地安排）。</w:t>
      </w:r>
    </w:p>
    <w:p>
      <w:pPr>
        <w:widowControl/>
        <w:numPr>
          <w:ilvl w:val="1"/>
          <w:numId w:val="0"/>
        </w:numPr>
        <w:tabs>
          <w:tab w:val="left" w:pos="1021"/>
        </w:tabs>
        <w:spacing w:line="460" w:lineRule="exact"/>
        <w:ind w:firstLine="480" w:firstLineChars="200"/>
        <w:rPr>
          <w:rFonts w:cs="宋体" w:asciiTheme="majorEastAsia" w:hAnsiTheme="majorEastAsia" w:eastAsiaTheme="majorEastAsia"/>
          <w:bCs/>
          <w:color w:val="000000" w:themeColor="text1"/>
          <w:kern w:val="0"/>
          <w:sz w:val="24"/>
        </w:rPr>
      </w:pPr>
      <w:r>
        <w:rPr>
          <w:rFonts w:hint="eastAsia" w:cs="宋体" w:asciiTheme="majorEastAsia" w:hAnsiTheme="majorEastAsia" w:eastAsiaTheme="majorEastAsia"/>
          <w:color w:val="000000" w:themeColor="text1"/>
          <w:sz w:val="24"/>
        </w:rPr>
        <w:t>六、公告期限：</w:t>
      </w:r>
      <w:r>
        <w:rPr>
          <w:rFonts w:hint="eastAsia" w:cs="宋体" w:asciiTheme="majorEastAsia" w:hAnsiTheme="majorEastAsia" w:eastAsiaTheme="majorEastAsia"/>
          <w:bCs/>
          <w:color w:val="000000" w:themeColor="text1"/>
          <w:kern w:val="0"/>
          <w:sz w:val="24"/>
        </w:rPr>
        <w:t>自本公告发布之日起5个工作日</w:t>
      </w:r>
      <w:r>
        <w:rPr>
          <w:rFonts w:hint="eastAsia" w:cs="宋体" w:asciiTheme="majorEastAsia" w:hAnsiTheme="majorEastAsia" w:eastAsiaTheme="majorEastAsia"/>
          <w:bCs/>
          <w:color w:val="000000" w:themeColor="text1"/>
          <w:sz w:val="24"/>
        </w:rPr>
        <w:t>（2020年</w:t>
      </w:r>
      <w:r>
        <w:rPr>
          <w:rFonts w:hint="eastAsia" w:cs="宋体" w:asciiTheme="majorEastAsia" w:hAnsiTheme="majorEastAsia" w:eastAsiaTheme="majorEastAsia"/>
          <w:bCs/>
          <w:color w:val="000000" w:themeColor="text1"/>
          <w:sz w:val="24"/>
          <w:lang w:val="en-US" w:eastAsia="zh-CN"/>
        </w:rPr>
        <w:t>11</w:t>
      </w:r>
      <w:r>
        <w:rPr>
          <w:rFonts w:hint="eastAsia" w:cs="宋体" w:asciiTheme="majorEastAsia" w:hAnsiTheme="majorEastAsia" w:eastAsiaTheme="majorEastAsia"/>
          <w:bCs/>
          <w:color w:val="000000" w:themeColor="text1"/>
          <w:sz w:val="24"/>
        </w:rPr>
        <w:t>月</w:t>
      </w:r>
      <w:r>
        <w:rPr>
          <w:rFonts w:hint="eastAsia" w:cs="宋体" w:asciiTheme="majorEastAsia" w:hAnsiTheme="majorEastAsia" w:eastAsiaTheme="majorEastAsia"/>
          <w:bCs/>
          <w:color w:val="000000" w:themeColor="text1"/>
          <w:sz w:val="24"/>
          <w:lang w:val="en-US" w:eastAsia="zh-CN"/>
        </w:rPr>
        <w:t>05</w:t>
      </w:r>
      <w:r>
        <w:rPr>
          <w:rFonts w:hint="eastAsia" w:cs="宋体" w:asciiTheme="majorEastAsia" w:hAnsiTheme="majorEastAsia" w:eastAsiaTheme="majorEastAsia"/>
          <w:bCs/>
          <w:color w:val="000000" w:themeColor="text1"/>
          <w:sz w:val="24"/>
        </w:rPr>
        <w:t>日至2020年</w:t>
      </w:r>
      <w:r>
        <w:rPr>
          <w:rFonts w:hint="eastAsia" w:cs="宋体" w:asciiTheme="majorEastAsia" w:hAnsiTheme="majorEastAsia" w:eastAsiaTheme="majorEastAsia"/>
          <w:bCs/>
          <w:color w:val="000000" w:themeColor="text1"/>
          <w:sz w:val="24"/>
          <w:lang w:val="en-US" w:eastAsia="zh-CN"/>
        </w:rPr>
        <w:t>11</w:t>
      </w:r>
      <w:r>
        <w:rPr>
          <w:rFonts w:hint="eastAsia" w:cs="宋体" w:asciiTheme="majorEastAsia" w:hAnsiTheme="majorEastAsia" w:eastAsiaTheme="majorEastAsia"/>
          <w:bCs/>
          <w:color w:val="000000" w:themeColor="text1"/>
          <w:sz w:val="24"/>
        </w:rPr>
        <w:t>月</w:t>
      </w:r>
      <w:r>
        <w:rPr>
          <w:rFonts w:hint="eastAsia" w:cs="宋体" w:asciiTheme="majorEastAsia" w:hAnsiTheme="majorEastAsia" w:eastAsiaTheme="majorEastAsia"/>
          <w:bCs/>
          <w:color w:val="000000" w:themeColor="text1"/>
          <w:sz w:val="24"/>
          <w:lang w:val="en-US" w:eastAsia="zh-CN"/>
        </w:rPr>
        <w:t>11</w:t>
      </w:r>
      <w:r>
        <w:rPr>
          <w:rFonts w:hint="eastAsia" w:cs="宋体" w:asciiTheme="majorEastAsia" w:hAnsiTheme="majorEastAsia" w:eastAsiaTheme="majorEastAsia"/>
          <w:bCs/>
          <w:color w:val="000000" w:themeColor="text1"/>
          <w:sz w:val="24"/>
        </w:rPr>
        <w:t>日结束）</w:t>
      </w:r>
      <w:r>
        <w:rPr>
          <w:rFonts w:hint="eastAsia" w:cs="宋体" w:asciiTheme="majorEastAsia" w:hAnsiTheme="majorEastAsia" w:eastAsiaTheme="majorEastAsia"/>
          <w:bCs/>
          <w:color w:val="000000" w:themeColor="text1"/>
          <w:kern w:val="0"/>
          <w:sz w:val="24"/>
        </w:rPr>
        <w:t>。</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七、其他补充事宜：</w:t>
      </w:r>
    </w:p>
    <w:p>
      <w:pPr>
        <w:widowControl/>
        <w:numPr>
          <w:ilvl w:val="1"/>
          <w:numId w:val="0"/>
        </w:numPr>
        <w:tabs>
          <w:tab w:val="left" w:pos="1021"/>
        </w:tabs>
        <w:adjustRightInd w:val="0"/>
        <w:spacing w:line="460" w:lineRule="exact"/>
        <w:ind w:left="425"/>
        <w:textAlignment w:val="baseline"/>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网上查询地址：</w:t>
      </w:r>
      <w:r>
        <w:fldChar w:fldCharType="begin"/>
      </w:r>
      <w:r>
        <w:instrText xml:space="preserve"> HYPERLINK </w:instrText>
      </w:r>
      <w:r>
        <w:fldChar w:fldCharType="separate"/>
      </w:r>
      <w:r>
        <w:rPr>
          <w:rFonts w:hint="eastAsia" w:cs="宋体" w:asciiTheme="majorEastAsia" w:hAnsiTheme="majorEastAsia" w:eastAsiaTheme="majorEastAsia"/>
          <w:color w:val="000000" w:themeColor="text1"/>
          <w:sz w:val="24"/>
        </w:rPr>
        <w:t>http://zfcg.gxzf.gov.cn/（广西壮族自治区政府采购网），https://www.nnggzy.org.cn/gxnnzbw/（南宁市公共资源交易中心网）</w:t>
      </w:r>
      <w:r>
        <w:rPr>
          <w:rFonts w:hint="eastAsia" w:cs="宋体" w:asciiTheme="majorEastAsia" w:hAnsiTheme="majorEastAsia" w:eastAsiaTheme="majorEastAsia"/>
          <w:color w:val="000000" w:themeColor="text1"/>
          <w:sz w:val="24"/>
        </w:rPr>
        <w:fldChar w:fldCharType="end"/>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八、凡对本次采购提出询问，请按以下方式联系。</w:t>
      </w:r>
    </w:p>
    <w:p>
      <w:pPr>
        <w:widowControl/>
        <w:numPr>
          <w:ilvl w:val="255"/>
          <w:numId w:val="0"/>
        </w:numPr>
        <w:tabs>
          <w:tab w:val="left" w:pos="1021"/>
        </w:tabs>
        <w:spacing w:line="460" w:lineRule="exact"/>
        <w:ind w:left="630" w:leftChars="300"/>
        <w:rPr>
          <w:rFonts w:cs="宋体" w:asciiTheme="majorEastAsia" w:hAnsiTheme="majorEastAsia" w:eastAsiaTheme="majorEastAsia"/>
          <w:color w:val="000000" w:themeColor="text1"/>
          <w:sz w:val="24"/>
        </w:rPr>
      </w:pPr>
      <w:bookmarkStart w:id="7" w:name="_Toc1019"/>
      <w:bookmarkStart w:id="8" w:name="_Toc23955"/>
      <w:r>
        <w:rPr>
          <w:rFonts w:hint="eastAsia" w:cs="宋体" w:asciiTheme="majorEastAsia" w:hAnsiTheme="majorEastAsia" w:eastAsiaTheme="majorEastAsia"/>
          <w:color w:val="000000" w:themeColor="text1"/>
          <w:sz w:val="24"/>
        </w:rPr>
        <w:t>1.采购人信息</w:t>
      </w:r>
      <w:bookmarkEnd w:id="7"/>
      <w:bookmarkEnd w:id="8"/>
    </w:p>
    <w:p>
      <w:pPr>
        <w:spacing w:line="460" w:lineRule="exact"/>
        <w:ind w:left="1079" w:leftChars="371" w:hanging="300" w:hangingChars="125"/>
        <w:jc w:val="lef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名    称：</w:t>
      </w:r>
      <w:r>
        <w:rPr>
          <w:rFonts w:hint="eastAsia" w:cs="宋体" w:asciiTheme="majorEastAsia" w:hAnsiTheme="majorEastAsia" w:eastAsiaTheme="majorEastAsia"/>
          <w:color w:val="000000" w:themeColor="text1"/>
          <w:sz w:val="24"/>
          <w:u w:val="single"/>
        </w:rPr>
        <w:t xml:space="preserve"> 南宁市住房和城乡建设局  </w:t>
      </w:r>
    </w:p>
    <w:p>
      <w:pPr>
        <w:spacing w:line="460" w:lineRule="exact"/>
        <w:ind w:left="1079" w:leftChars="371" w:hanging="300" w:hangingChars="125"/>
        <w:jc w:val="left"/>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地    址：</w:t>
      </w:r>
      <w:r>
        <w:rPr>
          <w:rFonts w:hint="eastAsia" w:cs="宋体" w:asciiTheme="majorEastAsia" w:hAnsiTheme="majorEastAsia" w:eastAsiaTheme="majorEastAsia"/>
          <w:color w:val="000000" w:themeColor="text1"/>
          <w:sz w:val="24"/>
          <w:u w:val="single"/>
        </w:rPr>
        <w:t xml:space="preserve"> 南宁市青秀区金湖路59-1号</w:t>
      </w:r>
    </w:p>
    <w:p>
      <w:pPr>
        <w:spacing w:line="460" w:lineRule="exact"/>
        <w:ind w:left="1079" w:leftChars="371" w:hanging="300" w:hangingChars="125"/>
        <w:jc w:val="lef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联系方式：</w:t>
      </w:r>
      <w:r>
        <w:rPr>
          <w:rFonts w:hint="eastAsia" w:cs="宋体" w:asciiTheme="majorEastAsia" w:hAnsiTheme="majorEastAsia" w:eastAsiaTheme="majorEastAsia"/>
          <w:color w:val="000000" w:themeColor="text1"/>
          <w:sz w:val="24"/>
          <w:u w:val="single"/>
        </w:rPr>
        <w:t xml:space="preserve"> 农云浩   0771-5527061 </w:t>
      </w:r>
    </w:p>
    <w:p>
      <w:pPr>
        <w:widowControl/>
        <w:numPr>
          <w:ilvl w:val="255"/>
          <w:numId w:val="0"/>
        </w:numPr>
        <w:tabs>
          <w:tab w:val="left" w:pos="1021"/>
        </w:tabs>
        <w:spacing w:line="460" w:lineRule="exact"/>
        <w:ind w:left="630" w:leftChars="300"/>
        <w:rPr>
          <w:rFonts w:cs="宋体" w:asciiTheme="majorEastAsia" w:hAnsiTheme="majorEastAsia" w:eastAsiaTheme="majorEastAsia"/>
          <w:color w:val="000000" w:themeColor="text1"/>
          <w:sz w:val="24"/>
        </w:rPr>
      </w:pPr>
      <w:bookmarkStart w:id="9" w:name="_Toc8684"/>
      <w:bookmarkStart w:id="10" w:name="_Toc31103"/>
      <w:r>
        <w:rPr>
          <w:rFonts w:hint="eastAsia" w:cs="宋体" w:asciiTheme="majorEastAsia" w:hAnsiTheme="majorEastAsia" w:eastAsiaTheme="majorEastAsia"/>
          <w:color w:val="000000" w:themeColor="text1"/>
          <w:sz w:val="24"/>
        </w:rPr>
        <w:t>2.采购代理机构信息</w:t>
      </w:r>
      <w:bookmarkEnd w:id="9"/>
      <w:bookmarkEnd w:id="10"/>
    </w:p>
    <w:p>
      <w:pPr>
        <w:spacing w:line="460" w:lineRule="exact"/>
        <w:ind w:firstLine="720" w:firstLineChars="3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名    称：</w:t>
      </w:r>
      <w:r>
        <w:rPr>
          <w:rFonts w:hint="eastAsia" w:cs="宋体" w:asciiTheme="majorEastAsia" w:hAnsiTheme="majorEastAsia" w:eastAsiaTheme="majorEastAsia"/>
          <w:color w:val="000000" w:themeColor="text1"/>
          <w:sz w:val="24"/>
          <w:u w:val="single"/>
        </w:rPr>
        <w:t xml:space="preserve"> 广西邕政采购代理有限公司     </w:t>
      </w:r>
    </w:p>
    <w:p>
      <w:pPr>
        <w:spacing w:line="460" w:lineRule="exact"/>
        <w:ind w:firstLine="720" w:firstLineChars="3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地  址：</w:t>
      </w:r>
      <w:r>
        <w:rPr>
          <w:rFonts w:hint="eastAsia" w:cs="宋体" w:asciiTheme="majorEastAsia" w:hAnsiTheme="majorEastAsia" w:eastAsiaTheme="majorEastAsia"/>
          <w:color w:val="000000" w:themeColor="text1"/>
          <w:sz w:val="24"/>
          <w:u w:val="single"/>
        </w:rPr>
        <w:t xml:space="preserve"> 南宁市思贤路45号创投中心16A层</w:t>
      </w:r>
    </w:p>
    <w:p>
      <w:pPr>
        <w:pStyle w:val="23"/>
        <w:spacing w:afterLines="0" w:line="460" w:lineRule="exact"/>
        <w:ind w:firstLine="720" w:firstLineChars="300"/>
        <w:jc w:val="left"/>
        <w:rPr>
          <w:rFonts w:asciiTheme="majorEastAsia" w:hAnsiTheme="majorEastAsia" w:eastAsiaTheme="majorEastAsia" w:cstheme="majorEastAsia"/>
          <w:color w:val="000000" w:themeColor="text1"/>
          <w:szCs w:val="24"/>
        </w:rPr>
      </w:pPr>
      <w:r>
        <w:rPr>
          <w:rFonts w:hint="eastAsia" w:cs="宋体" w:asciiTheme="majorEastAsia" w:hAnsiTheme="majorEastAsia" w:eastAsiaTheme="majorEastAsia"/>
          <w:color w:val="000000" w:themeColor="text1"/>
          <w:kern w:val="2"/>
          <w:szCs w:val="24"/>
        </w:rPr>
        <w:t>联系方式：</w:t>
      </w:r>
      <w:r>
        <w:rPr>
          <w:rFonts w:hint="eastAsia" w:cs="宋体" w:asciiTheme="majorEastAsia" w:hAnsiTheme="majorEastAsia" w:eastAsiaTheme="majorEastAsia"/>
          <w:color w:val="000000" w:themeColor="text1"/>
          <w:kern w:val="2"/>
          <w:szCs w:val="24"/>
          <w:u w:val="single"/>
        </w:rPr>
        <w:t xml:space="preserve"> 蔺工、罗工  0771-2442850     </w:t>
      </w:r>
    </w:p>
    <w:p>
      <w:pPr>
        <w:widowControl/>
        <w:numPr>
          <w:ilvl w:val="255"/>
          <w:numId w:val="0"/>
        </w:numPr>
        <w:tabs>
          <w:tab w:val="left" w:pos="1021"/>
        </w:tabs>
        <w:spacing w:line="460" w:lineRule="exact"/>
        <w:ind w:firstLine="480" w:firstLineChars="200"/>
        <w:rPr>
          <w:rFonts w:cs="宋体" w:asciiTheme="majorEastAsia" w:hAnsiTheme="majorEastAsia" w:eastAsiaTheme="majorEastAsia"/>
          <w:color w:val="000000" w:themeColor="text1"/>
          <w:sz w:val="24"/>
        </w:rPr>
      </w:pPr>
      <w:bookmarkStart w:id="11" w:name="_Toc11360"/>
      <w:bookmarkStart w:id="12" w:name="_Toc20753"/>
      <w:r>
        <w:rPr>
          <w:rFonts w:hint="eastAsia" w:cs="宋体" w:asciiTheme="majorEastAsia" w:hAnsiTheme="majorEastAsia" w:eastAsiaTheme="majorEastAsia"/>
          <w:color w:val="000000" w:themeColor="text1"/>
          <w:sz w:val="24"/>
        </w:rPr>
        <w:t>3.项目联系方式</w:t>
      </w:r>
      <w:bookmarkEnd w:id="11"/>
      <w:bookmarkEnd w:id="12"/>
    </w:p>
    <w:p>
      <w:pPr>
        <w:pStyle w:val="9"/>
        <w:widowControl/>
        <w:spacing w:line="460" w:lineRule="exact"/>
        <w:ind w:firstLine="720" w:firstLineChars="3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项目联系人：</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u w:val="single"/>
        </w:rPr>
        <w:t>蔺工、罗工</w:t>
      </w:r>
      <w:r>
        <w:rPr>
          <w:rFonts w:cs="宋体" w:asciiTheme="majorEastAsia" w:hAnsiTheme="majorEastAsia" w:eastAsiaTheme="majorEastAsia"/>
          <w:color w:val="000000" w:themeColor="text1"/>
          <w:sz w:val="24"/>
          <w:szCs w:val="24"/>
          <w:u w:val="single"/>
        </w:rPr>
        <w:t xml:space="preserve">  0771-2442850  </w:t>
      </w:r>
    </w:p>
    <w:p>
      <w:pPr>
        <w:spacing w:line="460" w:lineRule="exact"/>
        <w:ind w:firstLine="720" w:firstLineChars="30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电   话：</w:t>
      </w:r>
      <w:r>
        <w:rPr>
          <w:rFonts w:hint="eastAsia" w:cs="宋体" w:asciiTheme="majorEastAsia" w:hAnsiTheme="majorEastAsia" w:eastAsiaTheme="majorEastAsia"/>
          <w:color w:val="000000" w:themeColor="text1"/>
          <w:sz w:val="24"/>
          <w:u w:val="single"/>
        </w:rPr>
        <w:t xml:space="preserve"> 0771-2442850  </w:t>
      </w:r>
    </w:p>
    <w:p>
      <w:pPr>
        <w:spacing w:line="460" w:lineRule="exact"/>
        <w:ind w:firstLine="480" w:firstLineChars="200"/>
        <w:jc w:val="left"/>
        <w:rPr>
          <w:rFonts w:asciiTheme="majorEastAsia" w:hAnsiTheme="majorEastAsia" w:eastAsiaTheme="majorEastAsia" w:cstheme="majorEastAsia"/>
          <w:color w:val="000000" w:themeColor="text1"/>
          <w:kern w:val="0"/>
          <w:sz w:val="24"/>
        </w:rPr>
      </w:pPr>
    </w:p>
    <w:p>
      <w:pPr>
        <w:spacing w:line="480" w:lineRule="exact"/>
        <w:ind w:firstLine="4680" w:firstLineChars="1950"/>
        <w:jc w:val="righ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 xml:space="preserve">                                                 </w:t>
      </w:r>
    </w:p>
    <w:p>
      <w:pPr>
        <w:spacing w:line="480" w:lineRule="exact"/>
        <w:ind w:firstLine="4680" w:firstLineChars="1950"/>
        <w:jc w:val="right"/>
        <w:rPr>
          <w:rFonts w:asciiTheme="majorEastAsia" w:hAnsiTheme="majorEastAsia" w:eastAsiaTheme="majorEastAsia" w:cstheme="majorEastAsia"/>
          <w:color w:val="000000" w:themeColor="text1"/>
          <w:kern w:val="0"/>
          <w:sz w:val="24"/>
        </w:rPr>
      </w:pPr>
    </w:p>
    <w:p>
      <w:pPr>
        <w:spacing w:line="480" w:lineRule="exact"/>
        <w:ind w:firstLine="4680" w:firstLineChars="1950"/>
        <w:jc w:val="right"/>
        <w:rPr>
          <w:rFonts w:asciiTheme="majorEastAsia" w:hAnsiTheme="majorEastAsia" w:eastAsiaTheme="majorEastAsia" w:cstheme="majorEastAsia"/>
          <w:color w:val="000000" w:themeColor="text1"/>
          <w:kern w:val="0"/>
          <w:sz w:val="24"/>
        </w:rPr>
      </w:pPr>
    </w:p>
    <w:p>
      <w:pPr>
        <w:spacing w:line="480" w:lineRule="exact"/>
        <w:ind w:firstLine="4680" w:firstLineChars="1950"/>
        <w:jc w:val="righ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发布日期：2020年</w:t>
      </w:r>
      <w:r>
        <w:rPr>
          <w:rFonts w:hint="eastAsia" w:asciiTheme="majorEastAsia" w:hAnsiTheme="majorEastAsia" w:eastAsiaTheme="majorEastAsia" w:cstheme="majorEastAsia"/>
          <w:color w:val="000000" w:themeColor="text1"/>
          <w:kern w:val="0"/>
          <w:sz w:val="24"/>
          <w:lang w:val="en-US" w:eastAsia="zh-CN"/>
        </w:rPr>
        <w:t>11</w:t>
      </w:r>
      <w:r>
        <w:rPr>
          <w:rFonts w:hint="eastAsia" w:asciiTheme="majorEastAsia" w:hAnsiTheme="majorEastAsia" w:eastAsiaTheme="majorEastAsia" w:cstheme="majorEastAsia"/>
          <w:color w:val="000000" w:themeColor="text1"/>
          <w:kern w:val="0"/>
          <w:sz w:val="24"/>
        </w:rPr>
        <w:t>月</w:t>
      </w:r>
      <w:r>
        <w:rPr>
          <w:rFonts w:hint="eastAsia" w:asciiTheme="majorEastAsia" w:hAnsiTheme="majorEastAsia" w:eastAsiaTheme="majorEastAsia" w:cstheme="majorEastAsia"/>
          <w:color w:val="000000" w:themeColor="text1"/>
          <w:kern w:val="0"/>
          <w:sz w:val="24"/>
          <w:lang w:val="en-US" w:eastAsia="zh-CN"/>
        </w:rPr>
        <w:t>04</w:t>
      </w:r>
      <w:r>
        <w:rPr>
          <w:rFonts w:hint="eastAsia" w:asciiTheme="majorEastAsia" w:hAnsiTheme="majorEastAsia" w:eastAsiaTheme="majorEastAsia" w:cstheme="majorEastAsia"/>
          <w:color w:val="000000" w:themeColor="text1"/>
          <w:kern w:val="0"/>
          <w:sz w:val="24"/>
        </w:rPr>
        <w:t>日</w:t>
      </w:r>
    </w:p>
    <w:p>
      <w:pPr>
        <w:widowControl/>
        <w:jc w:val="center"/>
        <w:rPr>
          <w:rFonts w:asciiTheme="majorEastAsia" w:hAnsiTheme="majorEastAsia" w:eastAsiaTheme="majorEastAsia" w:cstheme="majorEastAsia"/>
          <w:b/>
          <w:bCs/>
          <w:color w:val="000000" w:themeColor="text1"/>
          <w:sz w:val="32"/>
          <w:szCs w:val="40"/>
        </w:rPr>
        <w:sectPr>
          <w:headerReference r:id="rId9" w:type="default"/>
          <w:footerReference r:id="rId10" w:type="default"/>
          <w:pgSz w:w="11906" w:h="16838"/>
          <w:pgMar w:top="1440" w:right="1080" w:bottom="1118" w:left="1080" w:header="720" w:footer="720" w:gutter="0"/>
          <w:cols w:space="720" w:num="1"/>
          <w:docGrid w:type="lines" w:linePitch="331" w:charSpace="0"/>
        </w:sectPr>
      </w:pPr>
      <w:bookmarkStart w:id="13" w:name="_Toc460253699"/>
      <w:bookmarkStart w:id="14" w:name="_Toc485920201"/>
      <w:bookmarkStart w:id="15" w:name="_Toc213325921"/>
      <w:bookmarkStart w:id="16" w:name="_Toc139966431"/>
      <w:bookmarkStart w:id="17" w:name="_Toc139967215"/>
      <w:bookmarkStart w:id="18" w:name="_Toc213326412"/>
      <w:bookmarkStart w:id="19" w:name="_Toc213206172"/>
    </w:p>
    <w:p>
      <w:pPr>
        <w:widowControl/>
        <w:jc w:val="center"/>
        <w:outlineLvl w:val="0"/>
        <w:rPr>
          <w:rFonts w:asciiTheme="majorEastAsia" w:hAnsiTheme="majorEastAsia" w:eastAsiaTheme="majorEastAsia" w:cstheme="majorEastAsia"/>
          <w:b/>
          <w:bCs/>
          <w:caps/>
          <w:color w:val="000000" w:themeColor="text1"/>
          <w:sz w:val="32"/>
          <w:szCs w:val="40"/>
        </w:rPr>
      </w:pPr>
      <w:bookmarkStart w:id="20" w:name="_Toc6237"/>
      <w:bookmarkStart w:id="21" w:name="_Toc15101"/>
      <w:bookmarkStart w:id="22" w:name="_Toc14792"/>
      <w:r>
        <w:rPr>
          <w:rFonts w:hint="eastAsia" w:asciiTheme="majorEastAsia" w:hAnsiTheme="majorEastAsia" w:eastAsiaTheme="majorEastAsia" w:cstheme="majorEastAsia"/>
          <w:b/>
          <w:bCs/>
          <w:color w:val="000000" w:themeColor="text1"/>
          <w:sz w:val="32"/>
          <w:szCs w:val="40"/>
        </w:rPr>
        <w:t>第二章  服务需求一览表</w:t>
      </w:r>
      <w:bookmarkEnd w:id="13"/>
      <w:bookmarkEnd w:id="14"/>
      <w:bookmarkEnd w:id="20"/>
      <w:bookmarkEnd w:id="21"/>
      <w:bookmarkEnd w:id="22"/>
    </w:p>
    <w:p>
      <w:pPr>
        <w:spacing w:line="360" w:lineRule="auto"/>
        <w:rPr>
          <w:rFonts w:asciiTheme="majorEastAsia" w:hAnsiTheme="majorEastAsia" w:eastAsiaTheme="majorEastAsia" w:cstheme="majorEastAsia"/>
          <w:b/>
          <w:color w:val="000000" w:themeColor="text1"/>
          <w:sz w:val="24"/>
        </w:rPr>
      </w:pPr>
      <w:r>
        <w:rPr>
          <w:rFonts w:hint="eastAsia" w:asciiTheme="majorEastAsia" w:hAnsiTheme="majorEastAsia" w:eastAsiaTheme="majorEastAsia" w:cstheme="majorEastAsia"/>
          <w:b/>
          <w:color w:val="000000" w:themeColor="text1"/>
          <w:sz w:val="24"/>
        </w:rPr>
        <w:t>说明：</w:t>
      </w:r>
    </w:p>
    <w:p>
      <w:pPr>
        <w:spacing w:line="360" w:lineRule="auto"/>
        <w:ind w:firstLine="602" w:firstLineChars="250"/>
        <w:rPr>
          <w:rFonts w:asciiTheme="majorEastAsia" w:hAnsiTheme="majorEastAsia" w:eastAsiaTheme="majorEastAsia" w:cstheme="majorEastAsia"/>
          <w:b/>
          <w:bCs/>
          <w:color w:val="000000" w:themeColor="text1"/>
          <w:sz w:val="24"/>
        </w:rPr>
      </w:pPr>
      <w:r>
        <w:rPr>
          <w:rFonts w:hint="eastAsia" w:asciiTheme="majorEastAsia" w:hAnsiTheme="majorEastAsia" w:eastAsiaTheme="majorEastAsia" w:cstheme="majorEastAsia"/>
          <w:b/>
          <w:bCs/>
          <w:color w:val="000000" w:themeColor="text1"/>
          <w:sz w:val="24"/>
        </w:rPr>
        <w:t>1、本服务需求一览表中标注★号的部分为实质性要求和条件。</w:t>
      </w:r>
    </w:p>
    <w:p>
      <w:pPr>
        <w:spacing w:line="360" w:lineRule="auto"/>
        <w:ind w:firstLine="600" w:firstLineChars="25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2、本服务需求一览表中内容如与第六章“合同条款及格式”相关条款不一致的，以本表为准。</w:t>
      </w:r>
    </w:p>
    <w:p>
      <w:pPr>
        <w:spacing w:line="360" w:lineRule="auto"/>
        <w:ind w:firstLine="602" w:firstLineChars="250"/>
        <w:rPr>
          <w:rFonts w:asciiTheme="majorEastAsia" w:hAnsiTheme="majorEastAsia" w:eastAsiaTheme="majorEastAsia" w:cstheme="majorEastAsia"/>
          <w:b/>
          <w:bCs/>
          <w:color w:val="000000" w:themeColor="text1"/>
          <w:sz w:val="24"/>
        </w:rPr>
      </w:pPr>
      <w:r>
        <w:rPr>
          <w:rFonts w:hint="eastAsia" w:asciiTheme="majorEastAsia" w:hAnsiTheme="majorEastAsia" w:eastAsiaTheme="majorEastAsia" w:cstheme="majorEastAsia"/>
          <w:b/>
          <w:bCs/>
          <w:color w:val="000000" w:themeColor="text1"/>
          <w:sz w:val="24"/>
        </w:rPr>
        <w:t>3、本次服务采购最高限价为：人民币柒拾万元整（¥700000.00元）</w:t>
      </w:r>
    </w:p>
    <w:bookmarkEnd w:id="15"/>
    <w:bookmarkEnd w:id="16"/>
    <w:bookmarkEnd w:id="17"/>
    <w:bookmarkEnd w:id="18"/>
    <w:bookmarkEnd w:id="19"/>
    <w:tbl>
      <w:tblPr>
        <w:tblStyle w:val="18"/>
        <w:tblW w:w="10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50"/>
        <w:gridCol w:w="937"/>
        <w:gridCol w:w="7212"/>
        <w:gridCol w:w="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285" w:hRule="atLeast"/>
        </w:trPr>
        <w:tc>
          <w:tcPr>
            <w:tcW w:w="725" w:type="dxa"/>
            <w:vAlign w:val="center"/>
          </w:tcPr>
          <w:p>
            <w:pPr>
              <w:widowControl/>
              <w:snapToGrid w:val="0"/>
              <w:spacing w:line="360" w:lineRule="auto"/>
              <w:ind w:right="-107" w:rightChars="-51"/>
              <w:jc w:val="center"/>
              <w:rPr>
                <w:rFonts w:ascii="宋体" w:hAnsi="宋体" w:cs="宋体"/>
                <w:b/>
                <w:color w:val="auto"/>
                <w:kern w:val="0"/>
                <w:sz w:val="24"/>
              </w:rPr>
            </w:pPr>
            <w:bookmarkStart w:id="23" w:name="_Toc485920211"/>
            <w:bookmarkStart w:id="24" w:name="_Toc139966432"/>
            <w:bookmarkStart w:id="25" w:name="_Toc213325922"/>
            <w:bookmarkStart w:id="26" w:name="_Toc139967216"/>
            <w:bookmarkStart w:id="27" w:name="_Toc213326413"/>
            <w:bookmarkStart w:id="28" w:name="_Toc213206173"/>
            <w:bookmarkStart w:id="29" w:name="_Toc460253700"/>
            <w:r>
              <w:rPr>
                <w:rFonts w:hint="eastAsia" w:ascii="宋体" w:hAnsi="宋体" w:cs="宋体"/>
                <w:b/>
                <w:color w:val="auto"/>
                <w:kern w:val="0"/>
                <w:sz w:val="24"/>
              </w:rPr>
              <w:t>项号</w:t>
            </w:r>
          </w:p>
        </w:tc>
        <w:tc>
          <w:tcPr>
            <w:tcW w:w="1350" w:type="dxa"/>
            <w:vAlign w:val="center"/>
          </w:tcPr>
          <w:p>
            <w:pPr>
              <w:widowControl/>
              <w:snapToGrid w:val="0"/>
              <w:spacing w:line="360" w:lineRule="auto"/>
              <w:jc w:val="center"/>
              <w:rPr>
                <w:rFonts w:ascii="宋体" w:hAnsi="宋体" w:cs="宋体"/>
                <w:b/>
                <w:color w:val="auto"/>
                <w:kern w:val="0"/>
                <w:sz w:val="24"/>
              </w:rPr>
            </w:pPr>
            <w:r>
              <w:rPr>
                <w:rFonts w:hint="eastAsia" w:ascii="宋体" w:hAnsi="宋体" w:cs="宋体"/>
                <w:b/>
                <w:color w:val="auto"/>
                <w:kern w:val="0"/>
                <w:sz w:val="24"/>
              </w:rPr>
              <w:t>服务名称</w:t>
            </w:r>
          </w:p>
        </w:tc>
        <w:tc>
          <w:tcPr>
            <w:tcW w:w="937" w:type="dxa"/>
            <w:vAlign w:val="center"/>
          </w:tcPr>
          <w:p>
            <w:pPr>
              <w:widowControl/>
              <w:snapToGrid w:val="0"/>
              <w:spacing w:line="360" w:lineRule="auto"/>
              <w:jc w:val="center"/>
              <w:rPr>
                <w:rFonts w:ascii="宋体" w:hAnsi="宋体" w:cs="宋体"/>
                <w:b/>
                <w:color w:val="auto"/>
                <w:kern w:val="0"/>
                <w:sz w:val="24"/>
              </w:rPr>
            </w:pPr>
            <w:r>
              <w:rPr>
                <w:rFonts w:hint="eastAsia" w:ascii="宋体" w:hAnsi="宋体" w:cs="宋体"/>
                <w:b/>
                <w:color w:val="auto"/>
                <w:kern w:val="0"/>
                <w:sz w:val="24"/>
              </w:rPr>
              <w:t>数量</w:t>
            </w:r>
          </w:p>
        </w:tc>
        <w:tc>
          <w:tcPr>
            <w:tcW w:w="7212" w:type="dxa"/>
            <w:vAlign w:val="center"/>
          </w:tcPr>
          <w:p>
            <w:pPr>
              <w:widowControl/>
              <w:snapToGrid w:val="0"/>
              <w:spacing w:line="360" w:lineRule="auto"/>
              <w:jc w:val="center"/>
              <w:rPr>
                <w:rFonts w:ascii="宋体" w:hAnsi="宋体" w:cs="宋体"/>
                <w:b/>
                <w:color w:val="auto"/>
                <w:kern w:val="0"/>
                <w:sz w:val="24"/>
              </w:rPr>
            </w:pPr>
            <w:r>
              <w:rPr>
                <w:rFonts w:hint="eastAsia" w:ascii="宋体" w:hAnsi="宋体" w:cs="宋体"/>
                <w:b/>
                <w:color w:val="auto"/>
                <w:kern w:val="0"/>
                <w:sz w:val="24"/>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90" w:hRule="atLeast"/>
        </w:trPr>
        <w:tc>
          <w:tcPr>
            <w:tcW w:w="725" w:type="dxa"/>
            <w:vAlign w:val="center"/>
          </w:tcPr>
          <w:p>
            <w:pPr>
              <w:snapToGrid w:val="0"/>
              <w:spacing w:line="360" w:lineRule="auto"/>
              <w:jc w:val="center"/>
              <w:rPr>
                <w:rFonts w:ascii="宋体" w:hAnsi="宋体" w:cs="宋体"/>
                <w:color w:val="auto"/>
                <w:kern w:val="0"/>
                <w:sz w:val="24"/>
              </w:rPr>
            </w:pPr>
            <w:r>
              <w:rPr>
                <w:rFonts w:hint="eastAsia" w:ascii="宋体" w:hAnsi="宋体" w:cs="宋体"/>
                <w:bCs/>
                <w:color w:val="auto"/>
                <w:sz w:val="24"/>
              </w:rPr>
              <w:t>1</w:t>
            </w:r>
          </w:p>
        </w:tc>
        <w:tc>
          <w:tcPr>
            <w:tcW w:w="1350" w:type="dxa"/>
            <w:vAlign w:val="center"/>
          </w:tcPr>
          <w:p>
            <w:pPr>
              <w:snapToGrid w:val="0"/>
              <w:spacing w:line="360" w:lineRule="auto"/>
              <w:rPr>
                <w:rFonts w:ascii="宋体" w:hAnsi="宋体" w:cs="宋体"/>
                <w:color w:val="auto"/>
                <w:kern w:val="0"/>
                <w:sz w:val="24"/>
              </w:rPr>
            </w:pPr>
            <w:r>
              <w:rPr>
                <w:rFonts w:hint="eastAsia" w:ascii="宋体" w:hAnsi="宋体" w:cs="宋体"/>
                <w:color w:val="auto"/>
                <w:sz w:val="24"/>
              </w:rPr>
              <w:t>南宁市物业服务管理平台</w:t>
            </w:r>
          </w:p>
        </w:tc>
        <w:tc>
          <w:tcPr>
            <w:tcW w:w="937" w:type="dxa"/>
            <w:vAlign w:val="center"/>
          </w:tcPr>
          <w:p>
            <w:pPr>
              <w:snapToGrid w:val="0"/>
              <w:spacing w:line="360" w:lineRule="auto"/>
              <w:jc w:val="center"/>
              <w:rPr>
                <w:rFonts w:ascii="宋体" w:hAnsi="宋体" w:cs="宋体"/>
                <w:color w:val="auto"/>
                <w:kern w:val="0"/>
                <w:sz w:val="24"/>
              </w:rPr>
            </w:pPr>
            <w:r>
              <w:rPr>
                <w:rFonts w:hint="eastAsia" w:ascii="宋体" w:hAnsi="宋体" w:cs="宋体"/>
                <w:color w:val="auto"/>
                <w:sz w:val="24"/>
              </w:rPr>
              <w:t>1项</w:t>
            </w:r>
          </w:p>
        </w:tc>
        <w:tc>
          <w:tcPr>
            <w:tcW w:w="7212" w:type="dxa"/>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一、建设目标：</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在建设一期的基础上，建立全市统一的物业管理信息系统,补齐物业管理信息化短板，解决物业管理矛盾纠纷、管理服务机制不顺、优化物业维修资金申请等问题，借助信息化技术手段对物业管理活动进行有效管理，为政府部门提供管理决策依据，更好地服务广大业主，有力地促进物业小区和谐，积极推动物业服务行业发展。</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二、项目内容：</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在物业管理信息系统建设一期的基础上对数据进行进一步整理优化、改造物业专项维修资金申请系统、搭建业主大会系统、搭建业主委员会在线成立系统等功能，实现数据库联动与协同管理、线上全流程智能化监管，将不同的业务系统打通关联。</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三、服务需求：</w:t>
            </w:r>
          </w:p>
          <w:p>
            <w:pPr>
              <w:snapToGrid w:val="0"/>
              <w:spacing w:line="360" w:lineRule="auto"/>
              <w:rPr>
                <w:rFonts w:ascii="宋体" w:hAnsi="宋体" w:cs="宋体"/>
                <w:color w:val="auto"/>
                <w:sz w:val="24"/>
              </w:rPr>
            </w:pPr>
            <w:r>
              <w:rPr>
                <w:rFonts w:hint="eastAsia" w:ascii="宋体" w:hAnsi="宋体" w:cs="宋体"/>
                <w:color w:val="auto"/>
                <w:sz w:val="24"/>
              </w:rPr>
              <w:t>（一）数据整理优化</w:t>
            </w:r>
          </w:p>
          <w:p>
            <w:pPr>
              <w:snapToGrid w:val="0"/>
              <w:spacing w:line="360" w:lineRule="auto"/>
              <w:rPr>
                <w:rFonts w:ascii="宋体" w:hAnsi="宋体" w:cs="宋体"/>
                <w:color w:val="auto"/>
                <w:sz w:val="24"/>
              </w:rPr>
            </w:pPr>
            <w:r>
              <w:rPr>
                <w:rFonts w:hint="eastAsia" w:ascii="宋体" w:hAnsi="宋体" w:cs="宋体"/>
                <w:color w:val="auto"/>
                <w:sz w:val="24"/>
              </w:rPr>
              <w:t>概述：根据物业服务管理平台一期建设内容，进一步对各类物业基础数据库进行进一步整理、优化，数据内容包括小区基本信息、楼宇信息、业主信息、物业公共设施、设备档案等信息。</w:t>
            </w:r>
          </w:p>
          <w:p>
            <w:pPr>
              <w:pStyle w:val="2"/>
              <w:numPr>
                <w:ilvl w:val="0"/>
                <w:numId w:val="2"/>
              </w:numPr>
              <w:snapToGrid w:val="0"/>
              <w:spacing w:line="360" w:lineRule="auto"/>
              <w:rPr>
                <w:rFonts w:ascii="宋体" w:hAnsi="宋体" w:cs="宋体"/>
                <w:color w:val="auto"/>
                <w:sz w:val="24"/>
              </w:rPr>
            </w:pPr>
            <w:r>
              <w:rPr>
                <w:rFonts w:hint="eastAsia" w:ascii="宋体" w:hAnsi="宋体" w:cs="宋体"/>
                <w:color w:val="auto"/>
                <w:sz w:val="24"/>
              </w:rPr>
              <w:t>物业管理企业档案库</w:t>
            </w:r>
          </w:p>
          <w:p>
            <w:pPr>
              <w:pStyle w:val="2"/>
              <w:snapToGrid w:val="0"/>
              <w:spacing w:line="360" w:lineRule="auto"/>
              <w:ind w:firstLine="480" w:firstLineChars="200"/>
              <w:rPr>
                <w:rFonts w:ascii="宋体" w:hAnsi="宋体" w:cs="宋体"/>
                <w:color w:val="auto"/>
                <w:sz w:val="24"/>
              </w:rPr>
            </w:pPr>
            <w:r>
              <w:rPr>
                <w:rFonts w:hint="eastAsia" w:ascii="宋体" w:hAnsi="宋体" w:cs="宋体"/>
                <w:color w:val="auto"/>
                <w:sz w:val="24"/>
              </w:rPr>
              <w:t>在物业服务管理平台一期建设基础上进一步完善物业企业信息数据库，维护包括物业企业的业务状态、所在行政区、企业编号、企业办公地点、企业办公电话、注册资本、组织机构代码等相关信息，实现物业企业与服务小区的信息关联。</w:t>
            </w:r>
          </w:p>
          <w:p>
            <w:pPr>
              <w:pStyle w:val="2"/>
              <w:numPr>
                <w:ilvl w:val="0"/>
                <w:numId w:val="2"/>
              </w:numPr>
              <w:snapToGrid w:val="0"/>
              <w:spacing w:line="360" w:lineRule="auto"/>
              <w:rPr>
                <w:rFonts w:ascii="宋体" w:hAnsi="宋体" w:cs="宋体"/>
                <w:color w:val="auto"/>
                <w:sz w:val="24"/>
              </w:rPr>
            </w:pPr>
            <w:r>
              <w:rPr>
                <w:rFonts w:hint="eastAsia" w:ascii="宋体" w:hAnsi="宋体" w:cs="宋体"/>
                <w:color w:val="auto"/>
                <w:sz w:val="24"/>
              </w:rPr>
              <w:t>物业从业人员档案库</w:t>
            </w:r>
          </w:p>
          <w:p>
            <w:pPr>
              <w:pStyle w:val="2"/>
              <w:snapToGrid w:val="0"/>
              <w:spacing w:line="360" w:lineRule="auto"/>
              <w:ind w:firstLine="480" w:firstLineChars="200"/>
              <w:rPr>
                <w:rFonts w:ascii="宋体" w:hAnsi="宋体" w:cs="宋体"/>
                <w:color w:val="auto"/>
                <w:sz w:val="24"/>
              </w:rPr>
            </w:pPr>
            <w:r>
              <w:rPr>
                <w:rFonts w:hint="eastAsia" w:ascii="宋体" w:hAnsi="宋体" w:cs="宋体"/>
                <w:color w:val="auto"/>
                <w:sz w:val="24"/>
              </w:rPr>
              <w:t>在物业服务管理平台一期建设基础上进一步完善物业从业人员档案库，维护企业的管理人员和专业技术人员信息。</w:t>
            </w:r>
          </w:p>
          <w:p>
            <w:pPr>
              <w:pStyle w:val="2"/>
              <w:numPr>
                <w:ilvl w:val="0"/>
                <w:numId w:val="2"/>
              </w:numPr>
              <w:snapToGrid w:val="0"/>
              <w:spacing w:line="360" w:lineRule="auto"/>
              <w:rPr>
                <w:rFonts w:ascii="宋体" w:hAnsi="宋体" w:cs="宋体"/>
                <w:color w:val="auto"/>
                <w:sz w:val="24"/>
              </w:rPr>
            </w:pPr>
            <w:r>
              <w:rPr>
                <w:rFonts w:hint="eastAsia" w:ascii="宋体" w:hAnsi="宋体" w:cs="宋体"/>
                <w:color w:val="auto"/>
                <w:sz w:val="24"/>
              </w:rPr>
              <w:t>物业项目、楼宇信息档案库</w:t>
            </w:r>
          </w:p>
          <w:p>
            <w:pPr>
              <w:pStyle w:val="2"/>
              <w:snapToGrid w:val="0"/>
              <w:spacing w:line="360" w:lineRule="auto"/>
              <w:ind w:firstLine="480" w:firstLineChars="200"/>
              <w:rPr>
                <w:rFonts w:ascii="宋体" w:hAnsi="宋体" w:cs="宋体"/>
                <w:color w:val="auto"/>
                <w:sz w:val="24"/>
              </w:rPr>
            </w:pPr>
            <w:r>
              <w:rPr>
                <w:rFonts w:hint="eastAsia" w:ascii="宋体" w:hAnsi="宋体" w:cs="宋体"/>
                <w:color w:val="auto"/>
                <w:sz w:val="24"/>
              </w:rPr>
              <w:t>在物业服务管理平台一期建设基础上进一步完善物业项目、楼宇信息档案库，维护物业项目基本信息，将物业项目和物业项目负责人关联，统一管理。</w:t>
            </w:r>
          </w:p>
          <w:p>
            <w:pPr>
              <w:pStyle w:val="2"/>
              <w:numPr>
                <w:ilvl w:val="0"/>
                <w:numId w:val="2"/>
              </w:numPr>
              <w:snapToGrid w:val="0"/>
              <w:spacing w:line="360" w:lineRule="auto"/>
              <w:rPr>
                <w:rFonts w:ascii="宋体" w:hAnsi="宋体" w:cs="宋体"/>
                <w:color w:val="auto"/>
                <w:sz w:val="24"/>
              </w:rPr>
            </w:pPr>
            <w:r>
              <w:rPr>
                <w:rFonts w:hint="eastAsia" w:ascii="宋体" w:hAnsi="宋体" w:cs="宋体"/>
                <w:color w:val="auto"/>
                <w:sz w:val="24"/>
              </w:rPr>
              <w:t>物业管理一张图</w:t>
            </w:r>
          </w:p>
          <w:p>
            <w:pPr>
              <w:pStyle w:val="2"/>
              <w:snapToGrid w:val="0"/>
              <w:spacing w:line="360" w:lineRule="auto"/>
              <w:ind w:firstLine="480" w:firstLineChars="200"/>
              <w:rPr>
                <w:rFonts w:ascii="宋体" w:hAnsi="宋体" w:cs="宋体"/>
                <w:color w:val="auto"/>
                <w:sz w:val="24"/>
              </w:rPr>
            </w:pPr>
            <w:r>
              <w:rPr>
                <w:rFonts w:hint="eastAsia" w:ascii="宋体" w:hAnsi="宋体" w:cs="宋体"/>
                <w:color w:val="auto"/>
                <w:sz w:val="24"/>
              </w:rPr>
              <w:t>利用物业服务管理平台一期建设基础数据，建立南宁市小区地理信息数据库，确定各个小区的地理位置，将已关联的各类基础信息数据，包括小区信息、楼宇信息、业主信息、物业公共设施、设备档案信息等融合到一张图中进行展示。</w:t>
            </w:r>
          </w:p>
          <w:p>
            <w:pPr>
              <w:pStyle w:val="2"/>
              <w:snapToGrid w:val="0"/>
              <w:spacing w:line="360" w:lineRule="auto"/>
              <w:rPr>
                <w:rFonts w:ascii="宋体" w:hAnsi="宋体" w:cs="宋体"/>
                <w:color w:val="auto"/>
                <w:sz w:val="24"/>
              </w:rPr>
            </w:pPr>
            <w:r>
              <w:rPr>
                <w:rFonts w:hint="eastAsia" w:ascii="宋体" w:hAnsi="宋体" w:cs="宋体"/>
                <w:color w:val="auto"/>
                <w:sz w:val="24"/>
              </w:rPr>
              <w:t>（二）物业专项维修资金申请模块</w:t>
            </w:r>
          </w:p>
          <w:p>
            <w:pPr>
              <w:snapToGrid w:val="0"/>
              <w:spacing w:line="360" w:lineRule="auto"/>
              <w:rPr>
                <w:rFonts w:ascii="宋体" w:hAnsi="宋体" w:cs="宋体"/>
                <w:color w:val="auto"/>
                <w:sz w:val="24"/>
              </w:rPr>
            </w:pPr>
            <w:r>
              <w:rPr>
                <w:rFonts w:hint="eastAsia" w:ascii="宋体" w:hAnsi="宋体" w:cs="宋体"/>
                <w:color w:val="auto"/>
                <w:sz w:val="24"/>
              </w:rPr>
              <w:t>概述：重新优化、改造已有的物业专项维修资金申请系统，进一步加强南宁市物业专项维修资金管理，保障物业共用区域、共用设施设备的正常使用，维护业主的共同权益。</w:t>
            </w:r>
          </w:p>
          <w:p>
            <w:pPr>
              <w:pStyle w:val="2"/>
              <w:numPr>
                <w:ilvl w:val="0"/>
                <w:numId w:val="3"/>
              </w:numPr>
              <w:snapToGrid w:val="0"/>
              <w:spacing w:line="360" w:lineRule="auto"/>
              <w:rPr>
                <w:rFonts w:ascii="宋体" w:hAnsi="宋体" w:cs="宋体"/>
                <w:color w:val="auto"/>
                <w:sz w:val="24"/>
              </w:rPr>
            </w:pPr>
            <w:r>
              <w:rPr>
                <w:rFonts w:hint="eastAsia" w:ascii="宋体" w:hAnsi="宋体" w:cs="宋体"/>
                <w:color w:val="auto"/>
                <w:sz w:val="24"/>
              </w:rPr>
              <w:t>维修工程参考价格数据库</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维修资金管理模块应建立物业小区共用设施设备的维修工程参考价格数据库，规范维修资金使用。维修资金管理部门将每年公布的物业小区共用设施设备的维修工程参考价格导入系统，建立参考价格数据库，对参考价格数据库进行更新维护。物业管理信息系统用户可登录系统或者在公示模块查看共用设施设备的参考价格，通过列表的形式展示。</w:t>
            </w:r>
          </w:p>
          <w:p>
            <w:pPr>
              <w:pStyle w:val="2"/>
              <w:numPr>
                <w:ilvl w:val="0"/>
                <w:numId w:val="3"/>
              </w:numPr>
              <w:snapToGrid w:val="0"/>
              <w:spacing w:line="360" w:lineRule="auto"/>
              <w:rPr>
                <w:rFonts w:ascii="宋体" w:hAnsi="宋体" w:cs="宋体"/>
                <w:color w:val="auto"/>
                <w:sz w:val="24"/>
              </w:rPr>
            </w:pPr>
            <w:r>
              <w:rPr>
                <w:rFonts w:hint="eastAsia" w:ascii="宋体" w:hAnsi="宋体" w:cs="宋体"/>
                <w:color w:val="auto"/>
                <w:sz w:val="24"/>
              </w:rPr>
              <w:t>流程化管理功能</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对维修资金的缴存、使用、退款、退伙等出入账完全参照现实审批程序做进一步优化调整，以流程审批的方式，通过不同权限人员的审批，进一步加强资金的监管与审核，实现专项维修资金缴存和使用监管的标准化、网络化和规范化，满足市、县专项维修资金管理部门实时进行业务办理和审批，同时实现维修资金管理部门的分级监管。</w:t>
            </w:r>
          </w:p>
          <w:p>
            <w:pPr>
              <w:pStyle w:val="2"/>
              <w:numPr>
                <w:ilvl w:val="0"/>
                <w:numId w:val="3"/>
              </w:numPr>
              <w:snapToGrid w:val="0"/>
              <w:spacing w:line="360" w:lineRule="auto"/>
              <w:rPr>
                <w:rFonts w:ascii="宋体" w:hAnsi="宋体" w:cs="宋体"/>
                <w:color w:val="auto"/>
                <w:sz w:val="24"/>
              </w:rPr>
            </w:pPr>
            <w:r>
              <w:rPr>
                <w:rFonts w:hint="eastAsia" w:ascii="宋体" w:hAnsi="宋体" w:cs="宋体"/>
                <w:color w:val="auto"/>
                <w:sz w:val="24"/>
              </w:rPr>
              <w:t>维修资金缴存管理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优化维修资金缴存管理流程，支持多种缴存方式，由开发商、个人或单位等缴款者将数据录入系统后，交县市资金管理部门审核通过后，由县市资金管理部门确认后通知开发商、个人或单位等缴款者向银行缴款，并将数据导入银行。</w:t>
            </w:r>
          </w:p>
          <w:p>
            <w:pPr>
              <w:pStyle w:val="2"/>
              <w:numPr>
                <w:ilvl w:val="0"/>
                <w:numId w:val="3"/>
              </w:numPr>
              <w:snapToGrid w:val="0"/>
              <w:spacing w:line="360" w:lineRule="auto"/>
              <w:rPr>
                <w:rFonts w:ascii="宋体" w:hAnsi="宋体" w:cs="宋体"/>
                <w:color w:val="auto"/>
                <w:sz w:val="24"/>
              </w:rPr>
            </w:pPr>
            <w:r>
              <w:rPr>
                <w:rFonts w:hint="eastAsia" w:ascii="宋体" w:hAnsi="宋体" w:cs="宋体"/>
                <w:color w:val="auto"/>
                <w:sz w:val="24"/>
              </w:rPr>
              <w:t>维修资金使用监管</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进一步明确维修资金使用监管符合《住宅专项维修资金管理办法》及各地细则，提供网上报件、逐级审批、资金分摊、要件自动生成及与业务相关的特定提示等功能。</w:t>
            </w:r>
          </w:p>
          <w:p>
            <w:pPr>
              <w:pStyle w:val="2"/>
              <w:numPr>
                <w:ilvl w:val="0"/>
                <w:numId w:val="3"/>
              </w:numPr>
              <w:snapToGrid w:val="0"/>
              <w:spacing w:line="360" w:lineRule="auto"/>
              <w:rPr>
                <w:rFonts w:ascii="宋体" w:hAnsi="宋体" w:cs="宋体"/>
                <w:color w:val="auto"/>
                <w:sz w:val="24"/>
              </w:rPr>
            </w:pPr>
            <w:r>
              <w:rPr>
                <w:rFonts w:hint="eastAsia" w:ascii="宋体" w:hAnsi="宋体" w:cs="宋体"/>
                <w:color w:val="auto"/>
                <w:sz w:val="24"/>
              </w:rPr>
              <w:t>维修资金退款管理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进一步完善维修资金退款管理，支持房屋灭失时，系统具有完成退款、结息，并注销各级基础信息的管理功能。</w:t>
            </w:r>
          </w:p>
          <w:p>
            <w:pPr>
              <w:pStyle w:val="2"/>
              <w:numPr>
                <w:ilvl w:val="0"/>
                <w:numId w:val="3"/>
              </w:numPr>
              <w:snapToGrid w:val="0"/>
              <w:spacing w:line="360" w:lineRule="auto"/>
              <w:rPr>
                <w:rFonts w:ascii="宋体" w:hAnsi="宋体" w:cs="宋体"/>
                <w:color w:val="auto"/>
                <w:sz w:val="24"/>
              </w:rPr>
            </w:pPr>
            <w:r>
              <w:rPr>
                <w:rFonts w:hint="eastAsia" w:ascii="宋体" w:hAnsi="宋体" w:cs="宋体"/>
                <w:color w:val="auto"/>
                <w:sz w:val="24"/>
              </w:rPr>
              <w:t>维修资金查询、统计、报表管理功能</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可以按区域、开发企业、物业、监管银行和小区等进行对维修资金的查询和统计。实现维修资金查询和统计的数据报表和图形报表相结合，并实现导出数据的功能。</w:t>
            </w:r>
          </w:p>
          <w:p>
            <w:pPr>
              <w:pStyle w:val="2"/>
              <w:snapToGrid w:val="0"/>
              <w:spacing w:line="360" w:lineRule="auto"/>
              <w:rPr>
                <w:rFonts w:ascii="宋体" w:hAnsi="宋体" w:cs="宋体"/>
                <w:color w:val="auto"/>
                <w:sz w:val="24"/>
              </w:rPr>
            </w:pPr>
            <w:r>
              <w:rPr>
                <w:rFonts w:hint="eastAsia" w:ascii="宋体" w:hAnsi="宋体" w:cs="宋体"/>
                <w:color w:val="auto"/>
                <w:sz w:val="24"/>
              </w:rPr>
              <w:t>★（三）业主大会系统模块</w:t>
            </w:r>
          </w:p>
          <w:p>
            <w:pPr>
              <w:snapToGrid w:val="0"/>
              <w:spacing w:line="360" w:lineRule="auto"/>
              <w:rPr>
                <w:rFonts w:ascii="宋体" w:hAnsi="宋体" w:cs="宋体"/>
                <w:color w:val="auto"/>
                <w:sz w:val="24"/>
              </w:rPr>
            </w:pPr>
            <w:r>
              <w:rPr>
                <w:rFonts w:hint="eastAsia" w:ascii="宋体" w:hAnsi="宋体" w:cs="宋体"/>
                <w:color w:val="auto"/>
                <w:sz w:val="24"/>
              </w:rPr>
              <w:t>概述：为保障业主行使权利，解决物业管理区域内业主大会表决通知难、业主身份核实难、业主大会材料筹备不标准等具体问题，建立基于移动互联网统一的、多渠道的业主大会系统模块。</w:t>
            </w:r>
          </w:p>
          <w:p>
            <w:pPr>
              <w:pStyle w:val="2"/>
              <w:numPr>
                <w:ilvl w:val="0"/>
                <w:numId w:val="4"/>
              </w:numPr>
              <w:snapToGrid w:val="0"/>
              <w:spacing w:line="360" w:lineRule="auto"/>
              <w:rPr>
                <w:rFonts w:ascii="宋体" w:hAnsi="宋体" w:cs="宋体"/>
                <w:color w:val="auto"/>
                <w:sz w:val="24"/>
              </w:rPr>
            </w:pPr>
            <w:r>
              <w:rPr>
                <w:rFonts w:hint="eastAsia" w:ascii="宋体" w:hAnsi="宋体" w:cs="宋体"/>
                <w:color w:val="auto"/>
                <w:sz w:val="24"/>
              </w:rPr>
              <w:t>制定业主大会系统功能</w:t>
            </w:r>
          </w:p>
          <w:p>
            <w:pPr>
              <w:snapToGrid w:val="0"/>
              <w:spacing w:line="360" w:lineRule="auto"/>
              <w:ind w:firstLine="480" w:firstLineChars="200"/>
              <w:rPr>
                <w:rFonts w:ascii="宋体" w:hAnsi="宋体" w:cs="宋体"/>
                <w:color w:val="auto"/>
                <w:sz w:val="24"/>
              </w:rPr>
            </w:pPr>
            <w:r>
              <w:rPr>
                <w:rFonts w:hint="eastAsia" w:ascii="宋体" w:hAnsi="宋体" w:cs="宋体"/>
                <w:snapToGrid w:val="0"/>
                <w:color w:val="auto"/>
                <w:sz w:val="24"/>
              </w:rPr>
              <w:t>参照房产主管部门提供的示范文本，草拟业主大会议事规则和管理规约等文件制定业主大会系统相关功能</w:t>
            </w:r>
            <w:r>
              <w:rPr>
                <w:rFonts w:hint="eastAsia" w:ascii="宋体" w:hAnsi="宋体" w:cs="宋体"/>
                <w:color w:val="auto"/>
                <w:sz w:val="24"/>
              </w:rPr>
              <w:t>。</w:t>
            </w:r>
          </w:p>
          <w:p>
            <w:pPr>
              <w:pStyle w:val="2"/>
              <w:numPr>
                <w:ilvl w:val="0"/>
                <w:numId w:val="4"/>
              </w:numPr>
              <w:snapToGrid w:val="0"/>
              <w:spacing w:line="360" w:lineRule="auto"/>
              <w:rPr>
                <w:rFonts w:ascii="宋体" w:hAnsi="宋体" w:cs="宋体"/>
                <w:color w:val="auto"/>
                <w:sz w:val="24"/>
              </w:rPr>
            </w:pPr>
            <w:r>
              <w:rPr>
                <w:rFonts w:hint="eastAsia" w:ascii="宋体" w:hAnsi="宋体" w:cs="宋体"/>
                <w:color w:val="auto"/>
                <w:sz w:val="24"/>
              </w:rPr>
              <w:t>业主大会材料收集</w:t>
            </w:r>
          </w:p>
          <w:p>
            <w:pPr>
              <w:snapToGrid w:val="0"/>
              <w:spacing w:line="360" w:lineRule="auto"/>
              <w:ind w:firstLine="480" w:firstLineChars="200"/>
              <w:rPr>
                <w:rFonts w:ascii="宋体" w:hAnsi="宋体" w:cs="宋体"/>
                <w:color w:val="auto"/>
                <w:sz w:val="24"/>
              </w:rPr>
            </w:pPr>
            <w:r>
              <w:rPr>
                <w:rFonts w:hint="eastAsia" w:ascii="宋体" w:hAnsi="宋体" w:cs="宋体"/>
                <w:snapToGrid w:val="0"/>
                <w:color w:val="auto"/>
                <w:sz w:val="24"/>
              </w:rPr>
              <w:t>根据会议召开、会议内容、会议结果等情况收集业主大会所需材料、会议结果材料等并存档，与会议相关联，达到会议记录、材料可查档功能</w:t>
            </w:r>
            <w:r>
              <w:rPr>
                <w:rFonts w:hint="eastAsia" w:ascii="宋体" w:hAnsi="宋体" w:cs="宋体"/>
                <w:color w:val="auto"/>
                <w:sz w:val="24"/>
              </w:rPr>
              <w:t>。</w:t>
            </w:r>
          </w:p>
          <w:p>
            <w:pPr>
              <w:pStyle w:val="2"/>
              <w:numPr>
                <w:ilvl w:val="0"/>
                <w:numId w:val="4"/>
              </w:numPr>
              <w:snapToGrid w:val="0"/>
              <w:spacing w:line="360" w:lineRule="auto"/>
              <w:rPr>
                <w:rFonts w:ascii="宋体" w:hAnsi="宋体" w:cs="宋体"/>
                <w:color w:val="auto"/>
                <w:sz w:val="24"/>
              </w:rPr>
            </w:pPr>
            <w:r>
              <w:rPr>
                <w:rFonts w:hint="eastAsia" w:ascii="宋体" w:hAnsi="宋体" w:cs="宋体"/>
                <w:color w:val="auto"/>
                <w:sz w:val="24"/>
              </w:rPr>
              <w:t>业主委员会换届及信息变更申请、审批管理</w:t>
            </w:r>
          </w:p>
          <w:p>
            <w:pPr>
              <w:snapToGrid w:val="0"/>
              <w:spacing w:line="360" w:lineRule="auto"/>
              <w:ind w:firstLine="480" w:firstLineChars="200"/>
              <w:rPr>
                <w:rFonts w:ascii="宋体" w:hAnsi="宋体" w:cs="宋体"/>
                <w:snapToGrid w:val="0"/>
                <w:color w:val="auto"/>
                <w:sz w:val="24"/>
              </w:rPr>
            </w:pPr>
            <w:r>
              <w:rPr>
                <w:rFonts w:hint="eastAsia" w:ascii="宋体" w:hAnsi="宋体" w:cs="宋体"/>
                <w:snapToGrid w:val="0"/>
                <w:color w:val="auto"/>
                <w:sz w:val="24"/>
              </w:rPr>
              <w:t>在线发起业主委员会换届及信息变更申请流程，包括相关材料的上传与流程相关联，形成生命周期管理，支持查看相关部门审批意见及结果等。</w:t>
            </w:r>
          </w:p>
          <w:p>
            <w:pPr>
              <w:pStyle w:val="2"/>
              <w:numPr>
                <w:ilvl w:val="0"/>
                <w:numId w:val="4"/>
              </w:numPr>
              <w:snapToGrid w:val="0"/>
              <w:spacing w:line="360" w:lineRule="auto"/>
              <w:rPr>
                <w:rFonts w:ascii="宋体" w:hAnsi="宋体" w:cs="宋体"/>
                <w:color w:val="auto"/>
                <w:sz w:val="24"/>
              </w:rPr>
            </w:pPr>
            <w:r>
              <w:rPr>
                <w:rFonts w:hint="eastAsia" w:ascii="宋体" w:hAnsi="宋体" w:cs="宋体"/>
                <w:color w:val="auto"/>
                <w:sz w:val="24"/>
              </w:rPr>
              <w:t>业主大会数据接口开发及维护</w:t>
            </w:r>
          </w:p>
          <w:p>
            <w:pPr>
              <w:snapToGrid w:val="0"/>
              <w:spacing w:line="360" w:lineRule="auto"/>
              <w:ind w:firstLine="480" w:firstLineChars="200"/>
              <w:rPr>
                <w:rFonts w:ascii="宋体" w:hAnsi="宋体" w:cs="宋体"/>
                <w:color w:val="auto"/>
                <w:sz w:val="24"/>
              </w:rPr>
            </w:pPr>
            <w:r>
              <w:rPr>
                <w:rFonts w:hint="eastAsia" w:ascii="宋体" w:hAnsi="宋体" w:cs="宋体"/>
                <w:snapToGrid w:val="0"/>
                <w:color w:val="auto"/>
                <w:sz w:val="24"/>
              </w:rPr>
              <w:t>提供标准化的数据接口，实现各项信息与维修资金业务系统、业主委员大会系统进行联动处理，方便物业企业、业委会、各管理部门的日常工作。</w:t>
            </w:r>
          </w:p>
          <w:p>
            <w:pPr>
              <w:pStyle w:val="2"/>
              <w:numPr>
                <w:ilvl w:val="0"/>
                <w:numId w:val="4"/>
              </w:numPr>
              <w:snapToGrid w:val="0"/>
              <w:spacing w:line="360" w:lineRule="auto"/>
              <w:rPr>
                <w:rFonts w:ascii="宋体" w:hAnsi="宋体" w:cs="宋体"/>
                <w:color w:val="auto"/>
                <w:sz w:val="24"/>
              </w:rPr>
            </w:pPr>
            <w:r>
              <w:rPr>
                <w:rFonts w:hint="eastAsia" w:ascii="宋体" w:hAnsi="宋体" w:cs="宋体"/>
                <w:color w:val="auto"/>
                <w:sz w:val="24"/>
              </w:rPr>
              <w:t>业主大会会议结果公示</w:t>
            </w:r>
          </w:p>
          <w:p>
            <w:pPr>
              <w:tabs>
                <w:tab w:val="left" w:pos="0"/>
                <w:tab w:val="left" w:pos="540"/>
              </w:tabs>
              <w:snapToGrid w:val="0"/>
              <w:spacing w:line="360" w:lineRule="auto"/>
              <w:ind w:firstLine="480" w:firstLineChars="200"/>
              <w:rPr>
                <w:rFonts w:ascii="宋体" w:hAnsi="宋体" w:cs="宋体"/>
                <w:color w:val="auto"/>
                <w:sz w:val="24"/>
              </w:rPr>
            </w:pPr>
            <w:r>
              <w:rPr>
                <w:rFonts w:hint="eastAsia" w:ascii="宋体" w:hAnsi="宋体" w:cs="宋体"/>
                <w:snapToGrid w:val="0"/>
                <w:color w:val="auto"/>
                <w:sz w:val="24"/>
              </w:rPr>
              <w:t>业主大会会议结果统计完的次日将结果在系统上、物业管理区域内公告不少于5日。</w:t>
            </w:r>
          </w:p>
          <w:p>
            <w:pPr>
              <w:pStyle w:val="2"/>
              <w:snapToGrid w:val="0"/>
              <w:spacing w:line="360" w:lineRule="auto"/>
              <w:rPr>
                <w:rFonts w:ascii="宋体" w:hAnsi="宋体" w:cs="宋体"/>
                <w:color w:val="auto"/>
                <w:sz w:val="24"/>
              </w:rPr>
            </w:pPr>
            <w:r>
              <w:rPr>
                <w:rFonts w:hint="eastAsia" w:ascii="宋体" w:hAnsi="宋体" w:cs="宋体"/>
                <w:color w:val="auto"/>
                <w:sz w:val="24"/>
              </w:rPr>
              <w:t>★（四）业主委员会在线成立功能模块</w:t>
            </w:r>
          </w:p>
          <w:p>
            <w:pPr>
              <w:snapToGrid w:val="0"/>
              <w:spacing w:line="360" w:lineRule="auto"/>
              <w:rPr>
                <w:rFonts w:ascii="宋体" w:hAnsi="宋体" w:cs="宋体"/>
                <w:color w:val="auto"/>
                <w:sz w:val="24"/>
              </w:rPr>
            </w:pPr>
            <w:r>
              <w:rPr>
                <w:rFonts w:hint="eastAsia" w:ascii="宋体" w:hAnsi="宋体" w:cs="宋体"/>
                <w:color w:val="auto"/>
                <w:sz w:val="24"/>
              </w:rPr>
              <w:t>概述：为规范本市业主大会、业主委员会的活动，维护业主的合法权益，根据《中华人民共和国物权法》、《物业管理条例》、《南宁市物业管理办法》、《业主大会和业主委员会指导规则》等规定，制定业主委员会在线成立功能模块，进一步提升业主委员会成立效率。</w:t>
            </w:r>
          </w:p>
          <w:p>
            <w:pPr>
              <w:pStyle w:val="2"/>
              <w:numPr>
                <w:ilvl w:val="0"/>
                <w:numId w:val="5"/>
              </w:numPr>
              <w:snapToGrid w:val="0"/>
              <w:spacing w:line="360" w:lineRule="auto"/>
              <w:rPr>
                <w:rFonts w:ascii="宋体" w:hAnsi="宋体" w:cs="宋体"/>
                <w:color w:val="auto"/>
                <w:sz w:val="24"/>
              </w:rPr>
            </w:pPr>
            <w:r>
              <w:rPr>
                <w:rFonts w:hint="eastAsia" w:ascii="宋体" w:hAnsi="宋体" w:cs="宋体"/>
                <w:color w:val="auto"/>
                <w:sz w:val="24"/>
              </w:rPr>
              <w:t>梳理并建立业主委员会成立流程</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根据《中华人民共和国物权法》、《物业管理条例》、《南宁市物业管理办法》、《业主大会和业主委员会指导规则》等规定，结合南宁市实际情况梳理业主委员会成立流程并试运行。业主委员会成立流程主要包括：筹备小组成立、业主大会召开等环节。</w:t>
            </w:r>
          </w:p>
          <w:p>
            <w:pPr>
              <w:pStyle w:val="2"/>
              <w:numPr>
                <w:ilvl w:val="0"/>
                <w:numId w:val="5"/>
              </w:numPr>
              <w:snapToGrid w:val="0"/>
              <w:spacing w:line="360" w:lineRule="auto"/>
              <w:rPr>
                <w:rFonts w:ascii="宋体" w:hAnsi="宋体" w:cs="宋体"/>
                <w:color w:val="auto"/>
                <w:sz w:val="24"/>
              </w:rPr>
            </w:pPr>
            <w:r>
              <w:rPr>
                <w:rFonts w:hint="eastAsia" w:ascii="宋体" w:hAnsi="宋体" w:cs="宋体"/>
                <w:color w:val="auto"/>
                <w:sz w:val="24"/>
              </w:rPr>
              <w:t>业主委员会成立材料收集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根据业主委员会成立流程，收集业主委员会成立所需的相关材料并存档，将材料与流程关联，形成业主委员会成立全生命周期管理。材料内容包括：筹备小组成立所需材料、业主大会召开材料等。</w:t>
            </w:r>
          </w:p>
          <w:p>
            <w:pPr>
              <w:pStyle w:val="2"/>
              <w:numPr>
                <w:ilvl w:val="0"/>
                <w:numId w:val="5"/>
              </w:numPr>
              <w:snapToGrid w:val="0"/>
              <w:spacing w:line="360" w:lineRule="auto"/>
              <w:rPr>
                <w:rFonts w:ascii="宋体" w:hAnsi="宋体" w:cs="宋体"/>
                <w:color w:val="auto"/>
                <w:sz w:val="24"/>
              </w:rPr>
            </w:pPr>
            <w:r>
              <w:rPr>
                <w:rFonts w:hint="eastAsia" w:ascii="宋体" w:hAnsi="宋体" w:cs="宋体"/>
                <w:color w:val="auto"/>
                <w:sz w:val="24"/>
              </w:rPr>
              <w:t>业主委员会成立相关表决</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业主委员会成立流程中涉及投票表决功能的，使用南宁市物业管理服务平台中的公共事务表决功能，投票表决数据直接接入业主委员会流程，流程根据投票表决结果自动进入相应的下一环节。</w:t>
            </w:r>
          </w:p>
          <w:p>
            <w:pPr>
              <w:pStyle w:val="2"/>
              <w:numPr>
                <w:ilvl w:val="0"/>
                <w:numId w:val="5"/>
              </w:numPr>
              <w:snapToGrid w:val="0"/>
              <w:spacing w:line="360" w:lineRule="auto"/>
              <w:rPr>
                <w:rFonts w:ascii="宋体" w:hAnsi="宋体" w:cs="宋体"/>
                <w:color w:val="auto"/>
                <w:sz w:val="24"/>
              </w:rPr>
            </w:pPr>
            <w:r>
              <w:rPr>
                <w:rFonts w:hint="eastAsia" w:ascii="宋体" w:hAnsi="宋体" w:cs="宋体"/>
                <w:color w:val="auto"/>
                <w:sz w:val="24"/>
              </w:rPr>
              <w:t>确定业主委员会候选人</w:t>
            </w:r>
          </w:p>
          <w:p>
            <w:pPr>
              <w:snapToGrid w:val="0"/>
              <w:spacing w:line="360" w:lineRule="auto"/>
              <w:ind w:firstLine="480" w:firstLineChars="200"/>
              <w:rPr>
                <w:rFonts w:ascii="宋体" w:hAnsi="宋体" w:cs="宋体"/>
                <w:color w:val="auto"/>
                <w:sz w:val="24"/>
              </w:rPr>
            </w:pPr>
            <w:r>
              <w:rPr>
                <w:rFonts w:hint="eastAsia" w:ascii="宋体" w:hAnsi="宋体" w:cs="宋体"/>
                <w:snapToGrid w:val="0"/>
                <w:color w:val="auto"/>
                <w:sz w:val="24"/>
              </w:rPr>
              <w:t>使用南宁市物业管理服务平台中的公共事务表决功能对业主委员会候选人进行确定，根据相关规定指定评选、票选规则，评选结果自动报送城区、开发区房管部门进行复核。</w:t>
            </w:r>
          </w:p>
          <w:p>
            <w:pPr>
              <w:pStyle w:val="2"/>
              <w:numPr>
                <w:ilvl w:val="0"/>
                <w:numId w:val="5"/>
              </w:numPr>
              <w:snapToGrid w:val="0"/>
              <w:spacing w:line="360" w:lineRule="auto"/>
              <w:rPr>
                <w:rFonts w:ascii="宋体" w:hAnsi="宋体" w:cs="宋体"/>
                <w:color w:val="auto"/>
                <w:sz w:val="24"/>
              </w:rPr>
            </w:pPr>
            <w:r>
              <w:rPr>
                <w:rFonts w:hint="eastAsia" w:ascii="宋体" w:hAnsi="宋体" w:cs="宋体"/>
                <w:color w:val="auto"/>
                <w:sz w:val="24"/>
              </w:rPr>
              <w:t>业主委员会成员信息管理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支持录入、删除、编辑业主委员会成员信息，包括业委会人员的各项信息：姓名、年龄、政治面貌、联系方式。</w:t>
            </w:r>
          </w:p>
          <w:p>
            <w:pPr>
              <w:pStyle w:val="2"/>
              <w:numPr>
                <w:ilvl w:val="0"/>
                <w:numId w:val="5"/>
              </w:numPr>
              <w:snapToGrid w:val="0"/>
              <w:spacing w:line="360" w:lineRule="auto"/>
              <w:rPr>
                <w:rFonts w:ascii="宋体" w:hAnsi="宋体" w:cs="宋体"/>
                <w:color w:val="auto"/>
                <w:sz w:val="24"/>
              </w:rPr>
            </w:pPr>
            <w:r>
              <w:rPr>
                <w:rFonts w:hint="eastAsia" w:ascii="宋体" w:hAnsi="宋体" w:cs="宋体"/>
                <w:color w:val="auto"/>
                <w:sz w:val="24"/>
              </w:rPr>
              <w:t>业主委员会日常工作管理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提供各业主委员会登陆系统记录日常业务处理记录，主要内容包括：业主委员会日常工作情况记录，小区保安、保洁、保绿等工作记录，小区物业设施设备保养、维护情况记录等。</w:t>
            </w:r>
          </w:p>
          <w:p>
            <w:pPr>
              <w:pStyle w:val="2"/>
              <w:snapToGrid w:val="0"/>
              <w:spacing w:line="360" w:lineRule="auto"/>
              <w:rPr>
                <w:rFonts w:ascii="宋体" w:hAnsi="宋体" w:cs="宋体"/>
                <w:color w:val="auto"/>
                <w:sz w:val="24"/>
              </w:rPr>
            </w:pPr>
            <w:r>
              <w:rPr>
                <w:rFonts w:hint="eastAsia" w:ascii="宋体" w:hAnsi="宋体" w:cs="宋体"/>
                <w:color w:val="auto"/>
                <w:sz w:val="24"/>
              </w:rPr>
              <w:t>★（五）系统数据接口维护</w:t>
            </w:r>
          </w:p>
          <w:p>
            <w:pPr>
              <w:pStyle w:val="2"/>
              <w:snapToGrid w:val="0"/>
              <w:spacing w:line="360" w:lineRule="auto"/>
              <w:rPr>
                <w:rFonts w:ascii="宋体" w:hAnsi="宋体" w:cs="宋体"/>
                <w:color w:val="auto"/>
                <w:sz w:val="24"/>
              </w:rPr>
            </w:pPr>
            <w:r>
              <w:rPr>
                <w:rFonts w:hint="eastAsia" w:ascii="宋体" w:hAnsi="宋体" w:cs="宋体"/>
                <w:color w:val="auto"/>
                <w:sz w:val="24"/>
              </w:rPr>
              <w:t>1、与物业维修资金系统接口</w:t>
            </w:r>
          </w:p>
          <w:p>
            <w:pPr>
              <w:pStyle w:val="2"/>
              <w:snapToGrid w:val="0"/>
              <w:spacing w:line="360" w:lineRule="auto"/>
              <w:rPr>
                <w:rFonts w:ascii="宋体" w:hAnsi="宋体" w:cs="宋体"/>
                <w:color w:val="auto"/>
                <w:sz w:val="24"/>
              </w:rPr>
            </w:pPr>
            <w:r>
              <w:rPr>
                <w:rFonts w:hint="eastAsia" w:ascii="宋体" w:hAnsi="宋体" w:cs="宋体"/>
                <w:color w:val="auto"/>
                <w:sz w:val="24"/>
              </w:rPr>
              <w:t>1.1 物业管理信息系统通过接口形式对接物业维修资金系统数据，如分户信息、维修资金账目信息、基础信息等等。</w:t>
            </w:r>
          </w:p>
          <w:p>
            <w:pPr>
              <w:pStyle w:val="2"/>
              <w:snapToGrid w:val="0"/>
              <w:spacing w:line="360" w:lineRule="auto"/>
              <w:rPr>
                <w:rFonts w:ascii="宋体" w:hAnsi="宋体" w:cs="宋体"/>
                <w:color w:val="auto"/>
                <w:sz w:val="24"/>
              </w:rPr>
            </w:pPr>
            <w:r>
              <w:rPr>
                <w:rFonts w:hint="eastAsia" w:ascii="宋体" w:hAnsi="宋体" w:cs="宋体"/>
                <w:color w:val="auto"/>
                <w:sz w:val="24"/>
              </w:rPr>
              <w:t>2、 与四级行政管理服务部门接口</w:t>
            </w:r>
          </w:p>
          <w:p>
            <w:pPr>
              <w:pStyle w:val="2"/>
              <w:snapToGrid w:val="0"/>
              <w:spacing w:line="360" w:lineRule="auto"/>
              <w:rPr>
                <w:rFonts w:ascii="宋体" w:hAnsi="宋体" w:cs="宋体"/>
                <w:color w:val="auto"/>
                <w:sz w:val="24"/>
              </w:rPr>
            </w:pPr>
            <w:r>
              <w:rPr>
                <w:rFonts w:hint="eastAsia" w:ascii="宋体" w:hAnsi="宋体" w:cs="宋体"/>
                <w:color w:val="auto"/>
                <w:sz w:val="24"/>
              </w:rPr>
              <w:t>2.1通过接口，接入住建局业务科室相关系统数据，实现系统间数据来往互通。</w:t>
            </w:r>
          </w:p>
          <w:p>
            <w:pPr>
              <w:pStyle w:val="2"/>
              <w:snapToGrid w:val="0"/>
              <w:spacing w:line="360" w:lineRule="auto"/>
              <w:rPr>
                <w:rFonts w:ascii="宋体" w:hAnsi="宋体" w:cs="宋体"/>
                <w:color w:val="auto"/>
                <w:sz w:val="24"/>
              </w:rPr>
            </w:pPr>
            <w:r>
              <w:rPr>
                <w:rFonts w:hint="eastAsia" w:ascii="宋体" w:hAnsi="宋体" w:cs="宋体"/>
                <w:color w:val="auto"/>
                <w:sz w:val="24"/>
              </w:rPr>
              <w:t>2.2通过接口，接入南宁市资金中心、城区房管所相关系统数据，实现系统间数据来往互通。</w:t>
            </w:r>
          </w:p>
          <w:p>
            <w:pPr>
              <w:pStyle w:val="2"/>
              <w:snapToGrid w:val="0"/>
              <w:spacing w:line="360" w:lineRule="auto"/>
              <w:rPr>
                <w:rFonts w:ascii="宋体" w:hAnsi="宋体" w:cs="宋体"/>
                <w:color w:val="auto"/>
                <w:sz w:val="24"/>
              </w:rPr>
            </w:pPr>
            <w:r>
              <w:rPr>
                <w:rFonts w:hint="eastAsia" w:ascii="宋体" w:hAnsi="宋体" w:cs="宋体"/>
                <w:color w:val="auto"/>
                <w:sz w:val="24"/>
              </w:rPr>
              <w:t>2.3通过接口，接入街道办物业相关系统数据，实现系统间数据来往互通。</w:t>
            </w:r>
            <w:r>
              <w:rPr>
                <w:rFonts w:hint="eastAsia" w:ascii="宋体" w:hAnsi="宋体" w:cs="宋体"/>
                <w:color w:val="auto"/>
                <w:sz w:val="24"/>
              </w:rPr>
              <w:br w:type="textWrapping"/>
            </w:r>
            <w:r>
              <w:rPr>
                <w:rFonts w:hint="eastAsia" w:ascii="宋体" w:hAnsi="宋体" w:cs="宋体"/>
                <w:color w:val="auto"/>
                <w:sz w:val="24"/>
              </w:rPr>
              <w:t>2.4通过接口，接入社区物业管理工作人员相关系统接口数据，实现系统间数据来往互通。</w:t>
            </w:r>
          </w:p>
          <w:p>
            <w:pPr>
              <w:snapToGrid w:val="0"/>
              <w:spacing w:line="360" w:lineRule="auto"/>
              <w:rPr>
                <w:rFonts w:ascii="宋体" w:hAnsi="宋体" w:cs="宋体"/>
                <w:color w:val="auto"/>
                <w:sz w:val="24"/>
              </w:rPr>
            </w:pPr>
            <w:r>
              <w:rPr>
                <w:rFonts w:hint="eastAsia" w:ascii="宋体" w:hAnsi="宋体" w:cs="宋体"/>
                <w:color w:val="auto"/>
                <w:sz w:val="24"/>
              </w:rPr>
              <w:t>（六）性能需求</w:t>
            </w:r>
          </w:p>
          <w:p>
            <w:pPr>
              <w:snapToGrid w:val="0"/>
              <w:spacing w:line="360" w:lineRule="auto"/>
              <w:rPr>
                <w:rFonts w:ascii="宋体" w:hAnsi="宋体" w:cs="宋体"/>
                <w:color w:val="auto"/>
                <w:sz w:val="24"/>
              </w:rPr>
            </w:pPr>
            <w:r>
              <w:rPr>
                <w:rFonts w:hint="eastAsia" w:ascii="宋体" w:hAnsi="宋体" w:cs="宋体"/>
                <w:color w:val="auto"/>
                <w:sz w:val="24"/>
              </w:rPr>
              <w:t>★1、业务量、峰值业务值、用户数及响应时间需求</w:t>
            </w:r>
          </w:p>
          <w:p>
            <w:pPr>
              <w:pStyle w:val="2"/>
              <w:snapToGrid w:val="0"/>
              <w:spacing w:line="360" w:lineRule="auto"/>
              <w:rPr>
                <w:rFonts w:ascii="宋体" w:hAnsi="宋体" w:cs="宋体"/>
                <w:color w:val="auto"/>
                <w:sz w:val="24"/>
              </w:rPr>
            </w:pPr>
            <w:r>
              <w:rPr>
                <w:rFonts w:hint="eastAsia" w:ascii="宋体" w:hAnsi="宋体" w:cs="宋体"/>
                <w:color w:val="auto"/>
                <w:sz w:val="24"/>
              </w:rPr>
              <w:t>1）相关查询功能</w:t>
            </w:r>
          </w:p>
          <w:p>
            <w:pPr>
              <w:pStyle w:val="2"/>
              <w:snapToGrid w:val="0"/>
              <w:spacing w:line="360" w:lineRule="auto"/>
              <w:rPr>
                <w:rFonts w:ascii="宋体" w:hAnsi="宋体" w:cs="宋体"/>
                <w:color w:val="auto"/>
                <w:sz w:val="24"/>
              </w:rPr>
            </w:pPr>
            <w:r>
              <w:rPr>
                <w:rFonts w:hint="eastAsia" w:ascii="宋体" w:hAnsi="宋体" w:cs="宋体"/>
                <w:color w:val="auto"/>
                <w:sz w:val="24"/>
              </w:rPr>
              <w:t>业务量：24小时100万</w:t>
            </w:r>
          </w:p>
          <w:p>
            <w:pPr>
              <w:pStyle w:val="2"/>
              <w:snapToGrid w:val="0"/>
              <w:spacing w:line="360" w:lineRule="auto"/>
              <w:rPr>
                <w:rFonts w:ascii="宋体" w:hAnsi="宋体" w:cs="宋体"/>
                <w:color w:val="auto"/>
                <w:sz w:val="24"/>
              </w:rPr>
            </w:pPr>
            <w:r>
              <w:rPr>
                <w:rFonts w:hint="eastAsia" w:ascii="宋体" w:hAnsi="宋体" w:cs="宋体"/>
                <w:color w:val="auto"/>
                <w:sz w:val="24"/>
              </w:rPr>
              <w:t>峰值业务值：24小时200万</w:t>
            </w:r>
          </w:p>
          <w:p>
            <w:pPr>
              <w:pStyle w:val="2"/>
              <w:snapToGrid w:val="0"/>
              <w:spacing w:line="360" w:lineRule="auto"/>
              <w:rPr>
                <w:rFonts w:ascii="宋体" w:hAnsi="宋体" w:cs="宋体"/>
                <w:color w:val="auto"/>
                <w:sz w:val="24"/>
              </w:rPr>
            </w:pPr>
            <w:r>
              <w:rPr>
                <w:rFonts w:hint="eastAsia" w:ascii="宋体" w:hAnsi="宋体" w:cs="宋体"/>
                <w:color w:val="auto"/>
                <w:sz w:val="24"/>
              </w:rPr>
              <w:t>用户数：10万用户访问</w:t>
            </w:r>
          </w:p>
          <w:p>
            <w:pPr>
              <w:pStyle w:val="2"/>
              <w:snapToGrid w:val="0"/>
              <w:spacing w:line="360" w:lineRule="auto"/>
              <w:rPr>
                <w:rFonts w:ascii="宋体" w:hAnsi="宋体" w:cs="宋体"/>
                <w:color w:val="auto"/>
                <w:sz w:val="24"/>
              </w:rPr>
            </w:pPr>
            <w:r>
              <w:rPr>
                <w:rFonts w:hint="eastAsia" w:ascii="宋体" w:hAnsi="宋体" w:cs="宋体"/>
                <w:color w:val="auto"/>
                <w:sz w:val="24"/>
              </w:rPr>
              <w:t>响应时间：200ms内</w:t>
            </w:r>
          </w:p>
          <w:p>
            <w:pPr>
              <w:pStyle w:val="2"/>
              <w:snapToGrid w:val="0"/>
              <w:spacing w:line="360" w:lineRule="auto"/>
              <w:rPr>
                <w:rFonts w:ascii="宋体" w:hAnsi="宋体" w:cs="宋体"/>
                <w:color w:val="auto"/>
                <w:sz w:val="24"/>
              </w:rPr>
            </w:pPr>
            <w:r>
              <w:rPr>
                <w:rFonts w:hint="eastAsia" w:ascii="宋体" w:hAnsi="宋体" w:cs="宋体"/>
                <w:color w:val="auto"/>
                <w:sz w:val="24"/>
              </w:rPr>
              <w:t>2）维修资金功能模块</w:t>
            </w:r>
          </w:p>
          <w:p>
            <w:pPr>
              <w:pStyle w:val="2"/>
              <w:snapToGrid w:val="0"/>
              <w:spacing w:line="360" w:lineRule="auto"/>
              <w:rPr>
                <w:rFonts w:ascii="宋体" w:hAnsi="宋体" w:cs="宋体"/>
                <w:color w:val="auto"/>
                <w:sz w:val="24"/>
              </w:rPr>
            </w:pPr>
            <w:r>
              <w:rPr>
                <w:rFonts w:hint="eastAsia" w:ascii="宋体" w:hAnsi="宋体" w:cs="宋体"/>
                <w:color w:val="auto"/>
                <w:sz w:val="24"/>
              </w:rPr>
              <w:t>业务量：24小时100万</w:t>
            </w:r>
          </w:p>
          <w:p>
            <w:pPr>
              <w:pStyle w:val="2"/>
              <w:snapToGrid w:val="0"/>
              <w:spacing w:line="360" w:lineRule="auto"/>
              <w:rPr>
                <w:rFonts w:ascii="宋体" w:hAnsi="宋体" w:cs="宋体"/>
                <w:color w:val="auto"/>
                <w:sz w:val="24"/>
              </w:rPr>
            </w:pPr>
            <w:r>
              <w:rPr>
                <w:rFonts w:hint="eastAsia" w:ascii="宋体" w:hAnsi="宋体" w:cs="宋体"/>
                <w:color w:val="auto"/>
                <w:sz w:val="24"/>
              </w:rPr>
              <w:t>峰值业务值：24小时200万</w:t>
            </w:r>
          </w:p>
          <w:p>
            <w:pPr>
              <w:pStyle w:val="2"/>
              <w:snapToGrid w:val="0"/>
              <w:spacing w:line="360" w:lineRule="auto"/>
              <w:rPr>
                <w:rFonts w:ascii="宋体" w:hAnsi="宋体" w:cs="宋体"/>
                <w:color w:val="auto"/>
                <w:sz w:val="24"/>
              </w:rPr>
            </w:pPr>
            <w:r>
              <w:rPr>
                <w:rFonts w:hint="eastAsia" w:ascii="宋体" w:hAnsi="宋体" w:cs="宋体"/>
                <w:color w:val="auto"/>
                <w:sz w:val="24"/>
              </w:rPr>
              <w:t>用户数：10万用户访问</w:t>
            </w:r>
          </w:p>
          <w:p>
            <w:pPr>
              <w:pStyle w:val="2"/>
              <w:snapToGrid w:val="0"/>
              <w:spacing w:line="360" w:lineRule="auto"/>
              <w:rPr>
                <w:rFonts w:ascii="宋体" w:hAnsi="宋体" w:cs="宋体"/>
                <w:color w:val="auto"/>
                <w:sz w:val="24"/>
              </w:rPr>
            </w:pPr>
            <w:r>
              <w:rPr>
                <w:rFonts w:hint="eastAsia" w:ascii="宋体" w:hAnsi="宋体" w:cs="宋体"/>
                <w:color w:val="auto"/>
                <w:sz w:val="24"/>
              </w:rPr>
              <w:t>响应时间：200ms内</w:t>
            </w:r>
          </w:p>
          <w:p>
            <w:pPr>
              <w:pStyle w:val="2"/>
              <w:snapToGrid w:val="0"/>
              <w:spacing w:line="360" w:lineRule="auto"/>
              <w:rPr>
                <w:rFonts w:ascii="宋体" w:hAnsi="宋体" w:cs="宋体"/>
                <w:color w:val="auto"/>
                <w:sz w:val="24"/>
              </w:rPr>
            </w:pPr>
            <w:r>
              <w:rPr>
                <w:rFonts w:hint="eastAsia" w:ascii="宋体" w:hAnsi="宋体" w:cs="宋体"/>
                <w:color w:val="auto"/>
                <w:sz w:val="24"/>
              </w:rPr>
              <w:t>3）业主大会功能模块</w:t>
            </w:r>
          </w:p>
          <w:p>
            <w:pPr>
              <w:pStyle w:val="2"/>
              <w:snapToGrid w:val="0"/>
              <w:spacing w:line="360" w:lineRule="auto"/>
              <w:rPr>
                <w:rFonts w:ascii="宋体" w:hAnsi="宋体" w:cs="宋体"/>
                <w:color w:val="auto"/>
                <w:sz w:val="24"/>
              </w:rPr>
            </w:pPr>
            <w:r>
              <w:rPr>
                <w:rFonts w:hint="eastAsia" w:ascii="宋体" w:hAnsi="宋体" w:cs="宋体"/>
                <w:color w:val="auto"/>
                <w:sz w:val="24"/>
              </w:rPr>
              <w:t>业务量：24小时100万</w:t>
            </w:r>
          </w:p>
          <w:p>
            <w:pPr>
              <w:pStyle w:val="2"/>
              <w:snapToGrid w:val="0"/>
              <w:spacing w:line="360" w:lineRule="auto"/>
              <w:rPr>
                <w:rFonts w:ascii="宋体" w:hAnsi="宋体" w:cs="宋体"/>
                <w:color w:val="auto"/>
                <w:sz w:val="24"/>
              </w:rPr>
            </w:pPr>
            <w:r>
              <w:rPr>
                <w:rFonts w:hint="eastAsia" w:ascii="宋体" w:hAnsi="宋体" w:cs="宋体"/>
                <w:color w:val="auto"/>
                <w:sz w:val="24"/>
              </w:rPr>
              <w:t>峰值业务值：24小时200万</w:t>
            </w:r>
          </w:p>
          <w:p>
            <w:pPr>
              <w:pStyle w:val="2"/>
              <w:snapToGrid w:val="0"/>
              <w:spacing w:line="360" w:lineRule="auto"/>
              <w:rPr>
                <w:rFonts w:ascii="宋体" w:hAnsi="宋体" w:cs="宋体"/>
                <w:color w:val="auto"/>
                <w:sz w:val="24"/>
              </w:rPr>
            </w:pPr>
            <w:r>
              <w:rPr>
                <w:rFonts w:hint="eastAsia" w:ascii="宋体" w:hAnsi="宋体" w:cs="宋体"/>
                <w:color w:val="auto"/>
                <w:sz w:val="24"/>
              </w:rPr>
              <w:t>用户数：10万用户访问</w:t>
            </w:r>
          </w:p>
          <w:p>
            <w:pPr>
              <w:pStyle w:val="2"/>
              <w:snapToGrid w:val="0"/>
              <w:spacing w:line="360" w:lineRule="auto"/>
              <w:rPr>
                <w:rFonts w:ascii="宋体" w:hAnsi="宋体" w:cs="宋体"/>
                <w:color w:val="auto"/>
                <w:sz w:val="24"/>
              </w:rPr>
            </w:pPr>
            <w:r>
              <w:rPr>
                <w:rFonts w:hint="eastAsia" w:ascii="宋体" w:hAnsi="宋体" w:cs="宋体"/>
                <w:color w:val="auto"/>
                <w:sz w:val="24"/>
              </w:rPr>
              <w:t>响应时间：200ms内</w:t>
            </w:r>
          </w:p>
          <w:p>
            <w:pPr>
              <w:pStyle w:val="2"/>
              <w:snapToGrid w:val="0"/>
              <w:spacing w:line="360" w:lineRule="auto"/>
              <w:rPr>
                <w:rFonts w:ascii="宋体" w:hAnsi="宋体" w:cs="宋体"/>
                <w:color w:val="auto"/>
                <w:sz w:val="24"/>
              </w:rPr>
            </w:pPr>
            <w:r>
              <w:rPr>
                <w:rFonts w:hint="eastAsia" w:ascii="宋体" w:hAnsi="宋体" w:cs="宋体"/>
                <w:color w:val="auto"/>
                <w:sz w:val="24"/>
              </w:rPr>
              <w:t>4）业主委员会功能模块</w:t>
            </w:r>
          </w:p>
          <w:p>
            <w:pPr>
              <w:pStyle w:val="2"/>
              <w:snapToGrid w:val="0"/>
              <w:spacing w:line="360" w:lineRule="auto"/>
              <w:rPr>
                <w:rFonts w:ascii="宋体" w:hAnsi="宋体" w:cs="宋体"/>
                <w:color w:val="auto"/>
                <w:sz w:val="24"/>
              </w:rPr>
            </w:pPr>
            <w:r>
              <w:rPr>
                <w:rFonts w:hint="eastAsia" w:ascii="宋体" w:hAnsi="宋体" w:cs="宋体"/>
                <w:color w:val="auto"/>
                <w:sz w:val="24"/>
              </w:rPr>
              <w:t>业务量：24小时100万</w:t>
            </w:r>
          </w:p>
          <w:p>
            <w:pPr>
              <w:pStyle w:val="2"/>
              <w:snapToGrid w:val="0"/>
              <w:spacing w:line="360" w:lineRule="auto"/>
              <w:rPr>
                <w:rFonts w:ascii="宋体" w:hAnsi="宋体" w:cs="宋体"/>
                <w:color w:val="auto"/>
                <w:sz w:val="24"/>
              </w:rPr>
            </w:pPr>
            <w:r>
              <w:rPr>
                <w:rFonts w:hint="eastAsia" w:ascii="宋体" w:hAnsi="宋体" w:cs="宋体"/>
                <w:color w:val="auto"/>
                <w:sz w:val="24"/>
              </w:rPr>
              <w:t>峰值业务值：24小时200万</w:t>
            </w:r>
          </w:p>
          <w:p>
            <w:pPr>
              <w:pStyle w:val="2"/>
              <w:snapToGrid w:val="0"/>
              <w:spacing w:line="360" w:lineRule="auto"/>
              <w:rPr>
                <w:rFonts w:ascii="宋体" w:hAnsi="宋体" w:cs="宋体"/>
                <w:color w:val="auto"/>
                <w:sz w:val="24"/>
              </w:rPr>
            </w:pPr>
            <w:r>
              <w:rPr>
                <w:rFonts w:hint="eastAsia" w:ascii="宋体" w:hAnsi="宋体" w:cs="宋体"/>
                <w:color w:val="auto"/>
                <w:sz w:val="24"/>
              </w:rPr>
              <w:t>用户数：10万用户访问</w:t>
            </w:r>
          </w:p>
          <w:p>
            <w:pPr>
              <w:pStyle w:val="2"/>
              <w:snapToGrid w:val="0"/>
              <w:spacing w:line="360" w:lineRule="auto"/>
              <w:rPr>
                <w:rFonts w:ascii="宋体" w:hAnsi="宋体" w:cs="宋体"/>
                <w:color w:val="auto"/>
                <w:sz w:val="24"/>
              </w:rPr>
            </w:pPr>
            <w:r>
              <w:rPr>
                <w:rFonts w:hint="eastAsia" w:ascii="宋体" w:hAnsi="宋体" w:cs="宋体"/>
                <w:color w:val="auto"/>
                <w:sz w:val="24"/>
              </w:rPr>
              <w:t>响应时间：200ms内</w:t>
            </w:r>
          </w:p>
          <w:p>
            <w:pPr>
              <w:pStyle w:val="2"/>
              <w:snapToGrid w:val="0"/>
              <w:spacing w:line="360" w:lineRule="auto"/>
              <w:rPr>
                <w:rFonts w:ascii="宋体" w:hAnsi="宋体" w:cs="宋体"/>
                <w:color w:val="auto"/>
                <w:sz w:val="24"/>
              </w:rPr>
            </w:pPr>
            <w:r>
              <w:rPr>
                <w:rFonts w:hint="eastAsia" w:ascii="宋体" w:hAnsi="宋体" w:cs="宋体"/>
                <w:color w:val="auto"/>
                <w:sz w:val="24"/>
              </w:rPr>
              <w:t>5）数据导出功能</w:t>
            </w:r>
          </w:p>
          <w:p>
            <w:pPr>
              <w:pStyle w:val="2"/>
              <w:snapToGrid w:val="0"/>
              <w:spacing w:line="360" w:lineRule="auto"/>
              <w:rPr>
                <w:rFonts w:ascii="宋体" w:hAnsi="宋体" w:cs="宋体"/>
                <w:color w:val="auto"/>
                <w:sz w:val="24"/>
              </w:rPr>
            </w:pPr>
            <w:r>
              <w:rPr>
                <w:rFonts w:hint="eastAsia" w:ascii="宋体" w:hAnsi="宋体" w:cs="宋体"/>
                <w:color w:val="auto"/>
                <w:sz w:val="24"/>
              </w:rPr>
              <w:t>业务量：24小时100万</w:t>
            </w:r>
          </w:p>
          <w:p>
            <w:pPr>
              <w:pStyle w:val="2"/>
              <w:snapToGrid w:val="0"/>
              <w:spacing w:line="360" w:lineRule="auto"/>
              <w:rPr>
                <w:rFonts w:ascii="宋体" w:hAnsi="宋体" w:cs="宋体"/>
                <w:color w:val="auto"/>
                <w:sz w:val="24"/>
              </w:rPr>
            </w:pPr>
            <w:r>
              <w:rPr>
                <w:rFonts w:hint="eastAsia" w:ascii="宋体" w:hAnsi="宋体" w:cs="宋体"/>
                <w:color w:val="auto"/>
                <w:sz w:val="24"/>
              </w:rPr>
              <w:t>峰值业务值：24小时200万</w:t>
            </w:r>
          </w:p>
          <w:p>
            <w:pPr>
              <w:pStyle w:val="2"/>
              <w:snapToGrid w:val="0"/>
              <w:spacing w:line="360" w:lineRule="auto"/>
              <w:rPr>
                <w:rFonts w:ascii="宋体" w:hAnsi="宋体" w:cs="宋体"/>
                <w:color w:val="auto"/>
                <w:sz w:val="24"/>
              </w:rPr>
            </w:pPr>
            <w:r>
              <w:rPr>
                <w:rFonts w:hint="eastAsia" w:ascii="宋体" w:hAnsi="宋体" w:cs="宋体"/>
                <w:color w:val="auto"/>
                <w:sz w:val="24"/>
              </w:rPr>
              <w:t>用户数：10万用户访问</w:t>
            </w:r>
          </w:p>
          <w:p>
            <w:pPr>
              <w:pStyle w:val="2"/>
              <w:snapToGrid w:val="0"/>
              <w:spacing w:line="360" w:lineRule="auto"/>
              <w:rPr>
                <w:rFonts w:ascii="宋体" w:hAnsi="宋体" w:cs="宋体"/>
                <w:color w:val="auto"/>
                <w:sz w:val="24"/>
              </w:rPr>
            </w:pPr>
            <w:r>
              <w:rPr>
                <w:rFonts w:hint="eastAsia" w:ascii="宋体" w:hAnsi="宋体" w:cs="宋体"/>
                <w:color w:val="auto"/>
                <w:sz w:val="24"/>
              </w:rPr>
              <w:t>响应时间：200ms内</w:t>
            </w:r>
          </w:p>
          <w:p>
            <w:pPr>
              <w:snapToGrid w:val="0"/>
              <w:spacing w:line="360" w:lineRule="auto"/>
              <w:rPr>
                <w:rFonts w:ascii="宋体" w:hAnsi="宋体" w:cs="宋体"/>
                <w:color w:val="auto"/>
                <w:sz w:val="24"/>
              </w:rPr>
            </w:pPr>
            <w:r>
              <w:rPr>
                <w:rFonts w:hint="eastAsia" w:ascii="宋体" w:hAnsi="宋体" w:cs="宋体"/>
                <w:color w:val="auto"/>
                <w:sz w:val="24"/>
              </w:rPr>
              <w:t>★2、 可扩展性</w:t>
            </w:r>
          </w:p>
          <w:p>
            <w:pPr>
              <w:snapToGrid w:val="0"/>
              <w:spacing w:line="360" w:lineRule="auto"/>
              <w:rPr>
                <w:rFonts w:ascii="宋体" w:hAnsi="宋体" w:cs="宋体"/>
                <w:color w:val="auto"/>
                <w:sz w:val="24"/>
              </w:rPr>
            </w:pPr>
            <w:r>
              <w:rPr>
                <w:rFonts w:hint="eastAsia" w:ascii="宋体" w:hAnsi="宋体" w:cs="宋体"/>
                <w:color w:val="auto"/>
                <w:sz w:val="24"/>
              </w:rPr>
              <w:t>1）提供丰富的二次开发接口，可实现更多的定制化功能，满足用户使用需求。</w:t>
            </w:r>
          </w:p>
          <w:p>
            <w:pPr>
              <w:snapToGrid w:val="0"/>
              <w:spacing w:line="360" w:lineRule="auto"/>
              <w:rPr>
                <w:rFonts w:ascii="宋体" w:hAnsi="宋体" w:cs="宋体"/>
                <w:color w:val="auto"/>
                <w:sz w:val="24"/>
              </w:rPr>
            </w:pPr>
            <w:r>
              <w:rPr>
                <w:rFonts w:hint="eastAsia" w:ascii="宋体" w:hAnsi="宋体" w:cs="宋体"/>
                <w:color w:val="auto"/>
                <w:sz w:val="24"/>
              </w:rPr>
              <w:t>2）如果未来业务需求发生了增长，系统架构能够通过最小代价改变支持增长、最小代价改变如增加集群服务器等。需求方案需要考虑可扩展性问题。</w:t>
            </w:r>
          </w:p>
          <w:p>
            <w:pPr>
              <w:pStyle w:val="2"/>
              <w:snapToGrid w:val="0"/>
              <w:spacing w:line="360" w:lineRule="auto"/>
              <w:rPr>
                <w:rFonts w:ascii="宋体" w:hAnsi="宋体" w:cs="宋体"/>
                <w:color w:val="auto"/>
                <w:sz w:val="24"/>
              </w:rPr>
            </w:pPr>
            <w:r>
              <w:rPr>
                <w:rFonts w:hint="eastAsia" w:ascii="宋体" w:hAnsi="宋体" w:cs="宋体"/>
                <w:color w:val="auto"/>
                <w:sz w:val="24"/>
              </w:rPr>
              <w:t>3、 兼容性</w:t>
            </w:r>
          </w:p>
          <w:p>
            <w:pPr>
              <w:pStyle w:val="2"/>
              <w:snapToGrid w:val="0"/>
              <w:spacing w:line="360" w:lineRule="auto"/>
              <w:rPr>
                <w:rFonts w:ascii="宋体" w:hAnsi="宋体" w:cs="宋体"/>
                <w:color w:val="auto"/>
                <w:sz w:val="24"/>
              </w:rPr>
            </w:pPr>
            <w:r>
              <w:rPr>
                <w:rFonts w:hint="eastAsia" w:ascii="宋体" w:hAnsi="宋体" w:cs="宋体"/>
                <w:color w:val="auto"/>
                <w:sz w:val="24"/>
              </w:rPr>
              <w:t>1）系统兼容性：系统需要向下兼容</w:t>
            </w:r>
          </w:p>
          <w:p>
            <w:pPr>
              <w:pStyle w:val="2"/>
              <w:snapToGrid w:val="0"/>
              <w:spacing w:line="360" w:lineRule="auto"/>
              <w:rPr>
                <w:rFonts w:ascii="宋体" w:hAnsi="宋体" w:cs="宋体"/>
                <w:color w:val="auto"/>
                <w:sz w:val="24"/>
              </w:rPr>
            </w:pPr>
            <w:r>
              <w:rPr>
                <w:rFonts w:hint="eastAsia" w:ascii="宋体" w:hAnsi="宋体" w:cs="宋体"/>
                <w:color w:val="auto"/>
                <w:sz w:val="24"/>
              </w:rPr>
              <w:t>2）页面兼容性：支持IE8、IE10、Google浏览器，支持手机安卓端访问，微信访问等。</w:t>
            </w:r>
          </w:p>
          <w:p>
            <w:pPr>
              <w:snapToGrid w:val="0"/>
              <w:spacing w:line="360" w:lineRule="auto"/>
              <w:rPr>
                <w:rFonts w:ascii="宋体" w:hAnsi="宋体" w:cs="宋体"/>
                <w:color w:val="auto"/>
                <w:sz w:val="24"/>
              </w:rPr>
            </w:pPr>
            <w:r>
              <w:rPr>
                <w:rFonts w:hint="eastAsia" w:ascii="宋体" w:hAnsi="宋体" w:cs="宋体"/>
                <w:color w:val="auto"/>
                <w:sz w:val="24"/>
              </w:rPr>
              <w:t>（七）实施服务</w:t>
            </w:r>
          </w:p>
          <w:p>
            <w:pPr>
              <w:snapToGrid w:val="0"/>
              <w:spacing w:line="360" w:lineRule="auto"/>
              <w:rPr>
                <w:rFonts w:ascii="宋体" w:hAnsi="宋体" w:cs="宋体"/>
                <w:color w:val="auto"/>
                <w:sz w:val="24"/>
              </w:rPr>
            </w:pPr>
            <w:r>
              <w:rPr>
                <w:rFonts w:hint="eastAsia" w:ascii="宋体" w:hAnsi="宋体" w:cs="宋体"/>
                <w:color w:val="auto"/>
                <w:sz w:val="24"/>
              </w:rPr>
              <w:t>★1，系统更新:安装、部署。结合用户单位管理制度、组织结构、角色权限等具体情况，接入每位用户更新数据，要求合同签订起7日内完成所有账户建立。</w:t>
            </w:r>
          </w:p>
          <w:p>
            <w:pPr>
              <w:snapToGrid w:val="0"/>
              <w:spacing w:line="360" w:lineRule="auto"/>
              <w:rPr>
                <w:rFonts w:ascii="宋体" w:hAnsi="宋体" w:cs="宋体"/>
                <w:color w:val="auto"/>
                <w:sz w:val="24"/>
              </w:rPr>
            </w:pPr>
            <w:r>
              <w:rPr>
                <w:rFonts w:hint="eastAsia" w:ascii="宋体" w:hAnsi="宋体" w:cs="宋体"/>
                <w:color w:val="auto"/>
                <w:sz w:val="24"/>
              </w:rPr>
              <w:t>★2.能够对接一期建设；设有对接相关系统平台接口。</w:t>
            </w:r>
          </w:p>
          <w:p>
            <w:pPr>
              <w:snapToGrid w:val="0"/>
              <w:spacing w:line="360" w:lineRule="auto"/>
              <w:rPr>
                <w:rFonts w:ascii="宋体" w:hAnsi="宋体" w:cs="宋体"/>
                <w:color w:val="auto"/>
                <w:sz w:val="24"/>
              </w:rPr>
            </w:pPr>
            <w:r>
              <w:rPr>
                <w:rFonts w:hint="eastAsia" w:ascii="宋体" w:hAnsi="宋体" w:cs="宋体"/>
                <w:color w:val="auto"/>
                <w:sz w:val="24"/>
              </w:rPr>
              <w:t>（八）实施原则</w:t>
            </w:r>
          </w:p>
          <w:p>
            <w:pPr>
              <w:snapToGrid w:val="0"/>
              <w:spacing w:line="360" w:lineRule="auto"/>
              <w:rPr>
                <w:rFonts w:ascii="宋体" w:hAnsi="宋体" w:cs="宋体"/>
                <w:color w:val="auto"/>
                <w:sz w:val="24"/>
              </w:rPr>
            </w:pPr>
            <w:r>
              <w:rPr>
                <w:rFonts w:hint="eastAsia" w:ascii="宋体" w:hAnsi="宋体" w:cs="宋体"/>
                <w:color w:val="auto"/>
                <w:sz w:val="24"/>
              </w:rPr>
              <w:t>1、先进性:应当采用当今先进、主流技术，既要考虑应用平台和工具的先进，更要考虑系统结构和应用设计的先进性，以适应宏观上业务管理、发展规划和微观上事务办理的需求。</w:t>
            </w:r>
          </w:p>
          <w:p>
            <w:pPr>
              <w:snapToGrid w:val="0"/>
              <w:spacing w:line="360" w:lineRule="auto"/>
              <w:rPr>
                <w:rFonts w:ascii="宋体" w:hAnsi="宋体" w:cs="宋体"/>
                <w:color w:val="auto"/>
                <w:sz w:val="24"/>
              </w:rPr>
            </w:pPr>
            <w:r>
              <w:rPr>
                <w:rFonts w:hint="eastAsia" w:ascii="宋体" w:hAnsi="宋体" w:cs="宋体"/>
                <w:color w:val="auto"/>
                <w:sz w:val="24"/>
              </w:rPr>
              <w:t>★2、安全性:采用主流加密方式，对用户访问权限严格控制。保证系统安全，并有相应的技术手段对数据安全和操作安全加以保护。</w:t>
            </w:r>
          </w:p>
          <w:p>
            <w:pPr>
              <w:snapToGrid w:val="0"/>
              <w:spacing w:line="360" w:lineRule="auto"/>
              <w:rPr>
                <w:rFonts w:ascii="宋体" w:hAnsi="宋体" w:cs="宋体"/>
                <w:color w:val="auto"/>
                <w:sz w:val="24"/>
              </w:rPr>
            </w:pPr>
            <w:r>
              <w:rPr>
                <w:rFonts w:hint="eastAsia" w:ascii="宋体" w:hAnsi="宋体" w:cs="宋体"/>
                <w:color w:val="auto"/>
                <w:sz w:val="24"/>
              </w:rPr>
              <w:t>3、可靠性，系统设计应采用成熟、稳定、可掌的软件技术。保证系统在大数据量、高并发的情况下长时间不问断地安全运行。</w:t>
            </w:r>
          </w:p>
          <w:p>
            <w:pPr>
              <w:snapToGrid w:val="0"/>
              <w:spacing w:line="360" w:lineRule="auto"/>
              <w:rPr>
                <w:rFonts w:ascii="宋体" w:hAnsi="宋体" w:cs="宋体"/>
                <w:color w:val="auto"/>
                <w:sz w:val="24"/>
              </w:rPr>
            </w:pPr>
            <w:r>
              <w:rPr>
                <w:rFonts w:hint="eastAsia" w:ascii="宋体" w:hAnsi="宋体" w:cs="宋体"/>
                <w:color w:val="auto"/>
                <w:sz w:val="24"/>
              </w:rPr>
              <w:t>4、实用性:根据业务需求和业务流程，从方便用户使用的角度进行系统设计、功能和模块划分。</w:t>
            </w:r>
          </w:p>
          <w:p>
            <w:pPr>
              <w:snapToGrid w:val="0"/>
              <w:spacing w:line="360" w:lineRule="auto"/>
              <w:rPr>
                <w:rFonts w:ascii="宋体" w:hAnsi="宋体" w:cs="宋体"/>
                <w:color w:val="auto"/>
                <w:kern w:val="0"/>
                <w:sz w:val="24"/>
              </w:rPr>
            </w:pPr>
            <w:r>
              <w:rPr>
                <w:rFonts w:hint="eastAsia" w:ascii="宋体" w:hAnsi="宋体" w:cs="宋体"/>
                <w:color w:val="auto"/>
                <w:sz w:val="24"/>
              </w:rPr>
              <w:t>★5、可扩展性:设计要简明。各功能模块间的耦合度小。以适应业务发展需要，便于系统的继承和扩展。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3012" w:type="dxa"/>
            <w:gridSpan w:val="3"/>
            <w:vAlign w:val="center"/>
          </w:tcPr>
          <w:p>
            <w:pPr>
              <w:snapToGrid w:val="0"/>
              <w:spacing w:line="360" w:lineRule="auto"/>
              <w:jc w:val="center"/>
              <w:rPr>
                <w:rFonts w:ascii="宋体" w:hAnsi="宋体" w:cs="宋体"/>
                <w:color w:val="auto"/>
                <w:sz w:val="24"/>
              </w:rPr>
            </w:pPr>
            <w:r>
              <w:rPr>
                <w:rFonts w:hint="eastAsia" w:ascii="宋体" w:hAnsi="宋体" w:cs="宋体"/>
                <w:b/>
                <w:color w:val="auto"/>
                <w:sz w:val="24"/>
              </w:rPr>
              <w:t>分项最高限价合计（元）</w:t>
            </w:r>
          </w:p>
        </w:tc>
        <w:tc>
          <w:tcPr>
            <w:tcW w:w="7252" w:type="dxa"/>
            <w:gridSpan w:val="2"/>
            <w:vAlign w:val="center"/>
          </w:tcPr>
          <w:p>
            <w:pPr>
              <w:snapToGrid w:val="0"/>
              <w:spacing w:line="360" w:lineRule="auto"/>
              <w:rPr>
                <w:rFonts w:ascii="宋体" w:hAnsi="宋体" w:cs="宋体"/>
                <w:color w:val="auto"/>
                <w:sz w:val="24"/>
              </w:rPr>
            </w:pPr>
            <w:r>
              <w:rPr>
                <w:rFonts w:hint="eastAsia" w:ascii="宋体" w:hAnsi="宋体" w:cs="宋体"/>
                <w:color w:val="auto"/>
                <w:sz w:val="24"/>
              </w:rPr>
              <w:t>￥700000.00元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5"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商 务</w:t>
            </w:r>
          </w:p>
          <w:p>
            <w:pPr>
              <w:snapToGrid w:val="0"/>
              <w:spacing w:line="360" w:lineRule="auto"/>
              <w:jc w:val="center"/>
              <w:rPr>
                <w:rFonts w:ascii="宋体" w:hAnsi="宋体" w:cs="宋体"/>
                <w:b/>
                <w:bCs/>
                <w:color w:val="auto"/>
                <w:sz w:val="24"/>
              </w:rPr>
            </w:pPr>
            <w:r>
              <w:rPr>
                <w:rFonts w:hint="eastAsia" w:ascii="宋体" w:hAnsi="宋体" w:cs="宋体"/>
                <w:b/>
                <w:color w:val="auto"/>
                <w:sz w:val="24"/>
              </w:rPr>
              <w:t>条 款</w:t>
            </w:r>
          </w:p>
        </w:tc>
        <w:tc>
          <w:tcPr>
            <w:tcW w:w="9539" w:type="dxa"/>
            <w:gridSpan w:val="4"/>
          </w:tcPr>
          <w:p>
            <w:pPr>
              <w:widowControl/>
              <w:snapToGrid w:val="0"/>
              <w:spacing w:line="360" w:lineRule="auto"/>
              <w:rPr>
                <w:rFonts w:ascii="宋体" w:hAnsi="宋体" w:cs="宋体"/>
                <w:color w:val="auto"/>
                <w:sz w:val="24"/>
              </w:rPr>
            </w:pPr>
            <w:r>
              <w:rPr>
                <w:rFonts w:hint="eastAsia" w:ascii="宋体" w:hAnsi="宋体" w:cs="宋体"/>
                <w:color w:val="auto"/>
                <w:sz w:val="24"/>
              </w:rPr>
              <w:t>一、合同签订期：自成交通知书发出之日起 7 个工作日内。</w:t>
            </w:r>
          </w:p>
          <w:p>
            <w:pPr>
              <w:widowControl/>
              <w:snapToGrid w:val="0"/>
              <w:spacing w:line="360" w:lineRule="auto"/>
              <w:rPr>
                <w:rFonts w:ascii="宋体" w:hAnsi="宋体" w:cs="宋体"/>
                <w:color w:val="auto"/>
                <w:sz w:val="24"/>
              </w:rPr>
            </w:pPr>
            <w:r>
              <w:rPr>
                <w:rFonts w:hint="eastAsia" w:ascii="宋体" w:hAnsi="宋体" w:cs="宋体"/>
                <w:color w:val="auto"/>
                <w:sz w:val="24"/>
              </w:rPr>
              <w:t>★二、提交服务成果时间：自合同签订之日起20天内提交所有服务成果并完成终验。</w:t>
            </w:r>
          </w:p>
          <w:p>
            <w:pPr>
              <w:widowControl/>
              <w:snapToGrid w:val="0"/>
              <w:spacing w:line="360" w:lineRule="auto"/>
              <w:rPr>
                <w:rFonts w:ascii="宋体" w:hAnsi="宋体" w:cs="宋体"/>
                <w:color w:val="auto"/>
                <w:sz w:val="24"/>
              </w:rPr>
            </w:pPr>
            <w:r>
              <w:rPr>
                <w:rFonts w:hint="eastAsia" w:ascii="宋体" w:hAnsi="宋体" w:cs="宋体"/>
                <w:color w:val="auto"/>
                <w:sz w:val="24"/>
              </w:rPr>
              <w:t>三、提交服务成果地点：采购人指定地点</w:t>
            </w:r>
          </w:p>
          <w:p>
            <w:pPr>
              <w:widowControl/>
              <w:snapToGrid w:val="0"/>
              <w:spacing w:line="360" w:lineRule="auto"/>
              <w:rPr>
                <w:rFonts w:ascii="宋体" w:hAnsi="宋体" w:cs="宋体"/>
                <w:color w:val="auto"/>
                <w:sz w:val="24"/>
              </w:rPr>
            </w:pPr>
            <w:r>
              <w:rPr>
                <w:rFonts w:hint="eastAsia" w:ascii="宋体" w:hAnsi="宋体" w:cs="宋体"/>
                <w:color w:val="auto"/>
                <w:sz w:val="24"/>
              </w:rPr>
              <w:t>四、售后服务要求：</w:t>
            </w:r>
          </w:p>
          <w:p>
            <w:pPr>
              <w:widowControl/>
              <w:snapToGrid w:val="0"/>
              <w:spacing w:line="360" w:lineRule="auto"/>
              <w:rPr>
                <w:rFonts w:ascii="宋体" w:hAnsi="宋体" w:cs="宋体"/>
                <w:color w:val="auto"/>
                <w:sz w:val="24"/>
              </w:rPr>
            </w:pPr>
            <w:r>
              <w:rPr>
                <w:rFonts w:hint="eastAsia" w:ascii="宋体" w:hAnsi="宋体" w:cs="宋体"/>
                <w:color w:val="auto"/>
                <w:sz w:val="24"/>
              </w:rPr>
              <w:t>★1、服务期1年（自最终验收合格之日起计）；</w:t>
            </w:r>
          </w:p>
          <w:p>
            <w:pPr>
              <w:widowControl/>
              <w:snapToGrid w:val="0"/>
              <w:spacing w:line="360" w:lineRule="auto"/>
              <w:rPr>
                <w:rFonts w:ascii="宋体" w:hAnsi="宋体" w:cs="宋体"/>
                <w:color w:val="auto"/>
                <w:sz w:val="24"/>
              </w:rPr>
            </w:pPr>
            <w:r>
              <w:rPr>
                <w:rFonts w:hint="eastAsia" w:ascii="宋体" w:hAnsi="宋体" w:cs="宋体"/>
                <w:color w:val="auto"/>
                <w:sz w:val="24"/>
              </w:rPr>
              <w:t>★2、服务期内，成交供应商无偿对项目出现的各类问题进行软件修改、完善；</w:t>
            </w:r>
          </w:p>
          <w:p>
            <w:pPr>
              <w:widowControl/>
              <w:snapToGrid w:val="0"/>
              <w:spacing w:line="360" w:lineRule="auto"/>
              <w:rPr>
                <w:rFonts w:ascii="宋体" w:hAnsi="宋体" w:cs="宋体"/>
                <w:color w:val="auto"/>
                <w:sz w:val="24"/>
              </w:rPr>
            </w:pPr>
            <w:r>
              <w:rPr>
                <w:rFonts w:hint="eastAsia" w:ascii="宋体" w:hAnsi="宋体" w:cs="宋体"/>
                <w:color w:val="auto"/>
                <w:sz w:val="24"/>
              </w:rPr>
              <w:t>3、系统维护的范围包括：系统优化、系统的正常运行和数据维护；</w:t>
            </w:r>
          </w:p>
          <w:p>
            <w:pPr>
              <w:widowControl/>
              <w:snapToGrid w:val="0"/>
              <w:spacing w:line="360" w:lineRule="auto"/>
              <w:rPr>
                <w:rFonts w:ascii="宋体" w:hAnsi="宋体" w:cs="宋体"/>
                <w:color w:val="auto"/>
                <w:sz w:val="24"/>
              </w:rPr>
            </w:pPr>
            <w:r>
              <w:rPr>
                <w:rFonts w:hint="eastAsia" w:ascii="宋体" w:hAnsi="宋体" w:cs="宋体"/>
                <w:color w:val="auto"/>
                <w:sz w:val="24"/>
              </w:rPr>
              <w:t>4、成交供应商能提供7×24通过远程、上门服务、电话、E-mail等方式为采购人提供维护期内的售前和售后技术咨询服务，响应文件中提供售后负责人姓名、24小时联系方式；</w:t>
            </w:r>
          </w:p>
          <w:p>
            <w:pPr>
              <w:widowControl/>
              <w:snapToGrid w:val="0"/>
              <w:spacing w:line="360" w:lineRule="auto"/>
              <w:rPr>
                <w:rFonts w:ascii="宋体" w:hAnsi="宋体" w:cs="宋体"/>
                <w:color w:val="auto"/>
                <w:sz w:val="24"/>
              </w:rPr>
            </w:pPr>
            <w:r>
              <w:rPr>
                <w:rFonts w:hint="eastAsia" w:ascii="宋体" w:hAnsi="宋体" w:cs="宋体"/>
                <w:color w:val="auto"/>
                <w:sz w:val="24"/>
              </w:rPr>
              <w:t>★5、处理问题响应时间：在服务期内，系统出现故障时，接到采购人处理问题通知后，除驻场技术人员马上响应外，其它维护力量1小时内到达采购人指定现场，成交供应商须在4小时内解决故障并恢复系统运行。</w:t>
            </w:r>
          </w:p>
          <w:p>
            <w:pPr>
              <w:widowControl/>
              <w:snapToGrid w:val="0"/>
              <w:spacing w:line="360" w:lineRule="auto"/>
              <w:rPr>
                <w:rFonts w:ascii="宋体" w:hAnsi="宋体" w:cs="宋体"/>
                <w:color w:val="auto"/>
                <w:sz w:val="24"/>
              </w:rPr>
            </w:pPr>
            <w:r>
              <w:rPr>
                <w:rFonts w:hint="eastAsia" w:ascii="宋体" w:hAnsi="宋体" w:cs="宋体"/>
                <w:color w:val="auto"/>
                <w:sz w:val="24"/>
              </w:rPr>
              <w:t>★6、成交供应商必须严格遵守采购人各项管理规定，在任何情况下，禁止复制、传播、引用及非开发需要查询所接触到的采购人各类业务数据信息。</w:t>
            </w:r>
          </w:p>
          <w:p>
            <w:pPr>
              <w:widowControl/>
              <w:snapToGrid w:val="0"/>
              <w:spacing w:line="360" w:lineRule="auto"/>
              <w:rPr>
                <w:rFonts w:ascii="宋体" w:hAnsi="宋体" w:cs="宋体"/>
                <w:color w:val="auto"/>
                <w:sz w:val="24"/>
              </w:rPr>
            </w:pPr>
            <w:r>
              <w:rPr>
                <w:rFonts w:hint="eastAsia" w:ascii="宋体" w:hAnsi="宋体" w:cs="宋体"/>
                <w:color w:val="auto"/>
                <w:sz w:val="24"/>
              </w:rPr>
              <w:t>7、测试阶段现场服务承诺</w:t>
            </w:r>
          </w:p>
          <w:p>
            <w:pPr>
              <w:widowControl/>
              <w:snapToGrid w:val="0"/>
              <w:spacing w:line="360" w:lineRule="auto"/>
              <w:rPr>
                <w:rFonts w:ascii="宋体" w:hAnsi="宋体" w:cs="宋体"/>
                <w:color w:val="auto"/>
                <w:sz w:val="24"/>
              </w:rPr>
            </w:pPr>
            <w:r>
              <w:rPr>
                <w:rFonts w:hint="eastAsia" w:ascii="宋体" w:hAnsi="宋体" w:cs="宋体"/>
                <w:color w:val="auto"/>
                <w:sz w:val="24"/>
              </w:rPr>
              <w:t>(1)承诺完成项目实施工作的规划、软件系统安装和配置应用环境等工作。能够保证系统的正常运行。</w:t>
            </w:r>
            <w:r>
              <w:rPr>
                <w:rFonts w:hint="eastAsia" w:ascii="宋体" w:hAnsi="宋体" w:cs="宋体"/>
                <w:color w:val="auto"/>
                <w:sz w:val="24"/>
              </w:rPr>
              <w:br w:type="textWrapping"/>
            </w:r>
            <w:r>
              <w:rPr>
                <w:rFonts w:hint="eastAsia" w:ascii="宋体" w:hAnsi="宋体" w:cs="宋体"/>
                <w:color w:val="auto"/>
                <w:sz w:val="24"/>
              </w:rPr>
              <w:t>(2)承诺在现场服务阶段，能够根据采购人的要求和具体需要，提供基于响应本次项目产品开发平台的二次应用开发，并且负责提供合理可行的系统运行调优方案和建议。</w:t>
            </w:r>
            <w:r>
              <w:rPr>
                <w:rFonts w:hint="eastAsia" w:ascii="宋体" w:hAnsi="宋体" w:cs="宋体"/>
                <w:color w:val="auto"/>
                <w:sz w:val="24"/>
              </w:rPr>
              <w:br w:type="textWrapping"/>
            </w:r>
            <w:r>
              <w:rPr>
                <w:rFonts w:hint="eastAsia" w:ascii="宋体" w:hAnsi="宋体" w:cs="宋体"/>
                <w:color w:val="auto"/>
                <w:sz w:val="24"/>
              </w:rPr>
              <w:t>★(3)现场配置服务过程要求至少派出1名具有实际项目经验的工程师现场应急处理解决问题。</w:t>
            </w:r>
          </w:p>
          <w:p>
            <w:pPr>
              <w:widowControl/>
              <w:snapToGrid w:val="0"/>
              <w:spacing w:line="360" w:lineRule="auto"/>
              <w:rPr>
                <w:rFonts w:ascii="宋体" w:hAnsi="宋体" w:cs="宋体"/>
                <w:color w:val="auto"/>
                <w:sz w:val="24"/>
              </w:rPr>
            </w:pPr>
            <w:r>
              <w:rPr>
                <w:rFonts w:hint="eastAsia" w:ascii="宋体" w:hAnsi="宋体" w:cs="宋体"/>
                <w:color w:val="auto"/>
                <w:sz w:val="24"/>
              </w:rPr>
              <w:t>8、服务人员要求：现场服务驻场人员需和竞标时保持一致，如需进行人员更换，须经采购人同意，私自变</w:t>
            </w:r>
            <w:r>
              <w:rPr>
                <w:rFonts w:hint="eastAsia" w:ascii="宋体" w:hAnsi="宋体" w:cs="宋体"/>
                <w:color w:val="auto"/>
                <w:sz w:val="24"/>
              </w:rPr>
              <w:t>化服务人员视为违约。</w:t>
            </w:r>
          </w:p>
          <w:p>
            <w:pPr>
              <w:widowControl/>
              <w:snapToGrid w:val="0"/>
              <w:spacing w:line="360" w:lineRule="auto"/>
              <w:rPr>
                <w:rFonts w:ascii="宋体" w:hAnsi="宋体" w:cs="宋体"/>
                <w:color w:val="auto"/>
                <w:sz w:val="24"/>
              </w:rPr>
            </w:pPr>
            <w:r>
              <w:rPr>
                <w:rFonts w:hint="eastAsia" w:ascii="宋体" w:hAnsi="宋体" w:cs="宋体"/>
                <w:color w:val="auto"/>
                <w:sz w:val="24"/>
              </w:rPr>
              <w:t>★9、入场服务要求：签订合同之日起3日内，提交在南宁市内设有服务和技术支持机构相关信息，并能确保驻场实施和售后现场服务响应（提供本地服务机构详细的联系地址、联系电话）</w:t>
            </w:r>
          </w:p>
          <w:p>
            <w:pPr>
              <w:widowControl/>
              <w:snapToGrid w:val="0"/>
              <w:spacing w:line="360" w:lineRule="auto"/>
              <w:rPr>
                <w:rFonts w:ascii="宋体" w:hAnsi="宋体" w:cs="宋体"/>
                <w:color w:val="auto"/>
                <w:sz w:val="24"/>
              </w:rPr>
            </w:pPr>
            <w:r>
              <w:rPr>
                <w:rFonts w:hint="eastAsia" w:ascii="宋体" w:hAnsi="宋体" w:cs="宋体"/>
                <w:color w:val="auto"/>
                <w:sz w:val="24"/>
              </w:rPr>
              <w:t>★10、成交供应商每月不少于3次定期回访及对系统进行维护，并出具巡检报告。</w:t>
            </w:r>
          </w:p>
          <w:p>
            <w:pPr>
              <w:widowControl/>
              <w:snapToGrid w:val="0"/>
              <w:spacing w:line="360" w:lineRule="auto"/>
              <w:rPr>
                <w:rFonts w:ascii="宋体" w:hAnsi="宋体" w:cs="宋体"/>
                <w:color w:val="auto"/>
                <w:sz w:val="24"/>
              </w:rPr>
            </w:pPr>
            <w:r>
              <w:rPr>
                <w:rFonts w:hint="eastAsia" w:ascii="宋体" w:hAnsi="宋体" w:cs="宋体"/>
                <w:color w:val="auto"/>
                <w:sz w:val="24"/>
              </w:rPr>
              <w:t>11、质量保证期后，应明确承诺继续优惠提供维护服务：</w:t>
            </w:r>
          </w:p>
          <w:p>
            <w:pPr>
              <w:widowControl/>
              <w:snapToGrid w:val="0"/>
              <w:spacing w:line="360" w:lineRule="auto"/>
              <w:rPr>
                <w:rFonts w:ascii="宋体" w:hAnsi="宋体" w:cs="宋体"/>
                <w:color w:val="auto"/>
                <w:sz w:val="24"/>
              </w:rPr>
            </w:pPr>
            <w:r>
              <w:rPr>
                <w:rFonts w:hint="eastAsia" w:ascii="宋体" w:hAnsi="宋体" w:cs="宋体"/>
                <w:color w:val="auto"/>
                <w:sz w:val="24"/>
              </w:rPr>
              <w:t>(1)承诺提供系统升级、故障排除、性能调优、技术容询等售后技术支持服务情况；</w:t>
            </w:r>
          </w:p>
          <w:p>
            <w:pPr>
              <w:widowControl/>
              <w:snapToGrid w:val="0"/>
              <w:spacing w:line="360" w:lineRule="auto"/>
              <w:rPr>
                <w:rFonts w:ascii="宋体" w:hAnsi="宋体" w:cs="宋体"/>
                <w:color w:val="auto"/>
                <w:sz w:val="24"/>
              </w:rPr>
            </w:pPr>
            <w:r>
              <w:rPr>
                <w:rFonts w:hint="eastAsia" w:ascii="宋体" w:hAnsi="宋体" w:cs="宋体"/>
                <w:color w:val="auto"/>
                <w:sz w:val="24"/>
              </w:rPr>
              <w:t>(2)对于产品安全问题应及时免费提供补丁；</w:t>
            </w:r>
          </w:p>
          <w:p>
            <w:pPr>
              <w:widowControl/>
              <w:snapToGrid w:val="0"/>
              <w:spacing w:line="360" w:lineRule="auto"/>
              <w:rPr>
                <w:rFonts w:ascii="宋体" w:hAnsi="宋体" w:cs="宋体"/>
                <w:color w:val="auto"/>
                <w:sz w:val="24"/>
              </w:rPr>
            </w:pPr>
            <w:r>
              <w:rPr>
                <w:rFonts w:hint="eastAsia" w:ascii="宋体" w:hAnsi="宋体" w:cs="宋体"/>
                <w:color w:val="auto"/>
                <w:sz w:val="24"/>
              </w:rPr>
              <w:t>(3)对于因软件设计等技术原因而引起的故障，成交供应商应免费提供解决方案；</w:t>
            </w:r>
          </w:p>
          <w:p>
            <w:pPr>
              <w:widowControl/>
              <w:snapToGrid w:val="0"/>
              <w:spacing w:line="360" w:lineRule="auto"/>
              <w:rPr>
                <w:rFonts w:ascii="宋体" w:hAnsi="宋体" w:cs="宋体"/>
                <w:color w:val="auto"/>
                <w:sz w:val="24"/>
              </w:rPr>
            </w:pPr>
            <w:r>
              <w:rPr>
                <w:rFonts w:hint="eastAsia" w:ascii="宋体" w:hAnsi="宋体" w:cs="宋体"/>
                <w:color w:val="auto"/>
                <w:sz w:val="24"/>
              </w:rPr>
              <w:t>(4)质量保证期过后需再次进行二次开发，可另行商定商务条款。</w:t>
            </w:r>
          </w:p>
          <w:p>
            <w:pPr>
              <w:widowControl/>
              <w:snapToGrid w:val="0"/>
              <w:spacing w:line="360" w:lineRule="auto"/>
              <w:rPr>
                <w:rFonts w:ascii="宋体" w:hAnsi="宋体" w:cs="宋体"/>
                <w:color w:val="auto"/>
                <w:sz w:val="24"/>
              </w:rPr>
            </w:pPr>
            <w:r>
              <w:rPr>
                <w:rFonts w:hint="eastAsia" w:ascii="宋体" w:hAnsi="宋体" w:cs="宋体"/>
                <w:color w:val="auto"/>
                <w:sz w:val="24"/>
              </w:rPr>
              <w:t>12、磋商供应商应响应上述售后服务要求，并根据本项目的具体要求在投标文件中提供各自详细具体的售后服务方案、条款及保证。也可视自身能力在投标文件中提供更优、更合理的售后服务承诺。</w:t>
            </w:r>
          </w:p>
          <w:p>
            <w:pPr>
              <w:widowControl/>
              <w:snapToGrid w:val="0"/>
              <w:spacing w:line="360" w:lineRule="auto"/>
              <w:rPr>
                <w:rFonts w:ascii="宋体" w:hAnsi="宋体" w:cs="宋体"/>
                <w:color w:val="auto"/>
                <w:sz w:val="24"/>
              </w:rPr>
            </w:pPr>
            <w:r>
              <w:rPr>
                <w:rFonts w:hint="eastAsia" w:ascii="宋体" w:hAnsi="宋体" w:cs="宋体"/>
                <w:color w:val="auto"/>
                <w:sz w:val="24"/>
              </w:rPr>
              <w:t>五、安装部署要求</w:t>
            </w:r>
          </w:p>
          <w:p>
            <w:pPr>
              <w:widowControl/>
              <w:snapToGrid w:val="0"/>
              <w:spacing w:line="360" w:lineRule="auto"/>
              <w:rPr>
                <w:rFonts w:ascii="宋体" w:hAnsi="宋体" w:cs="宋体"/>
                <w:color w:val="auto"/>
                <w:sz w:val="24"/>
              </w:rPr>
            </w:pPr>
            <w:r>
              <w:rPr>
                <w:rFonts w:hint="eastAsia" w:ascii="宋体" w:hAnsi="宋体" w:cs="宋体"/>
                <w:color w:val="auto"/>
                <w:sz w:val="24"/>
              </w:rPr>
              <w:t>系统开发测试完成后，成交供应商需根据采购人的要求，将系统安装部署到采购人指定的运行环境，同时协同其他运维人员一起完成系统的安全防护部署，确保系统平台的运行安全。</w:t>
            </w:r>
          </w:p>
          <w:p>
            <w:pPr>
              <w:widowControl/>
              <w:snapToGrid w:val="0"/>
              <w:spacing w:line="360" w:lineRule="auto"/>
              <w:rPr>
                <w:rFonts w:ascii="宋体" w:hAnsi="宋体" w:cs="宋体"/>
                <w:color w:val="auto"/>
                <w:sz w:val="24"/>
              </w:rPr>
            </w:pPr>
            <w:r>
              <w:rPr>
                <w:rFonts w:hint="eastAsia" w:ascii="宋体" w:hAnsi="宋体" w:cs="宋体"/>
                <w:color w:val="auto"/>
                <w:sz w:val="24"/>
              </w:rPr>
              <w:t>六、验收要求</w:t>
            </w:r>
          </w:p>
          <w:p>
            <w:pPr>
              <w:widowControl/>
              <w:snapToGrid w:val="0"/>
              <w:spacing w:line="360" w:lineRule="auto"/>
              <w:rPr>
                <w:rFonts w:ascii="宋体" w:hAnsi="宋体" w:cs="宋体"/>
                <w:color w:val="auto"/>
                <w:sz w:val="24"/>
              </w:rPr>
            </w:pPr>
            <w:r>
              <w:rPr>
                <w:rFonts w:hint="eastAsia" w:ascii="宋体" w:hAnsi="宋体" w:cs="宋体"/>
                <w:color w:val="auto"/>
                <w:sz w:val="24"/>
              </w:rPr>
              <w:t>1、根据采购人对本项目最终确认的需求，在约定的期限内完成系统开发工作,交付前以书面方式通知采购人，采购人在接到通知的5天内安排接收交付。</w:t>
            </w:r>
          </w:p>
          <w:p>
            <w:pPr>
              <w:widowControl/>
              <w:snapToGrid w:val="0"/>
              <w:spacing w:line="360" w:lineRule="auto"/>
              <w:rPr>
                <w:rFonts w:ascii="宋体" w:hAnsi="宋体" w:cs="宋体"/>
                <w:color w:val="auto"/>
                <w:sz w:val="24"/>
              </w:rPr>
            </w:pPr>
            <w:r>
              <w:rPr>
                <w:rFonts w:hint="eastAsia" w:ascii="宋体" w:hAnsi="宋体" w:cs="宋体"/>
                <w:color w:val="auto"/>
                <w:sz w:val="24"/>
              </w:rPr>
              <w:t>2、本项目应按约定的时间完成交付工作,如因采购人的原因而导致不能按时交付，将按延期时间顺延交付时间。</w:t>
            </w:r>
          </w:p>
          <w:p>
            <w:pPr>
              <w:widowControl/>
              <w:snapToGrid w:val="0"/>
              <w:spacing w:line="360" w:lineRule="auto"/>
              <w:rPr>
                <w:rFonts w:ascii="宋体" w:hAnsi="宋体" w:cs="宋体"/>
                <w:color w:val="auto"/>
                <w:sz w:val="24"/>
              </w:rPr>
            </w:pPr>
            <w:r>
              <w:rPr>
                <w:rFonts w:hint="eastAsia" w:ascii="宋体" w:hAnsi="宋体" w:cs="宋体"/>
                <w:color w:val="auto"/>
                <w:sz w:val="24"/>
              </w:rPr>
              <w:t>★3、交付内容:系统使用教程文档，所交付的文档与文件应提交电子版本。</w:t>
            </w:r>
          </w:p>
          <w:p>
            <w:pPr>
              <w:widowControl/>
              <w:snapToGrid w:val="0"/>
              <w:spacing w:line="360" w:lineRule="auto"/>
              <w:rPr>
                <w:rFonts w:ascii="宋体" w:hAnsi="宋体" w:cs="宋体"/>
                <w:color w:val="auto"/>
                <w:sz w:val="24"/>
              </w:rPr>
            </w:pPr>
            <w:r>
              <w:rPr>
                <w:rFonts w:hint="eastAsia" w:ascii="宋体" w:hAnsi="宋体" w:cs="宋体"/>
                <w:color w:val="auto"/>
                <w:sz w:val="24"/>
              </w:rPr>
              <w:t>4、检测与检验:系统交付前，须经采购人进行功能和运行检测，以确认项目技术参数和功能达到要求;检测标准以系统功能全部满足采购需求的各项技术参数为准，确保采购人能正常开展各项业务。</w:t>
            </w:r>
          </w:p>
          <w:p>
            <w:pPr>
              <w:widowControl/>
              <w:snapToGrid w:val="0"/>
              <w:spacing w:line="360" w:lineRule="auto"/>
              <w:rPr>
                <w:rFonts w:ascii="宋体" w:hAnsi="宋体" w:cs="宋体"/>
                <w:color w:val="auto"/>
                <w:sz w:val="24"/>
              </w:rPr>
            </w:pPr>
            <w:r>
              <w:rPr>
                <w:rFonts w:hint="eastAsia" w:ascii="宋体" w:hAnsi="宋体" w:cs="宋体"/>
                <w:color w:val="auto"/>
                <w:sz w:val="24"/>
              </w:rPr>
              <w:t>★5、验收依据:完成本项目的所有开发工作，系统能正式上线正常试运行7日，提交的服务经采购人验收合格之后，采购人给成交供应商出具书面验收合格证明材料。</w:t>
            </w:r>
          </w:p>
          <w:p>
            <w:pPr>
              <w:widowControl/>
              <w:snapToGrid w:val="0"/>
              <w:spacing w:line="360" w:lineRule="auto"/>
              <w:rPr>
                <w:rFonts w:ascii="宋体" w:hAnsi="宋体" w:cs="宋体"/>
                <w:color w:val="auto"/>
                <w:sz w:val="24"/>
              </w:rPr>
            </w:pPr>
            <w:r>
              <w:rPr>
                <w:rFonts w:hint="eastAsia" w:ascii="宋体" w:hAnsi="宋体" w:cs="宋体"/>
                <w:color w:val="auto"/>
                <w:sz w:val="24"/>
              </w:rPr>
              <w:t>6、系统试运行通过后，以书面方式通知采购人组织验收,采购人在收到通知书的7天内完成验收工作。在验收过程中，如因成交供应商致使被验收系统未通过验收的，成交供应商应排除故障，并自行承担相关费用，同时，延长试运行期限7天，直至系统验收通过。如因采购人未能通过验收，如为系统故障原因，成交供应商应在合理时间内排除故障，再进行验收；如系故障之外的原因，除本项目规定的不可抗力外，而采购人不愿或未能在规定的时间内完成验收，则由成交供应商单方面进行验收，并将验收报告提交采购人，由此视为验收通过。</w:t>
            </w:r>
          </w:p>
          <w:p>
            <w:pPr>
              <w:widowControl/>
              <w:snapToGrid w:val="0"/>
              <w:spacing w:line="360" w:lineRule="auto"/>
              <w:rPr>
                <w:rFonts w:ascii="宋体" w:hAnsi="宋体" w:cs="宋体"/>
                <w:color w:val="auto"/>
                <w:sz w:val="24"/>
              </w:rPr>
            </w:pPr>
            <w:r>
              <w:rPr>
                <w:rFonts w:hint="eastAsia" w:ascii="宋体" w:hAnsi="宋体" w:cs="宋体"/>
                <w:color w:val="auto"/>
                <w:sz w:val="24"/>
              </w:rPr>
              <w:t>七、培训要求</w:t>
            </w:r>
          </w:p>
          <w:p>
            <w:pPr>
              <w:widowControl/>
              <w:snapToGrid w:val="0"/>
              <w:spacing w:line="360" w:lineRule="auto"/>
              <w:rPr>
                <w:rFonts w:ascii="宋体" w:hAnsi="宋体" w:cs="宋体"/>
                <w:color w:val="auto"/>
                <w:sz w:val="24"/>
              </w:rPr>
            </w:pPr>
            <w:r>
              <w:rPr>
                <w:rFonts w:hint="eastAsia" w:ascii="宋体" w:hAnsi="宋体" w:cs="宋体"/>
                <w:color w:val="auto"/>
                <w:sz w:val="24"/>
              </w:rPr>
              <w:t>（1）成交供应商须与采购人协商，制定完整的培训计划并通过采购人认可后才能实施培训；</w:t>
            </w:r>
          </w:p>
          <w:p>
            <w:pPr>
              <w:widowControl/>
              <w:snapToGrid w:val="0"/>
              <w:spacing w:line="360" w:lineRule="auto"/>
              <w:rPr>
                <w:rFonts w:ascii="宋体" w:hAnsi="宋体" w:cs="宋体"/>
                <w:color w:val="auto"/>
                <w:sz w:val="24"/>
              </w:rPr>
            </w:pPr>
            <w:r>
              <w:rPr>
                <w:rFonts w:hint="eastAsia" w:ascii="宋体" w:hAnsi="宋体" w:cs="宋体"/>
                <w:color w:val="auto"/>
                <w:sz w:val="24"/>
              </w:rPr>
              <w:t>（2）成交供应商应指派相关专家、专业技术人员负责培训工作，提供培训次数不得少于3次，具体培训人数、时间及地点由采购人确定；</w:t>
            </w:r>
          </w:p>
          <w:p>
            <w:pPr>
              <w:widowControl/>
              <w:snapToGrid w:val="0"/>
              <w:spacing w:line="360" w:lineRule="auto"/>
              <w:rPr>
                <w:rFonts w:ascii="宋体" w:hAnsi="宋体" w:cs="宋体"/>
                <w:color w:val="auto"/>
                <w:sz w:val="24"/>
              </w:rPr>
            </w:pPr>
            <w:r>
              <w:rPr>
                <w:rFonts w:hint="eastAsia" w:ascii="宋体" w:hAnsi="宋体" w:cs="宋体"/>
                <w:color w:val="auto"/>
                <w:sz w:val="24"/>
              </w:rPr>
              <w:t>（3）培训相关费用已包含在采购费用中，成交供应商不得另行收取培训费用。</w:t>
            </w:r>
          </w:p>
          <w:p>
            <w:pPr>
              <w:widowControl/>
              <w:snapToGrid w:val="0"/>
              <w:spacing w:line="360" w:lineRule="auto"/>
              <w:rPr>
                <w:rFonts w:ascii="宋体" w:hAnsi="宋体" w:cs="宋体"/>
                <w:color w:val="auto"/>
                <w:sz w:val="24"/>
              </w:rPr>
            </w:pPr>
            <w:r>
              <w:rPr>
                <w:rFonts w:hint="eastAsia" w:ascii="宋体" w:hAnsi="宋体" w:cs="宋体"/>
                <w:color w:val="auto"/>
                <w:sz w:val="24"/>
              </w:rPr>
              <w:t>八、安全与保密要求</w:t>
            </w:r>
          </w:p>
          <w:p>
            <w:pPr>
              <w:widowControl/>
              <w:snapToGrid w:val="0"/>
              <w:spacing w:line="360" w:lineRule="auto"/>
              <w:rPr>
                <w:rFonts w:ascii="宋体" w:hAnsi="宋体" w:cs="宋体"/>
                <w:color w:val="auto"/>
                <w:sz w:val="24"/>
              </w:rPr>
            </w:pPr>
            <w:r>
              <w:rPr>
                <w:rFonts w:hint="eastAsia" w:ascii="宋体" w:hAnsi="宋体" w:cs="宋体"/>
                <w:color w:val="auto"/>
                <w:sz w:val="24"/>
              </w:rPr>
              <w:t>(1) 成交供应商需对可能出现的安全问题需提出详细的解决方案和具体的措施，不允许通过设置“后门”实现服务。</w:t>
            </w:r>
          </w:p>
          <w:p>
            <w:pPr>
              <w:widowControl/>
              <w:snapToGrid w:val="0"/>
              <w:spacing w:line="360" w:lineRule="auto"/>
              <w:rPr>
                <w:rFonts w:ascii="宋体" w:hAnsi="宋体" w:cs="宋体"/>
                <w:color w:val="auto"/>
                <w:sz w:val="24"/>
              </w:rPr>
            </w:pPr>
            <w:r>
              <w:rPr>
                <w:rFonts w:hint="eastAsia" w:ascii="宋体" w:hAnsi="宋体" w:cs="宋体"/>
                <w:color w:val="auto"/>
                <w:sz w:val="24"/>
              </w:rPr>
              <w:t>(2) 成交供应商应无条件接受项目业主方单位的保密约定，包括在合同期结束后承诺保密义务，并承担相应的涉密责任。</w:t>
            </w:r>
          </w:p>
          <w:p>
            <w:pPr>
              <w:widowControl/>
              <w:snapToGrid w:val="0"/>
              <w:spacing w:line="360" w:lineRule="auto"/>
              <w:rPr>
                <w:rFonts w:ascii="宋体" w:hAnsi="宋体" w:cs="宋体"/>
                <w:color w:val="auto"/>
                <w:sz w:val="24"/>
              </w:rPr>
            </w:pPr>
            <w:r>
              <w:rPr>
                <w:rFonts w:hint="eastAsia" w:ascii="宋体" w:hAnsi="宋体" w:cs="宋体"/>
                <w:color w:val="auto"/>
                <w:sz w:val="24"/>
              </w:rPr>
              <w:t>九、其他要求</w:t>
            </w:r>
          </w:p>
          <w:p>
            <w:pPr>
              <w:widowControl/>
              <w:snapToGrid w:val="0"/>
              <w:spacing w:line="360" w:lineRule="auto"/>
              <w:rPr>
                <w:rFonts w:ascii="宋体" w:hAnsi="宋体" w:cs="宋体"/>
                <w:color w:val="auto"/>
                <w:sz w:val="24"/>
              </w:rPr>
            </w:pPr>
            <w:r>
              <w:rPr>
                <w:rFonts w:hint="eastAsia" w:ascii="宋体" w:hAnsi="宋体" w:cs="宋体"/>
                <w:color w:val="auto"/>
                <w:sz w:val="24"/>
              </w:rPr>
              <w:t>★1.报价必须含以下部分：包括:</w:t>
            </w:r>
          </w:p>
          <w:p>
            <w:pPr>
              <w:widowControl/>
              <w:snapToGrid w:val="0"/>
              <w:spacing w:line="360" w:lineRule="auto"/>
              <w:rPr>
                <w:rFonts w:ascii="宋体" w:hAnsi="宋体" w:cs="宋体"/>
                <w:color w:val="auto"/>
                <w:sz w:val="24"/>
              </w:rPr>
            </w:pPr>
            <w:r>
              <w:rPr>
                <w:rFonts w:hint="eastAsia" w:ascii="宋体" w:hAnsi="宋体" w:cs="宋体"/>
                <w:color w:val="auto"/>
                <w:sz w:val="24"/>
              </w:rPr>
              <w:t>(1)服务的价格；</w:t>
            </w:r>
          </w:p>
          <w:p>
            <w:pPr>
              <w:widowControl/>
              <w:snapToGrid w:val="0"/>
              <w:spacing w:line="360" w:lineRule="auto"/>
              <w:rPr>
                <w:rFonts w:ascii="宋体" w:hAnsi="宋体" w:cs="宋体"/>
                <w:color w:val="auto"/>
                <w:sz w:val="24"/>
              </w:rPr>
            </w:pPr>
            <w:r>
              <w:rPr>
                <w:rFonts w:hint="eastAsia" w:ascii="宋体" w:hAnsi="宋体" w:cs="宋体"/>
                <w:color w:val="auto"/>
                <w:sz w:val="24"/>
              </w:rPr>
              <w:t>(2)必要的保险费用和各项税金；</w:t>
            </w:r>
          </w:p>
          <w:p>
            <w:pPr>
              <w:widowControl/>
              <w:snapToGrid w:val="0"/>
              <w:spacing w:line="360" w:lineRule="auto"/>
              <w:rPr>
                <w:rFonts w:ascii="宋体" w:hAnsi="宋体" w:cs="宋体"/>
                <w:color w:val="auto"/>
                <w:sz w:val="24"/>
              </w:rPr>
            </w:pPr>
            <w:r>
              <w:rPr>
                <w:rFonts w:hint="eastAsia" w:ascii="宋体" w:hAnsi="宋体" w:cs="宋体"/>
                <w:color w:val="auto"/>
                <w:sz w:val="24"/>
              </w:rPr>
              <w:t>(3)安装、调试、培训、技术支持，售后服务、更新升级等费用。</w:t>
            </w:r>
          </w:p>
          <w:p>
            <w:pPr>
              <w:widowControl/>
              <w:snapToGrid w:val="0"/>
              <w:spacing w:line="360" w:lineRule="auto"/>
              <w:rPr>
                <w:rFonts w:ascii="宋体" w:hAnsi="宋体" w:cs="宋体"/>
                <w:color w:val="auto"/>
                <w:sz w:val="24"/>
              </w:rPr>
            </w:pPr>
            <w:r>
              <w:rPr>
                <w:rFonts w:hint="eastAsia" w:ascii="宋体" w:hAnsi="宋体" w:cs="宋体"/>
                <w:color w:val="auto"/>
                <w:sz w:val="24"/>
              </w:rPr>
              <w:t>★2、付款方式:本项目无预付款，成交供应商完成开发，提交验收材料并通过采购人确认合格后，采购人向成交供应商一次性支付合同全款。</w:t>
            </w:r>
          </w:p>
        </w:tc>
      </w:tr>
      <w:bookmarkEnd w:id="23"/>
    </w:tbl>
    <w:p>
      <w:pPr>
        <w:pStyle w:val="2"/>
        <w:rPr>
          <w:rFonts w:asciiTheme="majorEastAsia" w:hAnsiTheme="majorEastAsia" w:eastAsiaTheme="majorEastAsia"/>
          <w:color w:val="000000" w:themeColor="text1"/>
        </w:rPr>
        <w:sectPr>
          <w:pgSz w:w="11906" w:h="16838"/>
          <w:pgMar w:top="1440" w:right="1080" w:bottom="1118" w:left="1080" w:header="720" w:footer="720" w:gutter="0"/>
          <w:cols w:space="720" w:num="1"/>
          <w:docGrid w:type="lines" w:linePitch="331" w:charSpace="0"/>
        </w:sectPr>
      </w:pPr>
    </w:p>
    <w:p>
      <w:pPr>
        <w:widowControl/>
        <w:jc w:val="center"/>
        <w:outlineLvl w:val="0"/>
        <w:rPr>
          <w:rFonts w:asciiTheme="majorEastAsia" w:hAnsiTheme="majorEastAsia" w:eastAsiaTheme="majorEastAsia" w:cstheme="majorEastAsia"/>
          <w:color w:val="000000" w:themeColor="text1"/>
        </w:rPr>
      </w:pPr>
      <w:bookmarkStart w:id="30" w:name="_Toc508092927"/>
      <w:bookmarkStart w:id="31" w:name="_Toc2911"/>
      <w:bookmarkStart w:id="32" w:name="_Toc13451"/>
      <w:bookmarkStart w:id="33" w:name="_Toc10048"/>
      <w:bookmarkStart w:id="34" w:name="_Toc32126"/>
      <w:r>
        <w:rPr>
          <w:rFonts w:hint="eastAsia" w:asciiTheme="majorEastAsia" w:hAnsiTheme="majorEastAsia" w:eastAsiaTheme="majorEastAsia" w:cstheme="majorEastAsia"/>
          <w:b/>
          <w:color w:val="000000" w:themeColor="text1"/>
          <w:sz w:val="36"/>
        </w:rPr>
        <w:t>第三章  评审方法</w:t>
      </w:r>
      <w:bookmarkEnd w:id="30"/>
      <w:bookmarkEnd w:id="31"/>
      <w:bookmarkEnd w:id="32"/>
      <w:bookmarkEnd w:id="33"/>
      <w:bookmarkEnd w:id="34"/>
    </w:p>
    <w:p>
      <w:pPr>
        <w:pStyle w:val="9"/>
        <w:spacing w:line="324" w:lineRule="auto"/>
        <w:jc w:val="center"/>
        <w:rPr>
          <w:rFonts w:asciiTheme="majorEastAsia" w:hAnsiTheme="majorEastAsia" w:eastAsiaTheme="majorEastAsia"/>
          <w:b/>
          <w:color w:val="000000" w:themeColor="text1"/>
          <w:sz w:val="36"/>
        </w:rPr>
      </w:pPr>
      <w:r>
        <w:rPr>
          <w:rFonts w:asciiTheme="majorEastAsia" w:hAnsiTheme="majorEastAsia" w:eastAsiaTheme="majorEastAsia"/>
          <w:b/>
          <w:color w:val="000000" w:themeColor="text1"/>
          <w:sz w:val="30"/>
          <w:szCs w:val="30"/>
        </w:rPr>
        <w:t>综合评分法</w:t>
      </w:r>
    </w:p>
    <w:p>
      <w:pPr>
        <w:spacing w:line="324" w:lineRule="auto"/>
        <w:ind w:firstLine="480" w:firstLineChars="200"/>
        <w:rPr>
          <w:rFonts w:cs="宋体"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hint="eastAsia" w:cs="宋体" w:asciiTheme="majorEastAsia" w:hAnsiTheme="majorEastAsia" w:eastAsiaTheme="majorEastAsia"/>
          <w:color w:val="000000" w:themeColor="text1"/>
          <w:sz w:val="24"/>
        </w:rPr>
        <w:t>一）磋商小组以采购文件为依据，对响应文件进行评审，对磋商供应商的响应报价、技术文件、商务文件等三部分内容按百分制打分，其中价格分15分，技术分40分，商务分45分。（对于带有主观因素的评分，由磋商小组在打分前确定方案档次标准后，对各磋商供应商技术文件各部分的优劣程度应由各评委独立进行评价、打分。）</w:t>
      </w:r>
    </w:p>
    <w:p>
      <w:pPr>
        <w:spacing w:line="324" w:lineRule="auto"/>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（二）评分细则：（按四舍五入取至百分位）</w:t>
      </w:r>
    </w:p>
    <w:p>
      <w:pPr>
        <w:spacing w:line="324" w:lineRule="auto"/>
        <w:ind w:firstLine="482" w:firstLineChars="200"/>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1、价格分………………………………………………………………………………15分</w:t>
      </w:r>
    </w:p>
    <w:p>
      <w:pPr>
        <w:pStyle w:val="9"/>
        <w:spacing w:line="324"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对于非专门面向中小企业的项目，对小型和微型企业产品的价格给予10%的价格扣除，扣除后的价格为评标价，即评标价＝响应报价×（1-10%）；（以磋商供应商按第五章“响应文件格式”要求提供的《报价表》和《中小企业声明函》为评分依据）</w:t>
      </w:r>
    </w:p>
    <w:p>
      <w:pPr>
        <w:pStyle w:val="9"/>
        <w:spacing w:line="324"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响应报价×（1-2%）；（以磋商供应商按第五章“响应文件格式”要求提供的《报价表》、《中小企业声明函》和《联合体协议书》为评分依据）</w:t>
      </w:r>
    </w:p>
    <w:p>
      <w:pPr>
        <w:pStyle w:val="9"/>
        <w:spacing w:line="324"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响应产品提供企业按《关于政府采购支持监狱企业发展有关问题的通知》(财库[2014]68号)认定为监狱企业的，在政府采购活动中，监狱企业视同小型、微型企业。（以磋商供应商按第五章“响应文件格式”要求提供的《报价表》和由省级以上监狱管理局、戒毒管理局(含新疆生产建设兵团)出具的属于监狱企业的证明文件为评分依据。</w:t>
      </w:r>
    </w:p>
    <w:p>
      <w:pPr>
        <w:pStyle w:val="9"/>
        <w:spacing w:line="324" w:lineRule="auto"/>
        <w:ind w:firstLine="480" w:firstLineChars="200"/>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z w:val="24"/>
          <w:szCs w:val="24"/>
        </w:rPr>
        <w:t>（4）投标产品提供企业按《关于促进残疾人就业政府采购政策的通知》(财库〔2017〕141号)认定为残疾人福利性单位的，在政府采购活动中，残疾人福利性单位视同小型、微型企业。</w:t>
      </w:r>
      <w:r>
        <w:rPr>
          <w:rFonts w:hint="eastAsia" w:asciiTheme="majorEastAsia" w:hAnsiTheme="majorEastAsia" w:eastAsiaTheme="majorEastAsia" w:cstheme="majorEastAsia"/>
          <w:color w:val="000000" w:themeColor="text1"/>
          <w:sz w:val="24"/>
          <w:szCs w:val="24"/>
        </w:rPr>
        <w:t>残疾人福利性单位参加政府采购活动时，应当提供该通知规定的《残疾人福利性单位声明函》，并对声明的真实性负责。声明函应随成交结果同时公告，接受社会监督。</w:t>
      </w:r>
      <w:r>
        <w:rPr>
          <w:rFonts w:asciiTheme="majorEastAsia" w:hAnsiTheme="majorEastAsia" w:eastAsiaTheme="majorEastAsia" w:cstheme="majorEastAsia"/>
          <w:color w:val="000000" w:themeColor="text1"/>
          <w:sz w:val="24"/>
          <w:szCs w:val="24"/>
        </w:rPr>
        <w:t>（以磋商供应商按第五章“投标文件格式”要求提供的《报价表》和《残疾人福利性单位声明函》为评分依据）</w:t>
      </w:r>
      <w:r>
        <w:rPr>
          <w:rFonts w:hint="eastAsia" w:asciiTheme="majorEastAsia" w:hAnsiTheme="majorEastAsia" w:eastAsiaTheme="majorEastAsia" w:cstheme="majorEastAsia"/>
          <w:color w:val="000000" w:themeColor="text1"/>
          <w:sz w:val="24"/>
          <w:szCs w:val="24"/>
        </w:rPr>
        <w:t>。</w:t>
      </w:r>
    </w:p>
    <w:p>
      <w:pPr>
        <w:pStyle w:val="9"/>
        <w:spacing w:line="324"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（5）除上述情况外，评标价＝响应报价；</w:t>
      </w:r>
    </w:p>
    <w:p>
      <w:pPr>
        <w:spacing w:line="324" w:lineRule="auto"/>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（6）价格分计算公式：</w:t>
      </w:r>
    </w:p>
    <w:p>
      <w:pPr>
        <w:pStyle w:val="8"/>
        <w:spacing w:line="324" w:lineRule="auto"/>
        <w:ind w:firstLine="3840" w:firstLineChars="16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pacing w:val="0"/>
          <w:sz w:val="24"/>
          <w:szCs w:val="24"/>
        </w:rPr>
        <w:t>磋商供应商最低评</w:t>
      </w:r>
      <w:r>
        <w:rPr>
          <w:rFonts w:hint="eastAsia" w:asciiTheme="majorEastAsia" w:hAnsiTheme="majorEastAsia" w:eastAsiaTheme="majorEastAsia" w:cstheme="majorEastAsia"/>
          <w:color w:val="000000" w:themeColor="text1"/>
          <w:sz w:val="24"/>
          <w:szCs w:val="24"/>
        </w:rPr>
        <w:t>标价金额</w:t>
      </w:r>
    </w:p>
    <w:p>
      <w:pPr>
        <w:pStyle w:val="8"/>
        <w:spacing w:line="324" w:lineRule="auto"/>
        <w:ind w:firstLine="1200" w:firstLineChars="500"/>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pacing w:val="0"/>
          <w:sz w:val="24"/>
          <w:szCs w:val="24"/>
        </w:rPr>
        <w:pict>
          <v:line id="_x0000_s1026" o:spid="_x0000_s1026" o:spt="20" style="position:absolute;left:0pt;margin-left:199.5pt;margin-top:12.7pt;height:0pt;width:131.55pt;z-index:251660288;mso-width-relative:page;mso-height-relative:page;" coordsize="21600,21600" o:gfxdata="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vrC&#10;PNcAAAAJAQAADwAAAAAAAAABACAAAAAiAAAAZHJzL2Rvd25yZXYueG1sUEsBAhQAFAAAAAgAh07i&#10;QAie7UbqAQAAuAMAAA4AAAAAAAAAAQAgAAAAJgEAAGRycy9lMm9Eb2MueG1sUEsFBgAAAAAGAAYA&#10;WQEAAIIFAAAAAA==&#10;">
            <v:path arrowok="t"/>
            <v:fill focussize="0,0"/>
            <v:stroke/>
            <v:imagedata o:title=""/>
            <o:lock v:ext="edit"/>
          </v:line>
        </w:pict>
      </w:r>
      <w:r>
        <w:rPr>
          <w:rFonts w:hint="eastAsia" w:asciiTheme="majorEastAsia" w:hAnsiTheme="majorEastAsia" w:eastAsiaTheme="majorEastAsia" w:cstheme="majorEastAsia"/>
          <w:color w:val="000000" w:themeColor="text1"/>
          <w:spacing w:val="0"/>
          <w:sz w:val="24"/>
          <w:szCs w:val="24"/>
        </w:rPr>
        <w:t>某磋商供应商价格</w:t>
      </w:r>
      <w:r>
        <w:rPr>
          <w:rFonts w:hint="eastAsia" w:asciiTheme="majorEastAsia" w:hAnsiTheme="majorEastAsia" w:eastAsiaTheme="majorEastAsia" w:cstheme="majorEastAsia"/>
          <w:color w:val="000000" w:themeColor="text1"/>
          <w:sz w:val="24"/>
          <w:szCs w:val="24"/>
        </w:rPr>
        <w:t>分 ＝                             × 15分</w:t>
      </w:r>
    </w:p>
    <w:p>
      <w:pPr>
        <w:pStyle w:val="8"/>
        <w:spacing w:line="324" w:lineRule="auto"/>
        <w:ind w:firstLine="464" w:firstLineChars="200"/>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sz w:val="24"/>
          <w:szCs w:val="24"/>
        </w:rPr>
        <w:t xml:space="preserve">                   　          </w:t>
      </w:r>
      <w:r>
        <w:rPr>
          <w:rFonts w:hint="eastAsia" w:asciiTheme="majorEastAsia" w:hAnsiTheme="majorEastAsia" w:eastAsiaTheme="majorEastAsia" w:cstheme="majorEastAsia"/>
          <w:color w:val="000000" w:themeColor="text1"/>
          <w:spacing w:val="0"/>
          <w:sz w:val="24"/>
          <w:szCs w:val="24"/>
        </w:rPr>
        <w:t>某磋商供应商评标</w:t>
      </w:r>
      <w:r>
        <w:rPr>
          <w:rFonts w:hint="eastAsia" w:asciiTheme="majorEastAsia" w:hAnsiTheme="majorEastAsia" w:eastAsiaTheme="majorEastAsia" w:cstheme="majorEastAsia"/>
          <w:color w:val="000000" w:themeColor="text1"/>
          <w:sz w:val="24"/>
          <w:szCs w:val="24"/>
        </w:rPr>
        <w:t>价金额</w:t>
      </w:r>
    </w:p>
    <w:p>
      <w:pPr>
        <w:numPr>
          <w:ilvl w:val="0"/>
          <w:numId w:val="6"/>
        </w:numPr>
        <w:spacing w:line="44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技术分………………………………………………………………40分</w:t>
      </w:r>
    </w:p>
    <w:p>
      <w:pPr>
        <w:spacing w:line="440" w:lineRule="exact"/>
        <w:ind w:firstLine="480" w:firstLineChars="200"/>
        <w:rPr>
          <w:rFonts w:asciiTheme="minorEastAsia" w:hAnsiTheme="minorEastAsia" w:cstheme="minorEastAsia"/>
          <w:sz w:val="24"/>
        </w:rPr>
      </w:pPr>
      <w:r>
        <w:rPr>
          <w:rFonts w:hAnsi="宋体"/>
          <w:bCs/>
          <w:color w:val="000000" w:themeColor="text1"/>
          <w:sz w:val="24"/>
        </w:rPr>
        <w:t>（</w:t>
      </w:r>
      <w:r>
        <w:rPr>
          <w:rFonts w:hint="eastAsia" w:asciiTheme="minorEastAsia" w:hAnsiTheme="minorEastAsia" w:cstheme="minorEastAsia"/>
          <w:sz w:val="24"/>
        </w:rPr>
        <w:t>1）项目设计方案分（满分</w:t>
      </w:r>
      <w:r>
        <w:rPr>
          <w:rFonts w:asciiTheme="minorEastAsia" w:hAnsiTheme="minorEastAsia" w:cstheme="minorEastAsia"/>
          <w:sz w:val="24"/>
        </w:rPr>
        <w:t>20</w:t>
      </w:r>
      <w:r>
        <w:rPr>
          <w:rFonts w:hint="eastAsia" w:asciiTheme="minorEastAsia" w:hAnsiTheme="minorEastAsia" w:cstheme="minorEastAsia"/>
          <w:sz w:val="24"/>
        </w:rPr>
        <w:t>分，不提供方案或不满足一档不得分。）</w:t>
      </w:r>
    </w:p>
    <w:p>
      <w:pPr>
        <w:spacing w:line="440" w:lineRule="exact"/>
        <w:ind w:firstLine="480" w:firstLineChars="200"/>
        <w:rPr>
          <w:rFonts w:cs="等线" w:asciiTheme="minorEastAsia" w:hAnsiTheme="minorEastAsia" w:eastAsiaTheme="minorEastAsia"/>
          <w:sz w:val="24"/>
        </w:rPr>
      </w:pPr>
      <w:r>
        <w:rPr>
          <w:rFonts w:hint="eastAsia" w:ascii="等线" w:hAnsi="等线" w:cs="等线"/>
          <w:sz w:val="24"/>
        </w:rPr>
        <w:t>一</w:t>
      </w:r>
      <w:r>
        <w:rPr>
          <w:rFonts w:hint="eastAsia" w:cs="等线" w:asciiTheme="minorEastAsia" w:hAnsiTheme="minorEastAsia" w:eastAsiaTheme="minorEastAsia"/>
          <w:sz w:val="24"/>
        </w:rPr>
        <w:t>档（5分）：磋商供应商能提供简单的技术方案，基本满足采购文件要求的；</w:t>
      </w:r>
    </w:p>
    <w:p>
      <w:pPr>
        <w:spacing w:line="440" w:lineRule="exact"/>
        <w:ind w:firstLine="480" w:firstLineChars="200"/>
        <w:rPr>
          <w:rFonts w:cs="等线" w:asciiTheme="minorEastAsia" w:hAnsiTheme="minorEastAsia" w:eastAsiaTheme="minorEastAsia"/>
          <w:sz w:val="24"/>
        </w:rPr>
      </w:pPr>
      <w:r>
        <w:rPr>
          <w:rFonts w:hint="eastAsia" w:cs="等线" w:asciiTheme="minorEastAsia" w:hAnsiTheme="minorEastAsia" w:eastAsiaTheme="minorEastAsia"/>
          <w:sz w:val="24"/>
        </w:rPr>
        <w:t>二档（10分）：磋商供应商能提供简单的技术方案，简单描述项目的建设目标、建设内容，无明显错误；</w:t>
      </w:r>
    </w:p>
    <w:p>
      <w:pPr>
        <w:spacing w:line="440" w:lineRule="exact"/>
        <w:ind w:firstLine="480" w:firstLineChars="200"/>
        <w:rPr>
          <w:rFonts w:cs="等线" w:asciiTheme="minorEastAsia" w:hAnsiTheme="minorEastAsia" w:eastAsiaTheme="minorEastAsia"/>
          <w:sz w:val="24"/>
        </w:rPr>
      </w:pPr>
      <w:r>
        <w:rPr>
          <w:rFonts w:hint="eastAsia" w:cs="等线" w:asciiTheme="minorEastAsia" w:hAnsiTheme="minorEastAsia" w:eastAsiaTheme="minorEastAsia"/>
          <w:sz w:val="24"/>
        </w:rPr>
        <w:t>三档（15分）：磋商供应商能提供比较详细的技术方案，且对本项目工作任务、平台建设要求把握较好，能描述项目的技术路线、作业流程，技术设计书阐述比较详细，无明显错误，满足采购文件要求；</w:t>
      </w:r>
    </w:p>
    <w:p>
      <w:pPr>
        <w:spacing w:line="440" w:lineRule="exact"/>
        <w:ind w:firstLine="480" w:firstLineChars="200"/>
        <w:rPr>
          <w:rFonts w:cs="等线" w:asciiTheme="minorEastAsia" w:hAnsiTheme="minorEastAsia" w:eastAsiaTheme="minorEastAsia"/>
          <w:sz w:val="24"/>
        </w:rPr>
      </w:pPr>
      <w:r>
        <w:rPr>
          <w:rFonts w:hint="eastAsia" w:cs="等线" w:asciiTheme="minorEastAsia" w:hAnsiTheme="minorEastAsia" w:eastAsiaTheme="minorEastAsia"/>
          <w:sz w:val="24"/>
        </w:rPr>
        <w:t>四档（20分）：在满足三档的基础上，磋商供应商能提供详细的技术方案，且能结合南宁市物业服务管理平台一期现状详细描述项目建设方案。能详细阐述系统建设目标、建设内容、整体架构、系统功能、物业维修资金申请以及业委会成立的流程，能准确地描述本项目与南宁市房屋交易监管系统及物业资金监管系统有效对接的技术可行性方案，需求分析详细明确。</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（2）项目实施方案分（满分</w:t>
      </w:r>
      <w:r>
        <w:rPr>
          <w:rFonts w:asciiTheme="minorEastAsia" w:hAnsiTheme="minorEastAsia" w:eastAsiaTheme="minorEastAsia" w:cstheme="minorEastAsia"/>
          <w:sz w:val="24"/>
        </w:rPr>
        <w:t>20</w:t>
      </w:r>
      <w:r>
        <w:rPr>
          <w:rFonts w:hint="eastAsia" w:asciiTheme="minorEastAsia" w:hAnsiTheme="minorEastAsia" w:eastAsiaTheme="minorEastAsia" w:cstheme="minorEastAsia"/>
          <w:sz w:val="24"/>
        </w:rPr>
        <w:t>分，不提供方案或不满足一档不得分。）</w:t>
      </w:r>
    </w:p>
    <w:p>
      <w:pPr>
        <w:spacing w:line="440" w:lineRule="exact"/>
        <w:ind w:firstLine="480" w:firstLineChars="200"/>
        <w:rPr>
          <w:rFonts w:cs="等线" w:asciiTheme="minorEastAsia" w:hAnsiTheme="minorEastAsia" w:eastAsiaTheme="minorEastAsia"/>
          <w:sz w:val="24"/>
        </w:rPr>
      </w:pPr>
      <w:r>
        <w:rPr>
          <w:rFonts w:hint="eastAsia" w:cs="等线" w:asciiTheme="minorEastAsia" w:hAnsiTheme="minorEastAsia" w:eastAsiaTheme="minorEastAsia"/>
          <w:sz w:val="24"/>
        </w:rPr>
        <w:t>一档（5分）：磋商供应商能提供简单的实施方案的，基本满足采购文件要求的；</w:t>
      </w:r>
    </w:p>
    <w:p>
      <w:pPr>
        <w:spacing w:line="440" w:lineRule="exact"/>
        <w:ind w:firstLine="480" w:firstLineChars="200"/>
        <w:rPr>
          <w:rFonts w:cs="等线" w:asciiTheme="minorEastAsia" w:hAnsiTheme="minorEastAsia" w:eastAsiaTheme="minorEastAsia"/>
          <w:sz w:val="24"/>
        </w:rPr>
      </w:pPr>
      <w:r>
        <w:rPr>
          <w:rFonts w:hint="eastAsia" w:cs="等线" w:asciiTheme="minorEastAsia" w:hAnsiTheme="minorEastAsia" w:eastAsiaTheme="minorEastAsia"/>
          <w:sz w:val="24"/>
        </w:rPr>
        <w:t>二档（10分）：磋商供应商能提供简单的实施方案的，满足采购文件要求，基本阐述清楚实施方法及保障措施、形成项目管理文档计划；</w:t>
      </w:r>
    </w:p>
    <w:p>
      <w:pPr>
        <w:spacing w:line="440" w:lineRule="exact"/>
        <w:ind w:firstLine="480" w:firstLineChars="200"/>
        <w:rPr>
          <w:rFonts w:cs="等线" w:asciiTheme="minorEastAsia" w:hAnsiTheme="minorEastAsia" w:eastAsiaTheme="minorEastAsia"/>
          <w:sz w:val="24"/>
        </w:rPr>
      </w:pPr>
      <w:r>
        <w:rPr>
          <w:rFonts w:hint="eastAsia" w:cs="等线" w:asciiTheme="minorEastAsia" w:hAnsiTheme="minorEastAsia" w:eastAsiaTheme="minorEastAsia"/>
          <w:sz w:val="24"/>
        </w:rPr>
        <w:t>三档（15分）：在满足二档的基础上，磋商供应商能提供比较详细的实施方案，有项目管理组织机构、拟投入人员安排及进度安排，方案可行、科学合理；</w:t>
      </w:r>
    </w:p>
    <w:p>
      <w:pPr>
        <w:spacing w:line="440" w:lineRule="exact"/>
        <w:ind w:firstLine="480" w:firstLineChars="200"/>
        <w:rPr>
          <w:rFonts w:cs="等线" w:asciiTheme="minorEastAsia" w:hAnsiTheme="minorEastAsia" w:eastAsiaTheme="minorEastAsia"/>
          <w:sz w:val="24"/>
        </w:rPr>
      </w:pPr>
      <w:r>
        <w:rPr>
          <w:rFonts w:hint="eastAsia" w:cs="等线" w:asciiTheme="minorEastAsia" w:hAnsiTheme="minorEastAsia" w:eastAsiaTheme="minorEastAsia"/>
          <w:sz w:val="24"/>
        </w:rPr>
        <w:t>四档（20分）：在满足三档的基础上，磋商供应商能提供详细的项目实施方案，详细说明各个阶段工作安排，阐述清楚实施组织办法及保障措施，指明项目重点难点及解决办法，说明质量管理、进度计划，具有较完备的管理组织、项目实施规范和管理制度，有较完备的质量管理体系并设置专职质量检查部门。</w:t>
      </w:r>
    </w:p>
    <w:p>
      <w:pPr>
        <w:numPr>
          <w:ilvl w:val="0"/>
          <w:numId w:val="6"/>
        </w:numPr>
        <w:spacing w:line="440" w:lineRule="exact"/>
        <w:ind w:firstLine="482" w:firstLineChars="200"/>
        <w:rPr>
          <w:rFonts w:cs="宋体" w:asciiTheme="minorEastAsia" w:hAnsiTheme="minorEastAsia" w:eastAsiaTheme="minorEastAsia"/>
          <w:b/>
          <w:color w:val="000000" w:themeColor="text1"/>
          <w:sz w:val="24"/>
        </w:rPr>
      </w:pPr>
      <w:r>
        <w:rPr>
          <w:rFonts w:hint="eastAsia" w:cs="宋体" w:asciiTheme="minorEastAsia" w:hAnsiTheme="minorEastAsia" w:eastAsiaTheme="minorEastAsia"/>
          <w:b/>
          <w:color w:val="000000" w:themeColor="text1"/>
          <w:sz w:val="24"/>
        </w:rPr>
        <w:t>商务分…………………………………………………………………45分</w:t>
      </w:r>
    </w:p>
    <w:p>
      <w:pPr>
        <w:spacing w:line="440" w:lineRule="exact"/>
        <w:ind w:firstLine="480" w:firstLineChars="200"/>
        <w:rPr>
          <w:rFonts w:cs="等线" w:asciiTheme="minorEastAsia" w:hAnsiTheme="minorEastAsia" w:eastAsiaTheme="minorEastAsia"/>
          <w:sz w:val="24"/>
        </w:rPr>
      </w:pPr>
      <w:r>
        <w:rPr>
          <w:rFonts w:hint="eastAsia" w:cs="等线" w:asciiTheme="minorEastAsia" w:hAnsiTheme="minorEastAsia" w:eastAsiaTheme="minorEastAsia"/>
          <w:sz w:val="24"/>
        </w:rPr>
        <w:t>（1）磋商供应商能力和信誉（14分）</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1）磋商供应商提供有效期内质量管理体系认证证书得2分，未提供不得分；</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2）磋商供应商提供有效期内职业健康安全管理体系证书得2分，未提供不得分；</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3）磋商供应商提供有效期内环境管理体系证书得</w:t>
      </w:r>
      <w:r>
        <w:rPr>
          <w:rFonts w:asciiTheme="minorEastAsia" w:hAnsiTheme="minorEastAsia" w:eastAsiaTheme="minorEastAsia" w:cstheme="minorEastAsia"/>
          <w:sz w:val="24"/>
        </w:rPr>
        <w:t>3</w:t>
      </w:r>
      <w:r>
        <w:rPr>
          <w:rFonts w:hint="eastAsia" w:asciiTheme="minorEastAsia" w:hAnsiTheme="minorEastAsia" w:eastAsiaTheme="minorEastAsia" w:cstheme="minorEastAsia"/>
          <w:sz w:val="24"/>
        </w:rPr>
        <w:t>分，未提供不得分；</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4）磋商供应商提供有效期内信息安全管理体系证书得</w:t>
      </w:r>
      <w:r>
        <w:rPr>
          <w:rFonts w:asciiTheme="minorEastAsia" w:hAnsiTheme="minorEastAsia" w:eastAsiaTheme="minorEastAsia" w:cstheme="minorEastAsia"/>
          <w:sz w:val="24"/>
        </w:rPr>
        <w:t>3</w:t>
      </w:r>
      <w:r>
        <w:rPr>
          <w:rFonts w:hint="eastAsia" w:asciiTheme="minorEastAsia" w:hAnsiTheme="minorEastAsia" w:eastAsiaTheme="minorEastAsia" w:cstheme="minorEastAsia"/>
          <w:sz w:val="24"/>
        </w:rPr>
        <w:t>分，未提供不得分；</w:t>
      </w:r>
    </w:p>
    <w:p>
      <w:pPr>
        <w:spacing w:line="440" w:lineRule="exact"/>
        <w:ind w:firstLine="480" w:firstLineChars="200"/>
        <w:rPr>
          <w:rFonts w:cs="等线" w:asciiTheme="minorEastAsia" w:hAnsiTheme="minorEastAsia" w:eastAsiaTheme="minorEastAsia"/>
          <w:sz w:val="24"/>
        </w:rPr>
      </w:pPr>
      <w:r>
        <w:rPr>
          <w:rFonts w:cs="等线" w:asciiTheme="minorEastAsia" w:hAnsiTheme="minorEastAsia" w:eastAsiaTheme="minorEastAsia"/>
          <w:sz w:val="24"/>
        </w:rPr>
        <w:t>5</w:t>
      </w:r>
      <w:r>
        <w:rPr>
          <w:rFonts w:hint="eastAsia" w:cs="等线" w:asciiTheme="minorEastAsia" w:hAnsiTheme="minorEastAsia" w:eastAsiaTheme="minorEastAsia"/>
          <w:sz w:val="24"/>
        </w:rPr>
        <w:t>）项目负责人具有正高级高级工程师专业技术职称得</w:t>
      </w:r>
      <w:r>
        <w:rPr>
          <w:rFonts w:cs="等线" w:asciiTheme="minorEastAsia" w:hAnsiTheme="minorEastAsia" w:eastAsiaTheme="minorEastAsia"/>
          <w:sz w:val="24"/>
        </w:rPr>
        <w:t>4</w:t>
      </w:r>
      <w:r>
        <w:rPr>
          <w:rFonts w:hint="eastAsia" w:cs="等线" w:asciiTheme="minorEastAsia" w:hAnsiTheme="minorEastAsia" w:eastAsiaTheme="minorEastAsia"/>
          <w:sz w:val="24"/>
        </w:rPr>
        <w:t>分</w:t>
      </w:r>
      <w:r>
        <w:rPr>
          <w:rFonts w:hint="eastAsia" w:asciiTheme="minorEastAsia" w:hAnsiTheme="minorEastAsia" w:eastAsiaTheme="minorEastAsia"/>
          <w:color w:val="000000"/>
          <w:sz w:val="24"/>
        </w:rPr>
        <w:t>，未提供不得分</w:t>
      </w:r>
      <w:r>
        <w:rPr>
          <w:rFonts w:hint="eastAsia" w:cs="等线" w:asciiTheme="minorEastAsia" w:hAnsiTheme="minorEastAsia" w:eastAsiaTheme="minorEastAsia"/>
          <w:sz w:val="24"/>
        </w:rPr>
        <w:t>。（需提交投标截止时间前三个月的社保证明复印件、原件备查）</w:t>
      </w:r>
    </w:p>
    <w:p>
      <w:pPr>
        <w:spacing w:line="440" w:lineRule="exact"/>
        <w:ind w:firstLine="480" w:firstLineChars="200"/>
        <w:rPr>
          <w:rFonts w:cs="等线" w:asciiTheme="minorEastAsia" w:hAnsiTheme="minorEastAsia" w:eastAsiaTheme="minorEastAsia"/>
          <w:sz w:val="24"/>
        </w:rPr>
      </w:pPr>
      <w:r>
        <w:rPr>
          <w:rFonts w:hint="eastAsia" w:cs="等线" w:asciiTheme="minorEastAsia" w:hAnsiTheme="minorEastAsia" w:eastAsiaTheme="minorEastAsia"/>
          <w:sz w:val="24"/>
        </w:rPr>
        <w:t>（2）磋商供应商业绩（16分）</w:t>
      </w:r>
    </w:p>
    <w:p>
      <w:pPr>
        <w:spacing w:line="440" w:lineRule="exact"/>
        <w:ind w:firstLine="480" w:firstLineChars="200"/>
        <w:rPr>
          <w:rFonts w:cs="等线" w:asciiTheme="minorEastAsia" w:hAnsiTheme="minorEastAsia" w:eastAsiaTheme="minorEastAsia"/>
          <w:sz w:val="24"/>
        </w:rPr>
      </w:pPr>
      <w:r>
        <w:rPr>
          <w:rFonts w:hint="eastAsia" w:cs="等线" w:asciiTheme="minorEastAsia" w:hAnsiTheme="minorEastAsia" w:eastAsiaTheme="minorEastAsia"/>
          <w:sz w:val="24"/>
        </w:rPr>
        <w:t>磋商供应商2017年以来同类业绩（数据库、信息系统软件开发类等），每项业绩得2分。（提供中标通知书或合同复印件）（满分16分）</w:t>
      </w:r>
    </w:p>
    <w:p>
      <w:pPr>
        <w:spacing w:line="440" w:lineRule="exact"/>
        <w:ind w:firstLine="480" w:firstLineChars="200"/>
        <w:rPr>
          <w:rFonts w:cs="等线" w:asciiTheme="minorEastAsia" w:hAnsiTheme="minorEastAsia" w:eastAsiaTheme="minorEastAsia"/>
          <w:sz w:val="24"/>
        </w:rPr>
      </w:pPr>
      <w:r>
        <w:rPr>
          <w:rFonts w:hint="eastAsia" w:cs="等线" w:asciiTheme="minorEastAsia" w:hAnsiTheme="minorEastAsia" w:eastAsiaTheme="minorEastAsia"/>
          <w:sz w:val="24"/>
        </w:rPr>
        <w:t>（3）磋商供应商荣誉（10分）</w:t>
      </w:r>
    </w:p>
    <w:p>
      <w:pPr>
        <w:spacing w:line="44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sz w:val="24"/>
        </w:rPr>
        <w:t>1）磋商供应商2017年以来获得市级或以上人民政府颁发的奖项的，每项得2分；（提供证书复印件）（满分4分）；</w:t>
      </w:r>
    </w:p>
    <w:p>
      <w:pPr>
        <w:spacing w:line="44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2）磋商供应商2017年以来获得省级行业行政主管部门或其认定的行业协会颁发的有关奖项，每项得0.5分；（提供证书复印件）（满分3分）</w:t>
      </w:r>
    </w:p>
    <w:p>
      <w:pPr>
        <w:spacing w:line="44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3）磋商供应商2017年以来获得全国性行业协会颁发的有关奖项的，每项得0.5分。（提供证书复印件）（满分3分）</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（4）本地化服务（5分）</w:t>
      </w:r>
    </w:p>
    <w:p>
      <w:pPr>
        <w:spacing w:line="440" w:lineRule="exact"/>
        <w:ind w:firstLine="480" w:firstLineChars="200"/>
        <w:rPr>
          <w:rFonts w:cs="等线" w:asciiTheme="minorEastAsia" w:hAnsiTheme="minorEastAsia" w:eastAsiaTheme="minorEastAsia"/>
          <w:sz w:val="24"/>
        </w:rPr>
      </w:pPr>
      <w:r>
        <w:rPr>
          <w:rFonts w:hint="eastAsia" w:cs="等线" w:asciiTheme="minorEastAsia" w:hAnsiTheme="minorEastAsia" w:eastAsiaTheme="minorEastAsia"/>
          <w:sz w:val="24"/>
        </w:rPr>
        <w:t>磋商供应商在对本项目提供的驻点维护人员达2人的，得1分；针对本项目提供的驻点维护人员达4人的，得3分；针对本项目提供的驻点维护人员6人以上的，得5分。（在投标文件中提供维护团队人员花名册包括姓名、身份证号、职称证复印件，</w:t>
      </w:r>
      <w:r>
        <w:rPr>
          <w:rFonts w:hint="eastAsia" w:cs="宋体" w:asciiTheme="minorEastAsia" w:hAnsiTheme="minorEastAsia" w:eastAsiaTheme="minorEastAsia"/>
          <w:sz w:val="24"/>
        </w:rPr>
        <w:t>需提交响应截止时间前连续</w:t>
      </w:r>
      <w:r>
        <w:rPr>
          <w:rFonts w:hint="eastAsia" w:cs="Courier New" w:asciiTheme="minorEastAsia" w:hAnsiTheme="minorEastAsia" w:eastAsiaTheme="minorEastAsia"/>
          <w:bCs/>
          <w:sz w:val="24"/>
        </w:rPr>
        <w:t>三个月的社保缴纳证明复印件</w:t>
      </w:r>
      <w:r>
        <w:rPr>
          <w:rFonts w:hint="eastAsia" w:cs="等线" w:asciiTheme="minorEastAsia" w:hAnsiTheme="minorEastAsia" w:eastAsiaTheme="minorEastAsia"/>
          <w:sz w:val="24"/>
        </w:rPr>
        <w:t>）（满分</w:t>
      </w:r>
      <w:r>
        <w:rPr>
          <w:rFonts w:cs="等线" w:asciiTheme="minorEastAsia" w:hAnsiTheme="minorEastAsia" w:eastAsiaTheme="minorEastAsia"/>
          <w:sz w:val="24"/>
        </w:rPr>
        <w:t>5</w:t>
      </w:r>
      <w:r>
        <w:rPr>
          <w:rFonts w:hint="eastAsia" w:cs="等线" w:asciiTheme="minorEastAsia" w:hAnsiTheme="minorEastAsia" w:eastAsiaTheme="minorEastAsia"/>
          <w:sz w:val="24"/>
        </w:rPr>
        <w:t>分）</w:t>
      </w:r>
    </w:p>
    <w:p>
      <w:pPr>
        <w:pStyle w:val="9"/>
        <w:spacing w:line="351" w:lineRule="auto"/>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（5）</w:t>
      </w:r>
      <w:r>
        <w:rPr>
          <w:rFonts w:hint="eastAsia" w:cs="新宋体" w:asciiTheme="minorEastAsia" w:hAnsiTheme="minorEastAsia" w:eastAsiaTheme="minorEastAsia"/>
          <w:color w:val="000000" w:themeColor="text1"/>
          <w:sz w:val="24"/>
          <w:szCs w:val="24"/>
        </w:rPr>
        <w:t>诚信分：</w:t>
      </w:r>
      <w:r>
        <w:rPr>
          <w:rFonts w:hint="eastAsia" w:cs="新宋体" w:asciiTheme="minorEastAsia" w:hAnsiTheme="minorEastAsia" w:eastAsiaTheme="minorEastAsia"/>
          <w:bCs/>
          <w:color w:val="000000" w:themeColor="text1"/>
          <w:sz w:val="24"/>
          <w:szCs w:val="24"/>
        </w:rPr>
        <w:t>磋商供应商</w:t>
      </w:r>
      <w:r>
        <w:rPr>
          <w:rFonts w:hint="eastAsia" w:cs="新宋体" w:asciiTheme="minorEastAsia" w:hAnsiTheme="minorEastAsia" w:eastAsiaTheme="minorEastAsia"/>
          <w:color w:val="000000" w:themeColor="text1"/>
          <w:sz w:val="24"/>
          <w:szCs w:val="24"/>
        </w:rPr>
        <w:t>在截标日前1年内在政府采购活动中存在违约违规情形的（以财政部门出具的书面材料为评分依据），每次扣</w:t>
      </w:r>
      <w:r>
        <w:rPr>
          <w:rFonts w:hint="eastAsia" w:cs="新宋体" w:asciiTheme="minorEastAsia" w:hAnsiTheme="minorEastAsia" w:eastAsiaTheme="minorEastAsia"/>
          <w:sz w:val="24"/>
          <w:szCs w:val="24"/>
        </w:rPr>
        <w:t>除3分，最高扣分6分扣完为止。</w:t>
      </w:r>
    </w:p>
    <w:p>
      <w:pPr>
        <w:spacing w:line="351" w:lineRule="auto"/>
        <w:ind w:firstLine="480" w:firstLineChars="200"/>
        <w:rPr>
          <w:rFonts w:cs="新宋体" w:asciiTheme="minorEastAsia" w:hAnsiTheme="minorEastAsia" w:eastAsiaTheme="minorEastAsia"/>
          <w:sz w:val="24"/>
        </w:rPr>
      </w:pPr>
      <w:r>
        <w:rPr>
          <w:rFonts w:hint="eastAsia" w:cs="新宋体" w:asciiTheme="minorEastAsia" w:hAnsiTheme="minorEastAsia" w:eastAsiaTheme="minorEastAsia"/>
          <w:sz w:val="24"/>
        </w:rPr>
        <w:t>（四）总得分＝1＋2＋3</w:t>
      </w:r>
    </w:p>
    <w:p>
      <w:pPr>
        <w:spacing w:line="351" w:lineRule="auto"/>
        <w:jc w:val="left"/>
        <w:rPr>
          <w:rFonts w:asciiTheme="minorEastAsia" w:hAnsiTheme="minorEastAsia" w:eastAsiaTheme="minorEastAsia" w:cstheme="majorEastAsia"/>
          <w:b/>
          <w:color w:val="000000" w:themeColor="text1"/>
          <w:sz w:val="24"/>
        </w:rPr>
      </w:pPr>
      <w:r>
        <w:rPr>
          <w:rFonts w:hint="eastAsia" w:asciiTheme="minorEastAsia" w:hAnsiTheme="minorEastAsia" w:eastAsiaTheme="minorEastAsia" w:cstheme="majorEastAsia"/>
          <w:b/>
          <w:color w:val="000000" w:themeColor="text1"/>
          <w:sz w:val="24"/>
        </w:rPr>
        <w:t>（四）成交候选供应商推荐原则</w:t>
      </w:r>
    </w:p>
    <w:bookmarkEnd w:id="0"/>
    <w:bookmarkEnd w:id="1"/>
    <w:bookmarkEnd w:id="24"/>
    <w:bookmarkEnd w:id="25"/>
    <w:bookmarkEnd w:id="26"/>
    <w:bookmarkEnd w:id="27"/>
    <w:bookmarkEnd w:id="28"/>
    <w:bookmarkEnd w:id="29"/>
    <w:p>
      <w:pPr>
        <w:spacing w:line="351" w:lineRule="auto"/>
        <w:ind w:firstLine="480" w:firstLineChars="200"/>
        <w:rPr>
          <w:rFonts w:cs="宋体" w:asciiTheme="minorEastAsia" w:hAnsiTheme="minorEastAsia" w:eastAsiaTheme="minorEastAsia"/>
          <w:color w:val="000000" w:themeColor="text1"/>
          <w:kern w:val="0"/>
          <w:sz w:val="24"/>
        </w:rPr>
      </w:pPr>
      <w:bookmarkStart w:id="35" w:name="_Toc213326414"/>
      <w:bookmarkStart w:id="36" w:name="_Toc485920212"/>
      <w:bookmarkStart w:id="37" w:name="_Toc213206174"/>
      <w:bookmarkStart w:id="38" w:name="_Toc460253701"/>
      <w:bookmarkStart w:id="39" w:name="_Toc213325923"/>
      <w:r>
        <w:rPr>
          <w:rFonts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w:t>
      </w:r>
      <w:r>
        <w:rPr>
          <w:rFonts w:hint="eastAsia" w:cs="宋体" w:asciiTheme="minorEastAsia" w:hAnsiTheme="minorEastAsia" w:eastAsiaTheme="minorEastAsia"/>
          <w:color w:val="000000" w:themeColor="text1"/>
          <w:kern w:val="0"/>
          <w:sz w:val="24"/>
        </w:rPr>
        <w:t>磋商小组将按总得分由高到低排列成交候选供</w:t>
      </w:r>
      <w:r>
        <w:rPr>
          <w:rFonts w:hint="eastAsia" w:asciiTheme="minorEastAsia" w:hAnsiTheme="minorEastAsia" w:eastAsiaTheme="minorEastAsia"/>
          <w:color w:val="000000" w:themeColor="text1"/>
          <w:sz w:val="24"/>
        </w:rPr>
        <w:t>应商顺序（</w:t>
      </w:r>
      <w:r>
        <w:rPr>
          <w:rFonts w:asciiTheme="minorEastAsia" w:hAnsiTheme="minorEastAsia" w:eastAsiaTheme="minorEastAsia"/>
          <w:color w:val="000000" w:themeColor="text1"/>
          <w:sz w:val="24"/>
        </w:rPr>
        <w:t>评标价相同时，依次按节能环保产品优先、技术指标高优先、质量保证期长优先、故障响应时间短优先的顺序排列</w:t>
      </w:r>
      <w:r>
        <w:rPr>
          <w:rFonts w:hint="eastAsia" w:asciiTheme="minorEastAsia" w:hAnsiTheme="minorEastAsia" w:eastAsiaTheme="minorEastAsia"/>
          <w:color w:val="000000" w:themeColor="text1"/>
          <w:sz w:val="24"/>
        </w:rPr>
        <w:t>；前述指标均相同时，由磋商小组各成员对供应商当场投票表决，得票多者优先；按前述程序仍无法确定供应商排名顺序的，由磋商小组抽签决定），并依照次序确定成交供</w:t>
      </w:r>
      <w:r>
        <w:rPr>
          <w:rFonts w:hint="eastAsia" w:cs="宋体" w:asciiTheme="minorEastAsia" w:hAnsiTheme="minorEastAsia" w:eastAsiaTheme="minorEastAsia"/>
          <w:color w:val="000000" w:themeColor="text1"/>
          <w:kern w:val="0"/>
          <w:sz w:val="24"/>
        </w:rPr>
        <w:t>应商。</w:t>
      </w:r>
    </w:p>
    <w:p>
      <w:pPr>
        <w:spacing w:line="351" w:lineRule="auto"/>
        <w:ind w:firstLine="480" w:firstLineChars="200"/>
        <w:rPr>
          <w:rFonts w:cs="宋体" w:asciiTheme="minorEastAsia" w:hAnsiTheme="minorEastAsia" w:eastAsiaTheme="minorEastAsia"/>
          <w:color w:val="000000" w:themeColor="text1"/>
          <w:sz w:val="24"/>
          <w:szCs w:val="22"/>
        </w:rPr>
      </w:pPr>
      <w:r>
        <w:rPr>
          <w:rFonts w:hint="eastAsia" w:cs="宋体" w:asciiTheme="minorEastAsia" w:hAnsiTheme="minorEastAsia" w:eastAsiaTheme="minorEastAsia"/>
          <w:color w:val="000000" w:themeColor="text1"/>
          <w:sz w:val="24"/>
          <w:szCs w:val="22"/>
        </w:rPr>
        <w:t>2、根据《财政部关于政府采购竞争性磋商采购方式管理暂行办法有关问题的补充通知》（财库【2015】124号）规定：采用竞争性磋商采购方式的政府购买服务项目或政府和社会资本合作项目，在采购过程中符合要求的供应商只有2家的，其采购活动可以继续进行。</w:t>
      </w:r>
    </w:p>
    <w:p>
      <w:pPr>
        <w:spacing w:line="351" w:lineRule="auto"/>
        <w:ind w:firstLine="480" w:firstLineChars="200"/>
        <w:rPr>
          <w:rFonts w:cs="宋体" w:asciiTheme="minorEastAsia" w:hAnsiTheme="minorEastAsia" w:eastAsiaTheme="minorEastAsia"/>
          <w:color w:val="000000" w:themeColor="text1"/>
          <w:sz w:val="24"/>
          <w:szCs w:val="22"/>
        </w:rPr>
      </w:pPr>
      <w:r>
        <w:rPr>
          <w:rFonts w:hint="eastAsia" w:cs="宋体" w:asciiTheme="minorEastAsia" w:hAnsiTheme="minorEastAsia" w:eastAsiaTheme="minorEastAsia"/>
          <w:color w:val="000000" w:themeColor="text1"/>
          <w:sz w:val="24"/>
          <w:szCs w:val="22"/>
        </w:rPr>
        <w:t>3、根据《政府采购竞争性磋商采购方式管理暂行办法》（财库【2014】214号）规定并结合《政府采购货物和服务招标投标管理办法》南财采【2019】36号文的要求：采用竞争性磋商采购方式的市场竞争不充分的科研项目或需要扶持科技成果转化项目，在符合专业条件的供应商或者对招标文件作实质响应的供应商不少三家前提下，且提交最后报价的供应商有2家的，其采购活动可以继续进行。</w:t>
      </w:r>
    </w:p>
    <w:p>
      <w:pPr>
        <w:spacing w:line="351" w:lineRule="auto"/>
        <w:ind w:firstLine="482" w:firstLineChars="200"/>
        <w:rPr>
          <w:rFonts w:asciiTheme="majorEastAsia" w:hAnsiTheme="majorEastAsia" w:eastAsiaTheme="majorEastAsia"/>
          <w:color w:val="000000" w:themeColor="text1"/>
          <w:sz w:val="24"/>
        </w:rPr>
      </w:pPr>
      <w:r>
        <w:rPr>
          <w:rFonts w:hint="eastAsia" w:asciiTheme="majorEastAsia" w:hAnsiTheme="majorEastAsia" w:eastAsiaTheme="majorEastAsia"/>
          <w:b/>
          <w:bCs/>
          <w:color w:val="000000" w:themeColor="text1"/>
          <w:sz w:val="24"/>
        </w:rPr>
        <w:t>4、磋</w:t>
      </w:r>
      <w:r>
        <w:rPr>
          <w:rFonts w:hint="eastAsia" w:asciiTheme="majorEastAsia" w:hAnsiTheme="majorEastAsia" w:eastAsiaTheme="majorEastAsia"/>
          <w:b/>
          <w:color w:val="000000" w:themeColor="text1"/>
          <w:sz w:val="24"/>
        </w:rPr>
        <w:t>商小组认为，某磋商供应商的最低磋商报价明显不合理或者低于成本，有可能影响服务质量和不能诚信履约的，应当要求其在规定的期限内提供书面文件予以解释说明，并提交相关证明材料。磋商供应不能合理说明或者不能提供相关证明材料的，视作该磋商供应商以低于成本报价响应，其响应无效。</w:t>
      </w:r>
    </w:p>
    <w:p>
      <w:pPr>
        <w:jc w:val="center"/>
        <w:rPr>
          <w:rFonts w:asciiTheme="majorEastAsia" w:hAnsiTheme="majorEastAsia" w:eastAsiaTheme="majorEastAsia" w:cstheme="majorEastAsia"/>
          <w:b/>
          <w:color w:val="000000" w:themeColor="text1"/>
          <w:sz w:val="32"/>
          <w:szCs w:val="32"/>
        </w:rPr>
      </w:pPr>
    </w:p>
    <w:p>
      <w:pPr>
        <w:pStyle w:val="3"/>
        <w:sectPr>
          <w:pgSz w:w="11906" w:h="16838"/>
          <w:pgMar w:top="1440" w:right="1080" w:bottom="1440" w:left="1080" w:header="720" w:footer="720" w:gutter="0"/>
          <w:cols w:space="720" w:num="1"/>
          <w:docGrid w:type="lines" w:linePitch="331" w:charSpace="0"/>
        </w:sectPr>
      </w:pPr>
    </w:p>
    <w:p>
      <w:pPr>
        <w:pStyle w:val="3"/>
        <w:jc w:val="center"/>
        <w:rPr>
          <w:rFonts w:asciiTheme="majorEastAsia" w:hAnsiTheme="majorEastAsia" w:eastAsiaTheme="majorEastAsia" w:cstheme="majorEastAsia"/>
          <w:b/>
          <w:bCs/>
          <w:color w:val="000000" w:themeColor="text1"/>
          <w:sz w:val="32"/>
          <w:szCs w:val="32"/>
        </w:rPr>
      </w:pPr>
      <w:bookmarkStart w:id="40" w:name="_Toc5447"/>
      <w:bookmarkStart w:id="41" w:name="_Toc6053"/>
      <w:bookmarkStart w:id="42" w:name="_Toc24864"/>
      <w:r>
        <w:rPr>
          <w:rFonts w:hint="eastAsia" w:asciiTheme="majorEastAsia" w:hAnsiTheme="majorEastAsia" w:eastAsiaTheme="majorEastAsia" w:cstheme="majorEastAsia"/>
          <w:b/>
          <w:color w:val="000000" w:themeColor="text1"/>
          <w:sz w:val="32"/>
          <w:szCs w:val="32"/>
        </w:rPr>
        <w:t>第四章   磋商供应商须知</w:t>
      </w:r>
      <w:bookmarkEnd w:id="35"/>
      <w:bookmarkEnd w:id="36"/>
      <w:bookmarkEnd w:id="37"/>
      <w:bookmarkEnd w:id="38"/>
      <w:bookmarkEnd w:id="39"/>
      <w:bookmarkEnd w:id="40"/>
      <w:bookmarkEnd w:id="41"/>
      <w:bookmarkEnd w:id="42"/>
      <w:bookmarkStart w:id="43" w:name="_Toc213326415"/>
    </w:p>
    <w:bookmarkEnd w:id="43"/>
    <w:p>
      <w:pPr>
        <w:pStyle w:val="9"/>
        <w:spacing w:line="360" w:lineRule="auto"/>
        <w:ind w:firstLine="482" w:firstLineChars="200"/>
        <w:jc w:val="left"/>
        <w:rPr>
          <w:rFonts w:asciiTheme="majorEastAsia" w:hAnsiTheme="majorEastAsia" w:eastAsiaTheme="majorEastAsia" w:cstheme="majorEastAsia"/>
          <w:b/>
          <w:color w:val="000000" w:themeColor="text1"/>
          <w:sz w:val="24"/>
          <w:szCs w:val="24"/>
        </w:rPr>
      </w:pPr>
      <w:bookmarkStart w:id="44" w:name="_Toc460253702"/>
      <w:r>
        <w:rPr>
          <w:rFonts w:hint="eastAsia" w:asciiTheme="majorEastAsia" w:hAnsiTheme="majorEastAsia" w:eastAsiaTheme="majorEastAsia" w:cstheme="majorEastAsia"/>
          <w:b/>
          <w:color w:val="000000" w:themeColor="text1"/>
          <w:sz w:val="24"/>
          <w:szCs w:val="24"/>
        </w:rPr>
        <w:t>本表是关于本次采购项目的具体资料，是对后列条款的具体补充和修改。所有与本次采购有关的事宜，以本表规定的为准。</w:t>
      </w:r>
      <w:bookmarkEnd w:id="44"/>
    </w:p>
    <w:tbl>
      <w:tblPr>
        <w:tblStyle w:val="18"/>
        <w:tblW w:w="10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2640"/>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kern w:val="0"/>
                <w:sz w:val="24"/>
                <w:szCs w:val="24"/>
              </w:rPr>
              <w:t>条款号</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kern w:val="0"/>
                <w:sz w:val="24"/>
                <w:szCs w:val="24"/>
              </w:rPr>
              <w:t>条款名称</w:t>
            </w:r>
          </w:p>
        </w:tc>
        <w:tc>
          <w:tcPr>
            <w:tcW w:w="6459" w:type="dxa"/>
            <w:vAlign w:val="center"/>
          </w:tcPr>
          <w:p>
            <w:pPr>
              <w:pStyle w:val="9"/>
              <w:snapToGrid w:val="0"/>
              <w:spacing w:afterLines="50" w:line="440" w:lineRule="exact"/>
              <w:jc w:val="center"/>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kern w:val="0"/>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1.1</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采购人</w:t>
            </w:r>
          </w:p>
        </w:tc>
        <w:tc>
          <w:tcPr>
            <w:tcW w:w="6459" w:type="dxa"/>
            <w:vAlign w:val="center"/>
          </w:tcPr>
          <w:p>
            <w:pPr>
              <w:pStyle w:val="9"/>
              <w:spacing w:line="440" w:lineRule="exac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名称：南宁市住房和城乡建设局</w:t>
            </w:r>
          </w:p>
          <w:p>
            <w:pPr>
              <w:pStyle w:val="9"/>
              <w:spacing w:line="440" w:lineRule="exac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 xml:space="preserve">地址：南宁市嘉宾路1号市政府大楼10楼 </w:t>
            </w:r>
          </w:p>
          <w:p>
            <w:pPr>
              <w:pStyle w:val="9"/>
              <w:spacing w:line="440" w:lineRule="exac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 xml:space="preserve">联系人： 农云浩  </w:t>
            </w:r>
          </w:p>
          <w:p>
            <w:pPr>
              <w:pStyle w:val="9"/>
              <w:spacing w:line="440" w:lineRule="exac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联系电话：0771-5527061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1.2</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采购代理机构</w:t>
            </w:r>
          </w:p>
        </w:tc>
        <w:tc>
          <w:tcPr>
            <w:tcW w:w="6459" w:type="dxa"/>
            <w:vAlign w:val="center"/>
          </w:tcPr>
          <w:p>
            <w:pPr>
              <w:pStyle w:val="9"/>
              <w:spacing w:line="440" w:lineRule="exac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名称：广西邕政采购代理有限公司</w:t>
            </w:r>
          </w:p>
          <w:p>
            <w:pPr>
              <w:pStyle w:val="9"/>
              <w:spacing w:line="440" w:lineRule="exac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地址：南宁市青秀区思贤路45号创投中心16A层  </w:t>
            </w:r>
          </w:p>
          <w:p>
            <w:pPr>
              <w:pStyle w:val="9"/>
              <w:spacing w:line="440" w:lineRule="exac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项目联系人：蔺工、罗工</w:t>
            </w:r>
          </w:p>
          <w:p>
            <w:pPr>
              <w:pStyle w:val="9"/>
              <w:spacing w:line="440" w:lineRule="exac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1.3</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项目名称</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rPr>
              <w:t>南宁市物业服务管理平台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1.4</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项目编号</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NNZC2020-C3-990368-GXYZ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1.5</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采购预算</w:t>
            </w:r>
          </w:p>
        </w:tc>
        <w:tc>
          <w:tcPr>
            <w:tcW w:w="6459" w:type="dxa"/>
            <w:vAlign w:val="center"/>
          </w:tcPr>
          <w:p>
            <w:pPr>
              <w:pStyle w:val="9"/>
              <w:spacing w:line="440" w:lineRule="exac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人民币柒拾万元整（¥700000.00元）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1.7</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sz w:val="24"/>
                <w:szCs w:val="24"/>
              </w:rPr>
              <w:t>获取招标文件的方式</w:t>
            </w:r>
          </w:p>
        </w:tc>
        <w:tc>
          <w:tcPr>
            <w:tcW w:w="6459" w:type="dxa"/>
            <w:vAlign w:val="center"/>
          </w:tcPr>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1、本项目不发放纸质文件，磋商供应商自行在南宁市公共资源交易平台(https://www.nnggzy.org.cn/gxnnzbw/)的信息公告处下载采购文件。</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2、采购文件每套售价0元。</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3、本项目竞争性磋商公告期限为公告发布之日起5个工作日（2020年</w:t>
            </w:r>
            <w:r>
              <w:rPr>
                <w:rFonts w:hint="eastAsia" w:asciiTheme="majorEastAsia" w:hAnsiTheme="majorEastAsia" w:eastAsiaTheme="majorEastAsia" w:cstheme="majorEastAsia"/>
                <w:color w:val="000000" w:themeColor="text1"/>
                <w:sz w:val="24"/>
                <w:szCs w:val="24"/>
                <w:lang w:val="en-US" w:eastAsia="zh-CN"/>
              </w:rPr>
              <w:t>11</w:t>
            </w:r>
            <w:r>
              <w:rPr>
                <w:rFonts w:hint="eastAsia" w:asciiTheme="majorEastAsia" w:hAnsiTheme="majorEastAsia" w:eastAsiaTheme="majorEastAsia" w:cstheme="majorEastAsia"/>
                <w:color w:val="000000" w:themeColor="text1"/>
                <w:sz w:val="24"/>
                <w:szCs w:val="24"/>
              </w:rPr>
              <w:t>月</w:t>
            </w:r>
            <w:r>
              <w:rPr>
                <w:rFonts w:hint="eastAsia" w:asciiTheme="majorEastAsia" w:hAnsiTheme="majorEastAsia" w:eastAsiaTheme="majorEastAsia" w:cstheme="majorEastAsia"/>
                <w:color w:val="000000" w:themeColor="text1"/>
                <w:sz w:val="24"/>
                <w:szCs w:val="24"/>
                <w:lang w:val="en-US" w:eastAsia="zh-CN"/>
              </w:rPr>
              <w:t>05</w:t>
            </w:r>
            <w:r>
              <w:rPr>
                <w:rFonts w:hint="eastAsia" w:asciiTheme="majorEastAsia" w:hAnsiTheme="majorEastAsia" w:eastAsiaTheme="majorEastAsia" w:cstheme="majorEastAsia"/>
                <w:color w:val="000000" w:themeColor="text1"/>
                <w:sz w:val="24"/>
                <w:szCs w:val="24"/>
              </w:rPr>
              <w:t>日至2020年</w:t>
            </w:r>
            <w:r>
              <w:rPr>
                <w:rFonts w:hint="eastAsia" w:asciiTheme="majorEastAsia" w:hAnsiTheme="majorEastAsia" w:eastAsiaTheme="majorEastAsia" w:cstheme="majorEastAsia"/>
                <w:color w:val="000000" w:themeColor="text1"/>
                <w:sz w:val="24"/>
                <w:szCs w:val="24"/>
                <w:lang w:val="en-US" w:eastAsia="zh-CN"/>
              </w:rPr>
              <w:t>11</w:t>
            </w:r>
            <w:r>
              <w:rPr>
                <w:rFonts w:hint="eastAsia" w:asciiTheme="majorEastAsia" w:hAnsiTheme="majorEastAsia" w:eastAsiaTheme="majorEastAsia" w:cstheme="majorEastAsia"/>
                <w:color w:val="000000" w:themeColor="text1"/>
                <w:sz w:val="24"/>
                <w:szCs w:val="24"/>
              </w:rPr>
              <w:t>月</w:t>
            </w:r>
            <w:r>
              <w:rPr>
                <w:rFonts w:hint="eastAsia" w:asciiTheme="majorEastAsia" w:hAnsiTheme="majorEastAsia" w:eastAsiaTheme="majorEastAsia" w:cstheme="majorEastAsia"/>
                <w:color w:val="000000" w:themeColor="text1"/>
                <w:sz w:val="24"/>
                <w:szCs w:val="24"/>
                <w:lang w:val="en-US" w:eastAsia="zh-CN"/>
              </w:rPr>
              <w:t>11</w:t>
            </w:r>
            <w:r>
              <w:rPr>
                <w:rFonts w:hint="eastAsia" w:asciiTheme="majorEastAsia" w:hAnsiTheme="majorEastAsia" w:eastAsiaTheme="majorEastAsia" w:cstheme="majorEastAsia"/>
                <w:color w:val="000000" w:themeColor="text1"/>
                <w:sz w:val="24"/>
                <w:szCs w:val="24"/>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pacing w:line="440" w:lineRule="exact"/>
              <w:jc w:val="center"/>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1.8</w:t>
            </w:r>
          </w:p>
        </w:tc>
        <w:tc>
          <w:tcPr>
            <w:tcW w:w="2640" w:type="dxa"/>
            <w:vAlign w:val="center"/>
          </w:tcPr>
          <w:p>
            <w:pPr>
              <w:pStyle w:val="9"/>
              <w:spacing w:line="440" w:lineRule="exact"/>
              <w:jc w:val="center"/>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预留采购份额</w:t>
            </w:r>
          </w:p>
        </w:tc>
        <w:tc>
          <w:tcPr>
            <w:tcW w:w="6459" w:type="dxa"/>
            <w:vAlign w:val="center"/>
          </w:tcPr>
          <w:p>
            <w:pPr>
              <w:snapToGrid w:val="0"/>
              <w:spacing w:line="440" w:lineRule="exac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3.2</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磋商供应商应具备的资格条件</w:t>
            </w:r>
          </w:p>
        </w:tc>
        <w:tc>
          <w:tcPr>
            <w:tcW w:w="6459" w:type="dxa"/>
            <w:vAlign w:val="center"/>
          </w:tcPr>
          <w:p>
            <w:pPr>
              <w:spacing w:line="500" w:lineRule="exact"/>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1、满足《中华人民共和国政府采购法》第二十二条规定；</w:t>
            </w:r>
          </w:p>
          <w:p>
            <w:pPr>
              <w:spacing w:line="500" w:lineRule="exact"/>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2、落实政府采购政策需满足的资格要求：本项目适用政府采购促进中小企业、监狱企业发展、促进残疾人就业等有关政策，具体详见竞争性磋商文件；</w:t>
            </w:r>
          </w:p>
          <w:p>
            <w:pPr>
              <w:spacing w:line="500" w:lineRule="exact"/>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3、本项目的特定资格要求：无</w:t>
            </w:r>
          </w:p>
          <w:p>
            <w:pPr>
              <w:spacing w:line="500" w:lineRule="exact"/>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4、具有国内法人资格，注册经营范围满足所采购内容的供应商。</w:t>
            </w:r>
          </w:p>
          <w:p>
            <w:pPr>
              <w:spacing w:line="500" w:lineRule="exact"/>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500" w:lineRule="exact"/>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3.3</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是否接受联合体</w:t>
            </w:r>
          </w:p>
        </w:tc>
        <w:tc>
          <w:tcPr>
            <w:tcW w:w="6459" w:type="dxa"/>
            <w:vAlign w:val="center"/>
          </w:tcPr>
          <w:p>
            <w:pPr>
              <w:pStyle w:val="9"/>
              <w:tabs>
                <w:tab w:val="right" w:pos="6461"/>
              </w:tabs>
              <w:spacing w:line="440" w:lineRule="exact"/>
              <w:jc w:val="left"/>
              <w:rPr>
                <w:rFonts w:asciiTheme="majorEastAsia" w:hAnsiTheme="majorEastAsia" w:eastAsiaTheme="majorEastAsia" w:cstheme="majorEastAsia"/>
                <w:color w:val="252525" w:themeColor="text1" w:themeTint="D9"/>
                <w:sz w:val="24"/>
                <w:szCs w:val="24"/>
              </w:rPr>
            </w:pPr>
            <w:r>
              <w:rPr>
                <w:rFonts w:hint="eastAsia" w:asciiTheme="majorEastAsia" w:hAnsiTheme="majorEastAsia" w:eastAsiaTheme="majorEastAsia" w:cstheme="majorEastAsia"/>
                <w:color w:val="252525" w:themeColor="text1" w:themeTint="D9"/>
                <w:sz w:val="24"/>
              </w:rPr>
              <w:t>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4.1</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质疑受理</w:t>
            </w:r>
          </w:p>
        </w:tc>
        <w:tc>
          <w:tcPr>
            <w:tcW w:w="6459" w:type="dxa"/>
            <w:vAlign w:val="center"/>
          </w:tcPr>
          <w:p>
            <w:pPr>
              <w:pStyle w:val="9"/>
              <w:spacing w:line="440" w:lineRule="exact"/>
              <w:jc w:val="left"/>
              <w:rPr>
                <w:rFonts w:asciiTheme="majorEastAsia" w:hAnsiTheme="majorEastAsia" w:eastAsiaTheme="majorEastAsia" w:cstheme="majorEastAsia"/>
                <w:color w:val="252525" w:themeColor="text1" w:themeTint="D9"/>
                <w:sz w:val="24"/>
                <w:szCs w:val="24"/>
              </w:rPr>
            </w:pPr>
            <w:r>
              <w:rPr>
                <w:rFonts w:hint="eastAsia" w:asciiTheme="majorEastAsia" w:hAnsiTheme="majorEastAsia" w:eastAsiaTheme="majorEastAsia" w:cstheme="majorEastAsia"/>
                <w:color w:val="252525" w:themeColor="text1" w:themeTint="D9"/>
                <w:sz w:val="24"/>
                <w:szCs w:val="24"/>
              </w:rPr>
              <w:t>质疑书的提交地点：广西邕政采购代理有限公司（南宁市思贤路45号创投中心16A层）</w:t>
            </w:r>
          </w:p>
          <w:p>
            <w:pPr>
              <w:pStyle w:val="9"/>
              <w:spacing w:line="440" w:lineRule="exact"/>
              <w:jc w:val="left"/>
              <w:rPr>
                <w:rFonts w:asciiTheme="majorEastAsia" w:hAnsiTheme="majorEastAsia" w:eastAsiaTheme="majorEastAsia" w:cstheme="majorEastAsia"/>
                <w:color w:val="252525" w:themeColor="text1" w:themeTint="D9"/>
                <w:sz w:val="24"/>
                <w:szCs w:val="24"/>
              </w:rPr>
            </w:pPr>
            <w:r>
              <w:rPr>
                <w:rFonts w:hint="eastAsia" w:asciiTheme="majorEastAsia" w:hAnsiTheme="majorEastAsia" w:eastAsiaTheme="majorEastAsia" w:cstheme="majorEastAsia"/>
                <w:color w:val="252525" w:themeColor="text1" w:themeTint="D9"/>
                <w:sz w:val="24"/>
                <w:szCs w:val="24"/>
              </w:rPr>
              <w:t>质疑受理电话：0771-2442850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8.8</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响应文件份数</w:t>
            </w:r>
          </w:p>
        </w:tc>
        <w:tc>
          <w:tcPr>
            <w:tcW w:w="6459" w:type="dxa"/>
            <w:vAlign w:val="center"/>
          </w:tcPr>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首次报价文件：正本1份，副本4份</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商务文件：正本1份，副本4份</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技术文件：正本1份，副本4份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11.4</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采购代理服务费</w:t>
            </w:r>
          </w:p>
        </w:tc>
        <w:tc>
          <w:tcPr>
            <w:tcW w:w="6459" w:type="dxa"/>
            <w:vAlign w:val="center"/>
          </w:tcPr>
          <w:p>
            <w:pPr>
              <w:pStyle w:val="9"/>
              <w:spacing w:line="440" w:lineRule="exact"/>
              <w:jc w:val="lef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本项目代理服务费按国家发展计划委员会《招标代理服务费管理暂行办法》（计价格</w:t>
            </w:r>
            <w:r>
              <w:rPr>
                <w:rFonts w:cs="宋体" w:asciiTheme="majorEastAsia" w:hAnsiTheme="majorEastAsia" w:eastAsiaTheme="majorEastAsia"/>
                <w:color w:val="000000" w:themeColor="text1"/>
                <w:sz w:val="24"/>
                <w:szCs w:val="24"/>
              </w:rPr>
              <w:t>[2002]1980</w:t>
            </w:r>
            <w:r>
              <w:rPr>
                <w:rFonts w:hint="eastAsia" w:cs="宋体" w:asciiTheme="majorEastAsia" w:hAnsiTheme="majorEastAsia" w:eastAsiaTheme="majorEastAsia"/>
                <w:color w:val="000000" w:themeColor="text1"/>
                <w:sz w:val="24"/>
                <w:szCs w:val="24"/>
              </w:rPr>
              <w:t>号）收费标准下浮10%计取。由成交单位在领</w:t>
            </w:r>
            <w:r>
              <w:rPr>
                <w:rFonts w:hint="eastAsia" w:cs="宋体" w:asciiTheme="majorEastAsia" w:hAnsiTheme="majorEastAsia" w:eastAsiaTheme="majorEastAsia"/>
                <w:color w:val="000000" w:themeColor="text1"/>
                <w:kern w:val="0"/>
                <w:sz w:val="24"/>
              </w:rPr>
              <w:t>成交</w:t>
            </w:r>
            <w:r>
              <w:rPr>
                <w:rFonts w:hint="eastAsia" w:cs="宋体" w:asciiTheme="majorEastAsia" w:hAnsiTheme="majorEastAsia" w:eastAsiaTheme="majorEastAsia"/>
                <w:color w:val="000000" w:themeColor="text1"/>
                <w:sz w:val="24"/>
                <w:szCs w:val="24"/>
              </w:rPr>
              <w:t>通知书时一次性支付采购代理服务费。</w:t>
            </w:r>
            <w:r>
              <w:rPr>
                <w:rFonts w:cs="宋体" w:asciiTheme="majorEastAsia" w:hAnsiTheme="majorEastAsia" w:eastAsiaTheme="majorEastAsia"/>
                <w:color w:val="000000" w:themeColor="text1"/>
                <w:sz w:val="24"/>
                <w:szCs w:val="24"/>
              </w:rPr>
              <w:t xml:space="preserve"> </w:t>
            </w:r>
          </w:p>
          <w:tbl>
            <w:tblPr>
              <w:tblStyle w:val="18"/>
              <w:tblW w:w="4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30" w:type="dxa"/>
                  <w:vAlign w:val="center"/>
                </w:tcPr>
                <w:p>
                  <w:pPr>
                    <w:pStyle w:val="9"/>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某</w:t>
                  </w:r>
                  <w:r>
                    <w:rPr>
                      <w:rFonts w:hint="eastAsia" w:cs="宋体" w:asciiTheme="majorEastAsia" w:hAnsiTheme="majorEastAsia" w:eastAsiaTheme="majorEastAsia"/>
                      <w:color w:val="000000" w:themeColor="text1"/>
                      <w:kern w:val="0"/>
                      <w:sz w:val="24"/>
                    </w:rPr>
                    <w:t>成交</w:t>
                  </w:r>
                  <w:r>
                    <w:rPr>
                      <w:rFonts w:asciiTheme="majorEastAsia" w:hAnsiTheme="majorEastAsia" w:eastAsiaTheme="majorEastAsia"/>
                      <w:color w:val="000000" w:themeColor="text1"/>
                      <w:sz w:val="24"/>
                      <w:szCs w:val="24"/>
                    </w:rPr>
                    <w:t>金额（万元）</w:t>
                  </w:r>
                </w:p>
              </w:tc>
              <w:tc>
                <w:tcPr>
                  <w:tcW w:w="1560" w:type="dxa"/>
                  <w:vAlign w:val="center"/>
                </w:tcPr>
                <w:p>
                  <w:pPr>
                    <w:pStyle w:val="9"/>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30" w:type="dxa"/>
                </w:tcPr>
                <w:p>
                  <w:pPr>
                    <w:pStyle w:val="9"/>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100以下</w:t>
                  </w:r>
                </w:p>
              </w:tc>
              <w:tc>
                <w:tcPr>
                  <w:tcW w:w="1560" w:type="dxa"/>
                </w:tcPr>
                <w:p>
                  <w:pPr>
                    <w:pStyle w:val="9"/>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9"/>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100-500</w:t>
                  </w:r>
                </w:p>
              </w:tc>
              <w:tc>
                <w:tcPr>
                  <w:tcW w:w="1560" w:type="dxa"/>
                </w:tcPr>
                <w:p>
                  <w:pPr>
                    <w:pStyle w:val="9"/>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9"/>
                    <w:spacing w:line="44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500-1000</w:t>
                  </w:r>
                </w:p>
              </w:tc>
              <w:tc>
                <w:tcPr>
                  <w:tcW w:w="1560" w:type="dxa"/>
                </w:tcPr>
                <w:p>
                  <w:pPr>
                    <w:pStyle w:val="9"/>
                    <w:spacing w:line="44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0.45%</w:t>
                  </w:r>
                </w:p>
              </w:tc>
            </w:tr>
          </w:tbl>
          <w:p>
            <w:pPr>
              <w:pStyle w:val="9"/>
              <w:spacing w:line="440" w:lineRule="exact"/>
              <w:jc w:val="lef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注：招标代理服务费按差额定率累进法计算。</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开户名称：广西邕政采购代理有限公司</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开户银行：交通银行南宁东葛西支行</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账号：</w:t>
            </w:r>
            <w:r>
              <w:rPr>
                <w:rFonts w:asciiTheme="majorEastAsia" w:hAnsiTheme="majorEastAsia" w:eastAsiaTheme="majorEastAsia" w:cstheme="majorEastAsia"/>
                <w:color w:val="000000" w:themeColor="text1"/>
                <w:sz w:val="24"/>
                <w:szCs w:val="24"/>
              </w:rPr>
              <w:t>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12.1</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响应有效期</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自提交响应文件截止时间起 60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13.1</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磋商保证金金额</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sz w:val="24"/>
                <w:szCs w:val="24"/>
              </w:rPr>
              <w:t>本项目不收取</w:t>
            </w:r>
            <w:r>
              <w:rPr>
                <w:rFonts w:hint="eastAsia" w:asciiTheme="majorEastAsia" w:hAnsiTheme="majorEastAsia" w:eastAsiaTheme="majorEastAsia" w:cstheme="majorEastAsia"/>
                <w:bCs/>
                <w:color w:val="000000" w:themeColor="text1"/>
                <w:sz w:val="24"/>
                <w:szCs w:val="24"/>
              </w:rPr>
              <w:t>磋商</w:t>
            </w:r>
            <w:r>
              <w:rPr>
                <w:rFonts w:hint="eastAsia" w:asciiTheme="majorEastAsia" w:hAnsiTheme="majorEastAsia" w:eastAsiaTheme="majorEastAsia" w:cstheme="majorEastAsia"/>
                <w:color w:val="000000" w:themeColor="text1"/>
                <w:sz w:val="24"/>
                <w:szCs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15.1</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提交响应文件截止时间</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 xml:space="preserve"> 2020年</w:t>
            </w:r>
            <w:r>
              <w:rPr>
                <w:rFonts w:hint="eastAsia" w:asciiTheme="majorEastAsia" w:hAnsiTheme="majorEastAsia" w:eastAsiaTheme="majorEastAsia" w:cstheme="majorEastAsia"/>
                <w:color w:val="000000" w:themeColor="text1"/>
                <w:kern w:val="0"/>
                <w:sz w:val="24"/>
                <w:szCs w:val="24"/>
                <w:lang w:val="en-US" w:eastAsia="zh-CN"/>
              </w:rPr>
              <w:t>11</w:t>
            </w:r>
            <w:r>
              <w:rPr>
                <w:rFonts w:hint="eastAsia" w:asciiTheme="majorEastAsia" w:hAnsiTheme="majorEastAsia" w:eastAsiaTheme="majorEastAsia" w:cstheme="majorEastAsia"/>
                <w:color w:val="000000" w:themeColor="text1"/>
                <w:kern w:val="0"/>
                <w:sz w:val="24"/>
                <w:szCs w:val="24"/>
              </w:rPr>
              <w:t>月</w:t>
            </w:r>
            <w:r>
              <w:rPr>
                <w:rFonts w:hint="eastAsia" w:asciiTheme="majorEastAsia" w:hAnsiTheme="majorEastAsia" w:eastAsiaTheme="majorEastAsia" w:cstheme="majorEastAsia"/>
                <w:color w:val="000000" w:themeColor="text1"/>
                <w:kern w:val="0"/>
                <w:sz w:val="24"/>
                <w:szCs w:val="24"/>
                <w:lang w:val="en-US" w:eastAsia="zh-CN"/>
              </w:rPr>
              <w:t>16</w:t>
            </w:r>
            <w:r>
              <w:rPr>
                <w:rFonts w:hint="eastAsia" w:asciiTheme="majorEastAsia" w:hAnsiTheme="majorEastAsia" w:eastAsiaTheme="majorEastAsia" w:cstheme="majorEastAsia"/>
                <w:color w:val="000000" w:themeColor="text1"/>
                <w:kern w:val="0"/>
                <w:sz w:val="24"/>
                <w:szCs w:val="24"/>
              </w:rPr>
              <w:t>日</w:t>
            </w:r>
            <w:r>
              <w:rPr>
                <w:rFonts w:hint="eastAsia" w:asciiTheme="majorEastAsia" w:hAnsiTheme="majorEastAsia" w:eastAsiaTheme="majorEastAsia" w:cstheme="majorEastAsia"/>
                <w:color w:val="000000" w:themeColor="text1"/>
                <w:kern w:val="0"/>
                <w:sz w:val="24"/>
                <w:szCs w:val="24"/>
                <w:lang w:val="en-US" w:eastAsia="zh-CN"/>
              </w:rPr>
              <w:t>13</w:t>
            </w:r>
            <w:r>
              <w:rPr>
                <w:rFonts w:hint="eastAsia" w:asciiTheme="majorEastAsia" w:hAnsiTheme="majorEastAsia" w:eastAsiaTheme="majorEastAsia" w:cstheme="majorEastAsia"/>
                <w:color w:val="000000" w:themeColor="text1"/>
                <w:kern w:val="0"/>
                <w:sz w:val="24"/>
                <w:szCs w:val="24"/>
              </w:rPr>
              <w:t>点</w:t>
            </w:r>
            <w:r>
              <w:rPr>
                <w:rFonts w:hint="eastAsia" w:asciiTheme="majorEastAsia" w:hAnsiTheme="majorEastAsia" w:eastAsiaTheme="majorEastAsia" w:cstheme="majorEastAsia"/>
                <w:color w:val="000000" w:themeColor="text1"/>
                <w:kern w:val="0"/>
                <w:sz w:val="24"/>
                <w:szCs w:val="24"/>
                <w:lang w:val="en-US" w:eastAsia="zh-CN"/>
              </w:rPr>
              <w:t>00</w:t>
            </w:r>
            <w:r>
              <w:rPr>
                <w:rFonts w:hint="eastAsia" w:asciiTheme="majorEastAsia" w:hAnsiTheme="majorEastAsia" w:eastAsiaTheme="majorEastAsia" w:cstheme="majorEastAsia"/>
                <w:color w:val="000000" w:themeColor="text1"/>
                <w:kern w:val="0"/>
                <w:sz w:val="24"/>
                <w:szCs w:val="24"/>
              </w:rPr>
              <w:t>分</w:t>
            </w:r>
            <w:bookmarkStart w:id="137" w:name="_GoBack"/>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15.2</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提交响应文件地点</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sz w:val="24"/>
                <w:szCs w:val="24"/>
              </w:rPr>
              <w:t>南宁市良庆区玉洞大道33号（青少年活动中心旁）市民中心9楼南宁市公共资源交易中心（具体详见9楼电子显示屏场地安排）</w:t>
            </w:r>
            <w:r>
              <w:rPr>
                <w:rFonts w:hint="eastAsia" w:asciiTheme="majorEastAsia" w:hAnsiTheme="majorEastAsia" w:eastAsiaTheme="majorEastAsia" w:cstheme="majorEastAsia"/>
                <w:color w:val="000000" w:themeColor="text1"/>
                <w:kern w:val="0"/>
                <w:sz w:val="24"/>
              </w:rPr>
              <w:t>，</w:t>
            </w:r>
            <w:r>
              <w:rPr>
                <w:rFonts w:hint="eastAsia" w:asciiTheme="majorEastAsia" w:hAnsiTheme="majorEastAsia" w:eastAsiaTheme="majorEastAsia"/>
                <w:color w:val="000000" w:themeColor="text1"/>
                <w:sz w:val="24"/>
                <w:szCs w:val="24"/>
              </w:rPr>
              <w:t>为做好疫情防控工作，本项目的</w:t>
            </w:r>
            <w:r>
              <w:rPr>
                <w:rFonts w:hint="eastAsia" w:cs="宋体" w:asciiTheme="majorEastAsia" w:hAnsiTheme="majorEastAsia" w:eastAsiaTheme="majorEastAsia"/>
                <w:color w:val="000000" w:themeColor="text1"/>
                <w:kern w:val="0"/>
                <w:sz w:val="24"/>
              </w:rPr>
              <w:t>响应</w:t>
            </w:r>
            <w:r>
              <w:rPr>
                <w:rFonts w:hint="eastAsia" w:asciiTheme="majorEastAsia" w:hAnsiTheme="majorEastAsia" w:eastAsiaTheme="majorEastAsia"/>
                <w:color w:val="000000" w:themeColor="text1"/>
                <w:sz w:val="24"/>
                <w:szCs w:val="24"/>
              </w:rPr>
              <w:t>文件通过邮寄快递的方式送达，具体要求详见采购文件</w:t>
            </w:r>
            <w:r>
              <w:rPr>
                <w:rFonts w:hint="eastAsia" w:asciiTheme="majorEastAsia" w:hAnsiTheme="majorEastAsia" w:eastAsiaTheme="majorEastAsia" w:cstheme="major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17.4.8（1）</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磋商地点</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sz w:val="24"/>
                <w:szCs w:val="24"/>
              </w:rPr>
              <w:t>与递交响应文件地点相同。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kern w:val="0"/>
                <w:sz w:val="24"/>
                <w:szCs w:val="24"/>
              </w:rPr>
              <w:t>30</w:t>
            </w:r>
          </w:p>
        </w:tc>
        <w:tc>
          <w:tcPr>
            <w:tcW w:w="2640" w:type="dxa"/>
            <w:vAlign w:val="center"/>
          </w:tcPr>
          <w:p>
            <w:pPr>
              <w:pStyle w:val="9"/>
              <w:snapToGrid w:val="0"/>
              <w:spacing w:afterLines="50" w:line="440" w:lineRule="exact"/>
              <w:jc w:val="left"/>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sz w:val="24"/>
                <w:szCs w:val="24"/>
              </w:rPr>
              <w:t>需要补充的其他内容</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
                <w:color w:val="000000" w:themeColor="text1"/>
                <w:sz w:val="24"/>
                <w:szCs w:val="24"/>
              </w:rPr>
              <w:t>注：为帮助中小微企业解决资金周转或融资困难问题，南宁市政府采购试行政府采购信用融资制度，为中小企业参与政府采购活动提供金融服务。磋商供应商可凭政府采购合同申请政府采购信用融资，具体办理要求与办理方式，详见南宁市公共资源交易中心网‘政府采购信用融资’专栏。</w:t>
            </w:r>
          </w:p>
        </w:tc>
      </w:tr>
    </w:tbl>
    <w:p>
      <w:pPr>
        <w:pStyle w:val="16"/>
        <w:outlineLvl w:val="9"/>
        <w:rPr>
          <w:rFonts w:asciiTheme="majorEastAsia" w:hAnsiTheme="majorEastAsia" w:eastAsiaTheme="majorEastAsia" w:cstheme="majorEastAsia"/>
          <w:color w:val="000000" w:themeColor="text1"/>
        </w:rPr>
        <w:sectPr>
          <w:pgSz w:w="11906" w:h="16838"/>
          <w:pgMar w:top="1440" w:right="1080" w:bottom="1118" w:left="1080" w:header="720" w:footer="720" w:gutter="0"/>
          <w:cols w:space="720" w:num="1"/>
          <w:docGrid w:type="lines" w:linePitch="331" w:charSpace="0"/>
        </w:sectPr>
      </w:pPr>
      <w:bookmarkStart w:id="45" w:name="_Toc460253703"/>
      <w:bookmarkStart w:id="46" w:name="_Toc485920213"/>
      <w:bookmarkStart w:id="47" w:name="_Toc213326416"/>
    </w:p>
    <w:p>
      <w:pPr>
        <w:pStyle w:val="16"/>
        <w:outlineLvl w:val="1"/>
        <w:rPr>
          <w:rFonts w:asciiTheme="majorEastAsia" w:hAnsiTheme="majorEastAsia" w:eastAsiaTheme="majorEastAsia" w:cstheme="majorEastAsia"/>
          <w:color w:val="000000" w:themeColor="text1"/>
        </w:rPr>
      </w:pPr>
      <w:bookmarkStart w:id="48" w:name="_Toc13597"/>
      <w:bookmarkStart w:id="49" w:name="_Toc21089"/>
      <w:bookmarkStart w:id="50" w:name="_Toc24501"/>
      <w:r>
        <w:rPr>
          <w:rFonts w:hint="eastAsia" w:asciiTheme="majorEastAsia" w:hAnsiTheme="majorEastAsia" w:eastAsiaTheme="majorEastAsia" w:cstheme="majorEastAsia"/>
          <w:color w:val="000000" w:themeColor="text1"/>
        </w:rPr>
        <w:t>一   总则</w:t>
      </w:r>
      <w:bookmarkEnd w:id="45"/>
      <w:bookmarkEnd w:id="46"/>
      <w:bookmarkEnd w:id="47"/>
      <w:bookmarkEnd w:id="48"/>
      <w:bookmarkEnd w:id="49"/>
      <w:bookmarkEnd w:id="50"/>
    </w:p>
    <w:p>
      <w:pPr>
        <w:pStyle w:val="9"/>
        <w:spacing w:line="440" w:lineRule="exact"/>
        <w:ind w:left="1"/>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  项目概况</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1.1  采购人：见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1.2  采购代理机构：见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1.3  项目名称：</w:t>
      </w:r>
      <w:r>
        <w:rPr>
          <w:rFonts w:hint="eastAsia" w:asciiTheme="majorEastAsia" w:hAnsiTheme="majorEastAsia" w:eastAsiaTheme="majorEastAsia" w:cstheme="majorEastAsia"/>
          <w:bCs/>
          <w:color w:val="000000" w:themeColor="text1"/>
          <w:sz w:val="24"/>
          <w:szCs w:val="24"/>
        </w:rPr>
        <w:t>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1.4  项目编号：</w:t>
      </w:r>
      <w:r>
        <w:rPr>
          <w:rFonts w:hint="eastAsia" w:asciiTheme="majorEastAsia" w:hAnsiTheme="majorEastAsia" w:eastAsiaTheme="majorEastAsia" w:cstheme="majorEastAsia"/>
          <w:bCs/>
          <w:color w:val="000000" w:themeColor="text1"/>
          <w:sz w:val="24"/>
          <w:szCs w:val="24"/>
        </w:rPr>
        <w:t>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1.5  采购预算：见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1.6  资金来源：政府财政性资金。</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1.7  </w:t>
      </w:r>
      <w:r>
        <w:rPr>
          <w:rFonts w:hint="eastAsia" w:asciiTheme="majorEastAsia" w:hAnsiTheme="majorEastAsia" w:eastAsiaTheme="majorEastAsia" w:cstheme="majorEastAsia"/>
          <w:color w:val="000000" w:themeColor="text1"/>
          <w:sz w:val="24"/>
          <w:szCs w:val="24"/>
        </w:rPr>
        <w:t>获取竞争性磋商文件的方式：</w:t>
      </w:r>
      <w:r>
        <w:rPr>
          <w:rFonts w:hint="eastAsia" w:asciiTheme="majorEastAsia" w:hAnsiTheme="majorEastAsia" w:eastAsiaTheme="majorEastAsia" w:cstheme="majorEastAsia"/>
          <w:bCs/>
          <w:color w:val="000000" w:themeColor="text1"/>
          <w:sz w:val="24"/>
          <w:szCs w:val="24"/>
        </w:rPr>
        <w:t>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left="2"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1.8  预留采购份额：见磋商供应商须知前附表。</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p>
    <w:p>
      <w:pPr>
        <w:pStyle w:val="9"/>
        <w:spacing w:line="440" w:lineRule="exact"/>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  政府采购信息发布媒体：</w:t>
      </w:r>
    </w:p>
    <w:p>
      <w:pPr>
        <w:snapToGrid w:val="0"/>
        <w:spacing w:line="500" w:lineRule="exact"/>
        <w:ind w:firstLine="480" w:firstLineChars="200"/>
        <w:rPr>
          <w:rFonts w:asciiTheme="majorEastAsia" w:hAnsiTheme="majorEastAsia" w:eastAsiaTheme="majorEastAsia" w:cstheme="majorEastAsia"/>
          <w:bCs/>
          <w:color w:val="000000" w:themeColor="text1"/>
          <w:sz w:val="24"/>
        </w:rPr>
      </w:pPr>
      <w:r>
        <w:rPr>
          <w:rFonts w:hint="eastAsia" w:asciiTheme="majorEastAsia" w:hAnsiTheme="majorEastAsia" w:eastAsiaTheme="majorEastAsia" w:cstheme="majorEastAsia"/>
          <w:bCs/>
          <w:color w:val="000000" w:themeColor="text1"/>
          <w:sz w:val="24"/>
        </w:rPr>
        <w:t>2.1  与本项目相关的政府采购业务信息（包括竞争性磋商公告、成交公告及其更正事项等）将在以下媒体上发布：广西壮族自治区政府采购网、南宁公共资源交易中心网上发布。</w:t>
      </w:r>
    </w:p>
    <w:p>
      <w:pPr>
        <w:snapToGrid w:val="0"/>
        <w:spacing w:line="5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2.2  本项目竞争性磋商公告期限为公告发布之日起5个工作日。</w:t>
      </w:r>
    </w:p>
    <w:p>
      <w:pPr>
        <w:pStyle w:val="9"/>
        <w:spacing w:line="440" w:lineRule="exact"/>
        <w:ind w:left="242" w:hanging="242" w:hangingChars="101"/>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 </w:t>
      </w:r>
      <w:r>
        <w:rPr>
          <w:rFonts w:hint="eastAsia" w:asciiTheme="majorEastAsia" w:hAnsiTheme="majorEastAsia" w:eastAsiaTheme="majorEastAsia" w:cstheme="majorEastAsia"/>
          <w:color w:val="000000" w:themeColor="text1"/>
          <w:sz w:val="24"/>
          <w:szCs w:val="24"/>
        </w:rPr>
        <w:t>磋商供应商的</w:t>
      </w:r>
      <w:r>
        <w:rPr>
          <w:rFonts w:hint="eastAsia" w:asciiTheme="majorEastAsia" w:hAnsiTheme="majorEastAsia" w:eastAsiaTheme="majorEastAsia" w:cstheme="majorEastAsia"/>
          <w:bCs/>
          <w:color w:val="000000" w:themeColor="text1"/>
          <w:sz w:val="24"/>
          <w:szCs w:val="24"/>
        </w:rPr>
        <w:t>资格要求：</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3.1  </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color w:val="000000" w:themeColor="text1"/>
          <w:sz w:val="24"/>
        </w:rPr>
        <w:t>供应商未被列入失信被执行人、重大税收违法案件当事人名单、政府采购严重违法失信行为记录名单，且应符合《中华人民共和国政府采购法》第二十二条规定的资格条件</w:t>
      </w:r>
      <w:r>
        <w:rPr>
          <w:rFonts w:hint="eastAsia" w:asciiTheme="majorEastAsia" w:hAnsiTheme="majorEastAsia" w:eastAsiaTheme="majorEastAsia" w:cstheme="majorEastAsia"/>
          <w:bCs/>
          <w:color w:val="000000" w:themeColor="text1"/>
          <w:sz w:val="24"/>
          <w:szCs w:val="24"/>
        </w:rPr>
        <w:t>。</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3.2  针对本项目，</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应具备的特定条件：见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3.3  </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须知前附表规定接受联合体磋商的，两个以上</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供应商可以组成一个</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联合体，</w:t>
      </w:r>
      <w:r>
        <w:rPr>
          <w:rFonts w:hint="eastAsia" w:asciiTheme="majorEastAsia" w:hAnsiTheme="majorEastAsia" w:eastAsiaTheme="majorEastAsia" w:cstheme="majorEastAsia"/>
          <w:color w:val="000000" w:themeColor="text1"/>
          <w:sz w:val="24"/>
          <w:szCs w:val="24"/>
        </w:rPr>
        <w:t>以一个磋商供应商的身份共同参加磋商</w:t>
      </w:r>
      <w:r>
        <w:rPr>
          <w:rFonts w:hint="eastAsia" w:asciiTheme="majorEastAsia" w:hAnsiTheme="majorEastAsia" w:eastAsiaTheme="majorEastAsia" w:cstheme="majorEastAsia"/>
          <w:bCs/>
          <w:color w:val="000000" w:themeColor="text1"/>
          <w:sz w:val="24"/>
          <w:szCs w:val="24"/>
        </w:rPr>
        <w:t>。以联合体形式参加磋商的，联合体各方均应当符合本章第3.1项的要求，联合体各方中至少应当有一方符合本章第3.2项的要求。由同一专业的组成的联合体，按照资质等级较低的确定资质等级。联合体各方不得再以自己名义单独或组成新的联合体参加同一项目同一分项磋商。</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3.4  </w:t>
      </w:r>
      <w:r>
        <w:rPr>
          <w:rFonts w:hint="eastAsia" w:asciiTheme="majorEastAsia" w:hAnsiTheme="majorEastAsia" w:eastAsiaTheme="majorEastAsia" w:cstheme="majorEastAsia"/>
          <w:color w:val="000000" w:themeColor="text1"/>
          <w:sz w:val="24"/>
          <w:szCs w:val="24"/>
        </w:rPr>
        <w:t xml:space="preserve">磋商供应商不得直接或间接地与为本次采购的项目内容进行设计、编制规范和其他文件的咨询公司、采购人、采购代理机构或其附属机构有任何关联。 </w:t>
      </w:r>
    </w:p>
    <w:p>
      <w:pPr>
        <w:pStyle w:val="9"/>
        <w:spacing w:line="360" w:lineRule="auto"/>
        <w:ind w:left="242" w:hanging="242" w:hangingChars="101"/>
        <w:jc w:val="left"/>
        <w:rPr>
          <w:rFonts w:cs="宋体" w:asciiTheme="majorEastAsia" w:hAnsiTheme="majorEastAsia" w:eastAsiaTheme="majorEastAsia"/>
          <w:bCs/>
          <w:sz w:val="24"/>
        </w:rPr>
      </w:pPr>
      <w:r>
        <w:rPr>
          <w:rFonts w:cs="宋体" w:asciiTheme="majorEastAsia" w:hAnsiTheme="majorEastAsia" w:eastAsiaTheme="majorEastAsia"/>
          <w:bCs/>
          <w:sz w:val="24"/>
        </w:rPr>
        <w:t>4.质疑</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 xml:space="preserve">4.1  </w:t>
      </w:r>
      <w:r>
        <w:rPr>
          <w:rFonts w:hint="eastAsia" w:asciiTheme="majorEastAsia" w:hAnsiTheme="majorEastAsia" w:eastAsiaTheme="majorEastAsia"/>
          <w:sz w:val="24"/>
        </w:rPr>
        <w:t>磋商供应商</w:t>
      </w:r>
      <w:r>
        <w:rPr>
          <w:rFonts w:hint="eastAsia" w:asciiTheme="majorEastAsia" w:hAnsiTheme="majorEastAsia" w:eastAsiaTheme="majorEastAsia"/>
          <w:bCs/>
          <w:sz w:val="24"/>
        </w:rPr>
        <w:t>认为招标文件、采购过程或中标结果使自己的合法权益受到损害的，应当在知道或者应知其权益受到损害之日起七个工作日内，以书面形式向采购人、采购代理机构提出质疑。</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4.2提出质疑</w:t>
      </w:r>
      <w:r>
        <w:rPr>
          <w:rFonts w:hint="eastAsia" w:ascii="宋体" w:hAnsi="宋体"/>
          <w:bCs/>
          <w:sz w:val="24"/>
        </w:rPr>
        <w:t>的</w:t>
      </w:r>
      <w:r>
        <w:rPr>
          <w:rFonts w:hint="eastAsia" w:asciiTheme="majorEastAsia" w:hAnsiTheme="majorEastAsia" w:eastAsiaTheme="majorEastAsia"/>
          <w:sz w:val="24"/>
        </w:rPr>
        <w:t>磋商供应商</w:t>
      </w:r>
      <w:r>
        <w:rPr>
          <w:rFonts w:hint="eastAsia" w:ascii="宋体" w:hAnsi="宋体"/>
          <w:bCs/>
          <w:sz w:val="24"/>
        </w:rPr>
        <w:t>应</w:t>
      </w:r>
      <w:r>
        <w:rPr>
          <w:rFonts w:hint="eastAsia" w:asciiTheme="majorEastAsia" w:hAnsiTheme="majorEastAsia" w:eastAsiaTheme="majorEastAsia"/>
          <w:bCs/>
          <w:sz w:val="24"/>
        </w:rPr>
        <w:t>当是参与所质疑项目采购活动的供应商，质疑函应按</w:t>
      </w:r>
      <w:r>
        <w:fldChar w:fldCharType="begin"/>
      </w:r>
      <w:r>
        <w:instrText xml:space="preserve"> HYPERLINK "https://www.baidu.com/link?url=FnEKpEfecgHI29OKpvrr0ThhhsjQDNw-iC11hZexO2s8DSLZMvZjUN1CP-ntt8geS3G5mNVZ0i2D2OwgmglOo6vjFDXXMR3ZdYuFwaHcBwa&amp;wd=&amp;eqid=f309d5cf0000e588000000065a976ec3" \t "_blank" </w:instrText>
      </w:r>
      <w:r>
        <w:fldChar w:fldCharType="separate"/>
      </w:r>
      <w:r>
        <w:rPr>
          <w:rStyle w:val="21"/>
          <w:rFonts w:hint="eastAsia" w:asciiTheme="majorEastAsia" w:hAnsiTheme="majorEastAsia" w:eastAsiaTheme="majorEastAsia"/>
          <w:bCs/>
          <w:color w:val="auto"/>
          <w:sz w:val="24"/>
        </w:rPr>
        <w:t>财政部发布《政府采购供应商质疑函范本》</w:t>
      </w:r>
      <w:r>
        <w:rPr>
          <w:rStyle w:val="21"/>
          <w:rFonts w:hint="eastAsia" w:asciiTheme="majorEastAsia" w:hAnsiTheme="majorEastAsia" w:eastAsiaTheme="majorEastAsia"/>
          <w:bCs/>
          <w:color w:val="auto"/>
          <w:sz w:val="24"/>
        </w:rPr>
        <w:fldChar w:fldCharType="end"/>
      </w:r>
      <w:r>
        <w:rPr>
          <w:rFonts w:hint="eastAsia" w:asciiTheme="majorEastAsia" w:hAnsiTheme="majorEastAsia" w:eastAsiaTheme="majorEastAsia"/>
          <w:bCs/>
          <w:sz w:val="24"/>
        </w:rPr>
        <w:t>编制，质疑函内容或格式不符合其规定的，磋商供应商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4.3供应商质疑实行实名制，其质疑应当有具体的质疑事项及事实根据，质疑应当坚持依法依规、诚实信用原则，不得进行虚假、恶意质疑。</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4.4供应商提交质疑应当提交质疑函和必要的证明材料，质疑函应当包括下列内容：</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（1）供应商的姓名或者名称、地址、邮编、联系人及联系电话；</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（2）质疑项目的名称、编号；</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（3）具体、明确的质疑事项和质疑事项相关的请求；</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（4）事实依据；</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（5）必要的法律依据；</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（6）提起质疑的日期；</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质疑书应当署名。供应商为自然人的，应当由本人签字；质疑供应商为法人或者其他组织的，应当由法定代表人、主要负责人签字或其授权代表签字或盖章并加盖公章。</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4.6  质疑供应商提起质疑应当符合下列条件：</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（1）质疑供应商是参与所质疑政府采购活动的供应商，以联合体形式参加政府采购活动的，其质疑应当由组成联合体的所有供应商共同提出；</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（2）质疑函内容符合本章第4.4项的规定；</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（3）在质疑有效期限内提起质疑；</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（4）属于所质疑的采购人或采购人委托的采购代理机构组织的采购活动；</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 xml:space="preserve">（5）同一质疑事项未经采购人或采购人委托的采购代理机构质疑处理； </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（6）供应商对同一采购程序环节的质疑应当在质疑有效期内一次性提出；</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（7）供应商提交质疑应当提交必要的证明材料，证明材料应以合法手段取得；</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（8）财政部门规定的其他条件。</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4.7  采购人或采购人委托的采购代理机构自受理质疑之日起七个工作日内，对质疑事项作出答复，并以书面形式通知质疑供应商及其他有关供应商。</w:t>
      </w:r>
    </w:p>
    <w:p>
      <w:pPr>
        <w:pStyle w:val="9"/>
        <w:spacing w:line="440" w:lineRule="exact"/>
        <w:ind w:left="542" w:leftChars="201" w:hanging="120" w:hangingChars="50"/>
        <w:jc w:val="left"/>
        <w:rPr>
          <w:rFonts w:asciiTheme="majorEastAsia" w:hAnsiTheme="majorEastAsia" w:eastAsiaTheme="majorEastAsia" w:cstheme="majorEastAsia"/>
          <w:bCs/>
          <w:color w:val="000000" w:themeColor="text1"/>
          <w:sz w:val="24"/>
          <w:szCs w:val="24"/>
        </w:rPr>
      </w:pPr>
      <w:r>
        <w:rPr>
          <w:rFonts w:asciiTheme="majorEastAsia" w:hAnsiTheme="majorEastAsia" w:eastAsiaTheme="majorEastAsia" w:cstheme="majorEastAsia"/>
          <w:bCs/>
          <w:color w:val="000000" w:themeColor="text1"/>
          <w:sz w:val="24"/>
          <w:szCs w:val="24"/>
        </w:rPr>
        <w:t xml:space="preserve">5.  </w:t>
      </w:r>
      <w:r>
        <w:rPr>
          <w:rFonts w:hint="eastAsia" w:asciiTheme="majorEastAsia" w:hAnsiTheme="majorEastAsia" w:eastAsiaTheme="majorEastAsia" w:cstheme="majorEastAsia"/>
          <w:bCs/>
          <w:color w:val="000000" w:themeColor="text1"/>
          <w:sz w:val="24"/>
          <w:szCs w:val="24"/>
        </w:rPr>
        <w:t>投诉</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asciiTheme="majorEastAsia" w:hAnsiTheme="majorEastAsia" w:eastAsiaTheme="majorEastAsia" w:cstheme="majorEastAsia"/>
          <w:bCs/>
          <w:color w:val="000000" w:themeColor="text1"/>
          <w:sz w:val="24"/>
          <w:szCs w:val="24"/>
        </w:rPr>
        <w:t xml:space="preserve">5.1  </w:t>
      </w:r>
      <w:r>
        <w:rPr>
          <w:rFonts w:hint="eastAsia" w:asciiTheme="majorEastAsia" w:hAnsiTheme="majorEastAsia" w:eastAsiaTheme="majorEastAsia" w:cstheme="majorEastAsia"/>
          <w:bCs/>
          <w:color w:val="000000" w:themeColor="text1"/>
          <w:sz w:val="24"/>
          <w:szCs w:val="24"/>
        </w:rPr>
        <w:t>供应商认为采购文件、采购过程、成交结果使自己的合法权益受到损害的，应当首先依法向采购人或采购人委托的</w:t>
      </w:r>
      <w:r>
        <w:rPr>
          <w:rFonts w:hint="eastAsia" w:asciiTheme="majorEastAsia" w:hAnsiTheme="majorEastAsia" w:eastAsiaTheme="majorEastAsia" w:cstheme="majorEastAsia"/>
          <w:color w:val="000000" w:themeColor="text1"/>
          <w:sz w:val="24"/>
          <w:szCs w:val="24"/>
        </w:rPr>
        <w:t>采购代理机构</w:t>
      </w:r>
      <w:r>
        <w:rPr>
          <w:rFonts w:hint="eastAsia" w:asciiTheme="majorEastAsia" w:hAnsiTheme="majorEastAsia" w:eastAsiaTheme="majorEastAsia" w:cstheme="majorEastAsia"/>
          <w:bCs/>
          <w:color w:val="000000" w:themeColor="text1"/>
          <w:sz w:val="24"/>
          <w:szCs w:val="24"/>
        </w:rPr>
        <w:t>提出质疑。对采购人、</w:t>
      </w:r>
      <w:r>
        <w:rPr>
          <w:rFonts w:hint="eastAsia" w:asciiTheme="majorEastAsia" w:hAnsiTheme="majorEastAsia" w:eastAsiaTheme="majorEastAsia" w:cstheme="majorEastAsia"/>
          <w:color w:val="000000" w:themeColor="text1"/>
          <w:sz w:val="24"/>
          <w:szCs w:val="24"/>
        </w:rPr>
        <w:t>采购代理机构</w:t>
      </w:r>
      <w:r>
        <w:rPr>
          <w:rFonts w:hint="eastAsia" w:asciiTheme="majorEastAsia" w:hAnsiTheme="majorEastAsia" w:eastAsiaTheme="majorEastAsia" w:cstheme="majorEastAsia"/>
          <w:bCs/>
          <w:color w:val="000000" w:themeColor="text1"/>
          <w:sz w:val="24"/>
          <w:szCs w:val="24"/>
        </w:rPr>
        <w:t>的答复不满意，或者采购人、</w:t>
      </w:r>
      <w:r>
        <w:rPr>
          <w:rFonts w:hint="eastAsia" w:asciiTheme="majorEastAsia" w:hAnsiTheme="majorEastAsia" w:eastAsiaTheme="majorEastAsia" w:cstheme="majorEastAsia"/>
          <w:color w:val="000000" w:themeColor="text1"/>
          <w:sz w:val="24"/>
          <w:szCs w:val="24"/>
        </w:rPr>
        <w:t>采购代理机构</w:t>
      </w:r>
      <w:r>
        <w:rPr>
          <w:rFonts w:hint="eastAsia" w:asciiTheme="majorEastAsia" w:hAnsiTheme="majorEastAsia" w:eastAsiaTheme="majorEastAsia" w:cstheme="majorEastAsia"/>
          <w:bCs/>
          <w:color w:val="000000" w:themeColor="text1"/>
          <w:sz w:val="24"/>
          <w:szCs w:val="24"/>
        </w:rPr>
        <w:t>未在规定期限内做出答复的，供应商可以在答复期满后十五个工作日内向</w:t>
      </w:r>
      <w:r>
        <w:rPr>
          <w:rFonts w:hint="eastAsia" w:asciiTheme="majorEastAsia" w:hAnsiTheme="majorEastAsia" w:eastAsiaTheme="majorEastAsia" w:cstheme="majorEastAsia"/>
          <w:color w:val="000000" w:themeColor="text1"/>
          <w:sz w:val="24"/>
          <w:szCs w:val="24"/>
        </w:rPr>
        <w:t>南宁市政府采购监督管理部门</w:t>
      </w:r>
      <w:r>
        <w:rPr>
          <w:rFonts w:hint="eastAsia" w:asciiTheme="majorEastAsia" w:hAnsiTheme="majorEastAsia" w:eastAsiaTheme="majorEastAsia" w:cstheme="majorEastAsia"/>
          <w:bCs/>
          <w:color w:val="000000" w:themeColor="text1"/>
          <w:sz w:val="24"/>
          <w:szCs w:val="24"/>
        </w:rPr>
        <w:t>提起投诉。</w:t>
      </w:r>
    </w:p>
    <w:p>
      <w:pPr>
        <w:pStyle w:val="9"/>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z w:val="24"/>
          <w:szCs w:val="24"/>
        </w:rPr>
        <w:t xml:space="preserve">5.2  </w:t>
      </w:r>
      <w:r>
        <w:rPr>
          <w:rFonts w:hint="eastAsia" w:asciiTheme="majorEastAsia" w:hAnsiTheme="majorEastAsia" w:eastAsiaTheme="majorEastAsia" w:cstheme="majorEastAsia"/>
          <w:color w:val="000000" w:themeColor="text1"/>
          <w:sz w:val="24"/>
          <w:szCs w:val="24"/>
        </w:rPr>
        <w:t>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9"/>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 xml:space="preserve">1）投诉人和被投诉人的名称、地址、电话等； </w:t>
      </w:r>
    </w:p>
    <w:p>
      <w:pPr>
        <w:pStyle w:val="9"/>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2）具体的投诉事项及事实依据；</w:t>
      </w:r>
    </w:p>
    <w:p>
      <w:pPr>
        <w:pStyle w:val="9"/>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 xml:space="preserve">3）质疑和质疑答复情况及相关证明材料； </w:t>
      </w:r>
    </w:p>
    <w:p>
      <w:pPr>
        <w:pStyle w:val="9"/>
        <w:tabs>
          <w:tab w:val="right" w:pos="9638"/>
        </w:tabs>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4）提起投诉的日期。</w:t>
      </w:r>
    </w:p>
    <w:p>
      <w:pPr>
        <w:pStyle w:val="9"/>
        <w:tabs>
          <w:tab w:val="right" w:pos="9638"/>
        </w:tabs>
        <w:spacing w:line="440" w:lineRule="exact"/>
        <w:ind w:left="2" w:firstLine="477" w:firstLineChars="199"/>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5）附件材料：营业执照副本内页复印件（要求证件有效清晰和企业年度报告公示材料；近期三个月依法缴纳税收和在职职工社会保障资金证明材料（复印件，原件备查）。</w:t>
      </w:r>
      <w:r>
        <w:rPr>
          <w:rFonts w:asciiTheme="majorEastAsia" w:hAnsiTheme="majorEastAsia" w:eastAsiaTheme="majorEastAsia" w:cstheme="majorEastAsia"/>
          <w:color w:val="000000" w:themeColor="text1"/>
          <w:sz w:val="24"/>
          <w:szCs w:val="24"/>
        </w:rPr>
        <w:tab/>
      </w:r>
      <w:r>
        <w:rPr>
          <w:rFonts w:asciiTheme="majorEastAsia" w:hAnsiTheme="majorEastAsia" w:eastAsiaTheme="majorEastAsia" w:cstheme="majorEastAsia"/>
          <w:color w:val="000000" w:themeColor="text1"/>
          <w:sz w:val="24"/>
          <w:szCs w:val="24"/>
        </w:rPr>
        <w:tab/>
      </w:r>
      <w:r>
        <w:rPr>
          <w:rFonts w:asciiTheme="majorEastAsia" w:hAnsiTheme="majorEastAsia" w:eastAsiaTheme="majorEastAsia" w:cstheme="majorEastAsia"/>
          <w:color w:val="000000" w:themeColor="text1"/>
          <w:sz w:val="24"/>
          <w:szCs w:val="24"/>
        </w:rPr>
        <w:tab/>
      </w:r>
      <w:r>
        <w:rPr>
          <w:rFonts w:asciiTheme="majorEastAsia" w:hAnsiTheme="majorEastAsia" w:eastAsiaTheme="majorEastAsia" w:cstheme="majorEastAsia"/>
          <w:color w:val="000000" w:themeColor="text1"/>
          <w:sz w:val="24"/>
          <w:szCs w:val="24"/>
        </w:rPr>
        <w:t xml:space="preserve">    投诉书应当署名。投诉人为法人或者其他组织的，应当由法定代表人或者主要负责人签字盖章并加盖公章。</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z w:val="24"/>
          <w:szCs w:val="24"/>
        </w:rPr>
        <w:t xml:space="preserve">5.3  </w:t>
      </w:r>
      <w:r>
        <w:rPr>
          <w:rFonts w:hint="eastAsia" w:asciiTheme="majorEastAsia" w:hAnsiTheme="majorEastAsia" w:eastAsiaTheme="majorEastAsia" w:cstheme="majorEastAsia"/>
          <w:color w:val="000000" w:themeColor="text1"/>
          <w:sz w:val="24"/>
          <w:szCs w:val="24"/>
        </w:rPr>
        <w:t>投诉人可以委托代理人办理投诉事务。代理人办理投诉事务时，除提交投诉书外，还应当提交投诉人的授权委托书，授权委托书应当载明委托代理的具体权限和事项。</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z w:val="24"/>
          <w:szCs w:val="24"/>
        </w:rPr>
        <w:t xml:space="preserve">5.4  </w:t>
      </w:r>
      <w:r>
        <w:rPr>
          <w:rFonts w:hint="eastAsia" w:asciiTheme="majorEastAsia" w:hAnsiTheme="majorEastAsia" w:eastAsiaTheme="majorEastAsia" w:cstheme="majorEastAsia"/>
          <w:color w:val="000000" w:themeColor="text1"/>
          <w:sz w:val="24"/>
          <w:szCs w:val="24"/>
        </w:rPr>
        <w:t>投诉人提起投诉应当符合下列条件：</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1）投诉人是参与所投诉政府采购活动的供应商；</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2）提起投诉前已依法进行质疑；</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3）投诉书内容符合本章第5.2项的规定；</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4）在投诉有效期限内提起投诉；</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5）属于南宁市政府采购监督管理部门管辖；</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6）同一投诉事项未经南宁市政府采购监督管理部门投诉处理；</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7）国务院财政部门规定的其他条件。</w:t>
      </w:r>
    </w:p>
    <w:p>
      <w:pPr>
        <w:spacing w:line="440" w:lineRule="exact"/>
        <w:ind w:firstLine="480" w:firstLineChars="200"/>
        <w:rPr>
          <w:rFonts w:asciiTheme="majorEastAsia" w:hAnsiTheme="majorEastAsia" w:eastAsiaTheme="majorEastAsia" w:cstheme="majorEastAsia"/>
          <w:color w:val="000000" w:themeColor="text1"/>
          <w:sz w:val="24"/>
        </w:rPr>
      </w:pPr>
      <w:r>
        <w:rPr>
          <w:rFonts w:asciiTheme="majorEastAsia" w:hAnsiTheme="majorEastAsia" w:eastAsiaTheme="majorEastAsia" w:cstheme="majorEastAsia"/>
          <w:color w:val="000000" w:themeColor="text1"/>
          <w:sz w:val="24"/>
        </w:rPr>
        <w:t xml:space="preserve">5.5  </w:t>
      </w:r>
      <w:r>
        <w:rPr>
          <w:rFonts w:hint="eastAsia" w:asciiTheme="majorEastAsia" w:hAnsiTheme="majorEastAsia" w:eastAsiaTheme="majorEastAsia" w:cstheme="majorEastAsia"/>
          <w:color w:val="000000" w:themeColor="text1"/>
          <w:sz w:val="24"/>
        </w:rPr>
        <w:t>南宁市政府采购监督管理部门自受理投诉之日起三十个工作日内，对投诉事项作出处理决定，并以书面形式通知投诉人、被投诉人及其他与投诉处理结果有利害关系的政府采购当事人。</w:t>
      </w:r>
    </w:p>
    <w:p>
      <w:pPr>
        <w:spacing w:line="440" w:lineRule="exact"/>
        <w:ind w:firstLine="480" w:firstLineChars="200"/>
        <w:rPr>
          <w:rFonts w:asciiTheme="majorEastAsia" w:hAnsiTheme="majorEastAsia" w:eastAsiaTheme="majorEastAsia" w:cstheme="majorEastAsia"/>
          <w:color w:val="000000" w:themeColor="text1"/>
          <w:sz w:val="24"/>
        </w:rPr>
      </w:pPr>
      <w:r>
        <w:rPr>
          <w:rFonts w:asciiTheme="majorEastAsia" w:hAnsiTheme="majorEastAsia" w:eastAsiaTheme="majorEastAsia" w:cstheme="majorEastAsia"/>
          <w:color w:val="000000" w:themeColor="text1"/>
          <w:sz w:val="24"/>
        </w:rPr>
        <w:t xml:space="preserve">5.6  </w:t>
      </w:r>
      <w:r>
        <w:rPr>
          <w:rFonts w:hint="eastAsia" w:asciiTheme="majorEastAsia" w:hAnsiTheme="majorEastAsia" w:eastAsiaTheme="majorEastAsia" w:cstheme="majorEastAsia"/>
          <w:color w:val="000000" w:themeColor="text1"/>
          <w:sz w:val="24"/>
        </w:rPr>
        <w:t>南宁市政府采购监督管理部门在处理投诉事项期间，可以视具体情况暂停采购活动。</w:t>
      </w:r>
    </w:p>
    <w:p>
      <w:pPr>
        <w:pStyle w:val="16"/>
        <w:outlineLvl w:val="1"/>
        <w:rPr>
          <w:rFonts w:asciiTheme="majorEastAsia" w:hAnsiTheme="majorEastAsia" w:eastAsiaTheme="majorEastAsia" w:cstheme="majorEastAsia"/>
          <w:color w:val="000000" w:themeColor="text1"/>
        </w:rPr>
      </w:pPr>
      <w:bookmarkStart w:id="51" w:name="_Toc9777"/>
      <w:bookmarkStart w:id="52" w:name="_Toc32743"/>
      <w:bookmarkStart w:id="53" w:name="_Toc460253705"/>
      <w:bookmarkStart w:id="54" w:name="_Toc485920214"/>
      <w:bookmarkStart w:id="55" w:name="_Toc17960"/>
      <w:bookmarkStart w:id="56" w:name="_Toc213326417"/>
      <w:r>
        <w:rPr>
          <w:rFonts w:hint="eastAsia" w:asciiTheme="majorEastAsia" w:hAnsiTheme="majorEastAsia" w:eastAsiaTheme="majorEastAsia" w:cstheme="majorEastAsia"/>
          <w:color w:val="000000" w:themeColor="text1"/>
        </w:rPr>
        <w:t>二   竞争性磋商采购文件</w:t>
      </w:r>
      <w:bookmarkEnd w:id="51"/>
      <w:bookmarkEnd w:id="52"/>
      <w:bookmarkEnd w:id="53"/>
      <w:bookmarkEnd w:id="54"/>
      <w:bookmarkEnd w:id="55"/>
      <w:bookmarkEnd w:id="56"/>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6.  竞争性磋商采购文件的组成</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6.1  本</w:t>
      </w:r>
      <w:r>
        <w:rPr>
          <w:rFonts w:hint="eastAsia" w:asciiTheme="majorEastAsia" w:hAnsiTheme="majorEastAsia" w:eastAsiaTheme="majorEastAsia" w:cstheme="majorEastAsia"/>
          <w:bCs/>
          <w:color w:val="000000" w:themeColor="text1"/>
          <w:sz w:val="24"/>
          <w:szCs w:val="24"/>
        </w:rPr>
        <w:t>竞争性磋商采购文件</w:t>
      </w:r>
      <w:r>
        <w:rPr>
          <w:rFonts w:hint="eastAsia" w:asciiTheme="majorEastAsia" w:hAnsiTheme="majorEastAsia" w:eastAsiaTheme="majorEastAsia" w:cstheme="majorEastAsia"/>
          <w:color w:val="000000" w:themeColor="text1"/>
          <w:sz w:val="24"/>
          <w:szCs w:val="24"/>
        </w:rPr>
        <w:t>包括六个章节，各章的内容如下：</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第一章  竞争性磋商公告</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第二章  服务需求一览表</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第三章  评审方法</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第四章  磋商供应商须知</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第五章  响应文件格式</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第六章  合同草案条款及格式</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6.2  根据本章第7.1项的规定对竞争性磋商文件所做的澄清、修改，构成竞争性磋商文件的组成部分。当竞争性磋商文件与澄清和修改的同一内容的表述不一致时，以最后发出的书面文件为准。</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7.  竞争性</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采购文件的澄清和修改</w:t>
      </w:r>
    </w:p>
    <w:p>
      <w:pPr>
        <w:pStyle w:val="9"/>
        <w:spacing w:line="440" w:lineRule="exact"/>
        <w:ind w:left="2" w:leftChars="1"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7.1　提交首次响应文件截止之日前，采购人、采购代理机构或者磋商小组可以对已发出的磋商文件进行必要的澄清或者修改。澄清或者修改的内容可能影响响应文件编制的，采购人、采购代理机构应当在提交首次响应文件截止时间至少5日前；不足5日的，采购人、采购代理机构应当顺延提交首次响应文件截止时间。同时，采购代理机构在本章第2.1项规定的政府采购信息发布媒体上发布更正公告，</w:t>
      </w:r>
      <w:r>
        <w:rPr>
          <w:rFonts w:hint="eastAsia" w:asciiTheme="majorEastAsia" w:hAnsiTheme="majorEastAsia" w:eastAsiaTheme="majorEastAsia" w:cstheme="majorEastAsia"/>
          <w:b/>
          <w:color w:val="000000" w:themeColor="text1"/>
          <w:sz w:val="24"/>
          <w:szCs w:val="24"/>
        </w:rPr>
        <w:t>请磋商供应商随时关注网站动态，代理机构将不再另行电话通知。</w:t>
      </w:r>
    </w:p>
    <w:p>
      <w:pPr>
        <w:pStyle w:val="9"/>
        <w:spacing w:line="440" w:lineRule="exact"/>
        <w:ind w:left="2" w:leftChars="1"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7.2采购人和采购代理机构可以视采购具体情况，变更递交响应文件截止时间，但应当在递交响应文件截止之日前，采购代理机构在本章第2.1项规定的政府采购信息发布媒体上发布更正公告，</w:t>
      </w:r>
      <w:r>
        <w:rPr>
          <w:rFonts w:hint="eastAsia" w:asciiTheme="majorEastAsia" w:hAnsiTheme="majorEastAsia" w:eastAsiaTheme="majorEastAsia" w:cstheme="majorEastAsia"/>
          <w:b/>
          <w:color w:val="000000" w:themeColor="text1"/>
          <w:sz w:val="24"/>
          <w:szCs w:val="24"/>
        </w:rPr>
        <w:t>请磋商供应商随时关注网站动态，代理机构将不再另行电话通知。</w:t>
      </w:r>
    </w:p>
    <w:p>
      <w:pPr>
        <w:pStyle w:val="16"/>
        <w:outlineLvl w:val="1"/>
        <w:rPr>
          <w:rFonts w:asciiTheme="majorEastAsia" w:hAnsiTheme="majorEastAsia" w:eastAsiaTheme="majorEastAsia" w:cstheme="majorEastAsia"/>
          <w:color w:val="000000" w:themeColor="text1"/>
        </w:rPr>
      </w:pPr>
      <w:bookmarkStart w:id="57" w:name="_Toc4272"/>
      <w:bookmarkStart w:id="58" w:name="_Toc30256"/>
      <w:bookmarkStart w:id="59" w:name="_Toc485920215"/>
      <w:bookmarkStart w:id="60" w:name="_Toc64"/>
      <w:bookmarkStart w:id="61" w:name="_Toc460253706"/>
      <w:bookmarkStart w:id="62" w:name="_Toc213326418"/>
      <w:r>
        <w:rPr>
          <w:rFonts w:hint="eastAsia" w:asciiTheme="majorEastAsia" w:hAnsiTheme="majorEastAsia" w:eastAsiaTheme="majorEastAsia" w:cstheme="majorEastAsia"/>
          <w:color w:val="000000" w:themeColor="text1"/>
        </w:rPr>
        <w:t>三   响应文件</w:t>
      </w:r>
      <w:bookmarkEnd w:id="57"/>
      <w:bookmarkEnd w:id="58"/>
      <w:bookmarkEnd w:id="59"/>
      <w:bookmarkEnd w:id="60"/>
      <w:bookmarkEnd w:id="61"/>
      <w:bookmarkEnd w:id="62"/>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8.  响应文件的编制</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8.1 磋商供应商应仔细阅读竞争性磋商文件，在充分了解采购的内容、技术参数要求和商务条款以及实质性要求和条件后，编写响应文件。</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8.2  对竞争性磋商文件的实质性要求和条件作出响应是指磋商供应商必须对竞争性磋商文件中标注为实质性要求和条件的技术参数要求、商务条款及其它内容</w:t>
      </w:r>
      <w:r>
        <w:rPr>
          <w:rFonts w:hint="eastAsia" w:asciiTheme="majorEastAsia" w:hAnsiTheme="majorEastAsia" w:eastAsiaTheme="majorEastAsia" w:cstheme="majorEastAsia"/>
          <w:b/>
          <w:color w:val="000000" w:themeColor="text1"/>
          <w:sz w:val="24"/>
          <w:szCs w:val="24"/>
        </w:rPr>
        <w:t>作出满足或者优于原要求和条件的承诺</w:t>
      </w:r>
      <w:r>
        <w:rPr>
          <w:rFonts w:hint="eastAsia" w:asciiTheme="majorEastAsia" w:hAnsiTheme="majorEastAsia" w:eastAsiaTheme="majorEastAsia" w:cstheme="majorEastAsia"/>
          <w:color w:val="000000" w:themeColor="text1"/>
          <w:sz w:val="24"/>
          <w:szCs w:val="24"/>
        </w:rPr>
        <w:t>。</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8.3  竞争性磋商文件中标注★号的内容为实质性要求和条件。</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8.4  响应文件应用不褪色的材料书写或打印，保证其清楚、工整，相关材料的复印件应清晰可辨认。响应文件字迹潦草、表达不清、模糊无法辨认而导致非唯一理解是磋商供应商的风险，很可能导致该响应无效。</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8.5  第五章“响应文件格式”中规定了响应文件格式的，应按相应格式要求编写。</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8.6  响应文件应由磋商供应商的法定代表人或其委托代理人在凡规定签章处逐一签字或盖章并加盖单位公章。响应文件应尽量避免涂改、行间插字或删除。如果出现上述情况，改动之处应加盖单位公章或由磋商供应商的法定代表人或其委托代理人签字或盖章确认。</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8.7  响应文件应编制目录，且页码清晰准确。</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8.8  响应文件的正本和副本应分别装订成册，封面上应清楚地标记“正本”或“副本”字样，并标明项目名称、项目编号、磋商供应商名称等内容。副本可以采用正本的复印件，当副本和正本不一致时，以正本为准。磋商供应商应准备首次报价文件正本、技术文件正本、商务文件正本各一份，副本份数见磋商供应商须知前附表。</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9.  响应文件语言文字及计量单位</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9.1  磋商供应商的响应文件以及磋商供应商与采购人、采购代理机构就有关磋商的所有往来函电统一使用中文（特别规定除外）。磋商供应商随响应文件或往来函电所提交的相关证明材料等可以使用其他语言，但必须同时提供由专业翻译机构出具的或经公证的中文译文，否则视同未提供该项证明材料。</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9.2  对不同文字文本响应文件的解释发生异议的，以中文文本为准。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9.3  响应文件使用的计量单位除竞争性磋商文件中有特殊规定外，一律使用中华人民共和国法定计量单位。</w:t>
      </w:r>
    </w:p>
    <w:p>
      <w:pPr>
        <w:pStyle w:val="9"/>
        <w:spacing w:line="440" w:lineRule="exact"/>
        <w:rPr>
          <w:rFonts w:asciiTheme="majorEastAsia" w:hAnsiTheme="majorEastAsia" w:eastAsiaTheme="majorEastAsia" w:cstheme="majorEastAsia"/>
          <w:bCs/>
          <w:color w:val="000000" w:themeColor="text1"/>
          <w:sz w:val="24"/>
          <w:szCs w:val="24"/>
        </w:rPr>
      </w:pPr>
      <w:bookmarkStart w:id="63" w:name="_Toc485920221"/>
      <w:bookmarkStart w:id="64" w:name="_Toc213206176"/>
      <w:bookmarkStart w:id="65" w:name="_Toc213325925"/>
      <w:bookmarkStart w:id="66" w:name="_Toc460253715"/>
      <w:bookmarkStart w:id="67" w:name="_Toc213326424"/>
      <w:r>
        <w:rPr>
          <w:rFonts w:hint="eastAsia" w:asciiTheme="majorEastAsia" w:hAnsiTheme="majorEastAsia" w:eastAsiaTheme="majorEastAsia" w:cstheme="majorEastAsia"/>
          <w:bCs/>
          <w:color w:val="000000" w:themeColor="text1"/>
          <w:sz w:val="24"/>
          <w:szCs w:val="24"/>
        </w:rPr>
        <w:t>10.  响应文件的组成</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10.1  磋商供应商需编制的响应文件包括首次报价文件、技术文件和商务文件三部分，磋商供应商应按下列说明编写和提交。应提交的有关文件如未特别注明为原件的，可提交复印件。</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10.1.1  首次报价文件，包括：</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（1）响应函：按第五章“响应文件格式”提供的“响应函（格式）”的要求填写；</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（2）响应报价表：按第五章“响应文件格式”提供的“响应报价表（格式）”的要求填写。</w:t>
      </w:r>
    </w:p>
    <w:p>
      <w:pPr>
        <w:pStyle w:val="9"/>
        <w:spacing w:line="440" w:lineRule="exact"/>
        <w:ind w:firstLine="360" w:firstLineChars="15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（3）中小企业声明函：按第五章“响应文件格式”提供的“中小企业声明函（格式）”的要求填写。</w:t>
      </w:r>
    </w:p>
    <w:p>
      <w:pPr>
        <w:pStyle w:val="9"/>
        <w:spacing w:line="440" w:lineRule="exact"/>
        <w:ind w:firstLine="360" w:firstLineChars="15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（4）残疾人福利性单位声明函：按第五章“响应文件格式”提供的“残疾人福利性单位声明函（格式）”的要求填写；</w:t>
      </w:r>
    </w:p>
    <w:p>
      <w:pPr>
        <w:pStyle w:val="9"/>
        <w:spacing w:after="165" w:line="440" w:lineRule="exact"/>
        <w:ind w:firstLine="360" w:firstLineChars="15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（5）监狱企业证明：提供由省级以上监狱管理局、戒毒管理局（含新疆生产建设兵团）出具的属于监狱企业的证明文件。</w:t>
      </w:r>
    </w:p>
    <w:p>
      <w:pPr>
        <w:pStyle w:val="9"/>
        <w:spacing w:line="440" w:lineRule="exact"/>
        <w:ind w:firstLine="482" w:firstLineChars="200"/>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color w:val="000000" w:themeColor="text1"/>
          <w:sz w:val="24"/>
          <w:szCs w:val="24"/>
        </w:rPr>
        <w:t>其中，报价文件组成要求的第（1）～（2）项必须提交；第（3）～（5）项如有请提交。</w:t>
      </w:r>
      <w:r>
        <w:rPr>
          <w:rFonts w:hint="eastAsia" w:asciiTheme="majorEastAsia" w:hAnsiTheme="majorEastAsia" w:eastAsiaTheme="majorEastAsia" w:cstheme="majorEastAsia"/>
          <w:color w:val="000000" w:themeColor="text1"/>
          <w:sz w:val="24"/>
          <w:szCs w:val="24"/>
        </w:rPr>
        <w:t>10.1.2  技术文件，包括：</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（1）响应服务技术资料表：按第五章“响应文件格式”提供的“响应服务技术资料表（格式）”的要求填写；</w:t>
      </w:r>
    </w:p>
    <w:p>
      <w:pPr>
        <w:pStyle w:val="9"/>
        <w:spacing w:line="440" w:lineRule="exact"/>
        <w:ind w:firstLine="420"/>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color w:val="000000" w:themeColor="text1"/>
          <w:sz w:val="24"/>
          <w:szCs w:val="24"/>
        </w:rPr>
        <w:t>（2）其它：针对所提供服务的主要技术指标方案等的详细说明，等等。</w:t>
      </w:r>
    </w:p>
    <w:p>
      <w:pPr>
        <w:pStyle w:val="9"/>
        <w:spacing w:line="440" w:lineRule="exact"/>
        <w:ind w:firstLine="420"/>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color w:val="000000" w:themeColor="text1"/>
          <w:sz w:val="24"/>
          <w:szCs w:val="24"/>
        </w:rPr>
        <w:t>技术文件中的第（1）项必须提交；第（2）项如有请提交。</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10.1.3  商务文件，包括：</w:t>
      </w: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w:t>
      </w:r>
      <w:r>
        <w:rPr>
          <w:rFonts w:hAnsi="宋体"/>
          <w:color w:val="000000" w:themeColor="text1"/>
          <w:sz w:val="24"/>
          <w:szCs w:val="24"/>
        </w:rPr>
        <w:t>1</w:t>
      </w:r>
      <w:r>
        <w:rPr>
          <w:rFonts w:hint="eastAsia" w:hAnsi="宋体"/>
          <w:color w:val="000000" w:themeColor="text1"/>
          <w:sz w:val="24"/>
          <w:szCs w:val="24"/>
        </w:rPr>
        <w:t>）供应商资格文件：</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①信用声明函。按第五章“响应文件格式”提供的“信用声明函（格式）”的要求填写。对列入失信被执行人、重大税收违法案件当事人名单、政府采购严重违法失信行为记录名单的供应商，将被拒绝参与本项目政府采购活动。</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②根据本章第</w:t>
      </w:r>
      <w:r>
        <w:rPr>
          <w:rFonts w:hAnsi="宋体"/>
          <w:color w:val="000000" w:themeColor="text1"/>
          <w:sz w:val="24"/>
          <w:szCs w:val="24"/>
        </w:rPr>
        <w:t>3.2</w:t>
      </w:r>
      <w:r>
        <w:rPr>
          <w:rFonts w:hint="eastAsia" w:hAnsi="宋体"/>
          <w:color w:val="000000" w:themeColor="text1"/>
          <w:sz w:val="24"/>
          <w:szCs w:val="24"/>
        </w:rPr>
        <w:t>项规定的磋商供应商应具备的特定条件提供，包括营业执照副本内页或事业单位法人证书复印件（磋商供应商如为企业的，要求证件有效并清晰反映企业法人经营范围）和磋商供应商资格的其他证明文件复印件；</w:t>
      </w:r>
    </w:p>
    <w:p>
      <w:pPr>
        <w:pStyle w:val="9"/>
        <w:spacing w:line="440" w:lineRule="exact"/>
        <w:ind w:firstLine="420"/>
        <w:rPr>
          <w:rFonts w:hAnsi="宋体"/>
          <w:color w:val="000000" w:themeColor="text1"/>
          <w:sz w:val="24"/>
          <w:szCs w:val="24"/>
        </w:rPr>
      </w:pPr>
      <w:r>
        <w:rPr>
          <w:rFonts w:hint="eastAsia" w:asciiTheme="minorEastAsia" w:hAnsiTheme="minorEastAsia" w:eastAsiaTheme="minorEastAsia"/>
          <w:color w:val="000000" w:themeColor="text1"/>
          <w:sz w:val="24"/>
          <w:szCs w:val="24"/>
        </w:rPr>
        <w:t>③磋商供应商直接控股、管理关系信息表，按第五章“响应文件格式”提供的“磋商供应商直接控股、管理关系信息表（格式）”的要求填写；</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w:t>
      </w:r>
      <w:r>
        <w:rPr>
          <w:rFonts w:hAnsi="宋体"/>
          <w:color w:val="000000" w:themeColor="text1"/>
          <w:sz w:val="24"/>
          <w:szCs w:val="24"/>
        </w:rPr>
        <w:t>2</w:t>
      </w:r>
      <w:r>
        <w:rPr>
          <w:rFonts w:hint="eastAsia" w:hAnsi="宋体"/>
          <w:color w:val="000000" w:themeColor="text1"/>
          <w:sz w:val="24"/>
          <w:szCs w:val="24"/>
        </w:rPr>
        <w:t>）法定代表人身份证明复印件：如使用第二代身份证应提交正、反面复印件，如法定代表人非中国国籍应提交护照复印件，要求证件有效并与营业执照中的法定代表人相符；</w:t>
      </w:r>
      <w:r>
        <w:rPr>
          <w:rFonts w:hAnsi="宋体"/>
          <w:color w:val="000000" w:themeColor="text1"/>
          <w:sz w:val="24"/>
          <w:szCs w:val="24"/>
        </w:rPr>
        <w:t xml:space="preserve"> </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w:t>
      </w:r>
      <w:r>
        <w:rPr>
          <w:rFonts w:hAnsi="宋体"/>
          <w:color w:val="000000" w:themeColor="text1"/>
          <w:sz w:val="24"/>
          <w:szCs w:val="24"/>
        </w:rPr>
        <w:t>3</w:t>
      </w:r>
      <w:r>
        <w:rPr>
          <w:rFonts w:hint="eastAsia" w:hAnsi="宋体"/>
          <w:color w:val="000000" w:themeColor="text1"/>
          <w:sz w:val="24"/>
          <w:szCs w:val="24"/>
        </w:rPr>
        <w:t>）售后服务承诺书：按第五章“响应文件格式”提供的“售后服务承诺书（格式）”</w:t>
      </w:r>
      <w:r>
        <w:rPr>
          <w:rFonts w:hAnsi="宋体"/>
          <w:color w:val="000000" w:themeColor="text1"/>
          <w:sz w:val="24"/>
          <w:szCs w:val="24"/>
        </w:rPr>
        <w:t xml:space="preserve"> </w:t>
      </w:r>
      <w:r>
        <w:rPr>
          <w:rFonts w:hint="eastAsia" w:hAnsi="宋体"/>
          <w:color w:val="000000" w:themeColor="text1"/>
          <w:sz w:val="24"/>
          <w:szCs w:val="24"/>
        </w:rPr>
        <w:t>的要求填写；</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w:t>
      </w:r>
      <w:r>
        <w:rPr>
          <w:rFonts w:hAnsi="宋体"/>
          <w:color w:val="000000" w:themeColor="text1"/>
          <w:sz w:val="24"/>
          <w:szCs w:val="24"/>
        </w:rPr>
        <w:t>4</w:t>
      </w:r>
      <w:r>
        <w:rPr>
          <w:rFonts w:hint="eastAsia" w:hAnsi="宋体"/>
          <w:color w:val="000000" w:themeColor="text1"/>
          <w:sz w:val="24"/>
          <w:szCs w:val="24"/>
        </w:rPr>
        <w:t>）商务条款偏离表：按第五章“响应文件格式”提供的“商务条款偏离表（格式）”</w:t>
      </w:r>
      <w:r>
        <w:rPr>
          <w:rFonts w:hAnsi="宋体"/>
          <w:color w:val="000000" w:themeColor="text1"/>
          <w:sz w:val="24"/>
          <w:szCs w:val="24"/>
        </w:rPr>
        <w:t xml:space="preserve"> </w:t>
      </w:r>
      <w:r>
        <w:rPr>
          <w:rFonts w:hint="eastAsia" w:hAnsi="宋体"/>
          <w:color w:val="000000" w:themeColor="text1"/>
          <w:sz w:val="24"/>
          <w:szCs w:val="24"/>
        </w:rPr>
        <w:t>的要求填写；</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5）磋商供应商半年内连续三个月依法缴纳社保费的凭证复印件（如社保部门开具的证明、收款收据等，或银行缴款凭证、回单等，如为非社保部门开具的凭证或回单的，应清晰反映：缴款单位名称、社保单位名称、保险名称、缴款金额等内容）。无缴费记录的，应提供由供应商所在地社保部门出具的《依法缴纳或依法免缴社保费证明》（复印件，格式自拟）；</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（6）法定代表人授权委托书：按第五章“响应文件格式”提供的“法定代表人授权委托书（格式）”的要求填写；</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（7）委托代理人身份证明复印件：如使用第二代身份证应提交正、反面复印件，如委托代理人非中国国籍应提交护照复印件，要求证件有效并与法定代表人授权委托书中的委托代理人相符；</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（8）财务会计报表复印件：磋商供应商近三年的经会计师事务所或审计机构审计的财务会计报表，包括资产负债表、现金流量表、利润表、财务情况说明书和审计报告；</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9）其它：磋商供应商通过国家或国际认证资格证书复印件、银行出具的磋商供应商资信证明或信用等级证明复印件、磋商供应商近三年同类服务的实际业绩证明（附成交通知书复印件或合同复印件）、服务近三年的质量获奖荣誉证书复印件、环保体系认证证书复印件、磋商供应商近三年发生的诉讼及仲裁情况说明（附法院或仲裁机构作出的判决、裁决等有关法律文书复印件），等等。</w:t>
      </w:r>
    </w:p>
    <w:p>
      <w:pPr>
        <w:pStyle w:val="9"/>
        <w:spacing w:line="440" w:lineRule="exact"/>
        <w:ind w:firstLine="420"/>
        <w:rPr>
          <w:rFonts w:hAnsi="宋体"/>
          <w:color w:val="000000" w:themeColor="text1"/>
          <w:sz w:val="24"/>
          <w:szCs w:val="24"/>
        </w:rPr>
      </w:pPr>
      <w:r>
        <w:rPr>
          <w:rFonts w:hint="eastAsia" w:hAnsi="宋体"/>
          <w:b/>
          <w:color w:val="000000" w:themeColor="text1"/>
          <w:sz w:val="24"/>
          <w:szCs w:val="24"/>
        </w:rPr>
        <w:t>商务文件中的第（1）～（5）项必须提交；第（6）、（7）项在委托代理时必须提交；第（8）（9）项如有请提交。</w:t>
      </w:r>
    </w:p>
    <w:p>
      <w:pPr>
        <w:pStyle w:val="9"/>
        <w:spacing w:line="440" w:lineRule="exact"/>
        <w:ind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10.2  磋商供应商应按上述顺序将首次报价文件、技术文件和商务文件</w:t>
      </w:r>
      <w:r>
        <w:rPr>
          <w:rFonts w:hint="eastAsia" w:asciiTheme="majorEastAsia" w:hAnsiTheme="majorEastAsia" w:eastAsiaTheme="majorEastAsia" w:cstheme="majorEastAsia"/>
          <w:b/>
          <w:color w:val="000000" w:themeColor="text1"/>
          <w:sz w:val="24"/>
          <w:szCs w:val="24"/>
        </w:rPr>
        <w:t>分别装订成册</w:t>
      </w:r>
      <w:r>
        <w:rPr>
          <w:rFonts w:hint="eastAsia" w:asciiTheme="majorEastAsia" w:hAnsiTheme="majorEastAsia" w:eastAsiaTheme="majorEastAsia" w:cstheme="majorEastAsia"/>
          <w:color w:val="000000" w:themeColor="text1"/>
          <w:sz w:val="24"/>
          <w:szCs w:val="24"/>
        </w:rPr>
        <w:t>。</w:t>
      </w:r>
      <w:r>
        <w:rPr>
          <w:rFonts w:hint="eastAsia" w:asciiTheme="majorEastAsia" w:hAnsiTheme="majorEastAsia" w:eastAsiaTheme="majorEastAsia" w:cstheme="majorEastAsia"/>
          <w:b/>
          <w:color w:val="000000" w:themeColor="text1"/>
          <w:sz w:val="24"/>
          <w:szCs w:val="24"/>
        </w:rPr>
        <w:t>特别注意响应报价不得出现在技术文件和商务文件中。</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11.  响应文件报价</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11.1  磋商供应商应以人民币报价。</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11.2  磋商供应商可就第二章“服务需求一览表”中的</w:t>
      </w:r>
      <w:r>
        <w:rPr>
          <w:rFonts w:hint="eastAsia" w:asciiTheme="majorEastAsia" w:hAnsiTheme="majorEastAsia" w:eastAsiaTheme="majorEastAsia" w:cstheme="majorEastAsia"/>
          <w:b/>
          <w:color w:val="000000" w:themeColor="text1"/>
          <w:sz w:val="24"/>
          <w:szCs w:val="24"/>
        </w:rPr>
        <w:t>某一个分项内容报出完整且唯一报价，也可就某几个或所有分项内容分别报出完整且唯一报价。</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11.3  响应报价为在采购人指定地点提交服务成果所需的全部费用，其组成部分详见第二章“服务需求一览表”。采购人不再向成交供应商支付其响应报价之外的任何费用。</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11.4  本项目的采购代理服务费按物价部门核准的收费标准执行，见磋商供应商须知前附表。</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11.5  不论磋商结果如何，磋商供应商均应自行承担与编制和提交响应文件有关的全部费用。</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12.  响应有效期</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12.1  在磋商供应商须知前附表规定的响应有效期内，磋商供应商不得要求撤销或修改其响应文件。</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12.2  在特殊情况下，采购人或采购代理机构可与磋商供应商协商延长响应有效期，这种要求与答复均应使用书面形式。磋商供应商同意延长的，应相应延长其磋商有效期，但不得要求或被允许修改或撤销其响应文件；磋商供应商拒绝延长的，其响应失效。</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13.  </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保证金</w:t>
      </w:r>
    </w:p>
    <w:p>
      <w:pPr>
        <w:pStyle w:val="9"/>
        <w:spacing w:line="500" w:lineRule="exact"/>
        <w:ind w:left="2" w:leftChars="1" w:firstLine="477" w:firstLineChars="199"/>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本项目不收取磋商保证金。</w:t>
      </w:r>
    </w:p>
    <w:p>
      <w:pPr>
        <w:pStyle w:val="16"/>
        <w:outlineLvl w:val="1"/>
        <w:rPr>
          <w:rFonts w:asciiTheme="majorEastAsia" w:hAnsiTheme="majorEastAsia" w:eastAsiaTheme="majorEastAsia" w:cstheme="majorEastAsia"/>
          <w:color w:val="000000" w:themeColor="text1"/>
        </w:rPr>
      </w:pPr>
      <w:bookmarkStart w:id="68" w:name="_Toc213326419"/>
      <w:bookmarkStart w:id="69" w:name="_Toc31394"/>
      <w:bookmarkStart w:id="70" w:name="_Toc495334413"/>
      <w:bookmarkStart w:id="71" w:name="_Toc23921"/>
      <w:bookmarkStart w:id="72" w:name="_Toc3487"/>
      <w:bookmarkStart w:id="73" w:name="_Toc213326420"/>
      <w:r>
        <w:rPr>
          <w:rFonts w:hint="eastAsia" w:asciiTheme="majorEastAsia" w:hAnsiTheme="majorEastAsia" w:eastAsiaTheme="majorEastAsia" w:cstheme="majorEastAsia"/>
          <w:color w:val="000000" w:themeColor="text1"/>
        </w:rPr>
        <w:t xml:space="preserve">四   </w:t>
      </w:r>
      <w:bookmarkEnd w:id="68"/>
      <w:r>
        <w:rPr>
          <w:rFonts w:hint="eastAsia" w:asciiTheme="majorEastAsia" w:hAnsiTheme="majorEastAsia" w:eastAsiaTheme="majorEastAsia" w:cstheme="majorEastAsia"/>
          <w:color w:val="000000" w:themeColor="text1"/>
        </w:rPr>
        <w:t>磋商响应</w:t>
      </w:r>
      <w:bookmarkEnd w:id="69"/>
      <w:bookmarkEnd w:id="70"/>
      <w:bookmarkEnd w:id="71"/>
      <w:bookmarkEnd w:id="72"/>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14.  </w:t>
      </w:r>
      <w:r>
        <w:rPr>
          <w:rFonts w:hint="eastAsia" w:asciiTheme="majorEastAsia" w:hAnsiTheme="majorEastAsia" w:eastAsiaTheme="majorEastAsia" w:cstheme="majorEastAsia"/>
          <w:color w:val="000000" w:themeColor="text1"/>
          <w:sz w:val="24"/>
          <w:szCs w:val="24"/>
        </w:rPr>
        <w:t>响应</w:t>
      </w:r>
      <w:r>
        <w:rPr>
          <w:rFonts w:hint="eastAsia" w:asciiTheme="majorEastAsia" w:hAnsiTheme="majorEastAsia" w:eastAsiaTheme="majorEastAsia" w:cstheme="majorEastAsia"/>
          <w:bCs/>
          <w:color w:val="000000" w:themeColor="text1"/>
          <w:sz w:val="24"/>
          <w:szCs w:val="24"/>
        </w:rPr>
        <w:t>文件的密封</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14.1  磋商供应商应将响应文件进行密封包装，并在包装面上加盖单位公章。</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15.  响应文件的提交</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15.1 磋商供应商提交响应文件截止时间：见磋商供应商须知前附表。</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15.2 磋商供应商提交响应文件地点：见磋商供应商须知前附表。</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15.3 磋商供应商提交响应文件时，应自行检查其响应文件的密封性。</w:t>
      </w:r>
    </w:p>
    <w:p>
      <w:pPr>
        <w:pStyle w:val="9"/>
        <w:spacing w:line="440" w:lineRule="exact"/>
        <w:jc w:val="center"/>
        <w:rPr>
          <w:rFonts w:asciiTheme="majorEastAsia" w:hAnsiTheme="majorEastAsia" w:eastAsiaTheme="majorEastAsia" w:cstheme="majorEastAsia"/>
          <w:color w:val="000000" w:themeColor="text1"/>
        </w:rPr>
      </w:pPr>
    </w:p>
    <w:bookmarkEnd w:id="73"/>
    <w:p>
      <w:pPr>
        <w:pStyle w:val="16"/>
        <w:outlineLvl w:val="1"/>
        <w:rPr>
          <w:rFonts w:asciiTheme="majorEastAsia" w:hAnsiTheme="majorEastAsia" w:eastAsiaTheme="majorEastAsia" w:cstheme="majorEastAsia"/>
          <w:color w:val="000000" w:themeColor="text1"/>
        </w:rPr>
      </w:pPr>
      <w:bookmarkStart w:id="74" w:name="_Toc495334414"/>
      <w:bookmarkStart w:id="75" w:name="_Toc22170"/>
      <w:bookmarkStart w:id="76" w:name="_Toc7972"/>
      <w:bookmarkStart w:id="77" w:name="_Toc32448"/>
      <w:r>
        <w:rPr>
          <w:rFonts w:hint="eastAsia" w:asciiTheme="majorEastAsia" w:hAnsiTheme="majorEastAsia" w:eastAsiaTheme="majorEastAsia" w:cstheme="majorEastAsia"/>
          <w:color w:val="000000" w:themeColor="text1"/>
        </w:rPr>
        <w:t>五   评审与磋商</w:t>
      </w:r>
      <w:bookmarkEnd w:id="74"/>
      <w:bookmarkEnd w:id="75"/>
      <w:bookmarkEnd w:id="76"/>
      <w:bookmarkEnd w:id="77"/>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16.  </w:t>
      </w:r>
      <w:r>
        <w:rPr>
          <w:rFonts w:hint="eastAsia" w:asciiTheme="majorEastAsia" w:hAnsiTheme="majorEastAsia" w:eastAsiaTheme="majorEastAsia" w:cstheme="majorEastAsia"/>
          <w:color w:val="000000" w:themeColor="text1"/>
          <w:sz w:val="24"/>
          <w:szCs w:val="24"/>
        </w:rPr>
        <w:t>响应文件</w:t>
      </w:r>
      <w:r>
        <w:rPr>
          <w:rFonts w:hint="eastAsia" w:asciiTheme="majorEastAsia" w:hAnsiTheme="majorEastAsia" w:eastAsiaTheme="majorEastAsia" w:cstheme="majorEastAsia"/>
          <w:bCs/>
          <w:color w:val="000000" w:themeColor="text1"/>
          <w:sz w:val="24"/>
          <w:szCs w:val="24"/>
        </w:rPr>
        <w:t>截止</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16.1  磋商供应商的法定代表人或其委托代理人应在提交响应文件截止时间前到达响应文件递交响应文件。如未按时递交，由此产生的后果由磋商供应商自行负责。</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16.1.1 截标后由采购人或采购代理机构对磋商供应商进行信用查询。</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查询渠道：“信用中国”网站（www.creditchina.gov.cn）、中国政府采购网（www.ccgp.gov.cn） </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查询截止时点：响应截止时间   </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查询记录和证据留存方式：在查询网站中直接打印查询记录，打印材料作为评审资料保存。</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17.  评审与磋商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17.1  成立磋商小组：评审与磋商活动由依法组建的磋商小组负责。磋商小组由采购人代表和有关技术、经济等方面的专家组成。采购人或采购代理机构根据本项目的特点，从同级或上一级财政部门设立的政府采购评审专家库中，通过随机方式抽取专家。</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17.2  评审原则：评审活动遵循公平、公正、科学和择优的原则。</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17.3  评审方法：磋商小组按照磋商供应商须知前附表和第三章“评审方法”规定的方法、评审因素和标准对响应文件进行评审。在评审中，不得改变第三章“评审办法”规定的方法、评审因素和标准；第三章“评审办法”没有规定的方法、评审因素和标准，不作为评审依据。</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17.4  </w:t>
      </w:r>
      <w:r>
        <w:rPr>
          <w:rFonts w:hint="eastAsia" w:asciiTheme="majorEastAsia" w:hAnsiTheme="majorEastAsia" w:eastAsiaTheme="majorEastAsia" w:cstheme="majorEastAsia"/>
          <w:bCs/>
          <w:color w:val="000000" w:themeColor="text1"/>
          <w:sz w:val="24"/>
          <w:szCs w:val="24"/>
        </w:rPr>
        <w:t>评审程序：</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17.4.1  </w:t>
      </w:r>
      <w:r>
        <w:rPr>
          <w:rFonts w:hint="eastAsia" w:asciiTheme="majorEastAsia" w:hAnsiTheme="majorEastAsia" w:eastAsiaTheme="majorEastAsia" w:cstheme="majorEastAsia"/>
          <w:bCs/>
          <w:color w:val="000000" w:themeColor="text1"/>
          <w:sz w:val="24"/>
          <w:szCs w:val="24"/>
        </w:rPr>
        <w:t>采购代理机构项目负责人宣读评审会场纪律要求，集中管理通讯工具，询问在场人员是否申请回避。</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17.4.2  </w:t>
      </w:r>
      <w:r>
        <w:rPr>
          <w:rFonts w:hint="eastAsia" w:asciiTheme="majorEastAsia" w:hAnsiTheme="majorEastAsia" w:eastAsiaTheme="majorEastAsia" w:cstheme="majorEastAsia"/>
          <w:bCs/>
          <w:color w:val="000000" w:themeColor="text1"/>
          <w:sz w:val="24"/>
          <w:szCs w:val="24"/>
        </w:rPr>
        <w:t>采购代理机构项目负责人介绍项目概况及</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小组组成情况（但不得发表影响评审的倾向性、歧视性言论），推选</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小组组长（原则上采购人不得担任</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小组组长）。</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17.4.3  </w:t>
      </w:r>
      <w:r>
        <w:rPr>
          <w:rFonts w:hint="eastAsia" w:asciiTheme="majorEastAsia" w:hAnsiTheme="majorEastAsia" w:eastAsiaTheme="majorEastAsia" w:cstheme="majorEastAsia"/>
          <w:color w:val="000000" w:themeColor="text1"/>
          <w:sz w:val="24"/>
          <w:szCs w:val="24"/>
        </w:rPr>
        <w:t>磋商小组在响应文件拆封前对响应文件做密封性检查，并签字确认。</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17.4.4  响应文件初审：初审分为资格性检查和符合性检查。</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（1）资格性检查：依据法律法规和采购文件的规定，对响应文件中的资格证明等进行审查，以确定磋商供应商是否具备响应的资格。</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（2）符合性检查：依据采购文件的规定，从响应文件的有效性、完整性和对响应文件的响应程度进行审查，以确定是否对响应文件的实质性要求和条件作出响应。</w:t>
      </w:r>
    </w:p>
    <w:p>
      <w:pPr>
        <w:spacing w:line="400" w:lineRule="exact"/>
        <w:ind w:firstLine="306"/>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(1)有下列情形之一的视为磋商供应商相互串通，响应文件将被视为无效。</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①不同磋商供应商的响应文件由同一单位或者个人编制；</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fldChar w:fldCharType="begin"/>
      </w:r>
      <w:r>
        <w:rPr>
          <w:rFonts w:hint="eastAsia" w:asciiTheme="majorEastAsia" w:hAnsiTheme="majorEastAsia" w:eastAsiaTheme="majorEastAsia" w:cstheme="majorEastAsia"/>
          <w:color w:val="000000" w:themeColor="text1"/>
          <w:sz w:val="24"/>
        </w:rPr>
        <w:instrText xml:space="preserve"> = 2 \* GB3 </w:instrText>
      </w:r>
      <w:r>
        <w:rPr>
          <w:rFonts w:hint="eastAsia" w:asciiTheme="majorEastAsia" w:hAnsiTheme="majorEastAsia" w:eastAsiaTheme="majorEastAsia" w:cstheme="majorEastAsia"/>
          <w:color w:val="000000" w:themeColor="text1"/>
          <w:sz w:val="24"/>
        </w:rPr>
        <w:fldChar w:fldCharType="separate"/>
      </w:r>
      <w:r>
        <w:rPr>
          <w:rFonts w:hint="eastAsia" w:asciiTheme="majorEastAsia" w:hAnsiTheme="majorEastAsia" w:eastAsiaTheme="majorEastAsia" w:cstheme="majorEastAsia"/>
          <w:color w:val="000000" w:themeColor="text1"/>
          <w:sz w:val="24"/>
        </w:rPr>
        <w:t>②</w:t>
      </w:r>
      <w:r>
        <w:rPr>
          <w:rFonts w:hint="eastAsia" w:asciiTheme="majorEastAsia" w:hAnsiTheme="majorEastAsia" w:eastAsiaTheme="majorEastAsia" w:cstheme="majorEastAsia"/>
          <w:color w:val="000000" w:themeColor="text1"/>
          <w:sz w:val="24"/>
        </w:rPr>
        <w:fldChar w:fldCharType="end"/>
      </w:r>
      <w:r>
        <w:rPr>
          <w:rFonts w:hint="eastAsia" w:asciiTheme="majorEastAsia" w:hAnsiTheme="majorEastAsia" w:eastAsiaTheme="majorEastAsia" w:cstheme="majorEastAsia"/>
          <w:color w:val="000000" w:themeColor="text1"/>
          <w:sz w:val="24"/>
        </w:rPr>
        <w:t>不同磋商供应商委托同一单位或者个人办理磋商事宜；</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fldChar w:fldCharType="begin"/>
      </w:r>
      <w:r>
        <w:rPr>
          <w:rFonts w:hint="eastAsia" w:asciiTheme="majorEastAsia" w:hAnsiTheme="majorEastAsia" w:eastAsiaTheme="majorEastAsia" w:cstheme="majorEastAsia"/>
          <w:color w:val="000000" w:themeColor="text1"/>
          <w:sz w:val="24"/>
        </w:rPr>
        <w:instrText xml:space="preserve"> = 3 \* GB3 </w:instrText>
      </w:r>
      <w:r>
        <w:rPr>
          <w:rFonts w:hint="eastAsia" w:asciiTheme="majorEastAsia" w:hAnsiTheme="majorEastAsia" w:eastAsiaTheme="majorEastAsia" w:cstheme="majorEastAsia"/>
          <w:color w:val="000000" w:themeColor="text1"/>
          <w:sz w:val="24"/>
        </w:rPr>
        <w:fldChar w:fldCharType="separate"/>
      </w:r>
      <w:r>
        <w:rPr>
          <w:rFonts w:hint="eastAsia" w:asciiTheme="majorEastAsia" w:hAnsiTheme="majorEastAsia" w:eastAsiaTheme="majorEastAsia" w:cstheme="majorEastAsia"/>
          <w:color w:val="000000" w:themeColor="text1"/>
          <w:sz w:val="24"/>
        </w:rPr>
        <w:t>③</w:t>
      </w:r>
      <w:r>
        <w:rPr>
          <w:rFonts w:hint="eastAsia" w:asciiTheme="majorEastAsia" w:hAnsiTheme="majorEastAsia" w:eastAsiaTheme="majorEastAsia" w:cstheme="majorEastAsia"/>
          <w:color w:val="000000" w:themeColor="text1"/>
          <w:sz w:val="24"/>
        </w:rPr>
        <w:fldChar w:fldCharType="end"/>
      </w:r>
      <w:r>
        <w:rPr>
          <w:rFonts w:hint="eastAsia" w:asciiTheme="majorEastAsia" w:hAnsiTheme="majorEastAsia" w:eastAsiaTheme="majorEastAsia" w:cstheme="majorEastAsia"/>
          <w:color w:val="000000" w:themeColor="text1"/>
          <w:sz w:val="24"/>
        </w:rPr>
        <w:t>不同的磋商供应商的响应文件载明的项目管理员为同一个人；</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fldChar w:fldCharType="begin"/>
      </w:r>
      <w:r>
        <w:rPr>
          <w:rFonts w:hint="eastAsia" w:asciiTheme="majorEastAsia" w:hAnsiTheme="majorEastAsia" w:eastAsiaTheme="majorEastAsia" w:cstheme="majorEastAsia"/>
          <w:color w:val="000000" w:themeColor="text1"/>
          <w:sz w:val="24"/>
        </w:rPr>
        <w:instrText xml:space="preserve"> = 4 \* GB3 </w:instrText>
      </w:r>
      <w:r>
        <w:rPr>
          <w:rFonts w:hint="eastAsia" w:asciiTheme="majorEastAsia" w:hAnsiTheme="majorEastAsia" w:eastAsiaTheme="majorEastAsia" w:cstheme="majorEastAsia"/>
          <w:color w:val="000000" w:themeColor="text1"/>
          <w:sz w:val="24"/>
        </w:rPr>
        <w:fldChar w:fldCharType="separate"/>
      </w:r>
      <w:r>
        <w:rPr>
          <w:rFonts w:hint="eastAsia" w:asciiTheme="majorEastAsia" w:hAnsiTheme="majorEastAsia" w:eastAsiaTheme="majorEastAsia" w:cstheme="majorEastAsia"/>
          <w:color w:val="000000" w:themeColor="text1"/>
          <w:sz w:val="24"/>
        </w:rPr>
        <w:t>④</w:t>
      </w:r>
      <w:r>
        <w:rPr>
          <w:rFonts w:hint="eastAsia" w:asciiTheme="majorEastAsia" w:hAnsiTheme="majorEastAsia" w:eastAsiaTheme="majorEastAsia" w:cstheme="majorEastAsia"/>
          <w:color w:val="000000" w:themeColor="text1"/>
          <w:sz w:val="24"/>
        </w:rPr>
        <w:fldChar w:fldCharType="end"/>
      </w:r>
      <w:r>
        <w:rPr>
          <w:rFonts w:hint="eastAsia" w:asciiTheme="majorEastAsia" w:hAnsiTheme="majorEastAsia" w:eastAsiaTheme="majorEastAsia" w:cstheme="majorEastAsia"/>
          <w:color w:val="000000" w:themeColor="text1"/>
          <w:sz w:val="24"/>
        </w:rPr>
        <w:t>不同磋商供应商的响应文件异常一致或报价呈规律性差异；</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fldChar w:fldCharType="begin"/>
      </w:r>
      <w:r>
        <w:rPr>
          <w:rFonts w:hint="eastAsia" w:asciiTheme="majorEastAsia" w:hAnsiTheme="majorEastAsia" w:eastAsiaTheme="majorEastAsia" w:cstheme="majorEastAsia"/>
          <w:color w:val="000000" w:themeColor="text1"/>
          <w:sz w:val="24"/>
        </w:rPr>
        <w:instrText xml:space="preserve"> = 5 \* GB3 </w:instrText>
      </w:r>
      <w:r>
        <w:rPr>
          <w:rFonts w:hint="eastAsia" w:asciiTheme="majorEastAsia" w:hAnsiTheme="majorEastAsia" w:eastAsiaTheme="majorEastAsia" w:cstheme="majorEastAsia"/>
          <w:color w:val="000000" w:themeColor="text1"/>
          <w:sz w:val="24"/>
        </w:rPr>
        <w:fldChar w:fldCharType="separate"/>
      </w:r>
      <w:r>
        <w:rPr>
          <w:rFonts w:hint="eastAsia" w:asciiTheme="majorEastAsia" w:hAnsiTheme="majorEastAsia" w:eastAsiaTheme="majorEastAsia" w:cstheme="majorEastAsia"/>
          <w:color w:val="000000" w:themeColor="text1"/>
          <w:sz w:val="24"/>
        </w:rPr>
        <w:t>⑤</w:t>
      </w:r>
      <w:r>
        <w:rPr>
          <w:rFonts w:hint="eastAsia" w:asciiTheme="majorEastAsia" w:hAnsiTheme="majorEastAsia" w:eastAsiaTheme="majorEastAsia" w:cstheme="majorEastAsia"/>
          <w:color w:val="000000" w:themeColor="text1"/>
          <w:sz w:val="24"/>
        </w:rPr>
        <w:fldChar w:fldCharType="end"/>
      </w:r>
      <w:r>
        <w:rPr>
          <w:rFonts w:hint="eastAsia" w:asciiTheme="majorEastAsia" w:hAnsiTheme="majorEastAsia" w:eastAsiaTheme="majorEastAsia" w:cstheme="majorEastAsia"/>
          <w:color w:val="000000" w:themeColor="text1"/>
          <w:sz w:val="24"/>
        </w:rPr>
        <w:t>不同磋商供应商的响应文件相互混装；</w:t>
      </w:r>
    </w:p>
    <w:p>
      <w:pPr>
        <w:spacing w:line="400" w:lineRule="exact"/>
        <w:ind w:firstLine="306"/>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（2）关联供应商不得参加同一合同项下政府采购活动，否则磋商文件将被视为无效</w:t>
      </w:r>
    </w:p>
    <w:p>
      <w:pPr>
        <w:spacing w:line="400" w:lineRule="exact"/>
        <w:ind w:firstLine="306"/>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①单位负责人为同一人或者存在直接控股、管理关系的不同的供应商，不得参加同一合同项下的政府采购活动;</w:t>
      </w:r>
    </w:p>
    <w:p>
      <w:pPr>
        <w:spacing w:line="400" w:lineRule="exact"/>
        <w:ind w:firstLine="306"/>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②生产厂商授权给供应商后自己不得参加同一合同项下的政府采购活动；生产厂商对同一品牌同一型号的货物，仅能委托一个代理商参加响应。</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17.4.5  澄清有关问题。对响应文件中含义不明确、同类问题表述不一致或者有明显文字和计算错误的内容，磋商小组可以书面形式（应当由磋商小组专家签字）要求磋商供应商作出必要的澄清、说明或者纠正。磋商供应商的澄清、说明或者纠正应当采用书面形式，由法定代表人或其委托代理人签字或盖章确认，且不得超出响应文件的范围或者改变响应文件的实质性内容。该澄清、说明或者纠正是响应文件的组成部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17.4.6  制定磋商文件。磋商小组根据采购项目以及磋商供应商的实际情况制定磋商文件。磋商文件应当明确磋商程序、磋商内容、合同草案的条款以及评定成交的标准等事项。</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17.4.7  确定邀请参加磋商的供应商名单。磋商小组将所有通过资格性审查的供应商确定为邀请参加磋商的供应商，并向其提供磋商文件。</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17.4.8  磋商。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（1）磋商小组将在磋商供应商须知前附表规定的地点与各磋商供应商进行每轮磋商。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（2）磋商内容包括：响应报价、技术参数要求和商务条款、合同草案条款，其中磋商供应商资格条件除外。</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磋商小组所有成员集中与单一供应商分别进行磋商。在磋商中，磋商的任何一方不得透露与磋商有关的其他供应商的技术资料、价格和其他信息。对磋商文件做出的实质性变动（采购需求中的技术、服务要求以及合同草案条款）是磋商文件的有效组成部分，磋商小组应当及时以书面形式通知所有参加磋商的供应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磋商供应商的法定代表人或其委托代理人以及技术人员必须参加每轮磋商。磋商供应商的法定代表人凭法定代表人资格证明书和本人身份证原件参加磋商，其委托代理人凭授权委托书和本人身份证原件参加磋商。磋商供应商未按时到达评审会场参加磋商或未能出示上述证件的，视为放弃响应。</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磋商小组与磋商供应商进行磋商的内容，磋商供应商除当场答复外，还应作出书面应答。书面应答文件必须由磋商供应商的法定代表人或其委托代理人签字（签章）或盖公章，按要求进行封装并在磋商文件规定的时间前提交至磋商小组，否则视为放弃响应。</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（6）未实质性响应磋商文件的响应文件按无效响应处理，磋商小组应当告知提交响应文件的供应商。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磋商小组与磋商供应商可进行多轮磋商，磋商供应商的最后一次应答文件及最终报价应单独封装提交至磋商小组。在对商务、技术及其他内容的比较和评价结束前，磋商小组不能接触、比较和评价响应报价。最终报价在磋商小组完成商务、技术及其他内容的评审后才能拆封。</w:t>
      </w:r>
    </w:p>
    <w:p>
      <w:pPr>
        <w:pStyle w:val="9"/>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themeColor="text1"/>
          <w:sz w:val="24"/>
          <w:szCs w:val="24"/>
        </w:rPr>
        <w:t>（8）磋商供应商的应答文件经磋商小组代表确认后，变动竞争性磋商文件或响应文件中相应</w:t>
      </w:r>
      <w:r>
        <w:rPr>
          <w:rFonts w:hint="eastAsia" w:asciiTheme="majorEastAsia" w:hAnsiTheme="majorEastAsia" w:eastAsiaTheme="majorEastAsia" w:cstheme="majorEastAsia"/>
          <w:sz w:val="24"/>
          <w:szCs w:val="24"/>
        </w:rPr>
        <w:t>的内容，并构成响应文件的组成部分和评审的依据。如成交，则作为合同的组成部分。</w:t>
      </w:r>
    </w:p>
    <w:p>
      <w:pPr>
        <w:pStyle w:val="9"/>
        <w:spacing w:line="440" w:lineRule="exact"/>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17.4.9磋商小组认为，某磋商供应商的最低磋商报价明显不合理或者低于成本，有可能影响服务质量和不能诚信履约的，应当要求其在规定的期限内提供书面文件予以解释说明，并提交相关证明材料。磋商供应不能合理说明或者不能提供相关证明材料的，视作该磋商供供应商以低于成本报价响应，其响应无效。</w:t>
      </w:r>
    </w:p>
    <w:p>
      <w:pPr>
        <w:pStyle w:val="9"/>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17.4.10  按顺序排列成交候选供应商，并编写评审报告。</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17.4.11  采购代理机构对评审过程和评分、评审结论进行核对和复核，如有错漏，请磋商小组进行校正，按校正后的结果确定成交供应商。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17.5  评审过程的保密。评审在严格保密的情况下进行，任何单位和个人不得非法干预、影响评审办法的确定，以及评审过程和结果。磋商小组成员和参与评审的有关工作人员不得透露对响应文件的评审和比较、成交候选人的推荐情况以及与评审有关的其他情况。</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18.  响应文件的修正</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18.1  如果出现计算或表达上的错误，修正的原则如下：</w:t>
      </w:r>
    </w:p>
    <w:p>
      <w:pPr>
        <w:pStyle w:val="9"/>
        <w:spacing w:line="440" w:lineRule="exact"/>
        <w:ind w:firstLine="42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（1）响应文件中响应函内容与响应报价表内容不一致的，以响应报价表为准；</w:t>
      </w:r>
    </w:p>
    <w:p>
      <w:pPr>
        <w:pStyle w:val="9"/>
        <w:spacing w:line="440" w:lineRule="exact"/>
        <w:ind w:firstLine="42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（2）响应文件的大写金额和小写金额不一致的，以大写金额为准；</w:t>
      </w:r>
    </w:p>
    <w:p>
      <w:pPr>
        <w:pStyle w:val="9"/>
        <w:spacing w:line="440" w:lineRule="exact"/>
        <w:ind w:firstLine="42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（3）总价金额与按单价汇总金额不一致的，以单价金额计算结果为准；</w:t>
      </w:r>
    </w:p>
    <w:p>
      <w:pPr>
        <w:pStyle w:val="9"/>
        <w:spacing w:line="440" w:lineRule="exact"/>
        <w:ind w:firstLine="42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（4）单价金额小数点有明显错位的，应以总价为准，并修改单价。</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18.2  按上述修正原则修正后的响应报价经磋商供应商书面确认后对磋商供应商具有约束力。如果磋商供应商不接受修正后的响应报价，则其响应文件无效。</w:t>
      </w:r>
    </w:p>
    <w:p>
      <w:pPr>
        <w:pStyle w:val="9"/>
        <w:spacing w:line="440" w:lineRule="exact"/>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19.  拒绝接收</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19.1  磋商供应商未在本章第15.1项规定的时间之前将响应文件送达至本章第15.2项指定地点的，采购代理机构应当拒绝接收该磋商供应商的响应文件。</w:t>
      </w:r>
    </w:p>
    <w:p>
      <w:pPr>
        <w:pStyle w:val="9"/>
        <w:spacing w:line="440" w:lineRule="exact"/>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20. 无效响应</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★属下列情形之一的，供应商的响应无效：</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（1）供应商不具备本章第3项规定的供应商资格要求的；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（2）响应文件未按本章第8.8项的规定标识或未按规定的正、副本数量递交的； </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（3）响应文件未按本章第10.1项的规定编写和提交的（包括缺少应提交的文件或格式不符合第五章“响应文件格式”的要求）；</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（4）响应文件不符合本章第10.2项规定的；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（5）响应报价不符合本章第11项规定的或超过采购预算的</w:t>
      </w:r>
      <w:r>
        <w:rPr>
          <w:rFonts w:cs="宋体" w:asciiTheme="majorEastAsia" w:hAnsiTheme="majorEastAsia" w:eastAsiaTheme="majorEastAsia"/>
          <w:sz w:val="24"/>
          <w:szCs w:val="24"/>
        </w:rPr>
        <w:t>或超过最高限价的</w:t>
      </w:r>
      <w:r>
        <w:rPr>
          <w:rFonts w:hint="eastAsia" w:asciiTheme="majorEastAsia" w:hAnsiTheme="majorEastAsia" w:eastAsiaTheme="majorEastAsia" w:cstheme="majorEastAsia"/>
          <w:color w:val="000000" w:themeColor="text1"/>
          <w:sz w:val="24"/>
          <w:szCs w:val="24"/>
        </w:rPr>
        <w:t>或磋商小组认定低于成本报价的；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（6）响应文件不符合本章第14项规定的；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（7）供应商出现本章第17.4.4项所述的响应文件将被视为无效的情形的；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（8）供应商出现本章第18.2项所述情形的；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（9）响应文件未对竞争性磋商文件提出的要求和条件作出实质性响应的；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（10）磋商小组认为响应文件存在严重负偏离的；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（11）响应文件附有采购需求以外的条件使磋商小组认为不能接受的；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（12）供应商在响应过程中提供虚假材料的。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（13）响应文件含有违反国家法律、法规的内容。</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    供应商响应无效的，磋商小组应当告知有关供应商。 </w:t>
      </w:r>
    </w:p>
    <w:p>
      <w:pPr>
        <w:pStyle w:val="9"/>
        <w:spacing w:line="440" w:lineRule="exact"/>
        <w:ind w:firstLine="420"/>
        <w:rPr>
          <w:rFonts w:asciiTheme="majorEastAsia" w:hAnsiTheme="majorEastAsia" w:eastAsiaTheme="majorEastAsia" w:cstheme="majorEastAsia"/>
          <w:color w:val="000000" w:themeColor="text1"/>
          <w:sz w:val="24"/>
          <w:szCs w:val="24"/>
        </w:rPr>
      </w:pPr>
    </w:p>
    <w:p>
      <w:pPr>
        <w:pStyle w:val="9"/>
        <w:spacing w:line="440" w:lineRule="exact"/>
        <w:rPr>
          <w:rFonts w:asciiTheme="majorEastAsia" w:hAnsiTheme="majorEastAsia" w:eastAsiaTheme="majorEastAsia" w:cstheme="majorEastAsia"/>
          <w:color w:val="000000" w:themeColor="text1"/>
          <w:sz w:val="24"/>
          <w:szCs w:val="24"/>
        </w:rPr>
      </w:pPr>
      <w:bookmarkStart w:id="78" w:name="_Toc495334415"/>
      <w:bookmarkStart w:id="79" w:name="_Toc213326421"/>
      <w:r>
        <w:rPr>
          <w:rFonts w:hint="eastAsia" w:asciiTheme="majorEastAsia" w:hAnsiTheme="majorEastAsia" w:eastAsiaTheme="majorEastAsia" w:cstheme="majorEastAsia"/>
          <w:color w:val="000000" w:themeColor="text1"/>
          <w:sz w:val="24"/>
          <w:szCs w:val="24"/>
        </w:rPr>
        <w:t>21. 废标</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21.1  在采购过程中，出现下列情形之一的，予以废标：</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（1）采用竞争性磋商采购方式的政府购买服务项目或政府和社会资本合作项目对竞争性磋商文件作实质响应的供应商不足2家的；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（2）采用竞争性磋商采购方式的市场竞争不充分的科研项目或需要扶持科技成果转化项目对竞争性磋商文件作实质响应的供应商不足3家的；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（3）出现影响采购公正的违法、违规行为的；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（4）磋商供应商的报价均超过了采购预算，采购人不能支付的；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（5）因重大变故，采购任务取消的。</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21.2  废标后，采购代理机构将在本章第2项规定的政府采购信息发布媒体上公告废标理由，不再另行通知。</w:t>
      </w:r>
    </w:p>
    <w:p>
      <w:pPr>
        <w:pStyle w:val="16"/>
        <w:outlineLvl w:val="1"/>
        <w:rPr>
          <w:rFonts w:asciiTheme="majorEastAsia" w:hAnsiTheme="majorEastAsia" w:eastAsiaTheme="majorEastAsia" w:cstheme="majorEastAsia"/>
          <w:color w:val="000000" w:themeColor="text1"/>
          <w:sz w:val="30"/>
          <w:szCs w:val="30"/>
        </w:rPr>
      </w:pPr>
      <w:bookmarkStart w:id="80" w:name="_Toc15380"/>
      <w:bookmarkStart w:id="81" w:name="_Toc15117"/>
      <w:bookmarkStart w:id="82" w:name="_Toc26939"/>
      <w:r>
        <w:rPr>
          <w:rFonts w:hint="eastAsia" w:asciiTheme="majorEastAsia" w:hAnsiTheme="majorEastAsia" w:eastAsiaTheme="majorEastAsia" w:cstheme="majorEastAsia"/>
          <w:color w:val="000000" w:themeColor="text1"/>
        </w:rPr>
        <w:t>六   合同授予</w:t>
      </w:r>
      <w:bookmarkEnd w:id="78"/>
      <w:bookmarkEnd w:id="79"/>
      <w:bookmarkEnd w:id="80"/>
      <w:bookmarkEnd w:id="81"/>
      <w:bookmarkEnd w:id="82"/>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22.  成交供应商的确定</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磋商小组按第三章“评审方法”的规定排列成交候选供应商顺序，并依照次序确定成交方。</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23.  成交公告及成交通知书</w:t>
      </w:r>
    </w:p>
    <w:p>
      <w:pPr>
        <w:pStyle w:val="9"/>
        <w:spacing w:line="440" w:lineRule="exact"/>
        <w:ind w:firstLine="36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szCs w:val="24"/>
        </w:rPr>
        <w:t>23.1采购代理机构应当自成交人确认之日起2个工作日内，在</w:t>
      </w:r>
      <w:r>
        <w:rPr>
          <w:rFonts w:hint="eastAsia" w:asciiTheme="majorEastAsia" w:hAnsiTheme="majorEastAsia" w:eastAsiaTheme="majorEastAsia" w:cstheme="majorEastAsia"/>
          <w:color w:val="000000" w:themeColor="text1"/>
          <w:sz w:val="24"/>
        </w:rPr>
        <w:t>本章第2.1项规定的政府采购信息发布媒体上公示成交结果，成交公告期限为1个工作日，在公告成交结果的同时，采购代理机构应当向成交人发出成交通知书。</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23.2  成交通知书对采购人和成交供应商具有同等法律效力。成交通知书发出后，采购人改变成交结果，或者成交供应商放弃成交，应当承担相应的法律责任。</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24.  响应文件的退回</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24.1  采购人及采购代理机构无义务向未成交供应商退回响应文件。</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25.   签订合同</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25.1  采购人和成交供应商应当在第二章“服务需求一览表”中商务条款要求载明的合同签订期内，根据竞争性磋商文件、成交供应商的响应文件及有关澄清承诺书的要求按第六章“合同条款及格式”订立书面合同。</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25.2  发出成交通知书后，采购人无正当理由拒签合同的，给成交供应商造成损失的，应当赔偿损失。</w:t>
      </w:r>
    </w:p>
    <w:p>
      <w:pPr>
        <w:widowControl/>
        <w:spacing w:before="100" w:beforeAutospacing="1" w:after="100" w:afterAutospacing="1" w:line="450" w:lineRule="atLeast"/>
        <w:ind w:firstLine="480" w:firstLineChars="200"/>
        <w:jc w:val="lef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25.3  成交供应商拒绝与采购人签订合同的，</w:t>
      </w:r>
      <w:r>
        <w:rPr>
          <w:rFonts w:hint="eastAsia" w:asciiTheme="majorEastAsia" w:hAnsiTheme="majorEastAsia" w:eastAsiaTheme="majorEastAsia" w:cstheme="majorEastAsia"/>
          <w:color w:val="000000" w:themeColor="text1"/>
          <w:sz w:val="24"/>
        </w:rPr>
        <w:t>经政府采购监督管理部门同意，</w:t>
      </w:r>
      <w:r>
        <w:rPr>
          <w:rFonts w:hint="eastAsia" w:asciiTheme="majorEastAsia" w:hAnsiTheme="majorEastAsia" w:eastAsiaTheme="majorEastAsia" w:cstheme="majorEastAsia"/>
          <w:color w:val="000000" w:themeColor="text1"/>
          <w:kern w:val="0"/>
          <w:sz w:val="24"/>
        </w:rPr>
        <w:t>采购人可以按照评审报告推荐的成交候选人名单排序，确定下一候选人为成交供应商，也可以重新开展政府采购活动。</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25.4  成交供应商因不可抗力或者自身原因不能履行政府采购合同的，采购人可以与排位在成交供应商之后第一位的成交候选供应商签订政府采购合同，以此类推。</w:t>
      </w:r>
    </w:p>
    <w:p>
      <w:pPr>
        <w:pStyle w:val="9"/>
        <w:spacing w:line="440" w:lineRule="exact"/>
        <w:rPr>
          <w:rFonts w:asciiTheme="majorEastAsia" w:hAnsiTheme="majorEastAsia" w:eastAsiaTheme="majorEastAsia" w:cstheme="majorEastAsia"/>
          <w:bCs/>
          <w:color w:val="000000" w:themeColor="text1"/>
          <w:sz w:val="24"/>
          <w:szCs w:val="24"/>
        </w:rPr>
      </w:pPr>
      <w:bookmarkStart w:id="83" w:name="_Toc213325924"/>
      <w:bookmarkStart w:id="84" w:name="_Toc213206175"/>
      <w:bookmarkStart w:id="85" w:name="_Toc213326423"/>
      <w:r>
        <w:rPr>
          <w:rFonts w:hint="eastAsia" w:asciiTheme="majorEastAsia" w:hAnsiTheme="majorEastAsia" w:eastAsiaTheme="majorEastAsia" w:cstheme="majorEastAsia"/>
          <w:bCs/>
          <w:color w:val="000000" w:themeColor="text1"/>
          <w:sz w:val="24"/>
          <w:szCs w:val="24"/>
        </w:rPr>
        <w:t>26.  履约保证金及质量保证金</w:t>
      </w:r>
    </w:p>
    <w:p>
      <w:pPr>
        <w:pStyle w:val="9"/>
        <w:spacing w:line="440" w:lineRule="exact"/>
        <w:ind w:firstLine="360" w:firstLineChars="150"/>
        <w:jc w:val="left"/>
        <w:rPr>
          <w:rFonts w:asciiTheme="majorEastAsia" w:hAnsiTheme="majorEastAsia" w:eastAsiaTheme="majorEastAsia" w:cstheme="majorEastAsia"/>
          <w:color w:val="000000" w:themeColor="text1"/>
          <w:szCs w:val="28"/>
        </w:rPr>
      </w:pPr>
      <w:bookmarkStart w:id="86" w:name="_Toc495334416"/>
      <w:bookmarkStart w:id="87" w:name="_Toc213326422"/>
      <w:r>
        <w:rPr>
          <w:rFonts w:hint="eastAsia" w:asciiTheme="majorEastAsia" w:hAnsiTheme="majorEastAsia" w:eastAsiaTheme="majorEastAsia" w:cstheme="majorEastAsia"/>
          <w:color w:val="000000" w:themeColor="text1"/>
          <w:sz w:val="24"/>
          <w:szCs w:val="24"/>
        </w:rPr>
        <w:t>本项目不收取履约保证金及质量保证金</w:t>
      </w:r>
      <w:r>
        <w:rPr>
          <w:rFonts w:hint="eastAsia" w:asciiTheme="majorEastAsia" w:hAnsiTheme="majorEastAsia" w:eastAsiaTheme="majorEastAsia" w:cstheme="majorEastAsia"/>
          <w:color w:val="000000" w:themeColor="text1"/>
          <w:szCs w:val="28"/>
        </w:rPr>
        <w:t>。</w:t>
      </w:r>
    </w:p>
    <w:p>
      <w:pPr>
        <w:pStyle w:val="9"/>
        <w:spacing w:line="440" w:lineRule="exact"/>
        <w:jc w:val="center"/>
        <w:rPr>
          <w:rFonts w:asciiTheme="majorEastAsia" w:hAnsiTheme="majorEastAsia" w:eastAsiaTheme="majorEastAsia" w:cstheme="majorEastAsia"/>
          <w:color w:val="000000" w:themeColor="text1"/>
        </w:rPr>
      </w:pPr>
    </w:p>
    <w:p>
      <w:pPr>
        <w:pStyle w:val="16"/>
        <w:outlineLvl w:val="1"/>
        <w:rPr>
          <w:rFonts w:asciiTheme="majorEastAsia" w:hAnsiTheme="majorEastAsia" w:eastAsiaTheme="majorEastAsia" w:cstheme="majorEastAsia"/>
          <w:color w:val="000000" w:themeColor="text1"/>
        </w:rPr>
      </w:pPr>
      <w:bookmarkStart w:id="88" w:name="_Toc9686"/>
      <w:bookmarkStart w:id="89" w:name="_Toc1223"/>
      <w:bookmarkStart w:id="90" w:name="_Toc8678"/>
      <w:r>
        <w:rPr>
          <w:rFonts w:hint="eastAsia" w:asciiTheme="majorEastAsia" w:hAnsiTheme="majorEastAsia" w:eastAsiaTheme="majorEastAsia" w:cstheme="majorEastAsia"/>
          <w:color w:val="000000" w:themeColor="text1"/>
        </w:rPr>
        <w:t>七   其他事项</w:t>
      </w:r>
      <w:bookmarkEnd w:id="86"/>
      <w:bookmarkEnd w:id="87"/>
      <w:bookmarkEnd w:id="88"/>
      <w:bookmarkEnd w:id="89"/>
      <w:bookmarkEnd w:id="90"/>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27.  解释权</w:t>
      </w:r>
    </w:p>
    <w:p>
      <w:pPr>
        <w:pStyle w:val="9"/>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27.1  本竞争性磋商采购文件根据《中华人民共和国政府采购法》、《中华人民共和国政府采购法实施条例》、《政府采购竞争性磋商采购方式管理暂行办法》（财库〔2014〕214号）及相关法律法规编制，解释权属采购代理机构。</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28.  其他</w:t>
      </w:r>
    </w:p>
    <w:p>
      <w:pPr>
        <w:pStyle w:val="9"/>
        <w:spacing w:line="440" w:lineRule="exact"/>
        <w:ind w:firstLine="600" w:firstLineChars="25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只要磋商供应商参与响应并递交响应文件即视为已经理解并毫无保留地同意了本竞争性磋商文件的所有条文。</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29.   响应文件的退回</w:t>
      </w:r>
    </w:p>
    <w:p>
      <w:pPr>
        <w:pStyle w:val="9"/>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  所有响应文件均不予退回。</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30.  需要补充的其他内容</w:t>
      </w:r>
    </w:p>
    <w:p>
      <w:pPr>
        <w:pStyle w:val="9"/>
        <w:spacing w:line="440" w:lineRule="exact"/>
        <w:ind w:firstLine="600" w:firstLineChars="25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需要补充的其他内容：见磋商供应商须知前附表。</w:t>
      </w:r>
    </w:p>
    <w:p>
      <w:pPr>
        <w:pStyle w:val="16"/>
        <w:rPr>
          <w:rFonts w:ascii="宋体"/>
          <w:color w:val="000000" w:themeColor="text1"/>
        </w:rPr>
      </w:pPr>
      <w:r>
        <w:rPr>
          <w:rFonts w:hint="eastAsia" w:asciiTheme="majorEastAsia" w:hAnsiTheme="majorEastAsia" w:eastAsiaTheme="majorEastAsia" w:cstheme="majorEastAsia"/>
          <w:color w:val="000000" w:themeColor="text1"/>
        </w:rPr>
        <w:br w:type="page"/>
      </w:r>
      <w:bookmarkEnd w:id="83"/>
      <w:bookmarkEnd w:id="84"/>
      <w:bookmarkEnd w:id="85"/>
      <w:bookmarkStart w:id="91" w:name="_Toc25253"/>
      <w:bookmarkStart w:id="92" w:name="_Toc14764"/>
      <w:bookmarkStart w:id="93" w:name="_Toc18164"/>
      <w:bookmarkStart w:id="94" w:name="_Toc18802"/>
      <w:r>
        <w:rPr>
          <w:rFonts w:hint="eastAsia" w:ascii="宋体" w:hAnsi="宋体"/>
          <w:color w:val="000000" w:themeColor="text1"/>
        </w:rPr>
        <w:t>第五章</w:t>
      </w:r>
      <w:r>
        <w:rPr>
          <w:rFonts w:ascii="宋体" w:hAnsi="宋体"/>
          <w:color w:val="000000" w:themeColor="text1"/>
        </w:rPr>
        <w:t xml:space="preserve">  </w:t>
      </w:r>
      <w:r>
        <w:rPr>
          <w:rFonts w:hint="eastAsia" w:ascii="宋体" w:hAnsi="宋体"/>
          <w:color w:val="000000" w:themeColor="text1"/>
        </w:rPr>
        <w:t>响应文件格式</w:t>
      </w:r>
      <w:bookmarkEnd w:id="91"/>
      <w:bookmarkEnd w:id="92"/>
      <w:bookmarkEnd w:id="93"/>
    </w:p>
    <w:p>
      <w:pPr>
        <w:pStyle w:val="9"/>
        <w:spacing w:line="500" w:lineRule="exact"/>
        <w:outlineLvl w:val="1"/>
        <w:rPr>
          <w:rFonts w:hAnsi="宋体"/>
          <w:b/>
          <w:color w:val="000000" w:themeColor="text1"/>
        </w:rPr>
      </w:pPr>
      <w:bookmarkStart w:id="95" w:name="_Toc12985"/>
      <w:bookmarkStart w:id="96" w:name="_Toc30378"/>
      <w:bookmarkStart w:id="97" w:name="_Toc30227"/>
      <w:bookmarkStart w:id="98" w:name="_Toc13077"/>
      <w:r>
        <w:rPr>
          <w:rFonts w:hint="eastAsia" w:hAnsi="宋体"/>
          <w:b/>
          <w:color w:val="000000" w:themeColor="text1"/>
        </w:rPr>
        <w:t>格式</w:t>
      </w:r>
      <w:r>
        <w:rPr>
          <w:rFonts w:hAnsi="宋体"/>
          <w:b/>
          <w:color w:val="000000" w:themeColor="text1"/>
        </w:rPr>
        <w:t>1</w:t>
      </w:r>
      <w:r>
        <w:rPr>
          <w:rFonts w:hint="eastAsia" w:hAnsi="宋体"/>
          <w:b/>
          <w:color w:val="000000" w:themeColor="text1"/>
        </w:rPr>
        <w:t>：</w:t>
      </w:r>
      <w:bookmarkEnd w:id="95"/>
      <w:bookmarkEnd w:id="96"/>
      <w:bookmarkEnd w:id="97"/>
      <w:bookmarkEnd w:id="98"/>
    </w:p>
    <w:p>
      <w:pPr>
        <w:pStyle w:val="9"/>
        <w:spacing w:line="500" w:lineRule="exact"/>
        <w:jc w:val="center"/>
        <w:rPr>
          <w:rFonts w:hAnsi="宋体"/>
          <w:b/>
          <w:bCs/>
          <w:color w:val="000000" w:themeColor="text1"/>
          <w:sz w:val="30"/>
          <w:szCs w:val="30"/>
        </w:rPr>
      </w:pPr>
      <w:r>
        <w:rPr>
          <w:rFonts w:hint="eastAsia" w:hAnsi="宋体"/>
          <w:b/>
          <w:bCs/>
          <w:color w:val="000000" w:themeColor="text1"/>
          <w:sz w:val="30"/>
          <w:szCs w:val="30"/>
        </w:rPr>
        <w:t>响应函（格式）</w:t>
      </w:r>
    </w:p>
    <w:p>
      <w:pPr>
        <w:pStyle w:val="9"/>
        <w:spacing w:line="500" w:lineRule="exact"/>
        <w:rPr>
          <w:rFonts w:hAnsi="宋体"/>
          <w:color w:val="000000" w:themeColor="text1"/>
          <w:sz w:val="32"/>
        </w:rPr>
      </w:pPr>
    </w:p>
    <w:p>
      <w:pPr>
        <w:pStyle w:val="9"/>
        <w:spacing w:line="440" w:lineRule="exact"/>
        <w:rPr>
          <w:rFonts w:hAnsi="宋体"/>
          <w:color w:val="000000" w:themeColor="text1"/>
          <w:sz w:val="24"/>
          <w:szCs w:val="24"/>
        </w:rPr>
      </w:pPr>
      <w:r>
        <w:rPr>
          <w:rFonts w:hint="eastAsia" w:hAnsi="宋体"/>
          <w:color w:val="000000" w:themeColor="text1"/>
          <w:sz w:val="24"/>
          <w:szCs w:val="24"/>
        </w:rPr>
        <w:t>致：</w:t>
      </w:r>
      <w:r>
        <w:rPr>
          <w:rFonts w:hint="eastAsia" w:hAnsi="宋体"/>
          <w:color w:val="000000" w:themeColor="text1"/>
          <w:sz w:val="24"/>
          <w:szCs w:val="24"/>
          <w:u w:val="single"/>
        </w:rPr>
        <w:t xml:space="preserve">                 </w:t>
      </w:r>
      <w:r>
        <w:rPr>
          <w:rFonts w:hint="eastAsia" w:hAnsi="宋体"/>
          <w:color w:val="000000" w:themeColor="text1"/>
          <w:sz w:val="24"/>
          <w:szCs w:val="24"/>
        </w:rPr>
        <w:t>（采购代理机构名称）</w:t>
      </w:r>
    </w:p>
    <w:p>
      <w:pPr>
        <w:pStyle w:val="9"/>
        <w:spacing w:line="440" w:lineRule="exact"/>
        <w:ind w:firstLine="480" w:firstLineChars="200"/>
        <w:rPr>
          <w:rFonts w:hAnsi="宋体"/>
          <w:color w:val="000000" w:themeColor="text1"/>
          <w:sz w:val="24"/>
          <w:szCs w:val="24"/>
        </w:rPr>
      </w:pP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我方已仔细阅读了贵方组织的</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int="eastAsia" w:hAnsi="宋体"/>
          <w:color w:val="000000" w:themeColor="text1"/>
          <w:sz w:val="24"/>
          <w:szCs w:val="24"/>
        </w:rPr>
        <w:t>项目（项目编号：</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Ansi="宋体"/>
          <w:color w:val="000000" w:themeColor="text1"/>
          <w:sz w:val="24"/>
          <w:szCs w:val="24"/>
          <w:u w:val="single"/>
        </w:rPr>
        <w:t xml:space="preserve">  </w:t>
      </w:r>
      <w:r>
        <w:rPr>
          <w:rFonts w:hint="eastAsia" w:hAnsi="宋体"/>
          <w:color w:val="000000" w:themeColor="text1"/>
          <w:sz w:val="24"/>
          <w:szCs w:val="24"/>
        </w:rPr>
        <w:t>）的竞争性磋商文件的全部内容，现正式提交下述响应文件参加贵方组织的本次政府采购活动：</w:t>
      </w:r>
      <w:r>
        <w:rPr>
          <w:rFonts w:hAnsi="宋体"/>
          <w:color w:val="000000" w:themeColor="text1"/>
          <w:sz w:val="24"/>
          <w:szCs w:val="24"/>
        </w:rPr>
        <w:t xml:space="preserve"> </w:t>
      </w: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一、首次报价文件正本一份，副本</w:t>
      </w:r>
      <w:r>
        <w:rPr>
          <w:rFonts w:hAnsi="宋体"/>
          <w:color w:val="000000" w:themeColor="text1"/>
          <w:sz w:val="24"/>
          <w:szCs w:val="24"/>
          <w:u w:val="single"/>
        </w:rPr>
        <w:t xml:space="preserve">   </w:t>
      </w:r>
      <w:r>
        <w:rPr>
          <w:rFonts w:hint="eastAsia" w:hAnsi="宋体"/>
          <w:color w:val="000000" w:themeColor="text1"/>
          <w:sz w:val="24"/>
          <w:szCs w:val="24"/>
        </w:rPr>
        <w:t>份（包含按磋商供应商须知第</w:t>
      </w:r>
      <w:r>
        <w:rPr>
          <w:rFonts w:hAnsi="宋体"/>
          <w:color w:val="000000" w:themeColor="text1"/>
          <w:sz w:val="24"/>
          <w:szCs w:val="24"/>
        </w:rPr>
        <w:t>10.1.1</w:t>
      </w:r>
      <w:r>
        <w:rPr>
          <w:rFonts w:hint="eastAsia" w:hAnsi="宋体"/>
          <w:color w:val="000000" w:themeColor="text1"/>
          <w:sz w:val="24"/>
          <w:szCs w:val="24"/>
        </w:rPr>
        <w:t>项要求提交的全部文件）；</w:t>
      </w: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二、技术文件正本一份，副本</w:t>
      </w:r>
      <w:r>
        <w:rPr>
          <w:rFonts w:hAnsi="宋体"/>
          <w:color w:val="000000" w:themeColor="text1"/>
          <w:sz w:val="24"/>
          <w:szCs w:val="24"/>
          <w:u w:val="single"/>
        </w:rPr>
        <w:t xml:space="preserve">   </w:t>
      </w:r>
      <w:r>
        <w:rPr>
          <w:rFonts w:hint="eastAsia" w:hAnsi="宋体"/>
          <w:color w:val="000000" w:themeColor="text1"/>
          <w:sz w:val="24"/>
          <w:szCs w:val="24"/>
        </w:rPr>
        <w:t>份（包含按磋商供应商须知第</w:t>
      </w:r>
      <w:r>
        <w:rPr>
          <w:rFonts w:hAnsi="宋体"/>
          <w:color w:val="000000" w:themeColor="text1"/>
          <w:sz w:val="24"/>
          <w:szCs w:val="24"/>
        </w:rPr>
        <w:t>10.1.2</w:t>
      </w:r>
      <w:r>
        <w:rPr>
          <w:rFonts w:hint="eastAsia" w:hAnsi="宋体"/>
          <w:color w:val="000000" w:themeColor="text1"/>
          <w:sz w:val="24"/>
          <w:szCs w:val="24"/>
        </w:rPr>
        <w:t>项要求提交的全部文件）；</w:t>
      </w: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三、商务文件正本一份，副本</w:t>
      </w:r>
      <w:r>
        <w:rPr>
          <w:rFonts w:hAnsi="宋体"/>
          <w:color w:val="000000" w:themeColor="text1"/>
          <w:sz w:val="24"/>
          <w:szCs w:val="24"/>
          <w:u w:val="single"/>
        </w:rPr>
        <w:t xml:space="preserve">   </w:t>
      </w:r>
      <w:r>
        <w:rPr>
          <w:rFonts w:hint="eastAsia" w:hAnsi="宋体"/>
          <w:color w:val="000000" w:themeColor="text1"/>
          <w:sz w:val="24"/>
          <w:szCs w:val="24"/>
        </w:rPr>
        <w:t>份（包含按磋商供应商须知第</w:t>
      </w:r>
      <w:r>
        <w:rPr>
          <w:rFonts w:hAnsi="宋体"/>
          <w:color w:val="000000" w:themeColor="text1"/>
          <w:sz w:val="24"/>
          <w:szCs w:val="24"/>
        </w:rPr>
        <w:t>10.1.3</w:t>
      </w:r>
      <w:r>
        <w:rPr>
          <w:rFonts w:hint="eastAsia" w:hAnsi="宋体"/>
          <w:color w:val="000000" w:themeColor="text1"/>
          <w:sz w:val="24"/>
          <w:szCs w:val="24"/>
        </w:rPr>
        <w:t>项要求提交的全部文件）。</w:t>
      </w:r>
    </w:p>
    <w:p>
      <w:pPr>
        <w:pStyle w:val="9"/>
        <w:spacing w:line="440" w:lineRule="exact"/>
        <w:ind w:firstLine="482"/>
        <w:rPr>
          <w:rFonts w:hAnsi="宋体"/>
          <w:color w:val="000000" w:themeColor="text1"/>
          <w:sz w:val="24"/>
          <w:szCs w:val="24"/>
        </w:rPr>
      </w:pPr>
      <w:r>
        <w:rPr>
          <w:rFonts w:hint="eastAsia" w:hAnsi="宋体"/>
          <w:color w:val="000000" w:themeColor="text1"/>
          <w:sz w:val="24"/>
          <w:szCs w:val="24"/>
        </w:rPr>
        <w:t>据此函，签字人兹宣布：</w:t>
      </w:r>
    </w:p>
    <w:p>
      <w:pPr>
        <w:pStyle w:val="9"/>
        <w:spacing w:line="440" w:lineRule="exact"/>
        <w:ind w:firstLine="482"/>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、我方愿意以（大写）人民币</w:t>
      </w:r>
      <w:r>
        <w:rPr>
          <w:rFonts w:hAnsi="宋体"/>
          <w:color w:val="000000" w:themeColor="text1"/>
          <w:sz w:val="24"/>
          <w:szCs w:val="24"/>
        </w:rPr>
        <w:t xml:space="preserve"> </w:t>
      </w:r>
      <w:r>
        <w:rPr>
          <w:rFonts w:hAnsi="宋体"/>
          <w:color w:val="000000" w:themeColor="text1"/>
          <w:sz w:val="24"/>
          <w:szCs w:val="24"/>
          <w:u w:val="single"/>
        </w:rPr>
        <w:t xml:space="preserve">       </w:t>
      </w:r>
      <w:r>
        <w:rPr>
          <w:rFonts w:hint="eastAsia" w:hAnsi="宋体"/>
          <w:color w:val="000000" w:themeColor="text1"/>
          <w:sz w:val="24"/>
          <w:szCs w:val="24"/>
        </w:rPr>
        <w:t>（￥</w:t>
      </w:r>
      <w:r>
        <w:rPr>
          <w:rFonts w:hAnsi="宋体"/>
          <w:color w:val="000000" w:themeColor="text1"/>
          <w:sz w:val="24"/>
          <w:szCs w:val="24"/>
          <w:u w:val="single"/>
        </w:rPr>
        <w:t xml:space="preserve">     </w:t>
      </w:r>
      <w:r>
        <w:rPr>
          <w:rFonts w:hint="eastAsia" w:hAnsi="宋体"/>
          <w:color w:val="000000" w:themeColor="text1"/>
          <w:sz w:val="24"/>
          <w:szCs w:val="24"/>
        </w:rPr>
        <w:t>元</w:t>
      </w:r>
      <w:r>
        <w:rPr>
          <w:rFonts w:hAnsi="宋体"/>
          <w:color w:val="000000" w:themeColor="text1"/>
          <w:sz w:val="24"/>
          <w:szCs w:val="24"/>
        </w:rPr>
        <w:t>)</w:t>
      </w:r>
      <w:r>
        <w:rPr>
          <w:rFonts w:hint="eastAsia" w:hAnsi="宋体"/>
          <w:color w:val="000000" w:themeColor="text1"/>
          <w:sz w:val="24"/>
          <w:szCs w:val="24"/>
        </w:rPr>
        <w:t>的响应总报价，</w:t>
      </w:r>
      <w:r>
        <w:rPr>
          <w:rFonts w:hint="eastAsia" w:cs="新宋体" w:asciiTheme="majorEastAsia" w:hAnsiTheme="majorEastAsia" w:eastAsiaTheme="majorEastAsia"/>
          <w:color w:val="000000" w:themeColor="text1"/>
          <w:sz w:val="24"/>
        </w:rPr>
        <w:t>提交服务成果时间：</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Ansi="宋体"/>
          <w:color w:val="000000" w:themeColor="text1"/>
          <w:sz w:val="24"/>
          <w:szCs w:val="24"/>
          <w:u w:val="single"/>
        </w:rPr>
        <w:t xml:space="preserve">             </w:t>
      </w:r>
      <w:r>
        <w:rPr>
          <w:rFonts w:hAnsi="宋体"/>
          <w:color w:val="000000" w:themeColor="text1"/>
          <w:sz w:val="24"/>
          <w:szCs w:val="24"/>
        </w:rPr>
        <w:t xml:space="preserve"> </w:t>
      </w:r>
      <w:r>
        <w:rPr>
          <w:rFonts w:hint="eastAsia" w:hAnsi="宋体"/>
          <w:color w:val="000000" w:themeColor="text1"/>
          <w:sz w:val="24"/>
          <w:szCs w:val="24"/>
        </w:rPr>
        <w:t>，提供本项目竞争性磋商文件第二章“服务需求一览表”中相应的采购内容。</w:t>
      </w:r>
    </w:p>
    <w:p>
      <w:pPr>
        <w:pStyle w:val="9"/>
        <w:spacing w:line="440" w:lineRule="exact"/>
        <w:ind w:firstLine="482"/>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、我方同意自本项目竞争性磋商文件“磋商供应商须知”第</w:t>
      </w:r>
      <w:r>
        <w:rPr>
          <w:rFonts w:hAnsi="宋体"/>
          <w:color w:val="000000" w:themeColor="text1"/>
          <w:sz w:val="24"/>
          <w:szCs w:val="24"/>
        </w:rPr>
        <w:t>15.1</w:t>
      </w:r>
      <w:r>
        <w:rPr>
          <w:rFonts w:hint="eastAsia" w:hAnsi="宋体"/>
          <w:color w:val="000000" w:themeColor="text1"/>
          <w:sz w:val="24"/>
          <w:szCs w:val="24"/>
        </w:rPr>
        <w:t>项规定的提交响应文件截止时间起遵循本响应函，并承诺在“磋商供应商须知”第</w:t>
      </w:r>
      <w:r>
        <w:rPr>
          <w:rFonts w:hAnsi="宋体"/>
          <w:color w:val="000000" w:themeColor="text1"/>
          <w:sz w:val="24"/>
          <w:szCs w:val="24"/>
        </w:rPr>
        <w:t>12.1</w:t>
      </w:r>
      <w:r>
        <w:rPr>
          <w:rFonts w:hint="eastAsia" w:hAnsi="宋体"/>
          <w:color w:val="000000" w:themeColor="text1"/>
          <w:sz w:val="24"/>
          <w:szCs w:val="24"/>
        </w:rPr>
        <w:t>项规定的响应有效期内不修改、撤销响应文件。</w:t>
      </w:r>
    </w:p>
    <w:p>
      <w:pPr>
        <w:pStyle w:val="9"/>
        <w:spacing w:line="440" w:lineRule="exact"/>
        <w:ind w:firstLine="482"/>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、我方在此声明，所提交的响应文件及有关资料内容完整、真实和准确。</w:t>
      </w:r>
    </w:p>
    <w:p>
      <w:pPr>
        <w:pStyle w:val="9"/>
        <w:spacing w:line="440" w:lineRule="exact"/>
        <w:ind w:firstLine="482"/>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、我方承诺未被列入失信被执行人、重大税收违法案件当事人名单、政府采购严重违法失信行为记录名单，并已已经具备《中华人民共和国政府采购法》中规定的参加政府采购活动的供应商应当具备的条件：</w:t>
      </w:r>
    </w:p>
    <w:p>
      <w:pPr>
        <w:pStyle w:val="9"/>
        <w:numPr>
          <w:ilvl w:val="0"/>
          <w:numId w:val="7"/>
        </w:numPr>
        <w:spacing w:line="440" w:lineRule="exact"/>
        <w:rPr>
          <w:rFonts w:hAnsi="宋体"/>
          <w:color w:val="000000" w:themeColor="text1"/>
          <w:sz w:val="24"/>
          <w:szCs w:val="24"/>
        </w:rPr>
      </w:pPr>
      <w:r>
        <w:rPr>
          <w:rFonts w:hint="eastAsia" w:hAnsi="宋体"/>
          <w:color w:val="000000" w:themeColor="text1"/>
          <w:sz w:val="24"/>
          <w:szCs w:val="24"/>
        </w:rPr>
        <w:t>具有独立承担民事责任的能力；</w:t>
      </w:r>
    </w:p>
    <w:p>
      <w:pPr>
        <w:pStyle w:val="9"/>
        <w:numPr>
          <w:ilvl w:val="0"/>
          <w:numId w:val="7"/>
        </w:numPr>
        <w:spacing w:line="440" w:lineRule="exact"/>
        <w:rPr>
          <w:rFonts w:hAnsi="宋体"/>
          <w:color w:val="000000" w:themeColor="text1"/>
          <w:sz w:val="24"/>
          <w:szCs w:val="24"/>
        </w:rPr>
      </w:pPr>
      <w:r>
        <w:rPr>
          <w:rFonts w:hint="eastAsia" w:hAnsi="宋体"/>
          <w:color w:val="000000" w:themeColor="text1"/>
          <w:sz w:val="24"/>
          <w:szCs w:val="24"/>
        </w:rPr>
        <w:t>具有良好的商业信誉和健全的财务会计制度；</w:t>
      </w:r>
    </w:p>
    <w:p>
      <w:pPr>
        <w:pStyle w:val="9"/>
        <w:numPr>
          <w:ilvl w:val="0"/>
          <w:numId w:val="7"/>
        </w:numPr>
        <w:spacing w:line="440" w:lineRule="exact"/>
        <w:rPr>
          <w:rFonts w:hAnsi="宋体"/>
          <w:color w:val="000000" w:themeColor="text1"/>
          <w:sz w:val="24"/>
          <w:szCs w:val="24"/>
        </w:rPr>
      </w:pPr>
      <w:r>
        <w:rPr>
          <w:rFonts w:hint="eastAsia" w:hAnsi="宋体"/>
          <w:color w:val="000000" w:themeColor="text1"/>
          <w:sz w:val="24"/>
          <w:szCs w:val="24"/>
        </w:rPr>
        <w:t>具有履行合同所必需的设备和专业技术能力；</w:t>
      </w:r>
    </w:p>
    <w:p>
      <w:pPr>
        <w:pStyle w:val="9"/>
        <w:numPr>
          <w:ilvl w:val="0"/>
          <w:numId w:val="7"/>
        </w:numPr>
        <w:spacing w:line="440" w:lineRule="exact"/>
        <w:rPr>
          <w:rFonts w:hAnsi="宋体"/>
          <w:color w:val="000000" w:themeColor="text1"/>
          <w:sz w:val="24"/>
          <w:szCs w:val="24"/>
        </w:rPr>
      </w:pPr>
      <w:r>
        <w:rPr>
          <w:rFonts w:hint="eastAsia" w:hAnsi="宋体"/>
          <w:color w:val="000000" w:themeColor="text1"/>
          <w:sz w:val="24"/>
          <w:szCs w:val="24"/>
        </w:rPr>
        <w:t>有依法缴纳税收和社会保障资金的良好记录；</w:t>
      </w:r>
    </w:p>
    <w:p>
      <w:pPr>
        <w:pStyle w:val="9"/>
        <w:numPr>
          <w:ilvl w:val="0"/>
          <w:numId w:val="7"/>
        </w:numPr>
        <w:spacing w:line="440" w:lineRule="exact"/>
        <w:rPr>
          <w:rFonts w:hAnsi="宋体"/>
          <w:color w:val="000000" w:themeColor="text1"/>
          <w:sz w:val="24"/>
          <w:szCs w:val="24"/>
        </w:rPr>
      </w:pPr>
      <w:r>
        <w:rPr>
          <w:rFonts w:hint="eastAsia" w:hAnsi="宋体"/>
          <w:color w:val="000000" w:themeColor="text1"/>
          <w:sz w:val="24"/>
          <w:szCs w:val="24"/>
        </w:rPr>
        <w:t>参加政府采购活动前三年内，在经营活动中没有重大违法记录；</w:t>
      </w:r>
    </w:p>
    <w:p>
      <w:pPr>
        <w:pStyle w:val="9"/>
        <w:numPr>
          <w:ilvl w:val="0"/>
          <w:numId w:val="7"/>
        </w:numPr>
        <w:spacing w:line="440" w:lineRule="exact"/>
        <w:rPr>
          <w:rFonts w:hAnsi="宋体"/>
          <w:color w:val="000000" w:themeColor="text1"/>
          <w:sz w:val="24"/>
          <w:szCs w:val="24"/>
        </w:rPr>
      </w:pPr>
      <w:r>
        <w:rPr>
          <w:rFonts w:hint="eastAsia" w:hAnsi="宋体"/>
          <w:color w:val="000000" w:themeColor="text1"/>
          <w:sz w:val="24"/>
          <w:szCs w:val="24"/>
        </w:rPr>
        <w:t>法律、行政法规规定的其他条件。</w:t>
      </w:r>
    </w:p>
    <w:p>
      <w:pPr>
        <w:pStyle w:val="9"/>
        <w:spacing w:line="440" w:lineRule="exact"/>
        <w:ind w:firstLine="482"/>
        <w:rPr>
          <w:rFonts w:hAnsi="宋体"/>
          <w:color w:val="000000" w:themeColor="text1"/>
          <w:sz w:val="24"/>
          <w:szCs w:val="24"/>
        </w:rPr>
      </w:pPr>
      <w:r>
        <w:rPr>
          <w:rFonts w:hAnsi="宋体"/>
          <w:color w:val="000000" w:themeColor="text1"/>
          <w:sz w:val="24"/>
          <w:szCs w:val="24"/>
        </w:rPr>
        <w:t>5</w:t>
      </w:r>
      <w:r>
        <w:rPr>
          <w:rFonts w:hint="eastAsia" w:hAnsi="宋体"/>
          <w:color w:val="000000" w:themeColor="text1"/>
          <w:sz w:val="24"/>
          <w:szCs w:val="24"/>
        </w:rPr>
        <w:t>、如我方成交，我方承诺在收到成交通知书后，在成交通知书规定的期限内，根据竞争性磋商采购文件、我方的响应文件及有关澄清承诺书的要求按第六章“合同条款及格式”与采购人订立书面合同，并按照合同约定承担完成合同的责任和义务。</w:t>
      </w:r>
    </w:p>
    <w:p>
      <w:pPr>
        <w:pStyle w:val="9"/>
        <w:spacing w:line="440" w:lineRule="exact"/>
        <w:ind w:firstLine="482"/>
        <w:rPr>
          <w:rFonts w:hAnsi="宋体"/>
          <w:color w:val="000000" w:themeColor="text1"/>
          <w:sz w:val="24"/>
          <w:szCs w:val="24"/>
        </w:rPr>
      </w:pPr>
      <w:r>
        <w:rPr>
          <w:rFonts w:hAnsi="宋体"/>
          <w:color w:val="000000" w:themeColor="text1"/>
          <w:sz w:val="24"/>
          <w:szCs w:val="24"/>
        </w:rPr>
        <w:t>6</w:t>
      </w:r>
      <w:r>
        <w:rPr>
          <w:rFonts w:hint="eastAsia" w:hAnsi="宋体"/>
          <w:color w:val="000000" w:themeColor="text1"/>
          <w:sz w:val="24"/>
          <w:szCs w:val="24"/>
        </w:rPr>
        <w:t>、我方已详细审核竞争性磋商文件，我方知道必须放弃提出含糊不清或误解问题的权利。</w:t>
      </w:r>
    </w:p>
    <w:p>
      <w:pPr>
        <w:pStyle w:val="9"/>
        <w:spacing w:line="440" w:lineRule="exact"/>
        <w:ind w:firstLine="482"/>
        <w:rPr>
          <w:rFonts w:hAnsi="宋体"/>
          <w:color w:val="000000" w:themeColor="text1"/>
          <w:sz w:val="24"/>
          <w:szCs w:val="24"/>
        </w:rPr>
      </w:pPr>
      <w:r>
        <w:rPr>
          <w:rFonts w:hAnsi="宋体"/>
          <w:color w:val="000000" w:themeColor="text1"/>
          <w:sz w:val="24"/>
          <w:szCs w:val="24"/>
        </w:rPr>
        <w:t>7</w:t>
      </w:r>
      <w:r>
        <w:rPr>
          <w:rFonts w:hint="eastAsia" w:hAnsi="宋体"/>
          <w:color w:val="000000" w:themeColor="text1"/>
          <w:sz w:val="24"/>
          <w:szCs w:val="24"/>
        </w:rPr>
        <w:t>、我方承诺满足竞争性磋商文件第六章《南宁市青秀区政府采购合同》中的条款，承担完成合同的责任和义务。</w:t>
      </w:r>
    </w:p>
    <w:p>
      <w:pPr>
        <w:pStyle w:val="9"/>
        <w:spacing w:line="440" w:lineRule="exact"/>
        <w:ind w:firstLine="482"/>
        <w:rPr>
          <w:rFonts w:hAnsi="宋体"/>
          <w:color w:val="000000" w:themeColor="text1"/>
          <w:sz w:val="24"/>
          <w:szCs w:val="24"/>
        </w:rPr>
      </w:pPr>
      <w:r>
        <w:rPr>
          <w:rFonts w:hint="eastAsia" w:hAnsi="宋体"/>
          <w:color w:val="000000" w:themeColor="text1"/>
          <w:sz w:val="24"/>
          <w:szCs w:val="24"/>
        </w:rPr>
        <w:t>8、我方同意应贵方要求提供与本磋商有关的任何数据或资料。若贵方需要，我方愿意提供我方作出的一切承诺的证明材料。</w:t>
      </w:r>
    </w:p>
    <w:p>
      <w:pPr>
        <w:pStyle w:val="9"/>
        <w:spacing w:line="440" w:lineRule="exact"/>
        <w:ind w:firstLine="482"/>
        <w:rPr>
          <w:rFonts w:hAnsi="宋体"/>
          <w:color w:val="000000" w:themeColor="text1"/>
          <w:sz w:val="24"/>
          <w:szCs w:val="24"/>
        </w:rPr>
      </w:pPr>
      <w:r>
        <w:rPr>
          <w:rFonts w:hint="eastAsia" w:hAnsi="宋体"/>
          <w:color w:val="000000" w:themeColor="text1"/>
          <w:sz w:val="24"/>
          <w:szCs w:val="24"/>
        </w:rPr>
        <w:t>9、我方完全理解贵方不一定接受响应报价最低的磋商供应商为成交供应商的行为。</w:t>
      </w:r>
    </w:p>
    <w:p>
      <w:pPr>
        <w:pStyle w:val="9"/>
        <w:spacing w:line="440" w:lineRule="exact"/>
        <w:ind w:firstLine="482"/>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9"/>
        <w:numPr>
          <w:ilvl w:val="0"/>
          <w:numId w:val="8"/>
        </w:numPr>
        <w:spacing w:line="440" w:lineRule="exact"/>
        <w:rPr>
          <w:rFonts w:hAnsi="宋体"/>
          <w:color w:val="000000" w:themeColor="text1"/>
          <w:sz w:val="24"/>
          <w:szCs w:val="24"/>
        </w:rPr>
      </w:pPr>
      <w:r>
        <w:rPr>
          <w:rFonts w:hint="eastAsia" w:hAnsi="宋体"/>
          <w:color w:val="000000" w:themeColor="text1"/>
          <w:sz w:val="24"/>
          <w:szCs w:val="24"/>
        </w:rPr>
        <w:t>提供虚假材料谋取中标、成交的；</w:t>
      </w:r>
    </w:p>
    <w:p>
      <w:pPr>
        <w:pStyle w:val="9"/>
        <w:numPr>
          <w:ilvl w:val="0"/>
          <w:numId w:val="8"/>
        </w:numPr>
        <w:spacing w:line="440" w:lineRule="exact"/>
        <w:rPr>
          <w:rFonts w:hAnsi="宋体"/>
          <w:color w:val="000000" w:themeColor="text1"/>
          <w:sz w:val="24"/>
          <w:szCs w:val="24"/>
        </w:rPr>
      </w:pPr>
      <w:r>
        <w:rPr>
          <w:rFonts w:hint="eastAsia" w:hAnsi="宋体"/>
          <w:color w:val="000000" w:themeColor="text1"/>
          <w:sz w:val="24"/>
          <w:szCs w:val="24"/>
        </w:rPr>
        <w:t>采取不正当手段诋毁、排挤其他供应商的；</w:t>
      </w:r>
    </w:p>
    <w:p>
      <w:pPr>
        <w:pStyle w:val="9"/>
        <w:numPr>
          <w:ilvl w:val="0"/>
          <w:numId w:val="8"/>
        </w:numPr>
        <w:spacing w:line="440" w:lineRule="exact"/>
        <w:rPr>
          <w:rFonts w:hAnsi="宋体"/>
          <w:color w:val="000000" w:themeColor="text1"/>
          <w:sz w:val="24"/>
          <w:szCs w:val="24"/>
        </w:rPr>
      </w:pPr>
      <w:r>
        <w:rPr>
          <w:rFonts w:hint="eastAsia" w:hAnsi="宋体"/>
          <w:color w:val="000000" w:themeColor="text1"/>
          <w:sz w:val="24"/>
          <w:szCs w:val="24"/>
        </w:rPr>
        <w:t>与采购人、其他供应商或者采购代理机构恶意串通的；</w:t>
      </w:r>
    </w:p>
    <w:p>
      <w:pPr>
        <w:pStyle w:val="9"/>
        <w:numPr>
          <w:ilvl w:val="0"/>
          <w:numId w:val="8"/>
        </w:numPr>
        <w:spacing w:line="440" w:lineRule="exact"/>
        <w:rPr>
          <w:rFonts w:hAnsi="宋体"/>
          <w:color w:val="000000" w:themeColor="text1"/>
          <w:sz w:val="24"/>
          <w:szCs w:val="24"/>
        </w:rPr>
      </w:pPr>
      <w:r>
        <w:rPr>
          <w:rFonts w:hint="eastAsia" w:hAnsi="宋体"/>
          <w:color w:val="000000" w:themeColor="text1"/>
          <w:sz w:val="24"/>
          <w:szCs w:val="24"/>
        </w:rPr>
        <w:t>向采购人、采购代理机构行贿或者提供其他不正当利益的；</w:t>
      </w:r>
    </w:p>
    <w:p>
      <w:pPr>
        <w:pStyle w:val="9"/>
        <w:numPr>
          <w:ilvl w:val="0"/>
          <w:numId w:val="8"/>
        </w:numPr>
        <w:spacing w:line="440" w:lineRule="exact"/>
        <w:rPr>
          <w:rFonts w:hAnsi="宋体"/>
          <w:color w:val="000000" w:themeColor="text1"/>
          <w:sz w:val="24"/>
          <w:szCs w:val="24"/>
        </w:rPr>
      </w:pPr>
      <w:r>
        <w:rPr>
          <w:rFonts w:hint="eastAsia" w:hAnsi="宋体"/>
          <w:color w:val="000000" w:themeColor="text1"/>
          <w:sz w:val="24"/>
          <w:szCs w:val="24"/>
        </w:rPr>
        <w:t>在采购过程中与采购人进行协商谈判的；</w:t>
      </w:r>
    </w:p>
    <w:p>
      <w:pPr>
        <w:pStyle w:val="9"/>
        <w:numPr>
          <w:ilvl w:val="0"/>
          <w:numId w:val="8"/>
        </w:numPr>
        <w:spacing w:line="440" w:lineRule="exact"/>
        <w:rPr>
          <w:rFonts w:hAnsi="宋体"/>
          <w:color w:val="000000" w:themeColor="text1"/>
          <w:sz w:val="24"/>
          <w:szCs w:val="24"/>
        </w:rPr>
      </w:pPr>
      <w:r>
        <w:rPr>
          <w:rFonts w:hint="eastAsia" w:hAnsi="宋体"/>
          <w:color w:val="000000" w:themeColor="text1"/>
          <w:sz w:val="24"/>
          <w:szCs w:val="24"/>
        </w:rPr>
        <w:t>拒绝有关部门监督检查或提供虚假情况的。</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磋商供应商：（盖单位公章）</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法定代表人或其委托代理人：（签字或盖章）</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地址：</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电话：</w:t>
      </w:r>
      <w:r>
        <w:rPr>
          <w:rFonts w:hAnsi="宋体"/>
          <w:color w:val="000000" w:themeColor="text1"/>
          <w:sz w:val="24"/>
          <w:szCs w:val="24"/>
          <w:u w:val="single"/>
        </w:rPr>
        <w:t xml:space="preserve">                                      </w:t>
      </w:r>
      <w:r>
        <w:rPr>
          <w:rFonts w:hint="eastAsia" w:hAnsi="宋体"/>
          <w:color w:val="000000" w:themeColor="text1"/>
          <w:sz w:val="24"/>
          <w:szCs w:val="24"/>
          <w:u w:val="single"/>
        </w:rPr>
        <w:t>　　　　　　　　　</w:t>
      </w:r>
    </w:p>
    <w:p>
      <w:pPr>
        <w:pStyle w:val="9"/>
        <w:spacing w:line="360" w:lineRule="auto"/>
        <w:ind w:firstLine="420"/>
        <w:rPr>
          <w:rFonts w:hAnsi="宋体"/>
          <w:color w:val="000000" w:themeColor="text1"/>
          <w:sz w:val="24"/>
          <w:szCs w:val="24"/>
        </w:rPr>
      </w:pPr>
      <w:r>
        <w:rPr>
          <w:rFonts w:hint="eastAsia" w:hAnsi="宋体"/>
          <w:color w:val="000000" w:themeColor="text1"/>
          <w:sz w:val="24"/>
          <w:szCs w:val="24"/>
        </w:rPr>
        <w:t>传真：</w:t>
      </w:r>
      <w:r>
        <w:rPr>
          <w:rFonts w:hint="eastAsia" w:hAnsi="宋体"/>
          <w:color w:val="000000" w:themeColor="text1"/>
          <w:sz w:val="24"/>
          <w:szCs w:val="24"/>
          <w:u w:val="single"/>
        </w:rPr>
        <w:t>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邮政编码：</w:t>
      </w:r>
      <w:r>
        <w:rPr>
          <w:rFonts w:hAnsi="宋体"/>
          <w:color w:val="000000" w:themeColor="text1"/>
          <w:sz w:val="24"/>
          <w:szCs w:val="24"/>
        </w:rPr>
        <w:t xml:space="preserve"> </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开户名称：</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开户银行：</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银行账号：</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p>
    <w:p>
      <w:pPr>
        <w:pStyle w:val="9"/>
        <w:spacing w:line="360" w:lineRule="auto"/>
        <w:ind w:firstLine="420"/>
        <w:jc w:val="center"/>
        <w:rPr>
          <w:rFonts w:hAnsi="宋体"/>
          <w:b/>
          <w:bCs/>
          <w:color w:val="000000" w:themeColor="text1"/>
        </w:rPr>
      </w:pPr>
      <w:r>
        <w:rPr>
          <w:rFonts w:hAnsi="宋体"/>
          <w:bCs/>
          <w:color w:val="000000" w:themeColor="text1"/>
          <w:sz w:val="24"/>
          <w:szCs w:val="24"/>
        </w:rPr>
        <w:t xml:space="preserve">                                                       </w:t>
      </w:r>
      <w:r>
        <w:rPr>
          <w:rFonts w:hint="eastAsia" w:hAnsi="宋体"/>
          <w:bCs/>
          <w:color w:val="000000" w:themeColor="text1"/>
          <w:sz w:val="24"/>
          <w:szCs w:val="24"/>
        </w:rPr>
        <w:t>年</w:t>
      </w:r>
      <w:r>
        <w:rPr>
          <w:rFonts w:hAnsi="宋体"/>
          <w:bCs/>
          <w:color w:val="000000" w:themeColor="text1"/>
          <w:sz w:val="24"/>
          <w:szCs w:val="24"/>
        </w:rPr>
        <w:t xml:space="preserve">  </w:t>
      </w:r>
      <w:r>
        <w:rPr>
          <w:rFonts w:hint="eastAsia" w:hAnsi="宋体"/>
          <w:bCs/>
          <w:color w:val="000000" w:themeColor="text1"/>
          <w:sz w:val="24"/>
          <w:szCs w:val="24"/>
        </w:rPr>
        <w:t>月</w:t>
      </w:r>
      <w:r>
        <w:rPr>
          <w:rFonts w:hAnsi="宋体"/>
          <w:bCs/>
          <w:color w:val="000000" w:themeColor="text1"/>
          <w:sz w:val="24"/>
          <w:szCs w:val="24"/>
        </w:rPr>
        <w:t xml:space="preserve">    </w:t>
      </w:r>
      <w:r>
        <w:rPr>
          <w:rFonts w:hint="eastAsia" w:hAnsi="宋体"/>
          <w:bCs/>
          <w:color w:val="000000" w:themeColor="text1"/>
          <w:sz w:val="24"/>
          <w:szCs w:val="24"/>
        </w:rPr>
        <w:t>日</w:t>
      </w:r>
    </w:p>
    <w:p>
      <w:pPr>
        <w:pStyle w:val="9"/>
        <w:outlineLvl w:val="1"/>
        <w:rPr>
          <w:rFonts w:hAnsi="宋体"/>
          <w:color w:val="000000" w:themeColor="text1"/>
          <w:u w:val="single"/>
        </w:rPr>
      </w:pPr>
      <w:r>
        <w:rPr>
          <w:rFonts w:hAnsi="宋体"/>
          <w:b/>
          <w:color w:val="000000" w:themeColor="text1"/>
        </w:rPr>
        <w:br w:type="page"/>
      </w:r>
      <w:bookmarkStart w:id="99" w:name="_Toc29212"/>
      <w:bookmarkStart w:id="100" w:name="_Toc13059"/>
      <w:bookmarkStart w:id="101" w:name="_Toc13670"/>
      <w:bookmarkStart w:id="102" w:name="_Toc8385"/>
      <w:r>
        <w:rPr>
          <w:rFonts w:hint="eastAsia" w:hAnsi="宋体"/>
          <w:b/>
          <w:color w:val="000000" w:themeColor="text1"/>
        </w:rPr>
        <w:t>格式</w:t>
      </w:r>
      <w:r>
        <w:rPr>
          <w:rFonts w:hAnsi="宋体"/>
          <w:b/>
          <w:color w:val="000000" w:themeColor="text1"/>
        </w:rPr>
        <w:t>2</w:t>
      </w:r>
      <w:r>
        <w:rPr>
          <w:rFonts w:hint="eastAsia" w:hAnsi="宋体"/>
          <w:b/>
          <w:color w:val="000000" w:themeColor="text1"/>
        </w:rPr>
        <w:t>：</w:t>
      </w:r>
      <w:bookmarkEnd w:id="99"/>
      <w:bookmarkEnd w:id="100"/>
      <w:bookmarkEnd w:id="101"/>
      <w:bookmarkEnd w:id="102"/>
    </w:p>
    <w:p>
      <w:pPr>
        <w:pStyle w:val="9"/>
        <w:jc w:val="center"/>
        <w:outlineLvl w:val="2"/>
        <w:rPr>
          <w:rFonts w:hAnsi="宋体"/>
          <w:b/>
          <w:color w:val="000000" w:themeColor="text1"/>
          <w:sz w:val="32"/>
        </w:rPr>
      </w:pPr>
      <w:r>
        <w:rPr>
          <w:rFonts w:hint="eastAsia" w:hAnsi="宋体"/>
          <w:b/>
          <w:color w:val="000000" w:themeColor="text1"/>
          <w:sz w:val="32"/>
        </w:rPr>
        <w:t>响应报价表（格式）</w:t>
      </w:r>
    </w:p>
    <w:p>
      <w:pPr>
        <w:pStyle w:val="9"/>
        <w:jc w:val="center"/>
        <w:rPr>
          <w:rFonts w:hAnsi="宋体"/>
          <w:b/>
          <w:color w:val="000000" w:themeColor="text1"/>
          <w:sz w:val="32"/>
        </w:rPr>
      </w:pPr>
    </w:p>
    <w:tbl>
      <w:tblPr>
        <w:tblStyle w:val="18"/>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0"/>
        <w:gridCol w:w="2520"/>
        <w:gridCol w:w="735"/>
        <w:gridCol w:w="1155"/>
        <w:gridCol w:w="15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vAlign w:val="center"/>
          </w:tcPr>
          <w:p>
            <w:pPr>
              <w:pStyle w:val="9"/>
              <w:jc w:val="center"/>
              <w:rPr>
                <w:rFonts w:hAnsi="宋体"/>
                <w:color w:val="000000" w:themeColor="text1"/>
                <w:spacing w:val="-20"/>
                <w:sz w:val="24"/>
                <w:szCs w:val="24"/>
              </w:rPr>
            </w:pPr>
            <w:r>
              <w:rPr>
                <w:rFonts w:hAnsi="宋体"/>
                <w:color w:val="000000" w:themeColor="text1"/>
                <w:spacing w:val="-20"/>
                <w:sz w:val="24"/>
                <w:szCs w:val="24"/>
              </w:rPr>
              <w:t>序</w:t>
            </w:r>
            <w:r>
              <w:rPr>
                <w:rFonts w:hint="eastAsia" w:hAnsi="宋体"/>
                <w:color w:val="000000" w:themeColor="text1"/>
                <w:spacing w:val="-20"/>
                <w:sz w:val="24"/>
                <w:szCs w:val="24"/>
              </w:rPr>
              <w:t>号</w:t>
            </w:r>
          </w:p>
        </w:tc>
        <w:tc>
          <w:tcPr>
            <w:tcW w:w="2100" w:type="dxa"/>
            <w:vAlign w:val="center"/>
          </w:tcPr>
          <w:p>
            <w:pPr>
              <w:pStyle w:val="9"/>
              <w:jc w:val="center"/>
              <w:rPr>
                <w:rFonts w:hAnsi="宋体"/>
                <w:color w:val="000000" w:themeColor="text1"/>
                <w:spacing w:val="-20"/>
                <w:sz w:val="24"/>
                <w:szCs w:val="24"/>
              </w:rPr>
            </w:pPr>
            <w:r>
              <w:rPr>
                <w:rFonts w:hint="eastAsia" w:hAnsi="宋体"/>
                <w:color w:val="000000" w:themeColor="text1"/>
                <w:spacing w:val="-20"/>
                <w:sz w:val="24"/>
                <w:szCs w:val="24"/>
              </w:rPr>
              <w:t>服务名称</w:t>
            </w:r>
          </w:p>
        </w:tc>
        <w:tc>
          <w:tcPr>
            <w:tcW w:w="2520" w:type="dxa"/>
            <w:vAlign w:val="center"/>
          </w:tcPr>
          <w:p>
            <w:pPr>
              <w:pStyle w:val="9"/>
              <w:jc w:val="center"/>
              <w:rPr>
                <w:rFonts w:hAnsi="宋体"/>
                <w:color w:val="000000" w:themeColor="text1"/>
                <w:spacing w:val="-20"/>
                <w:sz w:val="24"/>
                <w:szCs w:val="24"/>
              </w:rPr>
            </w:pPr>
            <w:r>
              <w:rPr>
                <w:rFonts w:hint="eastAsia" w:hAnsi="宋体"/>
                <w:color w:val="000000" w:themeColor="text1"/>
                <w:spacing w:val="-20"/>
                <w:sz w:val="24"/>
                <w:szCs w:val="24"/>
              </w:rPr>
              <w:t>服务内容</w:t>
            </w:r>
          </w:p>
        </w:tc>
        <w:tc>
          <w:tcPr>
            <w:tcW w:w="735" w:type="dxa"/>
            <w:vAlign w:val="center"/>
          </w:tcPr>
          <w:p>
            <w:pPr>
              <w:pStyle w:val="9"/>
              <w:jc w:val="center"/>
              <w:rPr>
                <w:rFonts w:hAnsi="宋体"/>
                <w:color w:val="000000" w:themeColor="text1"/>
                <w:spacing w:val="-20"/>
                <w:sz w:val="24"/>
                <w:szCs w:val="24"/>
              </w:rPr>
            </w:pPr>
            <w:r>
              <w:rPr>
                <w:rFonts w:hint="eastAsia" w:hAnsi="宋体"/>
                <w:color w:val="000000" w:themeColor="text1"/>
                <w:spacing w:val="-20"/>
                <w:sz w:val="24"/>
                <w:szCs w:val="24"/>
              </w:rPr>
              <w:t>数量</w:t>
            </w:r>
          </w:p>
          <w:p>
            <w:pPr>
              <w:pStyle w:val="9"/>
              <w:jc w:val="center"/>
              <w:rPr>
                <w:rFonts w:hAnsi="宋体"/>
                <w:color w:val="000000" w:themeColor="text1"/>
                <w:spacing w:val="-20"/>
                <w:sz w:val="24"/>
                <w:szCs w:val="24"/>
              </w:rPr>
            </w:pPr>
            <w:r>
              <w:rPr>
                <w:rFonts w:hint="eastAsia" w:hAnsi="宋体"/>
                <w:color w:val="000000" w:themeColor="text1"/>
                <w:spacing w:val="-20"/>
                <w:sz w:val="24"/>
                <w:szCs w:val="24"/>
              </w:rPr>
              <w:t>①</w:t>
            </w:r>
          </w:p>
        </w:tc>
        <w:tc>
          <w:tcPr>
            <w:tcW w:w="1155" w:type="dxa"/>
            <w:vAlign w:val="center"/>
          </w:tcPr>
          <w:p>
            <w:pPr>
              <w:pStyle w:val="9"/>
              <w:jc w:val="center"/>
              <w:rPr>
                <w:rFonts w:hAnsi="宋体"/>
                <w:color w:val="000000" w:themeColor="text1"/>
                <w:sz w:val="24"/>
                <w:szCs w:val="24"/>
              </w:rPr>
            </w:pPr>
            <w:r>
              <w:rPr>
                <w:rFonts w:hint="eastAsia" w:hAnsi="宋体"/>
                <w:color w:val="000000" w:themeColor="text1"/>
                <w:sz w:val="24"/>
                <w:szCs w:val="24"/>
              </w:rPr>
              <w:t>单价</w:t>
            </w:r>
            <w:r>
              <w:rPr>
                <w:rFonts w:hAnsi="宋体"/>
                <w:color w:val="000000" w:themeColor="text1"/>
                <w:sz w:val="24"/>
                <w:szCs w:val="24"/>
              </w:rPr>
              <w:t>(</w:t>
            </w:r>
            <w:r>
              <w:rPr>
                <w:rFonts w:hint="eastAsia" w:hAnsi="宋体"/>
                <w:color w:val="000000" w:themeColor="text1"/>
                <w:sz w:val="24"/>
                <w:szCs w:val="24"/>
              </w:rPr>
              <w:t>元</w:t>
            </w:r>
            <w:r>
              <w:rPr>
                <w:rFonts w:hAnsi="宋体"/>
                <w:color w:val="000000" w:themeColor="text1"/>
                <w:sz w:val="24"/>
                <w:szCs w:val="24"/>
              </w:rPr>
              <w:t>)</w:t>
            </w:r>
          </w:p>
          <w:p>
            <w:pPr>
              <w:pStyle w:val="9"/>
              <w:jc w:val="center"/>
              <w:rPr>
                <w:rFonts w:hAnsi="宋体"/>
                <w:color w:val="000000" w:themeColor="text1"/>
                <w:sz w:val="24"/>
                <w:szCs w:val="24"/>
              </w:rPr>
            </w:pPr>
            <w:r>
              <w:rPr>
                <w:rFonts w:hint="eastAsia" w:hAnsi="宋体"/>
                <w:color w:val="000000" w:themeColor="text1"/>
                <w:sz w:val="24"/>
                <w:szCs w:val="24"/>
              </w:rPr>
              <w:t>②</w:t>
            </w:r>
          </w:p>
        </w:tc>
        <w:tc>
          <w:tcPr>
            <w:tcW w:w="1575" w:type="dxa"/>
            <w:vAlign w:val="center"/>
          </w:tcPr>
          <w:p>
            <w:pPr>
              <w:pStyle w:val="9"/>
              <w:jc w:val="center"/>
              <w:rPr>
                <w:rFonts w:hAnsi="宋体"/>
                <w:color w:val="000000" w:themeColor="text1"/>
                <w:sz w:val="24"/>
                <w:szCs w:val="24"/>
              </w:rPr>
            </w:pPr>
            <w:r>
              <w:rPr>
                <w:rFonts w:hint="eastAsia" w:hAnsi="宋体"/>
                <w:color w:val="000000" w:themeColor="text1"/>
                <w:sz w:val="24"/>
                <w:szCs w:val="24"/>
              </w:rPr>
              <w:t>单项合价（元）</w:t>
            </w:r>
          </w:p>
          <w:p>
            <w:pPr>
              <w:pStyle w:val="9"/>
              <w:jc w:val="center"/>
              <w:rPr>
                <w:rFonts w:hAnsi="宋体"/>
                <w:color w:val="000000" w:themeColor="text1"/>
                <w:sz w:val="24"/>
                <w:szCs w:val="24"/>
              </w:rPr>
            </w:pPr>
            <w:r>
              <w:rPr>
                <w:rFonts w:hint="eastAsia" w:hAnsi="宋体"/>
                <w:color w:val="000000" w:themeColor="text1"/>
                <w:sz w:val="24"/>
                <w:szCs w:val="24"/>
              </w:rPr>
              <w:t>③＝①×②</w:t>
            </w:r>
          </w:p>
        </w:tc>
        <w:tc>
          <w:tcPr>
            <w:tcW w:w="1005" w:type="dxa"/>
            <w:vAlign w:val="center"/>
          </w:tcPr>
          <w:p>
            <w:pPr>
              <w:pStyle w:val="9"/>
              <w:jc w:val="center"/>
              <w:rPr>
                <w:rFonts w:hAnsi="宋体"/>
                <w:color w:val="000000" w:themeColor="text1"/>
                <w:sz w:val="24"/>
                <w:szCs w:val="24"/>
              </w:rPr>
            </w:pPr>
            <w:r>
              <w:rPr>
                <w:rFonts w:hint="eastAsia" w:hAnsi="宋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0" w:type="dxa"/>
            <w:vAlign w:val="center"/>
          </w:tcPr>
          <w:p>
            <w:pPr>
              <w:jc w:val="center"/>
              <w:rPr>
                <w:rFonts w:ascii="宋体"/>
                <w:color w:val="000000" w:themeColor="text1"/>
                <w:sz w:val="24"/>
              </w:rPr>
            </w:pPr>
            <w:r>
              <w:rPr>
                <w:rFonts w:ascii="宋体" w:hAnsi="宋体"/>
                <w:color w:val="000000" w:themeColor="text1"/>
                <w:sz w:val="24"/>
              </w:rPr>
              <w:t>1</w:t>
            </w:r>
          </w:p>
        </w:tc>
        <w:tc>
          <w:tcPr>
            <w:tcW w:w="2100" w:type="dxa"/>
            <w:vAlign w:val="center"/>
          </w:tcPr>
          <w:p>
            <w:pPr>
              <w:jc w:val="center"/>
              <w:rPr>
                <w:rFonts w:ascii="宋体"/>
                <w:color w:val="000000" w:themeColor="text1"/>
                <w:sz w:val="24"/>
              </w:rPr>
            </w:pPr>
          </w:p>
        </w:tc>
        <w:tc>
          <w:tcPr>
            <w:tcW w:w="2520" w:type="dxa"/>
            <w:vAlign w:val="center"/>
          </w:tcPr>
          <w:p>
            <w:pPr>
              <w:pStyle w:val="9"/>
              <w:rPr>
                <w:rFonts w:hAnsi="宋体"/>
                <w:color w:val="000000" w:themeColor="text1"/>
                <w:sz w:val="24"/>
                <w:szCs w:val="24"/>
              </w:rPr>
            </w:pPr>
          </w:p>
        </w:tc>
        <w:tc>
          <w:tcPr>
            <w:tcW w:w="735" w:type="dxa"/>
            <w:vAlign w:val="center"/>
          </w:tcPr>
          <w:p>
            <w:pPr>
              <w:pStyle w:val="9"/>
              <w:rPr>
                <w:rFonts w:hAnsi="宋体"/>
                <w:color w:val="000000" w:themeColor="text1"/>
                <w:sz w:val="24"/>
                <w:szCs w:val="24"/>
              </w:rPr>
            </w:pPr>
          </w:p>
        </w:tc>
        <w:tc>
          <w:tcPr>
            <w:tcW w:w="1155" w:type="dxa"/>
            <w:vAlign w:val="center"/>
          </w:tcPr>
          <w:p>
            <w:pPr>
              <w:pStyle w:val="9"/>
              <w:rPr>
                <w:rFonts w:hAnsi="宋体"/>
                <w:color w:val="000000" w:themeColor="text1"/>
                <w:sz w:val="24"/>
                <w:szCs w:val="24"/>
              </w:rPr>
            </w:pPr>
          </w:p>
        </w:tc>
        <w:tc>
          <w:tcPr>
            <w:tcW w:w="1575" w:type="dxa"/>
            <w:vAlign w:val="center"/>
          </w:tcPr>
          <w:p>
            <w:pPr>
              <w:pStyle w:val="9"/>
              <w:rPr>
                <w:rFonts w:hAnsi="宋体"/>
                <w:color w:val="000000" w:themeColor="text1"/>
                <w:sz w:val="24"/>
                <w:szCs w:val="24"/>
              </w:rPr>
            </w:pPr>
          </w:p>
        </w:tc>
        <w:tc>
          <w:tcPr>
            <w:tcW w:w="1005" w:type="dxa"/>
            <w:vAlign w:val="center"/>
          </w:tcPr>
          <w:p>
            <w:pPr>
              <w:pStyle w:val="9"/>
              <w:rPr>
                <w:rFonts w:hAnsi="宋体"/>
                <w:color w:val="000000" w:themeColor="text1"/>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30" w:type="dxa"/>
            <w:vAlign w:val="center"/>
          </w:tcPr>
          <w:p>
            <w:pPr>
              <w:jc w:val="center"/>
              <w:rPr>
                <w:rFonts w:ascii="宋体"/>
                <w:color w:val="000000" w:themeColor="text1"/>
                <w:sz w:val="24"/>
              </w:rPr>
            </w:pPr>
            <w:r>
              <w:rPr>
                <w:rFonts w:ascii="宋体" w:hAnsi="宋体"/>
                <w:color w:val="000000" w:themeColor="text1"/>
                <w:sz w:val="24"/>
              </w:rPr>
              <w:t>2</w:t>
            </w:r>
          </w:p>
        </w:tc>
        <w:tc>
          <w:tcPr>
            <w:tcW w:w="2100" w:type="dxa"/>
            <w:vAlign w:val="center"/>
          </w:tcPr>
          <w:p>
            <w:pPr>
              <w:jc w:val="center"/>
              <w:rPr>
                <w:rFonts w:ascii="宋体"/>
                <w:color w:val="000000" w:themeColor="text1"/>
                <w:sz w:val="24"/>
              </w:rPr>
            </w:pPr>
          </w:p>
        </w:tc>
        <w:tc>
          <w:tcPr>
            <w:tcW w:w="2520" w:type="dxa"/>
            <w:vAlign w:val="center"/>
          </w:tcPr>
          <w:p>
            <w:pPr>
              <w:pStyle w:val="9"/>
              <w:rPr>
                <w:rFonts w:hAnsi="宋体"/>
                <w:color w:val="000000" w:themeColor="text1"/>
                <w:sz w:val="24"/>
                <w:szCs w:val="24"/>
              </w:rPr>
            </w:pPr>
          </w:p>
        </w:tc>
        <w:tc>
          <w:tcPr>
            <w:tcW w:w="735" w:type="dxa"/>
            <w:vAlign w:val="center"/>
          </w:tcPr>
          <w:p>
            <w:pPr>
              <w:pStyle w:val="9"/>
              <w:rPr>
                <w:rFonts w:hAnsi="宋体"/>
                <w:color w:val="000000" w:themeColor="text1"/>
                <w:sz w:val="24"/>
                <w:szCs w:val="24"/>
              </w:rPr>
            </w:pPr>
          </w:p>
        </w:tc>
        <w:tc>
          <w:tcPr>
            <w:tcW w:w="1155" w:type="dxa"/>
            <w:vAlign w:val="center"/>
          </w:tcPr>
          <w:p>
            <w:pPr>
              <w:pStyle w:val="9"/>
              <w:rPr>
                <w:rFonts w:hAnsi="宋体"/>
                <w:color w:val="000000" w:themeColor="text1"/>
                <w:sz w:val="24"/>
                <w:szCs w:val="24"/>
              </w:rPr>
            </w:pPr>
          </w:p>
        </w:tc>
        <w:tc>
          <w:tcPr>
            <w:tcW w:w="1575" w:type="dxa"/>
            <w:vAlign w:val="center"/>
          </w:tcPr>
          <w:p>
            <w:pPr>
              <w:pStyle w:val="9"/>
              <w:rPr>
                <w:rFonts w:hAnsi="宋体"/>
                <w:color w:val="000000" w:themeColor="text1"/>
                <w:sz w:val="24"/>
                <w:szCs w:val="24"/>
              </w:rPr>
            </w:pPr>
          </w:p>
        </w:tc>
        <w:tc>
          <w:tcPr>
            <w:tcW w:w="1005" w:type="dxa"/>
            <w:vAlign w:val="center"/>
          </w:tcPr>
          <w:p>
            <w:pPr>
              <w:pStyle w:val="9"/>
              <w:rPr>
                <w:rFonts w:hAnsi="宋体"/>
                <w:color w:val="000000" w:themeColor="text1"/>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30" w:type="dxa"/>
            <w:vAlign w:val="center"/>
          </w:tcPr>
          <w:p>
            <w:pPr>
              <w:jc w:val="center"/>
              <w:rPr>
                <w:rFonts w:ascii="宋体"/>
                <w:color w:val="000000" w:themeColor="text1"/>
                <w:sz w:val="24"/>
              </w:rPr>
            </w:pPr>
            <w:r>
              <w:rPr>
                <w:rFonts w:hint="eastAsia" w:ascii="宋体" w:hAnsi="宋体"/>
                <w:color w:val="000000" w:themeColor="text1"/>
                <w:sz w:val="24"/>
              </w:rPr>
              <w:t>…</w:t>
            </w:r>
          </w:p>
        </w:tc>
        <w:tc>
          <w:tcPr>
            <w:tcW w:w="2100" w:type="dxa"/>
            <w:vAlign w:val="center"/>
          </w:tcPr>
          <w:p>
            <w:pPr>
              <w:jc w:val="center"/>
              <w:rPr>
                <w:rFonts w:ascii="宋体"/>
                <w:color w:val="000000" w:themeColor="text1"/>
                <w:sz w:val="24"/>
              </w:rPr>
            </w:pPr>
          </w:p>
        </w:tc>
        <w:tc>
          <w:tcPr>
            <w:tcW w:w="2520" w:type="dxa"/>
            <w:vAlign w:val="center"/>
          </w:tcPr>
          <w:p>
            <w:pPr>
              <w:pStyle w:val="9"/>
              <w:rPr>
                <w:rFonts w:hAnsi="宋体"/>
                <w:color w:val="000000" w:themeColor="text1"/>
                <w:sz w:val="24"/>
                <w:szCs w:val="24"/>
              </w:rPr>
            </w:pPr>
          </w:p>
        </w:tc>
        <w:tc>
          <w:tcPr>
            <w:tcW w:w="735" w:type="dxa"/>
            <w:vAlign w:val="center"/>
          </w:tcPr>
          <w:p>
            <w:pPr>
              <w:pStyle w:val="9"/>
              <w:rPr>
                <w:rFonts w:hAnsi="宋体"/>
                <w:color w:val="000000" w:themeColor="text1"/>
                <w:sz w:val="24"/>
                <w:szCs w:val="24"/>
              </w:rPr>
            </w:pPr>
          </w:p>
        </w:tc>
        <w:tc>
          <w:tcPr>
            <w:tcW w:w="1155" w:type="dxa"/>
            <w:vAlign w:val="center"/>
          </w:tcPr>
          <w:p>
            <w:pPr>
              <w:pStyle w:val="9"/>
              <w:rPr>
                <w:rFonts w:hAnsi="宋体"/>
                <w:color w:val="000000" w:themeColor="text1"/>
                <w:sz w:val="24"/>
                <w:szCs w:val="24"/>
              </w:rPr>
            </w:pPr>
          </w:p>
        </w:tc>
        <w:tc>
          <w:tcPr>
            <w:tcW w:w="1575" w:type="dxa"/>
            <w:vAlign w:val="center"/>
          </w:tcPr>
          <w:p>
            <w:pPr>
              <w:pStyle w:val="9"/>
              <w:rPr>
                <w:rFonts w:hAnsi="宋体"/>
                <w:color w:val="000000" w:themeColor="text1"/>
                <w:sz w:val="24"/>
                <w:szCs w:val="24"/>
              </w:rPr>
            </w:pPr>
          </w:p>
        </w:tc>
        <w:tc>
          <w:tcPr>
            <w:tcW w:w="1005" w:type="dxa"/>
            <w:vAlign w:val="center"/>
          </w:tcPr>
          <w:p>
            <w:pPr>
              <w:pStyle w:val="9"/>
              <w:rPr>
                <w:rFonts w:hAnsi="宋体"/>
                <w:color w:val="000000" w:themeColor="text1"/>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9"/>
              <w:rPr>
                <w:rFonts w:asciiTheme="minorEastAsia" w:hAnsiTheme="minorEastAsia"/>
                <w:color w:val="000000" w:themeColor="text1"/>
                <w:spacing w:val="-6"/>
                <w:sz w:val="24"/>
                <w:szCs w:val="24"/>
              </w:rPr>
            </w:pPr>
            <w:r>
              <w:rPr>
                <w:rFonts w:hAnsi="宋体"/>
                <w:color w:val="000000" w:themeColor="text1"/>
                <w:sz w:val="24"/>
              </w:rPr>
              <w:t>报价合计（包含税费等所有费用）：（大写）人民币</w:t>
            </w:r>
            <w:r>
              <w:rPr>
                <w:rFonts w:hAnsi="宋体"/>
                <w:color w:val="000000" w:themeColor="text1"/>
                <w:sz w:val="24"/>
                <w:u w:val="single"/>
              </w:rPr>
              <w:t xml:space="preserve">   </w:t>
            </w:r>
            <w:r>
              <w:rPr>
                <w:rFonts w:hint="eastAsia" w:hAnsi="宋体"/>
                <w:color w:val="000000" w:themeColor="text1"/>
                <w:sz w:val="24"/>
                <w:u w:val="single"/>
              </w:rPr>
              <w:t xml:space="preserve">   </w:t>
            </w:r>
            <w:r>
              <w:rPr>
                <w:rFonts w:hAnsi="宋体"/>
                <w:color w:val="000000" w:themeColor="text1"/>
                <w:sz w:val="24"/>
              </w:rPr>
              <w:t>（￥</w:t>
            </w:r>
            <w:r>
              <w:rPr>
                <w:rFonts w:hAnsi="宋体"/>
                <w:color w:val="000000" w:themeColor="text1"/>
                <w:sz w:val="24"/>
                <w:u w:val="single"/>
              </w:rPr>
              <w:t xml:space="preserve">      </w:t>
            </w:r>
            <w:r>
              <w:rPr>
                <w:rFonts w:hAnsi="宋体"/>
                <w:color w:val="000000" w:themeColor="text1"/>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9"/>
              <w:spacing w:line="600" w:lineRule="exact"/>
              <w:rPr>
                <w:rFonts w:hAnsi="宋体"/>
                <w:color w:val="000000" w:themeColor="text1"/>
                <w:sz w:val="24"/>
              </w:rPr>
            </w:pPr>
            <w:r>
              <w:rPr>
                <w:rFonts w:hint="eastAsia" w:hAnsi="宋体"/>
                <w:color w:val="000000" w:themeColor="text1"/>
                <w:sz w:val="24"/>
                <w:szCs w:val="24"/>
              </w:rPr>
              <w:t>磋商供应商（盖单位公章）</w:t>
            </w:r>
            <w:r>
              <w:rPr>
                <w:rFonts w:hAnsi="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9"/>
              <w:rPr>
                <w:rFonts w:hAnsi="宋体"/>
                <w:color w:val="000000" w:themeColor="text1"/>
                <w:sz w:val="24"/>
              </w:rPr>
            </w:pPr>
            <w:r>
              <w:rPr>
                <w:rFonts w:hAnsi="宋体"/>
                <w:color w:val="000000" w:themeColor="text1"/>
                <w:sz w:val="24"/>
              </w:rPr>
              <w:t>法定代表人或其委托代理人（签字或盖章）：</w:t>
            </w:r>
          </w:p>
        </w:tc>
      </w:tr>
    </w:tbl>
    <w:p>
      <w:pPr>
        <w:pStyle w:val="9"/>
        <w:rPr>
          <w:rFonts w:hAnsi="宋体"/>
          <w:color w:val="000000" w:themeColor="text1"/>
          <w:sz w:val="24"/>
          <w:szCs w:val="24"/>
        </w:rPr>
      </w:pPr>
      <w:r>
        <w:rPr>
          <w:rFonts w:hAnsi="宋体"/>
          <w:color w:val="000000" w:themeColor="text1"/>
          <w:sz w:val="24"/>
          <w:szCs w:val="24"/>
        </w:rPr>
        <w:t>注：表格内容均需按要求填写并盖章，不得留空，否则按投标无效处理。</w:t>
      </w:r>
    </w:p>
    <w:p>
      <w:pPr>
        <w:pStyle w:val="9"/>
        <w:rPr>
          <w:rFonts w:hAnsi="宋体"/>
          <w:color w:val="000000" w:themeColor="text1"/>
          <w:sz w:val="24"/>
          <w:szCs w:val="24"/>
        </w:rPr>
      </w:pPr>
    </w:p>
    <w:p>
      <w:pPr>
        <w:pStyle w:val="9"/>
        <w:rPr>
          <w:rFonts w:hAnsi="宋体"/>
          <w:color w:val="000000" w:themeColor="text1"/>
          <w:sz w:val="24"/>
          <w:szCs w:val="24"/>
        </w:rPr>
      </w:pPr>
      <w:r>
        <w:rPr>
          <w:rFonts w:hAnsi="宋体"/>
          <w:color w:val="000000" w:themeColor="text1"/>
          <w:sz w:val="24"/>
          <w:szCs w:val="24"/>
        </w:rPr>
        <w:t>......</w:t>
      </w: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spacing w:line="500" w:lineRule="exact"/>
        <w:outlineLvl w:val="1"/>
        <w:rPr>
          <w:rFonts w:hAnsi="宋体"/>
          <w:b/>
          <w:color w:val="000000" w:themeColor="text1"/>
        </w:rPr>
      </w:pPr>
      <w:r>
        <w:rPr>
          <w:rFonts w:hAnsi="宋体"/>
          <w:b/>
          <w:color w:val="000000" w:themeColor="text1"/>
          <w:sz w:val="24"/>
          <w:szCs w:val="24"/>
        </w:rPr>
        <w:br w:type="page"/>
      </w:r>
      <w:bookmarkStart w:id="103" w:name="_Toc3180"/>
      <w:bookmarkStart w:id="104" w:name="_Toc5908"/>
      <w:bookmarkStart w:id="105" w:name="_Toc20421"/>
      <w:bookmarkStart w:id="106" w:name="_Toc6326"/>
      <w:r>
        <w:rPr>
          <w:rFonts w:hint="eastAsia" w:hAnsi="宋体"/>
          <w:b/>
          <w:color w:val="000000" w:themeColor="text1"/>
        </w:rPr>
        <w:t>格式</w:t>
      </w:r>
      <w:r>
        <w:rPr>
          <w:rFonts w:hAnsi="宋体"/>
          <w:b/>
          <w:color w:val="000000" w:themeColor="text1"/>
        </w:rPr>
        <w:t>3</w:t>
      </w:r>
      <w:r>
        <w:rPr>
          <w:rFonts w:hint="eastAsia" w:hAnsi="宋体"/>
          <w:b/>
          <w:color w:val="000000" w:themeColor="text1"/>
        </w:rPr>
        <w:t>：</w:t>
      </w:r>
      <w:bookmarkEnd w:id="103"/>
      <w:bookmarkEnd w:id="104"/>
      <w:bookmarkEnd w:id="105"/>
      <w:bookmarkEnd w:id="106"/>
      <w:r>
        <w:rPr>
          <w:rFonts w:hAnsi="宋体"/>
          <w:b/>
          <w:color w:val="000000" w:themeColor="text1"/>
        </w:rPr>
        <w:t xml:space="preserve"> </w:t>
      </w:r>
    </w:p>
    <w:p>
      <w:pPr>
        <w:pStyle w:val="9"/>
        <w:jc w:val="center"/>
        <w:outlineLvl w:val="2"/>
        <w:rPr>
          <w:rFonts w:hAnsi="宋体"/>
          <w:b/>
          <w:color w:val="000000" w:themeColor="text1"/>
          <w:sz w:val="30"/>
          <w:szCs w:val="30"/>
        </w:rPr>
      </w:pPr>
      <w:r>
        <w:rPr>
          <w:rFonts w:hint="eastAsia" w:hAnsi="宋体"/>
          <w:b/>
          <w:color w:val="000000" w:themeColor="text1"/>
          <w:sz w:val="30"/>
          <w:szCs w:val="30"/>
        </w:rPr>
        <w:t>中小企业声明函（格式）</w:t>
      </w:r>
    </w:p>
    <w:p>
      <w:pPr>
        <w:pStyle w:val="8"/>
        <w:spacing w:line="240" w:lineRule="auto"/>
        <w:ind w:firstLine="0"/>
        <w:rPr>
          <w:rFonts w:hAnsi="宋体"/>
          <w:color w:val="000000" w:themeColor="text1"/>
          <w:sz w:val="24"/>
          <w:szCs w:val="24"/>
        </w:rPr>
      </w:pPr>
      <w:r>
        <w:rPr>
          <w:rFonts w:hint="eastAsia" w:hAnsi="宋体"/>
          <w:color w:val="000000" w:themeColor="text1"/>
          <w:sz w:val="24"/>
          <w:szCs w:val="24"/>
        </w:rPr>
        <w:t>说明：</w:t>
      </w:r>
    </w:p>
    <w:p>
      <w:pPr>
        <w:pStyle w:val="8"/>
        <w:spacing w:line="240" w:lineRule="auto"/>
        <w:ind w:firstLine="464" w:firstLineChars="200"/>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、本声明函主要供参加政府采购活动的中小企业填写，非中小企业无需填写。</w:t>
      </w:r>
    </w:p>
    <w:p>
      <w:pPr>
        <w:pStyle w:val="8"/>
        <w:spacing w:line="240" w:lineRule="auto"/>
        <w:ind w:firstLine="464" w:firstLineChars="200"/>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、小型、微型企业提供中型企业制造的货物的，视同为中型企业。</w:t>
      </w:r>
    </w:p>
    <w:p>
      <w:pPr>
        <w:pStyle w:val="8"/>
        <w:spacing w:line="240" w:lineRule="auto"/>
        <w:ind w:firstLine="464" w:firstLineChars="200"/>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、磋商供应商按《财政部、司法部关于政府采购支持监狱企业发展有关问题的通知》（财库〔</w:t>
      </w:r>
      <w:r>
        <w:rPr>
          <w:rFonts w:hAnsi="宋体"/>
          <w:color w:val="000000" w:themeColor="text1"/>
          <w:sz w:val="24"/>
          <w:szCs w:val="24"/>
        </w:rPr>
        <w:t>2014</w:t>
      </w:r>
      <w:r>
        <w:rPr>
          <w:rFonts w:hint="eastAsia" w:hAnsi="宋体"/>
          <w:color w:val="000000" w:themeColor="text1"/>
          <w:sz w:val="24"/>
          <w:szCs w:val="24"/>
        </w:rPr>
        <w:t>〕</w:t>
      </w:r>
      <w:r>
        <w:rPr>
          <w:rFonts w:hAnsi="宋体"/>
          <w:color w:val="000000" w:themeColor="text1"/>
          <w:sz w:val="24"/>
          <w:szCs w:val="24"/>
        </w:rPr>
        <w:t>68</w:t>
      </w:r>
      <w:r>
        <w:rPr>
          <w:rFonts w:hint="eastAsia" w:hAnsi="宋体"/>
          <w:color w:val="000000" w:themeColor="text1"/>
          <w:sz w:val="24"/>
          <w:szCs w:val="24"/>
        </w:rPr>
        <w:t>号）认定为监狱企业，且提供由省级以上监狱管理局、戒毒管理局（含新疆生产建设兵团）出具的属于监狱企业的证明文件的，视同小型、微型企业。</w:t>
      </w:r>
    </w:p>
    <w:p>
      <w:pPr>
        <w:pStyle w:val="8"/>
        <w:spacing w:line="360" w:lineRule="auto"/>
        <w:ind w:firstLine="464" w:firstLineChars="200"/>
        <w:rPr>
          <w:rFonts w:hAnsi="宋体"/>
          <w:color w:val="000000" w:themeColor="text1"/>
          <w:sz w:val="24"/>
          <w:szCs w:val="24"/>
        </w:rPr>
      </w:pPr>
    </w:p>
    <w:p>
      <w:pPr>
        <w:pStyle w:val="9"/>
        <w:spacing w:line="360" w:lineRule="auto"/>
        <w:ind w:firstLine="480" w:firstLineChars="200"/>
        <w:rPr>
          <w:rFonts w:hAnsi="宋体"/>
          <w:color w:val="000000" w:themeColor="text1"/>
          <w:sz w:val="24"/>
          <w:szCs w:val="24"/>
        </w:rPr>
      </w:pPr>
      <w:r>
        <w:rPr>
          <w:rFonts w:hint="eastAsia" w:hAnsi="宋体"/>
          <w:color w:val="000000" w:themeColor="text1"/>
          <w:sz w:val="24"/>
          <w:szCs w:val="24"/>
        </w:rPr>
        <w:t>本公司郑重声明，根据《政府采购促进中小企业发展暂行办法》（财库〔</w:t>
      </w:r>
      <w:r>
        <w:rPr>
          <w:rFonts w:hAnsi="宋体"/>
          <w:color w:val="000000" w:themeColor="text1"/>
          <w:sz w:val="24"/>
          <w:szCs w:val="24"/>
        </w:rPr>
        <w:t>2011</w:t>
      </w:r>
      <w:r>
        <w:rPr>
          <w:rFonts w:hint="eastAsia" w:hAnsi="宋体"/>
          <w:color w:val="000000" w:themeColor="text1"/>
          <w:sz w:val="24"/>
          <w:szCs w:val="24"/>
        </w:rPr>
        <w:t>〕</w:t>
      </w:r>
      <w:r>
        <w:rPr>
          <w:rFonts w:hAnsi="宋体"/>
          <w:color w:val="000000" w:themeColor="text1"/>
          <w:sz w:val="24"/>
          <w:szCs w:val="24"/>
        </w:rPr>
        <w:t>181</w:t>
      </w:r>
      <w:r>
        <w:rPr>
          <w:rFonts w:hint="eastAsia" w:hAnsi="宋体"/>
          <w:color w:val="000000" w:themeColor="text1"/>
          <w:sz w:val="24"/>
          <w:szCs w:val="24"/>
        </w:rPr>
        <w:t>号）的规定，本公司为</w:t>
      </w:r>
      <w:r>
        <w:rPr>
          <w:rFonts w:hAnsi="宋体"/>
          <w:color w:val="000000" w:themeColor="text1"/>
          <w:sz w:val="24"/>
          <w:szCs w:val="24"/>
        </w:rPr>
        <w:t>______</w:t>
      </w:r>
      <w:r>
        <w:rPr>
          <w:rFonts w:hint="eastAsia" w:hAnsi="宋体"/>
          <w:color w:val="000000" w:themeColor="text1"/>
          <w:sz w:val="24"/>
          <w:szCs w:val="24"/>
        </w:rPr>
        <w:t>（请填写：中型、小型、微型）企业。即，本公司同时满足以下条件：</w:t>
      </w:r>
    </w:p>
    <w:p>
      <w:pPr>
        <w:pStyle w:val="9"/>
        <w:spacing w:line="360" w:lineRule="auto"/>
        <w:ind w:firstLine="480" w:firstLineChars="200"/>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．根据《工业和信息化部、国家统计局、国家发展和改革委员会、财政部关于印发中小企业划型标准规定的通知》（工信部联企业〔</w:t>
      </w:r>
      <w:r>
        <w:rPr>
          <w:rFonts w:hAnsi="宋体"/>
          <w:color w:val="000000" w:themeColor="text1"/>
          <w:sz w:val="24"/>
          <w:szCs w:val="24"/>
        </w:rPr>
        <w:t>2011</w:t>
      </w:r>
      <w:r>
        <w:rPr>
          <w:rFonts w:hint="eastAsia" w:hAnsi="宋体"/>
          <w:color w:val="000000" w:themeColor="text1"/>
          <w:sz w:val="24"/>
          <w:szCs w:val="24"/>
        </w:rPr>
        <w:t>〕</w:t>
      </w:r>
      <w:r>
        <w:rPr>
          <w:rFonts w:hAnsi="宋体"/>
          <w:color w:val="000000" w:themeColor="text1"/>
          <w:sz w:val="24"/>
          <w:szCs w:val="24"/>
        </w:rPr>
        <w:t>300</w:t>
      </w:r>
      <w:r>
        <w:rPr>
          <w:rFonts w:hint="eastAsia" w:hAnsi="宋体"/>
          <w:color w:val="000000" w:themeColor="text1"/>
          <w:sz w:val="24"/>
          <w:szCs w:val="24"/>
        </w:rPr>
        <w:t>号）规定的划分标准，本公司为</w:t>
      </w:r>
      <w:r>
        <w:rPr>
          <w:rFonts w:hAnsi="宋体"/>
          <w:color w:val="000000" w:themeColor="text1"/>
          <w:sz w:val="24"/>
          <w:szCs w:val="24"/>
        </w:rPr>
        <w:t>______</w:t>
      </w:r>
      <w:r>
        <w:rPr>
          <w:rFonts w:hint="eastAsia" w:hAnsi="宋体"/>
          <w:color w:val="000000" w:themeColor="text1"/>
          <w:sz w:val="24"/>
          <w:szCs w:val="24"/>
        </w:rPr>
        <w:t>（请填写：中型、小型、微型）企业。</w:t>
      </w:r>
    </w:p>
    <w:p>
      <w:pPr>
        <w:pStyle w:val="9"/>
        <w:spacing w:line="360" w:lineRule="auto"/>
        <w:ind w:firstLine="480" w:firstLineChars="200"/>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．本公司参加</w:t>
      </w:r>
      <w:r>
        <w:rPr>
          <w:rFonts w:hAnsi="宋体"/>
          <w:color w:val="000000" w:themeColor="text1"/>
          <w:sz w:val="24"/>
          <w:szCs w:val="24"/>
        </w:rPr>
        <w:t>______</w:t>
      </w:r>
      <w:r>
        <w:rPr>
          <w:rFonts w:hint="eastAsia" w:hAnsi="宋体"/>
          <w:color w:val="000000" w:themeColor="text1"/>
          <w:sz w:val="24"/>
          <w:szCs w:val="24"/>
        </w:rPr>
        <w:t>单位的</w:t>
      </w:r>
      <w:r>
        <w:rPr>
          <w:rFonts w:hAnsi="宋体"/>
          <w:color w:val="000000" w:themeColor="text1"/>
          <w:sz w:val="24"/>
          <w:szCs w:val="24"/>
        </w:rPr>
        <w:t>______</w:t>
      </w:r>
      <w:r>
        <w:rPr>
          <w:rFonts w:hint="eastAsia" w:hAnsi="宋体"/>
          <w:color w:val="000000" w:themeColor="text1"/>
          <w:sz w:val="24"/>
          <w:szCs w:val="24"/>
        </w:rPr>
        <w:t>项目采购活动提供本企业制造的货物，由本企业承担工程、提供服务，或者提供其他</w:t>
      </w:r>
      <w:r>
        <w:rPr>
          <w:rFonts w:hAnsi="宋体"/>
          <w:color w:val="000000" w:themeColor="text1"/>
          <w:sz w:val="24"/>
          <w:szCs w:val="24"/>
        </w:rPr>
        <w:t>______</w:t>
      </w:r>
      <w:r>
        <w:rPr>
          <w:rFonts w:hint="eastAsia" w:hAnsi="宋体"/>
          <w:color w:val="000000" w:themeColor="text1"/>
          <w:sz w:val="24"/>
          <w:szCs w:val="24"/>
        </w:rPr>
        <w:t>（请填写：中型、小型、微型）企业制造的货物。本条所称货物不包括使用大型企业注册商标的货物。</w:t>
      </w:r>
    </w:p>
    <w:p>
      <w:pPr>
        <w:pStyle w:val="9"/>
        <w:spacing w:line="360" w:lineRule="auto"/>
        <w:ind w:firstLine="480" w:firstLineChars="200"/>
        <w:rPr>
          <w:rFonts w:hAnsi="宋体"/>
          <w:color w:val="000000" w:themeColor="text1"/>
          <w:sz w:val="24"/>
          <w:szCs w:val="24"/>
        </w:rPr>
      </w:pPr>
      <w:r>
        <w:rPr>
          <w:rFonts w:hint="eastAsia" w:hAnsi="宋体"/>
          <w:color w:val="000000" w:themeColor="text1"/>
          <w:sz w:val="24"/>
          <w:szCs w:val="24"/>
        </w:rPr>
        <w:t>本公司对上述声明的真实性负责。如有虚假，将依法承担相应责任。</w:t>
      </w:r>
    </w:p>
    <w:p>
      <w:pPr>
        <w:pStyle w:val="9"/>
        <w:spacing w:line="360" w:lineRule="auto"/>
        <w:ind w:firstLine="480" w:firstLineChars="200"/>
        <w:rPr>
          <w:rFonts w:hAnsi="宋体"/>
          <w:color w:val="000000" w:themeColor="text1"/>
          <w:sz w:val="24"/>
          <w:szCs w:val="24"/>
        </w:rPr>
      </w:pPr>
    </w:p>
    <w:p>
      <w:pPr>
        <w:pStyle w:val="9"/>
        <w:spacing w:line="360" w:lineRule="auto"/>
        <w:ind w:firstLine="480" w:firstLineChars="200"/>
        <w:rPr>
          <w:rFonts w:hAnsi="宋体"/>
          <w:color w:val="000000" w:themeColor="text1"/>
          <w:sz w:val="24"/>
          <w:szCs w:val="24"/>
        </w:rPr>
      </w:pPr>
    </w:p>
    <w:p>
      <w:pPr>
        <w:pStyle w:val="9"/>
        <w:spacing w:line="360" w:lineRule="auto"/>
        <w:ind w:firstLine="480" w:firstLineChars="200"/>
        <w:rPr>
          <w:rFonts w:hAnsi="宋体"/>
          <w:color w:val="000000" w:themeColor="text1"/>
          <w:sz w:val="24"/>
          <w:szCs w:val="24"/>
        </w:rPr>
      </w:pPr>
    </w:p>
    <w:p>
      <w:pPr>
        <w:pStyle w:val="9"/>
        <w:spacing w:line="600" w:lineRule="exact"/>
        <w:ind w:firstLine="120" w:firstLineChars="50"/>
        <w:rPr>
          <w:rFonts w:hAnsi="宋体"/>
          <w:color w:val="000000" w:themeColor="text1"/>
          <w:sz w:val="24"/>
          <w:szCs w:val="24"/>
          <w:u w:val="single"/>
        </w:rPr>
      </w:pPr>
      <w:r>
        <w:rPr>
          <w:rFonts w:hint="eastAsia" w:hAnsi="宋体"/>
          <w:color w:val="000000" w:themeColor="text1"/>
          <w:sz w:val="24"/>
          <w:szCs w:val="24"/>
        </w:rPr>
        <w:t>磋商供应商（盖单位公章）：</w:t>
      </w:r>
    </w:p>
    <w:p>
      <w:pPr>
        <w:pStyle w:val="9"/>
        <w:spacing w:line="500" w:lineRule="exact"/>
        <w:rPr>
          <w:rFonts w:hAnsi="宋体"/>
          <w:color w:val="000000" w:themeColor="text1"/>
          <w:sz w:val="24"/>
          <w:szCs w:val="24"/>
        </w:rPr>
      </w:pPr>
    </w:p>
    <w:p>
      <w:pPr>
        <w:pStyle w:val="9"/>
        <w:spacing w:line="500" w:lineRule="exact"/>
        <w:ind w:firstLine="120" w:firstLineChars="50"/>
        <w:rPr>
          <w:rFonts w:hAnsi="宋体"/>
          <w:color w:val="000000" w:themeColor="text1"/>
          <w:sz w:val="24"/>
          <w:szCs w:val="24"/>
          <w:u w:val="single"/>
        </w:rPr>
      </w:pPr>
      <w:r>
        <w:rPr>
          <w:rFonts w:hint="eastAsia" w:hAnsi="宋体"/>
          <w:color w:val="000000" w:themeColor="text1"/>
          <w:sz w:val="24"/>
          <w:szCs w:val="24"/>
        </w:rPr>
        <w:t>法定代表人或其委托代理人（签字或盖章）：</w:t>
      </w:r>
    </w:p>
    <w:p>
      <w:pPr>
        <w:pStyle w:val="9"/>
        <w:spacing w:line="500" w:lineRule="exact"/>
        <w:rPr>
          <w:rFonts w:hAnsi="宋体"/>
          <w:b/>
          <w:color w:val="000000" w:themeColor="text1"/>
          <w:sz w:val="24"/>
          <w:szCs w:val="24"/>
        </w:rPr>
      </w:pPr>
      <w:r>
        <w:rPr>
          <w:rFonts w:hAnsi="宋体"/>
          <w:b/>
          <w:color w:val="000000" w:themeColor="text1"/>
          <w:sz w:val="24"/>
          <w:szCs w:val="24"/>
        </w:rPr>
        <w:br w:type="page"/>
      </w:r>
    </w:p>
    <w:p>
      <w:pPr>
        <w:spacing w:line="588" w:lineRule="exact"/>
        <w:jc w:val="left"/>
        <w:outlineLvl w:val="1"/>
        <w:rPr>
          <w:rFonts w:hAnsi="宋体"/>
          <w:color w:val="000000" w:themeColor="text1"/>
          <w:sz w:val="24"/>
        </w:rPr>
      </w:pPr>
      <w:bookmarkStart w:id="107" w:name="_Toc23497"/>
      <w:bookmarkStart w:id="108" w:name="_Toc23384"/>
      <w:bookmarkStart w:id="109" w:name="_Toc28677"/>
      <w:bookmarkStart w:id="110" w:name="_Toc20803"/>
      <w:r>
        <w:rPr>
          <w:rFonts w:hint="eastAsia" w:ascii="宋体" w:hAnsi="宋体"/>
          <w:b/>
          <w:color w:val="000000" w:themeColor="text1"/>
          <w:szCs w:val="20"/>
        </w:rPr>
        <w:t>格式</w:t>
      </w:r>
      <w:r>
        <w:rPr>
          <w:rFonts w:ascii="宋体" w:hAnsi="宋体"/>
          <w:b/>
          <w:color w:val="000000" w:themeColor="text1"/>
          <w:szCs w:val="20"/>
        </w:rPr>
        <w:t>4</w:t>
      </w:r>
      <w:r>
        <w:rPr>
          <w:rFonts w:hint="eastAsia" w:ascii="宋体" w:hAnsi="宋体"/>
          <w:b/>
          <w:color w:val="000000" w:themeColor="text1"/>
          <w:szCs w:val="20"/>
        </w:rPr>
        <w:t>：</w:t>
      </w:r>
      <w:bookmarkEnd w:id="107"/>
      <w:bookmarkEnd w:id="108"/>
      <w:bookmarkEnd w:id="109"/>
      <w:bookmarkEnd w:id="110"/>
    </w:p>
    <w:p>
      <w:pPr>
        <w:spacing w:line="588" w:lineRule="exact"/>
        <w:jc w:val="center"/>
        <w:outlineLvl w:val="2"/>
        <w:rPr>
          <w:rFonts w:ascii="宋体"/>
          <w:b/>
          <w:color w:val="000000" w:themeColor="text1"/>
          <w:spacing w:val="6"/>
          <w:sz w:val="32"/>
          <w:szCs w:val="32"/>
        </w:rPr>
      </w:pPr>
      <w:r>
        <w:rPr>
          <w:rFonts w:hint="eastAsia" w:ascii="宋体" w:hAnsi="宋体"/>
          <w:b/>
          <w:color w:val="000000" w:themeColor="text1"/>
          <w:spacing w:val="6"/>
          <w:sz w:val="32"/>
          <w:szCs w:val="32"/>
        </w:rPr>
        <w:t>残疾人福利性单位声明函</w:t>
      </w:r>
    </w:p>
    <w:p>
      <w:pPr>
        <w:spacing w:line="588" w:lineRule="exact"/>
        <w:rPr>
          <w:rFonts w:ascii="宋体"/>
          <w:b/>
          <w:color w:val="000000" w:themeColor="text1"/>
          <w:spacing w:val="6"/>
          <w:sz w:val="30"/>
          <w:szCs w:val="30"/>
        </w:rPr>
      </w:pPr>
    </w:p>
    <w:p>
      <w:pPr>
        <w:pStyle w:val="9"/>
        <w:spacing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本单位郑重声明，根据《财政部</w:t>
      </w: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民政部</w:t>
      </w: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中国残疾人联合会关于促进残疾人就业政府采购政策的通知》（财库〔</w:t>
      </w:r>
      <w:r>
        <w:rPr>
          <w:rFonts w:ascii="Times New Roman" w:hAnsi="Times New Roman"/>
          <w:color w:val="000000" w:themeColor="text1"/>
          <w:sz w:val="24"/>
          <w:szCs w:val="24"/>
        </w:rPr>
        <w:t>2017</w:t>
      </w:r>
      <w:r>
        <w:rPr>
          <w:rFonts w:hint="eastAsia" w:ascii="Times New Roman" w:hAnsi="Times New Roman"/>
          <w:color w:val="000000" w:themeColor="text1"/>
          <w:sz w:val="24"/>
          <w:szCs w:val="24"/>
        </w:rPr>
        <w:t>〕</w:t>
      </w:r>
      <w:r>
        <w:rPr>
          <w:rFonts w:ascii="Times New Roman" w:hAnsi="Times New Roman"/>
          <w:color w:val="000000" w:themeColor="text1"/>
          <w:sz w:val="24"/>
          <w:szCs w:val="24"/>
        </w:rPr>
        <w:t xml:space="preserve"> 141</w:t>
      </w:r>
      <w:r>
        <w:rPr>
          <w:rFonts w:hint="eastAsia" w:ascii="Times New Roman" w:hAnsi="Times New Roman"/>
          <w:color w:val="000000" w:themeColor="text1"/>
          <w:sz w:val="24"/>
          <w:szCs w:val="24"/>
        </w:rPr>
        <w:t>号）的规定，本单位为符合条件的残疾人福利性单位，且本单位参加</w:t>
      </w:r>
      <w:r>
        <w:rPr>
          <w:rFonts w:ascii="Times New Roman" w:hAnsi="Times New Roman"/>
          <w:color w:val="000000" w:themeColor="text1"/>
          <w:sz w:val="24"/>
          <w:szCs w:val="24"/>
        </w:rPr>
        <w:t>______</w:t>
      </w:r>
      <w:r>
        <w:rPr>
          <w:rFonts w:hint="eastAsia" w:ascii="Times New Roman" w:hAnsi="Times New Roman"/>
          <w:color w:val="000000" w:themeColor="text1"/>
          <w:sz w:val="24"/>
          <w:szCs w:val="24"/>
        </w:rPr>
        <w:t>单位的</w:t>
      </w:r>
      <w:r>
        <w:rPr>
          <w:rFonts w:ascii="Times New Roman" w:hAnsi="Times New Roman"/>
          <w:color w:val="000000" w:themeColor="text1"/>
          <w:sz w:val="24"/>
          <w:szCs w:val="24"/>
        </w:rPr>
        <w:t>______</w:t>
      </w:r>
      <w:r>
        <w:rPr>
          <w:rFonts w:hint="eastAsia" w:ascii="Times New Roman" w:hAnsi="Times New Roman"/>
          <w:color w:val="000000" w:themeColor="text1"/>
          <w:sz w:val="24"/>
          <w:szCs w:val="24"/>
        </w:rPr>
        <w:t>项目采购活动提供本单位制造的货物（由本单位承担工程</w:t>
      </w:r>
      <w:r>
        <w:rPr>
          <w:rFonts w:ascii="Times New Roman" w:hAnsi="Times New Roman"/>
          <w:color w:val="000000" w:themeColor="text1"/>
          <w:sz w:val="24"/>
          <w:szCs w:val="24"/>
        </w:rPr>
        <w:t>/</w:t>
      </w:r>
      <w:r>
        <w:rPr>
          <w:rFonts w:hint="eastAsia" w:ascii="Times New Roman" w:hAnsi="Times New Roman"/>
          <w:color w:val="000000" w:themeColor="text1"/>
          <w:sz w:val="24"/>
          <w:szCs w:val="24"/>
        </w:rPr>
        <w:t>提供服务），或者提供其他残疾人福利性单位制造的货物（不包括使用非残疾人福利性单位注册商标的货物）。</w:t>
      </w:r>
    </w:p>
    <w:p>
      <w:pPr>
        <w:pStyle w:val="9"/>
        <w:spacing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本单位对上述声明的真实性负责。如有虚假，将依法承担相应责任。</w:t>
      </w:r>
    </w:p>
    <w:p>
      <w:pPr>
        <w:pStyle w:val="9"/>
        <w:spacing w:line="360" w:lineRule="auto"/>
        <w:ind w:firstLine="480" w:firstLineChars="200"/>
        <w:rPr>
          <w:rFonts w:ascii="Times New Roman" w:hAnsi="Times New Roman"/>
          <w:color w:val="000000" w:themeColor="text1"/>
          <w:sz w:val="24"/>
          <w:szCs w:val="24"/>
        </w:rPr>
      </w:pPr>
    </w:p>
    <w:p>
      <w:pPr>
        <w:pStyle w:val="9"/>
        <w:spacing w:line="360" w:lineRule="auto"/>
        <w:ind w:firstLine="480" w:firstLineChars="200"/>
        <w:rPr>
          <w:rFonts w:ascii="Times New Roman" w:hAnsi="Times New Roman"/>
          <w:color w:val="000000" w:themeColor="text1"/>
          <w:sz w:val="24"/>
          <w:szCs w:val="24"/>
        </w:rPr>
      </w:pPr>
    </w:p>
    <w:p>
      <w:pPr>
        <w:pStyle w:val="9"/>
        <w:spacing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单位名称（盖章）：</w:t>
      </w:r>
    </w:p>
    <w:p>
      <w:pPr>
        <w:pStyle w:val="9"/>
        <w:spacing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日</w:t>
      </w: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期：</w:t>
      </w:r>
    </w:p>
    <w:p>
      <w:pPr>
        <w:pStyle w:val="9"/>
        <w:spacing w:line="500" w:lineRule="exact"/>
        <w:outlineLvl w:val="1"/>
        <w:rPr>
          <w:rFonts w:hAnsi="宋体"/>
          <w:b/>
          <w:color w:val="000000" w:themeColor="text1"/>
        </w:rPr>
      </w:pPr>
      <w:r>
        <w:rPr>
          <w:rFonts w:hAnsi="宋体"/>
          <w:b/>
          <w:color w:val="000000" w:themeColor="text1"/>
          <w:sz w:val="24"/>
          <w:szCs w:val="24"/>
        </w:rPr>
        <w:br w:type="page"/>
      </w:r>
      <w:bookmarkStart w:id="111" w:name="_Toc6160"/>
      <w:bookmarkStart w:id="112" w:name="_Toc8025"/>
      <w:bookmarkStart w:id="113" w:name="_Toc23094"/>
      <w:bookmarkStart w:id="114" w:name="_Toc2076"/>
      <w:r>
        <w:rPr>
          <w:rFonts w:hint="eastAsia" w:hAnsi="宋体"/>
          <w:b/>
          <w:color w:val="000000" w:themeColor="text1"/>
        </w:rPr>
        <w:t>格式</w:t>
      </w:r>
      <w:r>
        <w:rPr>
          <w:rFonts w:hAnsi="宋体"/>
          <w:b/>
          <w:color w:val="000000" w:themeColor="text1"/>
        </w:rPr>
        <w:t>5</w:t>
      </w:r>
      <w:r>
        <w:rPr>
          <w:rFonts w:hint="eastAsia" w:hAnsi="宋体"/>
          <w:b/>
          <w:color w:val="000000" w:themeColor="text1"/>
        </w:rPr>
        <w:t>：</w:t>
      </w:r>
      <w:bookmarkEnd w:id="111"/>
      <w:bookmarkEnd w:id="112"/>
      <w:bookmarkEnd w:id="113"/>
      <w:bookmarkEnd w:id="114"/>
    </w:p>
    <w:p>
      <w:pPr>
        <w:pStyle w:val="9"/>
        <w:spacing w:line="500" w:lineRule="exact"/>
        <w:jc w:val="center"/>
        <w:outlineLvl w:val="2"/>
        <w:rPr>
          <w:rFonts w:hAnsi="宋体"/>
          <w:b/>
          <w:bCs/>
          <w:color w:val="000000" w:themeColor="text1"/>
          <w:sz w:val="30"/>
          <w:szCs w:val="30"/>
        </w:rPr>
      </w:pPr>
      <w:r>
        <w:rPr>
          <w:rFonts w:hint="eastAsia" w:hAnsi="宋体"/>
          <w:b/>
          <w:bCs/>
          <w:color w:val="000000" w:themeColor="text1"/>
          <w:sz w:val="30"/>
          <w:szCs w:val="30"/>
        </w:rPr>
        <w:t>响应服务技术资料表（格式）</w:t>
      </w:r>
    </w:p>
    <w:p>
      <w:pPr>
        <w:pStyle w:val="9"/>
        <w:ind w:firstLine="210" w:firstLineChars="100"/>
        <w:rPr>
          <w:rFonts w:hAnsi="宋体"/>
          <w:color w:val="000000" w:themeColor="text1"/>
        </w:rPr>
      </w:pPr>
    </w:p>
    <w:p>
      <w:pPr>
        <w:pStyle w:val="9"/>
        <w:spacing w:line="400" w:lineRule="exact"/>
        <w:ind w:firstLine="480" w:firstLineChars="200"/>
        <w:rPr>
          <w:rFonts w:hAnsi="宋体"/>
          <w:color w:val="000000" w:themeColor="text1"/>
          <w:sz w:val="24"/>
          <w:szCs w:val="24"/>
        </w:rPr>
      </w:pPr>
      <w:r>
        <w:rPr>
          <w:rFonts w:hAnsi="宋体"/>
          <w:color w:val="000000" w:themeColor="text1"/>
          <w:sz w:val="24"/>
          <w:szCs w:val="24"/>
        </w:rPr>
        <w:t>请根据所投服务的实际技术参数，逐条对应本项目</w:t>
      </w:r>
      <w:r>
        <w:rPr>
          <w:rFonts w:hint="eastAsia" w:hAnsi="宋体"/>
          <w:color w:val="000000" w:themeColor="text1"/>
          <w:sz w:val="24"/>
          <w:szCs w:val="24"/>
        </w:rPr>
        <w:t>竞争性磋商</w:t>
      </w:r>
      <w:r>
        <w:rPr>
          <w:rFonts w:hAnsi="宋体"/>
          <w:color w:val="000000" w:themeColor="text1"/>
          <w:sz w:val="24"/>
          <w:szCs w:val="24"/>
        </w:rPr>
        <w:t>文件第二章“服务需求一览表”中的服务内容及要求详细填写相应的具体内容。“偏离说明”一栏应当选择“正偏离”、“负偏离”或“无偏离”进行填写</w:t>
      </w:r>
      <w:r>
        <w:rPr>
          <w:rFonts w:hint="eastAsia" w:hAnsi="宋体"/>
          <w:color w:val="000000" w:themeColor="text1"/>
          <w:sz w:val="24"/>
          <w:szCs w:val="24"/>
        </w:rPr>
        <w:t>。</w:t>
      </w:r>
    </w:p>
    <w:p>
      <w:pPr>
        <w:jc w:val="left"/>
        <w:rPr>
          <w:rFonts w:ascii="宋体" w:hAnsi="宋体"/>
          <w:color w:val="000000" w:themeColor="text1"/>
          <w:sz w:val="24"/>
        </w:rPr>
      </w:pPr>
    </w:p>
    <w:tbl>
      <w:tblPr>
        <w:tblStyle w:val="1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57"/>
        <w:gridCol w:w="2125"/>
        <w:gridCol w:w="1340"/>
        <w:gridCol w:w="276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35" w:type="dxa"/>
            <w:vMerge w:val="restart"/>
            <w:vAlign w:val="center"/>
          </w:tcPr>
          <w:p>
            <w:pPr>
              <w:jc w:val="center"/>
              <w:rPr>
                <w:rFonts w:ascii="宋体" w:hAnsi="宋体"/>
                <w:color w:val="000000" w:themeColor="text1"/>
                <w:sz w:val="24"/>
              </w:rPr>
            </w:pPr>
            <w:r>
              <w:rPr>
                <w:rFonts w:ascii="宋体" w:hAnsi="宋体"/>
                <w:color w:val="000000" w:themeColor="text1"/>
                <w:sz w:val="24"/>
              </w:rPr>
              <w:t>项</w:t>
            </w:r>
            <w:r>
              <w:rPr>
                <w:rFonts w:hint="eastAsia" w:ascii="宋体" w:hAnsi="宋体"/>
                <w:color w:val="000000" w:themeColor="text1"/>
                <w:sz w:val="24"/>
              </w:rPr>
              <w:t>号</w:t>
            </w:r>
          </w:p>
        </w:tc>
        <w:tc>
          <w:tcPr>
            <w:tcW w:w="3382" w:type="dxa"/>
            <w:gridSpan w:val="2"/>
            <w:vAlign w:val="center"/>
          </w:tcPr>
          <w:p>
            <w:pPr>
              <w:jc w:val="center"/>
              <w:rPr>
                <w:rFonts w:ascii="宋体"/>
                <w:color w:val="000000" w:themeColor="text1"/>
                <w:sz w:val="24"/>
              </w:rPr>
            </w:pPr>
            <w:r>
              <w:rPr>
                <w:rFonts w:hint="eastAsia" w:ascii="宋体" w:hAnsi="宋体"/>
                <w:color w:val="000000" w:themeColor="text1"/>
                <w:sz w:val="24"/>
              </w:rPr>
              <w:t>竞争性磋商文件需求</w:t>
            </w:r>
          </w:p>
        </w:tc>
        <w:tc>
          <w:tcPr>
            <w:tcW w:w="4105" w:type="dxa"/>
            <w:gridSpan w:val="2"/>
            <w:vAlign w:val="center"/>
          </w:tcPr>
          <w:p>
            <w:pPr>
              <w:jc w:val="center"/>
              <w:rPr>
                <w:rFonts w:ascii="宋体"/>
                <w:color w:val="000000" w:themeColor="text1"/>
                <w:sz w:val="24"/>
              </w:rPr>
            </w:pPr>
            <w:r>
              <w:rPr>
                <w:rFonts w:hint="eastAsia" w:ascii="宋体" w:hAnsi="宋体"/>
                <w:color w:val="000000" w:themeColor="text1"/>
                <w:sz w:val="24"/>
              </w:rPr>
              <w:t>响应文件承诺</w:t>
            </w:r>
          </w:p>
        </w:tc>
        <w:tc>
          <w:tcPr>
            <w:tcW w:w="1417" w:type="dxa"/>
            <w:vMerge w:val="restart"/>
            <w:vAlign w:val="center"/>
          </w:tcPr>
          <w:p>
            <w:pPr>
              <w:jc w:val="center"/>
              <w:rPr>
                <w:rFonts w:ascii="宋体"/>
                <w:color w:val="000000" w:themeColor="text1"/>
                <w:sz w:val="24"/>
              </w:rPr>
            </w:pPr>
            <w:r>
              <w:rPr>
                <w:rFonts w:hint="eastAsia" w:ascii="宋体" w:hAnsi="宋体"/>
                <w:color w:val="000000" w:themeColor="text1"/>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vMerge w:val="continue"/>
            <w:vAlign w:val="center"/>
          </w:tcPr>
          <w:p>
            <w:pPr>
              <w:pStyle w:val="9"/>
              <w:jc w:val="center"/>
              <w:rPr>
                <w:rFonts w:hAnsi="宋体"/>
                <w:color w:val="000000" w:themeColor="text1"/>
                <w:spacing w:val="-20"/>
                <w:sz w:val="24"/>
                <w:szCs w:val="24"/>
              </w:rPr>
            </w:pPr>
          </w:p>
        </w:tc>
        <w:tc>
          <w:tcPr>
            <w:tcW w:w="1257" w:type="dxa"/>
            <w:vAlign w:val="center"/>
          </w:tcPr>
          <w:p>
            <w:pPr>
              <w:jc w:val="center"/>
              <w:rPr>
                <w:rFonts w:ascii="宋体"/>
                <w:color w:val="000000" w:themeColor="text1"/>
                <w:sz w:val="24"/>
              </w:rPr>
            </w:pPr>
            <w:r>
              <w:rPr>
                <w:rFonts w:hint="eastAsia" w:ascii="宋体" w:hAnsi="宋体"/>
                <w:color w:val="000000" w:themeColor="text1"/>
                <w:sz w:val="24"/>
              </w:rPr>
              <w:t>服务名称</w:t>
            </w:r>
          </w:p>
        </w:tc>
        <w:tc>
          <w:tcPr>
            <w:tcW w:w="2125" w:type="dxa"/>
            <w:vAlign w:val="center"/>
          </w:tcPr>
          <w:p>
            <w:pPr>
              <w:jc w:val="center"/>
              <w:rPr>
                <w:rFonts w:ascii="宋体"/>
                <w:color w:val="000000" w:themeColor="text1"/>
                <w:sz w:val="24"/>
              </w:rPr>
            </w:pPr>
            <w:r>
              <w:rPr>
                <w:rFonts w:hint="eastAsia" w:ascii="宋体" w:hAnsi="宋体"/>
                <w:color w:val="000000" w:themeColor="text1"/>
                <w:sz w:val="24"/>
              </w:rPr>
              <w:t>服务内容及要求</w:t>
            </w:r>
          </w:p>
        </w:tc>
        <w:tc>
          <w:tcPr>
            <w:tcW w:w="1340" w:type="dxa"/>
            <w:vAlign w:val="center"/>
          </w:tcPr>
          <w:p>
            <w:pPr>
              <w:jc w:val="center"/>
              <w:rPr>
                <w:rFonts w:ascii="宋体"/>
                <w:color w:val="000000" w:themeColor="text1"/>
                <w:sz w:val="24"/>
              </w:rPr>
            </w:pPr>
            <w:r>
              <w:rPr>
                <w:rFonts w:hint="eastAsia" w:ascii="宋体" w:hAnsi="宋体"/>
                <w:color w:val="000000" w:themeColor="text1"/>
                <w:sz w:val="24"/>
              </w:rPr>
              <w:t>服务名称</w:t>
            </w:r>
          </w:p>
        </w:tc>
        <w:tc>
          <w:tcPr>
            <w:tcW w:w="2765" w:type="dxa"/>
            <w:vAlign w:val="center"/>
          </w:tcPr>
          <w:p>
            <w:pPr>
              <w:jc w:val="center"/>
              <w:rPr>
                <w:rFonts w:ascii="宋体"/>
                <w:color w:val="000000" w:themeColor="text1"/>
                <w:sz w:val="24"/>
              </w:rPr>
            </w:pPr>
            <w:r>
              <w:rPr>
                <w:rFonts w:hint="eastAsia" w:ascii="宋体" w:hAnsi="宋体"/>
                <w:color w:val="000000" w:themeColor="text1"/>
                <w:sz w:val="24"/>
              </w:rPr>
              <w:t>所提供服务的内容</w:t>
            </w:r>
          </w:p>
        </w:tc>
        <w:tc>
          <w:tcPr>
            <w:tcW w:w="1417" w:type="dxa"/>
            <w:vMerge w:val="continue"/>
            <w:vAlign w:val="center"/>
          </w:tcPr>
          <w:p>
            <w:pPr>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9"/>
              <w:jc w:val="center"/>
              <w:rPr>
                <w:rFonts w:hAnsi="宋体"/>
                <w:color w:val="000000" w:themeColor="text1"/>
                <w:spacing w:val="-20"/>
                <w:sz w:val="24"/>
                <w:szCs w:val="24"/>
              </w:rPr>
            </w:pPr>
            <w:r>
              <w:rPr>
                <w:rFonts w:hAnsi="宋体"/>
                <w:color w:val="000000" w:themeColor="text1"/>
                <w:spacing w:val="-20"/>
                <w:sz w:val="24"/>
                <w:szCs w:val="24"/>
              </w:rPr>
              <w:t>1</w:t>
            </w:r>
          </w:p>
        </w:tc>
        <w:tc>
          <w:tcPr>
            <w:tcW w:w="1257" w:type="dxa"/>
            <w:vAlign w:val="center"/>
          </w:tcPr>
          <w:p>
            <w:pPr>
              <w:pStyle w:val="9"/>
              <w:spacing w:line="600" w:lineRule="exact"/>
              <w:jc w:val="center"/>
              <w:rPr>
                <w:rFonts w:hAnsi="宋体"/>
                <w:color w:val="000000" w:themeColor="text1"/>
                <w:sz w:val="24"/>
                <w:szCs w:val="24"/>
              </w:rPr>
            </w:pPr>
          </w:p>
        </w:tc>
        <w:tc>
          <w:tcPr>
            <w:tcW w:w="2125" w:type="dxa"/>
            <w:vAlign w:val="center"/>
          </w:tcPr>
          <w:p>
            <w:pPr>
              <w:pStyle w:val="9"/>
              <w:spacing w:line="600" w:lineRule="exact"/>
              <w:jc w:val="center"/>
              <w:rPr>
                <w:rFonts w:hAnsi="宋体"/>
                <w:color w:val="000000" w:themeColor="text1"/>
                <w:sz w:val="24"/>
                <w:szCs w:val="24"/>
              </w:rPr>
            </w:pPr>
          </w:p>
        </w:tc>
        <w:tc>
          <w:tcPr>
            <w:tcW w:w="1340" w:type="dxa"/>
            <w:vAlign w:val="center"/>
          </w:tcPr>
          <w:p>
            <w:pPr>
              <w:pStyle w:val="9"/>
              <w:spacing w:line="600" w:lineRule="exact"/>
              <w:jc w:val="center"/>
              <w:rPr>
                <w:rFonts w:hAnsi="宋体"/>
                <w:color w:val="000000" w:themeColor="text1"/>
                <w:sz w:val="24"/>
                <w:szCs w:val="24"/>
              </w:rPr>
            </w:pPr>
          </w:p>
        </w:tc>
        <w:tc>
          <w:tcPr>
            <w:tcW w:w="2765" w:type="dxa"/>
            <w:vAlign w:val="center"/>
          </w:tcPr>
          <w:p>
            <w:pPr>
              <w:pStyle w:val="9"/>
              <w:spacing w:line="600" w:lineRule="exact"/>
              <w:jc w:val="center"/>
              <w:rPr>
                <w:rFonts w:hAnsi="宋体"/>
                <w:color w:val="000000" w:themeColor="text1"/>
                <w:sz w:val="24"/>
                <w:szCs w:val="24"/>
              </w:rPr>
            </w:pPr>
          </w:p>
        </w:tc>
        <w:tc>
          <w:tcPr>
            <w:tcW w:w="1417" w:type="dxa"/>
            <w:vAlign w:val="center"/>
          </w:tcPr>
          <w:p>
            <w:pPr>
              <w:rPr>
                <w:rFonts w:ascii="宋体" w:hAnsi="宋体"/>
                <w:color w:val="000000" w:themeColor="text1"/>
                <w:sz w:val="24"/>
              </w:rPr>
            </w:pPr>
            <w:r>
              <w:rPr>
                <w:rFonts w:ascii="宋体" w:hAnsi="宋体"/>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9"/>
              <w:jc w:val="center"/>
              <w:rPr>
                <w:rFonts w:hAnsi="宋体"/>
                <w:color w:val="000000" w:themeColor="text1"/>
                <w:spacing w:val="-20"/>
                <w:sz w:val="24"/>
                <w:szCs w:val="24"/>
              </w:rPr>
            </w:pPr>
            <w:r>
              <w:rPr>
                <w:rFonts w:hAnsi="宋体"/>
                <w:color w:val="000000" w:themeColor="text1"/>
                <w:spacing w:val="-20"/>
                <w:sz w:val="24"/>
                <w:szCs w:val="24"/>
              </w:rPr>
              <w:t>2</w:t>
            </w:r>
          </w:p>
        </w:tc>
        <w:tc>
          <w:tcPr>
            <w:tcW w:w="1257" w:type="dxa"/>
            <w:vAlign w:val="center"/>
          </w:tcPr>
          <w:p>
            <w:pPr>
              <w:pStyle w:val="9"/>
              <w:spacing w:line="600" w:lineRule="exact"/>
              <w:jc w:val="center"/>
              <w:rPr>
                <w:rFonts w:hAnsi="宋体"/>
                <w:color w:val="000000" w:themeColor="text1"/>
                <w:sz w:val="24"/>
                <w:szCs w:val="24"/>
              </w:rPr>
            </w:pPr>
          </w:p>
        </w:tc>
        <w:tc>
          <w:tcPr>
            <w:tcW w:w="2125" w:type="dxa"/>
            <w:vAlign w:val="center"/>
          </w:tcPr>
          <w:p>
            <w:pPr>
              <w:pStyle w:val="9"/>
              <w:spacing w:line="600" w:lineRule="exact"/>
              <w:jc w:val="center"/>
              <w:rPr>
                <w:rFonts w:hAnsi="宋体"/>
                <w:color w:val="000000" w:themeColor="text1"/>
                <w:sz w:val="24"/>
                <w:szCs w:val="24"/>
              </w:rPr>
            </w:pPr>
          </w:p>
        </w:tc>
        <w:tc>
          <w:tcPr>
            <w:tcW w:w="1340" w:type="dxa"/>
            <w:vAlign w:val="center"/>
          </w:tcPr>
          <w:p>
            <w:pPr>
              <w:pStyle w:val="9"/>
              <w:spacing w:line="600" w:lineRule="exact"/>
              <w:jc w:val="center"/>
              <w:rPr>
                <w:rFonts w:hAnsi="宋体"/>
                <w:color w:val="000000" w:themeColor="text1"/>
                <w:sz w:val="24"/>
                <w:szCs w:val="24"/>
              </w:rPr>
            </w:pPr>
          </w:p>
        </w:tc>
        <w:tc>
          <w:tcPr>
            <w:tcW w:w="2765" w:type="dxa"/>
            <w:vAlign w:val="center"/>
          </w:tcPr>
          <w:p>
            <w:pPr>
              <w:pStyle w:val="9"/>
              <w:spacing w:line="600" w:lineRule="exact"/>
              <w:jc w:val="center"/>
              <w:rPr>
                <w:rFonts w:hAnsi="宋体"/>
                <w:color w:val="000000" w:themeColor="text1"/>
                <w:sz w:val="24"/>
                <w:szCs w:val="24"/>
              </w:rPr>
            </w:pPr>
          </w:p>
        </w:tc>
        <w:tc>
          <w:tcPr>
            <w:tcW w:w="1417" w:type="dxa"/>
            <w:vAlign w:val="center"/>
          </w:tcPr>
          <w:p>
            <w:pPr>
              <w:rPr>
                <w:rFonts w:ascii="宋体" w:hAnsi="宋体"/>
                <w:color w:val="000000" w:themeColor="text1"/>
                <w:sz w:val="24"/>
              </w:rPr>
            </w:pPr>
            <w:r>
              <w:rPr>
                <w:rFonts w:ascii="宋体" w:hAnsi="宋体"/>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9"/>
              <w:jc w:val="center"/>
              <w:rPr>
                <w:rFonts w:hAnsi="宋体"/>
                <w:color w:val="000000" w:themeColor="text1"/>
                <w:spacing w:val="-20"/>
                <w:sz w:val="24"/>
                <w:szCs w:val="24"/>
              </w:rPr>
            </w:pPr>
            <w:r>
              <w:rPr>
                <w:rFonts w:hAnsi="宋体"/>
                <w:color w:val="000000" w:themeColor="text1"/>
                <w:spacing w:val="-20"/>
                <w:sz w:val="24"/>
                <w:szCs w:val="24"/>
              </w:rPr>
              <w:t>...</w:t>
            </w:r>
          </w:p>
        </w:tc>
        <w:tc>
          <w:tcPr>
            <w:tcW w:w="1257" w:type="dxa"/>
            <w:vAlign w:val="center"/>
          </w:tcPr>
          <w:p>
            <w:pPr>
              <w:pStyle w:val="9"/>
              <w:spacing w:line="600" w:lineRule="exact"/>
              <w:jc w:val="center"/>
              <w:rPr>
                <w:rFonts w:hAnsi="宋体"/>
                <w:color w:val="000000" w:themeColor="text1"/>
                <w:sz w:val="24"/>
                <w:szCs w:val="24"/>
              </w:rPr>
            </w:pPr>
          </w:p>
        </w:tc>
        <w:tc>
          <w:tcPr>
            <w:tcW w:w="2125" w:type="dxa"/>
            <w:vAlign w:val="center"/>
          </w:tcPr>
          <w:p>
            <w:pPr>
              <w:pStyle w:val="9"/>
              <w:spacing w:line="600" w:lineRule="exact"/>
              <w:jc w:val="center"/>
              <w:rPr>
                <w:rFonts w:hAnsi="宋体"/>
                <w:color w:val="000000" w:themeColor="text1"/>
                <w:sz w:val="24"/>
                <w:szCs w:val="24"/>
              </w:rPr>
            </w:pPr>
          </w:p>
        </w:tc>
        <w:tc>
          <w:tcPr>
            <w:tcW w:w="1340" w:type="dxa"/>
            <w:vAlign w:val="center"/>
          </w:tcPr>
          <w:p>
            <w:pPr>
              <w:pStyle w:val="9"/>
              <w:spacing w:line="600" w:lineRule="exact"/>
              <w:jc w:val="center"/>
              <w:rPr>
                <w:rFonts w:hAnsi="宋体"/>
                <w:color w:val="000000" w:themeColor="text1"/>
                <w:sz w:val="24"/>
                <w:szCs w:val="24"/>
              </w:rPr>
            </w:pPr>
          </w:p>
        </w:tc>
        <w:tc>
          <w:tcPr>
            <w:tcW w:w="2765" w:type="dxa"/>
            <w:vAlign w:val="center"/>
          </w:tcPr>
          <w:p>
            <w:pPr>
              <w:pStyle w:val="9"/>
              <w:spacing w:line="600" w:lineRule="exact"/>
              <w:jc w:val="center"/>
              <w:rPr>
                <w:rFonts w:hAnsi="宋体"/>
                <w:color w:val="000000" w:themeColor="text1"/>
                <w:sz w:val="24"/>
                <w:szCs w:val="24"/>
              </w:rPr>
            </w:pPr>
          </w:p>
        </w:tc>
        <w:tc>
          <w:tcPr>
            <w:tcW w:w="1417" w:type="dxa"/>
            <w:vAlign w:val="center"/>
          </w:tcPr>
          <w:p>
            <w:pPr>
              <w:pStyle w:val="9"/>
              <w:spacing w:line="600" w:lineRule="exact"/>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39" w:type="dxa"/>
            <w:gridSpan w:val="6"/>
            <w:vAlign w:val="center"/>
          </w:tcPr>
          <w:p>
            <w:pPr>
              <w:pStyle w:val="9"/>
              <w:spacing w:line="600" w:lineRule="exact"/>
              <w:rPr>
                <w:rFonts w:hAnsi="宋体"/>
                <w:color w:val="000000" w:themeColor="text1"/>
                <w:sz w:val="24"/>
                <w:szCs w:val="24"/>
                <w:u w:val="single"/>
              </w:rPr>
            </w:pPr>
            <w:r>
              <w:rPr>
                <w:rFonts w:hint="eastAsia" w:hAnsi="宋体"/>
                <w:color w:val="000000" w:themeColor="text1"/>
                <w:sz w:val="24"/>
                <w:szCs w:val="24"/>
              </w:rPr>
              <w:t>磋商供应商（盖单位公章）：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39" w:type="dxa"/>
            <w:gridSpan w:val="6"/>
            <w:vAlign w:val="center"/>
          </w:tcPr>
          <w:p>
            <w:pPr>
              <w:pStyle w:val="9"/>
              <w:spacing w:line="600" w:lineRule="exact"/>
              <w:jc w:val="left"/>
              <w:rPr>
                <w:rFonts w:hAnsi="宋体"/>
                <w:color w:val="000000" w:themeColor="text1"/>
                <w:sz w:val="24"/>
                <w:szCs w:val="24"/>
                <w:u w:val="single"/>
              </w:rPr>
            </w:pPr>
            <w:r>
              <w:rPr>
                <w:rFonts w:hint="eastAsia" w:hAnsi="宋体"/>
                <w:color w:val="000000" w:themeColor="text1"/>
                <w:sz w:val="24"/>
                <w:szCs w:val="24"/>
              </w:rPr>
              <w:t>法定代表人或其委托代理人（签字或盖章）：</w:t>
            </w:r>
          </w:p>
        </w:tc>
      </w:tr>
    </w:tbl>
    <w:p>
      <w:pPr>
        <w:pStyle w:val="9"/>
        <w:rPr>
          <w:rFonts w:hAnsi="宋体"/>
          <w:color w:val="000000" w:themeColor="text1"/>
          <w:sz w:val="24"/>
          <w:szCs w:val="24"/>
        </w:rPr>
      </w:pPr>
    </w:p>
    <w:p>
      <w:pPr>
        <w:pStyle w:val="9"/>
        <w:rPr>
          <w:rFonts w:hAnsi="宋体"/>
          <w:color w:val="000000" w:themeColor="text1"/>
          <w:sz w:val="24"/>
          <w:szCs w:val="24"/>
        </w:rPr>
      </w:pPr>
      <w:r>
        <w:rPr>
          <w:rFonts w:hAnsi="宋体"/>
          <w:color w:val="000000" w:themeColor="text1"/>
          <w:sz w:val="24"/>
          <w:szCs w:val="24"/>
        </w:rPr>
        <w:t>......</w:t>
      </w:r>
    </w:p>
    <w:p>
      <w:pPr>
        <w:pStyle w:val="9"/>
        <w:rPr>
          <w:rFonts w:hAnsi="宋体"/>
          <w:color w:val="000000" w:themeColor="text1"/>
          <w:sz w:val="24"/>
          <w:szCs w:val="24"/>
        </w:rPr>
      </w:pPr>
    </w:p>
    <w:p>
      <w:pPr>
        <w:pStyle w:val="9"/>
        <w:spacing w:line="360" w:lineRule="auto"/>
        <w:rPr>
          <w:rFonts w:hAnsi="宋体"/>
          <w:color w:val="000000" w:themeColor="text1"/>
          <w:sz w:val="24"/>
          <w:szCs w:val="24"/>
        </w:rPr>
      </w:pPr>
      <w:r>
        <w:rPr>
          <w:rFonts w:hAnsi="宋体"/>
          <w:color w:val="000000" w:themeColor="text1"/>
          <w:sz w:val="24"/>
          <w:szCs w:val="24"/>
        </w:rPr>
        <w:t>注：⑴表格内容均需按要求填写并盖章，不得留空，否则按投标无效处理。</w:t>
      </w:r>
    </w:p>
    <w:p>
      <w:pPr>
        <w:pStyle w:val="9"/>
        <w:spacing w:line="360" w:lineRule="auto"/>
        <w:ind w:firstLine="480" w:firstLineChars="200"/>
        <w:rPr>
          <w:rFonts w:hAnsi="宋体"/>
          <w:color w:val="000000" w:themeColor="text1"/>
          <w:sz w:val="24"/>
          <w:szCs w:val="24"/>
        </w:rPr>
      </w:pPr>
      <w:r>
        <w:rPr>
          <w:rFonts w:hAnsi="宋体"/>
          <w:color w:val="000000" w:themeColor="text1"/>
          <w:sz w:val="24"/>
          <w:szCs w:val="24"/>
        </w:rPr>
        <w:t>⑵当</w:t>
      </w:r>
      <w:r>
        <w:rPr>
          <w:rFonts w:hint="eastAsia" w:hAnsi="宋体"/>
          <w:color w:val="000000" w:themeColor="text1"/>
          <w:sz w:val="24"/>
          <w:szCs w:val="24"/>
        </w:rPr>
        <w:t>响应文件</w:t>
      </w:r>
      <w:r>
        <w:rPr>
          <w:rFonts w:hAnsi="宋体"/>
          <w:color w:val="000000" w:themeColor="text1"/>
          <w:sz w:val="24"/>
          <w:szCs w:val="24"/>
        </w:rPr>
        <w:t>的服务内容低于招标文件要求时，</w:t>
      </w:r>
      <w:r>
        <w:rPr>
          <w:rFonts w:hint="eastAsia" w:hAnsi="宋体"/>
          <w:color w:val="000000" w:themeColor="text1"/>
          <w:sz w:val="24"/>
          <w:szCs w:val="24"/>
        </w:rPr>
        <w:t>磋商供应商</w:t>
      </w:r>
      <w:r>
        <w:rPr>
          <w:rFonts w:hAnsi="宋体"/>
          <w:color w:val="000000" w:themeColor="text1"/>
          <w:sz w:val="24"/>
          <w:szCs w:val="24"/>
        </w:rPr>
        <w:t>应当如实写明“负偏离”，否则视为虚假应标。</w:t>
      </w: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spacing w:line="600" w:lineRule="exact"/>
        <w:rPr>
          <w:rFonts w:hAnsi="宋体"/>
          <w:color w:val="000000" w:themeColor="text1"/>
          <w:sz w:val="24"/>
          <w:szCs w:val="24"/>
          <w:u w:val="single"/>
        </w:rPr>
      </w:pPr>
    </w:p>
    <w:p>
      <w:pPr>
        <w:pStyle w:val="9"/>
        <w:spacing w:line="600" w:lineRule="exact"/>
        <w:jc w:val="left"/>
        <w:outlineLvl w:val="1"/>
        <w:rPr>
          <w:rFonts w:hAnsi="宋体"/>
          <w:color w:val="000000" w:themeColor="text1"/>
          <w:u w:val="single"/>
        </w:rPr>
      </w:pPr>
      <w:r>
        <w:rPr>
          <w:rFonts w:hAnsi="宋体"/>
          <w:color w:val="000000" w:themeColor="text1"/>
          <w:sz w:val="24"/>
          <w:szCs w:val="24"/>
          <w:u w:val="single"/>
        </w:rPr>
        <w:br w:type="page"/>
      </w:r>
      <w:bookmarkStart w:id="115" w:name="_Toc5098"/>
      <w:bookmarkStart w:id="116" w:name="_Toc31451"/>
      <w:bookmarkStart w:id="117" w:name="_Toc6374"/>
      <w:r>
        <w:rPr>
          <w:rFonts w:hint="eastAsia" w:hAnsi="宋体"/>
          <w:b/>
          <w:color w:val="000000" w:themeColor="text1"/>
        </w:rPr>
        <w:t>格式</w:t>
      </w:r>
      <w:r>
        <w:rPr>
          <w:rFonts w:hAnsi="宋体"/>
          <w:b/>
          <w:color w:val="000000" w:themeColor="text1"/>
        </w:rPr>
        <w:t>6</w:t>
      </w:r>
      <w:r>
        <w:rPr>
          <w:rFonts w:hint="eastAsia" w:hAnsi="宋体"/>
          <w:b/>
          <w:color w:val="000000" w:themeColor="text1"/>
        </w:rPr>
        <w:t>：</w:t>
      </w:r>
      <w:bookmarkEnd w:id="115"/>
      <w:bookmarkEnd w:id="116"/>
      <w:bookmarkEnd w:id="117"/>
    </w:p>
    <w:p>
      <w:pPr>
        <w:pStyle w:val="9"/>
        <w:spacing w:line="500" w:lineRule="exact"/>
        <w:jc w:val="center"/>
        <w:outlineLvl w:val="2"/>
        <w:rPr>
          <w:rFonts w:hAnsi="宋体"/>
          <w:b/>
          <w:bCs/>
          <w:color w:val="000000" w:themeColor="text1"/>
          <w:sz w:val="32"/>
          <w:szCs w:val="32"/>
        </w:rPr>
      </w:pPr>
      <w:r>
        <w:rPr>
          <w:rFonts w:hint="eastAsia" w:hAnsi="宋体"/>
          <w:b/>
          <w:bCs/>
          <w:color w:val="000000" w:themeColor="text1"/>
          <w:sz w:val="32"/>
          <w:szCs w:val="32"/>
        </w:rPr>
        <w:t>售后服务承诺书（格式）</w:t>
      </w:r>
    </w:p>
    <w:p>
      <w:pPr>
        <w:pStyle w:val="9"/>
        <w:spacing w:line="440" w:lineRule="exact"/>
        <w:ind w:firstLine="475" w:firstLineChars="198"/>
        <w:rPr>
          <w:rFonts w:hAnsi="宋体"/>
          <w:color w:val="000000" w:themeColor="text1"/>
          <w:sz w:val="24"/>
          <w:szCs w:val="24"/>
        </w:rPr>
      </w:pPr>
    </w:p>
    <w:p>
      <w:pPr>
        <w:pStyle w:val="9"/>
        <w:spacing w:line="440" w:lineRule="exact"/>
        <w:ind w:firstLine="475" w:firstLineChars="198"/>
        <w:rPr>
          <w:rFonts w:hAnsi="宋体"/>
          <w:color w:val="000000" w:themeColor="text1"/>
          <w:sz w:val="24"/>
          <w:szCs w:val="24"/>
        </w:rPr>
      </w:pPr>
      <w:r>
        <w:rPr>
          <w:rFonts w:hint="eastAsia" w:hAnsi="宋体"/>
          <w:color w:val="000000" w:themeColor="text1"/>
          <w:sz w:val="24"/>
          <w:szCs w:val="24"/>
        </w:rPr>
        <w:t>由磋商供应商按本项目竞争性磋商文件第二章“服务需求一览表”中商务条款部分的售后服务要求自行填写。</w:t>
      </w:r>
    </w:p>
    <w:p>
      <w:pPr>
        <w:pStyle w:val="9"/>
        <w:spacing w:line="440" w:lineRule="exact"/>
        <w:ind w:firstLine="480" w:firstLineChars="200"/>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spacing w:line="600" w:lineRule="exact"/>
        <w:rPr>
          <w:rFonts w:hAnsi="宋体"/>
          <w:color w:val="000000" w:themeColor="text1"/>
          <w:sz w:val="24"/>
          <w:szCs w:val="24"/>
          <w:u w:val="single"/>
        </w:rPr>
      </w:pPr>
      <w:r>
        <w:rPr>
          <w:rFonts w:hint="eastAsia" w:hAnsi="宋体"/>
          <w:color w:val="000000" w:themeColor="text1"/>
          <w:sz w:val="24"/>
          <w:szCs w:val="24"/>
        </w:rPr>
        <w:t>磋商供应商（盖单位公章）：</w:t>
      </w:r>
    </w:p>
    <w:p>
      <w:pPr>
        <w:pStyle w:val="9"/>
        <w:spacing w:line="600" w:lineRule="exact"/>
        <w:rPr>
          <w:rFonts w:hAnsi="宋体"/>
          <w:color w:val="000000" w:themeColor="text1"/>
          <w:sz w:val="24"/>
          <w:szCs w:val="24"/>
          <w:u w:val="single"/>
        </w:rPr>
      </w:pPr>
    </w:p>
    <w:p>
      <w:pPr>
        <w:pStyle w:val="9"/>
        <w:spacing w:line="600" w:lineRule="exact"/>
        <w:rPr>
          <w:rFonts w:hAnsi="宋体"/>
          <w:color w:val="000000" w:themeColor="text1"/>
          <w:sz w:val="24"/>
          <w:szCs w:val="24"/>
          <w:u w:val="single"/>
        </w:rPr>
      </w:pPr>
      <w:r>
        <w:rPr>
          <w:rFonts w:hint="eastAsia" w:hAnsi="宋体"/>
          <w:color w:val="000000" w:themeColor="text1"/>
          <w:sz w:val="24"/>
          <w:szCs w:val="24"/>
        </w:rPr>
        <w:t>法定代表人或其委托代理人（签字或盖章）：</w:t>
      </w:r>
    </w:p>
    <w:p>
      <w:pPr>
        <w:pStyle w:val="9"/>
        <w:spacing w:line="600" w:lineRule="exact"/>
        <w:outlineLvl w:val="1"/>
        <w:rPr>
          <w:rFonts w:hAnsi="宋体"/>
          <w:color w:val="000000" w:themeColor="text1"/>
          <w:u w:val="single"/>
        </w:rPr>
      </w:pPr>
      <w:r>
        <w:rPr>
          <w:rFonts w:hAnsi="宋体"/>
          <w:color w:val="000000" w:themeColor="text1"/>
          <w:sz w:val="24"/>
          <w:szCs w:val="24"/>
          <w:u w:val="single"/>
        </w:rPr>
        <w:br w:type="page"/>
      </w:r>
      <w:bookmarkStart w:id="118" w:name="_Toc23732"/>
      <w:bookmarkStart w:id="119" w:name="_Toc28775"/>
      <w:bookmarkStart w:id="120" w:name="_Toc10717"/>
      <w:bookmarkStart w:id="121" w:name="_Toc9202"/>
      <w:r>
        <w:rPr>
          <w:rFonts w:hint="eastAsia" w:hAnsi="宋体"/>
          <w:b/>
          <w:color w:val="000000" w:themeColor="text1"/>
        </w:rPr>
        <w:t>格式</w:t>
      </w:r>
      <w:r>
        <w:rPr>
          <w:rFonts w:hAnsi="宋体"/>
          <w:b/>
          <w:color w:val="000000" w:themeColor="text1"/>
        </w:rPr>
        <w:t>7</w:t>
      </w:r>
      <w:r>
        <w:rPr>
          <w:rFonts w:hint="eastAsia" w:hAnsi="宋体"/>
          <w:b/>
          <w:color w:val="000000" w:themeColor="text1"/>
        </w:rPr>
        <w:t>：</w:t>
      </w:r>
      <w:bookmarkEnd w:id="118"/>
      <w:bookmarkEnd w:id="119"/>
      <w:bookmarkEnd w:id="120"/>
      <w:bookmarkEnd w:id="121"/>
    </w:p>
    <w:p>
      <w:pPr>
        <w:pStyle w:val="9"/>
        <w:spacing w:line="500" w:lineRule="exact"/>
        <w:jc w:val="center"/>
        <w:outlineLvl w:val="2"/>
        <w:rPr>
          <w:rFonts w:hAnsi="宋体"/>
          <w:b/>
          <w:bCs/>
          <w:color w:val="000000" w:themeColor="text1"/>
          <w:sz w:val="30"/>
          <w:szCs w:val="30"/>
        </w:rPr>
      </w:pPr>
      <w:r>
        <w:rPr>
          <w:rFonts w:hint="eastAsia" w:hAnsi="宋体"/>
          <w:b/>
          <w:bCs/>
          <w:color w:val="000000" w:themeColor="text1"/>
          <w:sz w:val="30"/>
          <w:szCs w:val="30"/>
        </w:rPr>
        <w:t>商务条款偏离表（格式）</w:t>
      </w:r>
    </w:p>
    <w:p>
      <w:pPr>
        <w:pStyle w:val="9"/>
        <w:spacing w:line="440" w:lineRule="exact"/>
        <w:ind w:firstLine="420" w:firstLineChars="200"/>
        <w:rPr>
          <w:rFonts w:hAnsi="宋体"/>
          <w:color w:val="000000" w:themeColor="text1"/>
        </w:rPr>
      </w:pPr>
    </w:p>
    <w:p>
      <w:pPr>
        <w:pStyle w:val="9"/>
        <w:spacing w:line="440" w:lineRule="exact"/>
        <w:ind w:firstLine="480" w:firstLineChars="200"/>
        <w:rPr>
          <w:rFonts w:hAnsi="宋体"/>
          <w:b/>
          <w:color w:val="000000" w:themeColor="text1"/>
          <w:sz w:val="24"/>
          <w:szCs w:val="24"/>
        </w:rPr>
      </w:pPr>
      <w:r>
        <w:rPr>
          <w:rFonts w:hint="eastAsia" w:hAnsi="宋体"/>
          <w:color w:val="000000" w:themeColor="text1"/>
          <w:sz w:val="24"/>
          <w:szCs w:val="24"/>
        </w:rPr>
        <w:t>请逐条对应本项目竞争性磋商文件第二章“服务需求一览表”中商务条款的要求，</w:t>
      </w:r>
      <w:r>
        <w:rPr>
          <w:rFonts w:hAnsi="宋体"/>
          <w:color w:val="000000" w:themeColor="text1"/>
          <w:sz w:val="24"/>
          <w:szCs w:val="24"/>
        </w:rPr>
        <w:t>详细填写相应的具体内容。</w:t>
      </w:r>
      <w:r>
        <w:rPr>
          <w:rFonts w:hint="eastAsia" w:hAnsi="宋体"/>
          <w:color w:val="000000" w:themeColor="text1"/>
          <w:sz w:val="24"/>
          <w:szCs w:val="24"/>
        </w:rPr>
        <w:t>“偏离说明”一栏应当选择“正偏离”、“负偏离”或“无偏离”进行填写</w:t>
      </w:r>
      <w:r>
        <w:rPr>
          <w:rFonts w:hint="eastAsia" w:hAnsi="宋体"/>
          <w:b/>
          <w:color w:val="000000" w:themeColor="text1"/>
          <w:sz w:val="24"/>
          <w:szCs w:val="24"/>
        </w:rPr>
        <w:t>。</w:t>
      </w:r>
    </w:p>
    <w:p>
      <w:pPr>
        <w:pStyle w:val="9"/>
        <w:rPr>
          <w:rFonts w:hAnsi="宋体"/>
          <w:color w:val="000000" w:themeColor="text1"/>
          <w:sz w:val="24"/>
          <w:szCs w:val="24"/>
          <w:u w:val="single"/>
        </w:rPr>
      </w:pPr>
    </w:p>
    <w:p>
      <w:pPr>
        <w:pStyle w:val="9"/>
        <w:jc w:val="left"/>
        <w:rPr>
          <w:rFonts w:hAnsi="宋体"/>
          <w:color w:val="000000" w:themeColor="text1"/>
          <w:sz w:val="24"/>
          <w:szCs w:val="24"/>
        </w:rPr>
      </w:pPr>
      <w:r>
        <w:rPr>
          <w:rFonts w:hAnsi="宋体"/>
          <w:color w:val="000000" w:themeColor="text1"/>
          <w:sz w:val="24"/>
          <w:szCs w:val="24"/>
        </w:rPr>
        <w:t xml:space="preserve"> </w:t>
      </w:r>
    </w:p>
    <w:tbl>
      <w:tblPr>
        <w:tblStyle w:val="1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945"/>
        <w:gridCol w:w="32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35" w:type="dxa"/>
            <w:vAlign w:val="center"/>
          </w:tcPr>
          <w:p>
            <w:pPr>
              <w:pStyle w:val="9"/>
              <w:jc w:val="center"/>
              <w:rPr>
                <w:rFonts w:hAnsi="宋体"/>
                <w:color w:val="000000" w:themeColor="text1"/>
                <w:sz w:val="24"/>
                <w:szCs w:val="24"/>
              </w:rPr>
            </w:pPr>
            <w:r>
              <w:rPr>
                <w:rFonts w:hint="eastAsia" w:hAnsi="宋体"/>
                <w:color w:val="000000" w:themeColor="text1"/>
                <w:sz w:val="24"/>
                <w:szCs w:val="24"/>
              </w:rPr>
              <w:t>项号</w:t>
            </w:r>
          </w:p>
        </w:tc>
        <w:tc>
          <w:tcPr>
            <w:tcW w:w="3945" w:type="dxa"/>
            <w:vAlign w:val="center"/>
          </w:tcPr>
          <w:p>
            <w:pPr>
              <w:pStyle w:val="9"/>
              <w:jc w:val="center"/>
              <w:rPr>
                <w:rFonts w:hAnsi="宋体"/>
                <w:color w:val="000000" w:themeColor="text1"/>
                <w:sz w:val="24"/>
                <w:szCs w:val="24"/>
              </w:rPr>
            </w:pPr>
            <w:r>
              <w:rPr>
                <w:rFonts w:hint="eastAsia" w:hAnsi="宋体"/>
                <w:color w:val="000000" w:themeColor="text1"/>
                <w:sz w:val="24"/>
                <w:szCs w:val="24"/>
              </w:rPr>
              <w:t>竞争性磋商文件的商务需求</w:t>
            </w:r>
          </w:p>
        </w:tc>
        <w:tc>
          <w:tcPr>
            <w:tcW w:w="3258" w:type="dxa"/>
            <w:vAlign w:val="center"/>
          </w:tcPr>
          <w:p>
            <w:pPr>
              <w:pStyle w:val="9"/>
              <w:jc w:val="center"/>
              <w:rPr>
                <w:rFonts w:hAnsi="宋体"/>
                <w:color w:val="000000" w:themeColor="text1"/>
                <w:sz w:val="24"/>
                <w:szCs w:val="24"/>
              </w:rPr>
            </w:pPr>
            <w:r>
              <w:rPr>
                <w:rFonts w:hint="eastAsia" w:hAnsi="宋体"/>
                <w:color w:val="000000" w:themeColor="text1"/>
                <w:sz w:val="24"/>
                <w:szCs w:val="24"/>
              </w:rPr>
              <w:t>响应文件承诺的商务条款</w:t>
            </w:r>
          </w:p>
        </w:tc>
        <w:tc>
          <w:tcPr>
            <w:tcW w:w="1560" w:type="dxa"/>
            <w:vAlign w:val="center"/>
          </w:tcPr>
          <w:p>
            <w:pPr>
              <w:pStyle w:val="9"/>
              <w:jc w:val="center"/>
              <w:rPr>
                <w:rFonts w:hAnsi="宋体"/>
                <w:color w:val="000000" w:themeColor="text1"/>
                <w:sz w:val="24"/>
                <w:szCs w:val="24"/>
              </w:rPr>
            </w:pPr>
            <w:r>
              <w:rPr>
                <w:rFonts w:hint="eastAsia" w:hAnsi="宋体"/>
                <w:color w:val="000000" w:themeColor="text1"/>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9"/>
              <w:jc w:val="center"/>
              <w:rPr>
                <w:rFonts w:hAnsi="宋体"/>
                <w:color w:val="000000" w:themeColor="text1"/>
                <w:spacing w:val="-20"/>
                <w:sz w:val="24"/>
                <w:szCs w:val="24"/>
              </w:rPr>
            </w:pPr>
            <w:r>
              <w:rPr>
                <w:rFonts w:hint="eastAsia" w:hAnsi="宋体"/>
                <w:color w:val="000000" w:themeColor="text1"/>
                <w:spacing w:val="-20"/>
                <w:sz w:val="24"/>
                <w:szCs w:val="24"/>
              </w:rPr>
              <w:t>一</w:t>
            </w:r>
          </w:p>
        </w:tc>
        <w:tc>
          <w:tcPr>
            <w:tcW w:w="3945" w:type="dxa"/>
            <w:vAlign w:val="center"/>
          </w:tcPr>
          <w:p>
            <w:pPr>
              <w:spacing w:line="340" w:lineRule="exact"/>
              <w:rPr>
                <w:rFonts w:eastAsia="FangSong_GB2312"/>
                <w:color w:val="000000" w:themeColor="text1"/>
                <w:szCs w:val="21"/>
              </w:rPr>
            </w:pPr>
            <w:r>
              <w:rPr>
                <w:rFonts w:eastAsia="FangSong_GB2312"/>
                <w:color w:val="000000" w:themeColor="text1"/>
                <w:szCs w:val="21"/>
              </w:rPr>
              <w:t>1  ……</w:t>
            </w:r>
          </w:p>
          <w:p>
            <w:pPr>
              <w:spacing w:line="340" w:lineRule="exact"/>
              <w:rPr>
                <w:rFonts w:eastAsia="FangSong_GB2312"/>
                <w:color w:val="000000" w:themeColor="text1"/>
                <w:szCs w:val="21"/>
              </w:rPr>
            </w:pPr>
            <w:r>
              <w:rPr>
                <w:rFonts w:eastAsia="FangSong_GB2312"/>
                <w:color w:val="000000" w:themeColor="text1"/>
                <w:szCs w:val="21"/>
              </w:rPr>
              <w:t>2  ……</w:t>
            </w:r>
          </w:p>
          <w:p>
            <w:pPr>
              <w:spacing w:line="340" w:lineRule="exact"/>
              <w:rPr>
                <w:rFonts w:eastAsia="FangSong_GB2312"/>
                <w:color w:val="000000" w:themeColor="text1"/>
                <w:szCs w:val="21"/>
              </w:rPr>
            </w:pPr>
            <w:r>
              <w:rPr>
                <w:rFonts w:eastAsia="FangSong_GB2312"/>
                <w:color w:val="000000" w:themeColor="text1"/>
                <w:szCs w:val="21"/>
              </w:rPr>
              <w:t>3  ……</w:t>
            </w:r>
          </w:p>
        </w:tc>
        <w:tc>
          <w:tcPr>
            <w:tcW w:w="3258" w:type="dxa"/>
            <w:vAlign w:val="center"/>
          </w:tcPr>
          <w:p>
            <w:pPr>
              <w:spacing w:line="340" w:lineRule="exact"/>
              <w:rPr>
                <w:rFonts w:eastAsia="FangSong_GB2312"/>
                <w:color w:val="000000" w:themeColor="text1"/>
                <w:szCs w:val="21"/>
              </w:rPr>
            </w:pPr>
            <w:r>
              <w:rPr>
                <w:rFonts w:eastAsia="FangSong_GB2312"/>
                <w:color w:val="000000" w:themeColor="text1"/>
                <w:szCs w:val="21"/>
              </w:rPr>
              <w:t>1  ……</w:t>
            </w:r>
          </w:p>
          <w:p>
            <w:pPr>
              <w:spacing w:line="340" w:lineRule="exact"/>
              <w:rPr>
                <w:rFonts w:eastAsia="FangSong_GB2312"/>
                <w:color w:val="000000" w:themeColor="text1"/>
                <w:szCs w:val="21"/>
              </w:rPr>
            </w:pPr>
            <w:r>
              <w:rPr>
                <w:rFonts w:eastAsia="FangSong_GB2312"/>
                <w:color w:val="000000" w:themeColor="text1"/>
                <w:szCs w:val="21"/>
              </w:rPr>
              <w:t>2  ……</w:t>
            </w:r>
          </w:p>
          <w:p>
            <w:pPr>
              <w:spacing w:line="340" w:lineRule="exact"/>
              <w:rPr>
                <w:rFonts w:eastAsia="FangSong_GB2312"/>
                <w:color w:val="000000" w:themeColor="text1"/>
                <w:szCs w:val="21"/>
              </w:rPr>
            </w:pPr>
            <w:r>
              <w:rPr>
                <w:rFonts w:eastAsia="FangSong_GB2312"/>
                <w:color w:val="000000" w:themeColor="text1"/>
                <w:szCs w:val="21"/>
              </w:rPr>
              <w:t>3  ……</w:t>
            </w:r>
          </w:p>
        </w:tc>
        <w:tc>
          <w:tcPr>
            <w:tcW w:w="1560" w:type="dxa"/>
            <w:vAlign w:val="center"/>
          </w:tcPr>
          <w:p>
            <w:pPr>
              <w:rPr>
                <w:rFonts w:ascii="宋体" w:hAnsi="宋体"/>
                <w:color w:val="000000" w:themeColor="text1"/>
                <w:sz w:val="24"/>
              </w:rPr>
            </w:pPr>
            <w:r>
              <w:rPr>
                <w:rFonts w:ascii="宋体" w:hAnsi="宋体"/>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9"/>
              <w:jc w:val="center"/>
              <w:rPr>
                <w:rFonts w:hAnsi="宋体"/>
                <w:color w:val="000000" w:themeColor="text1"/>
                <w:spacing w:val="-20"/>
                <w:sz w:val="24"/>
                <w:szCs w:val="24"/>
              </w:rPr>
            </w:pPr>
            <w:r>
              <w:rPr>
                <w:rFonts w:hint="eastAsia" w:hAnsi="宋体"/>
                <w:color w:val="000000" w:themeColor="text1"/>
                <w:spacing w:val="-20"/>
                <w:sz w:val="24"/>
                <w:szCs w:val="24"/>
              </w:rPr>
              <w:t>二</w:t>
            </w:r>
          </w:p>
        </w:tc>
        <w:tc>
          <w:tcPr>
            <w:tcW w:w="3945" w:type="dxa"/>
            <w:vAlign w:val="center"/>
          </w:tcPr>
          <w:p>
            <w:pPr>
              <w:pStyle w:val="9"/>
              <w:spacing w:line="600" w:lineRule="exact"/>
              <w:jc w:val="center"/>
              <w:rPr>
                <w:rFonts w:hAnsi="宋体"/>
                <w:color w:val="000000" w:themeColor="text1"/>
                <w:sz w:val="24"/>
                <w:szCs w:val="24"/>
              </w:rPr>
            </w:pPr>
          </w:p>
        </w:tc>
        <w:tc>
          <w:tcPr>
            <w:tcW w:w="3258" w:type="dxa"/>
            <w:vAlign w:val="center"/>
          </w:tcPr>
          <w:p>
            <w:pPr>
              <w:pStyle w:val="9"/>
              <w:spacing w:line="600" w:lineRule="exact"/>
              <w:jc w:val="center"/>
              <w:rPr>
                <w:rFonts w:hAnsi="宋体"/>
                <w:color w:val="000000" w:themeColor="text1"/>
                <w:sz w:val="24"/>
                <w:szCs w:val="24"/>
              </w:rPr>
            </w:pPr>
          </w:p>
        </w:tc>
        <w:tc>
          <w:tcPr>
            <w:tcW w:w="1560" w:type="dxa"/>
            <w:vAlign w:val="center"/>
          </w:tcPr>
          <w:p>
            <w:pPr>
              <w:rPr>
                <w:rFonts w:ascii="宋体" w:hAnsi="宋体"/>
                <w:color w:val="000000" w:themeColor="text1"/>
                <w:sz w:val="24"/>
              </w:rPr>
            </w:pPr>
            <w:r>
              <w:rPr>
                <w:rFonts w:ascii="宋体" w:hAnsi="宋体"/>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9"/>
              <w:jc w:val="center"/>
              <w:rPr>
                <w:rFonts w:hAnsi="宋体"/>
                <w:color w:val="000000" w:themeColor="text1"/>
                <w:spacing w:val="-20"/>
                <w:sz w:val="24"/>
                <w:szCs w:val="24"/>
              </w:rPr>
            </w:pPr>
            <w:r>
              <w:rPr>
                <w:rFonts w:hAnsi="宋体"/>
                <w:color w:val="000000" w:themeColor="text1"/>
                <w:spacing w:val="-20"/>
                <w:sz w:val="24"/>
                <w:szCs w:val="24"/>
              </w:rPr>
              <w:t>...</w:t>
            </w:r>
          </w:p>
        </w:tc>
        <w:tc>
          <w:tcPr>
            <w:tcW w:w="3945" w:type="dxa"/>
            <w:vAlign w:val="center"/>
          </w:tcPr>
          <w:p>
            <w:pPr>
              <w:pStyle w:val="9"/>
              <w:spacing w:line="600" w:lineRule="exact"/>
              <w:jc w:val="center"/>
              <w:rPr>
                <w:rFonts w:hAnsi="宋体"/>
                <w:color w:val="000000" w:themeColor="text1"/>
                <w:sz w:val="24"/>
                <w:szCs w:val="24"/>
              </w:rPr>
            </w:pPr>
          </w:p>
        </w:tc>
        <w:tc>
          <w:tcPr>
            <w:tcW w:w="3258" w:type="dxa"/>
            <w:vAlign w:val="center"/>
          </w:tcPr>
          <w:p>
            <w:pPr>
              <w:pStyle w:val="9"/>
              <w:spacing w:line="600" w:lineRule="exact"/>
              <w:jc w:val="center"/>
              <w:rPr>
                <w:rFonts w:hAnsi="宋体"/>
                <w:color w:val="000000" w:themeColor="text1"/>
                <w:sz w:val="24"/>
                <w:szCs w:val="24"/>
              </w:rPr>
            </w:pPr>
          </w:p>
        </w:tc>
        <w:tc>
          <w:tcPr>
            <w:tcW w:w="1560" w:type="dxa"/>
            <w:vAlign w:val="center"/>
          </w:tcPr>
          <w:p>
            <w:pPr>
              <w:pStyle w:val="9"/>
              <w:spacing w:line="600" w:lineRule="exact"/>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4"/>
            <w:vAlign w:val="center"/>
          </w:tcPr>
          <w:p>
            <w:pPr>
              <w:pStyle w:val="9"/>
              <w:spacing w:line="600" w:lineRule="exact"/>
              <w:rPr>
                <w:rFonts w:hAnsi="宋体"/>
                <w:color w:val="000000" w:themeColor="text1"/>
                <w:sz w:val="24"/>
                <w:szCs w:val="24"/>
                <w:u w:val="single"/>
              </w:rPr>
            </w:pPr>
            <w:r>
              <w:rPr>
                <w:rFonts w:hint="eastAsia" w:hAnsi="宋体"/>
                <w:color w:val="000000" w:themeColor="text1"/>
                <w:sz w:val="24"/>
                <w:szCs w:val="24"/>
              </w:rPr>
              <w:t>磋商供应商（盖单位公章）：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4"/>
            <w:vAlign w:val="center"/>
          </w:tcPr>
          <w:p>
            <w:pPr>
              <w:pStyle w:val="9"/>
              <w:spacing w:line="600" w:lineRule="exact"/>
              <w:jc w:val="left"/>
              <w:rPr>
                <w:rFonts w:hAnsi="宋体"/>
                <w:color w:val="000000" w:themeColor="text1"/>
                <w:sz w:val="24"/>
                <w:szCs w:val="24"/>
                <w:u w:val="single"/>
              </w:rPr>
            </w:pPr>
            <w:r>
              <w:rPr>
                <w:rFonts w:hint="eastAsia" w:hAnsi="宋体"/>
                <w:color w:val="000000" w:themeColor="text1"/>
                <w:sz w:val="24"/>
                <w:szCs w:val="24"/>
              </w:rPr>
              <w:t>法定代表人或其委托代理人（签字或盖章）：</w:t>
            </w:r>
            <w:r>
              <w:rPr>
                <w:rFonts w:hAnsi="宋体"/>
                <w:b/>
                <w:color w:val="000000" w:themeColor="text1"/>
                <w:sz w:val="32"/>
              </w:rPr>
              <w:br w:type="page"/>
            </w:r>
          </w:p>
        </w:tc>
      </w:tr>
    </w:tbl>
    <w:p>
      <w:pPr>
        <w:pStyle w:val="9"/>
        <w:rPr>
          <w:rFonts w:hAnsi="宋体"/>
          <w:color w:val="000000" w:themeColor="text1"/>
          <w:sz w:val="24"/>
          <w:szCs w:val="24"/>
        </w:rPr>
      </w:pPr>
      <w:r>
        <w:rPr>
          <w:rFonts w:hAnsi="宋体"/>
          <w:color w:val="000000" w:themeColor="text1"/>
          <w:sz w:val="24"/>
          <w:szCs w:val="24"/>
        </w:rPr>
        <w:t>......</w:t>
      </w:r>
    </w:p>
    <w:p>
      <w:pPr>
        <w:pStyle w:val="9"/>
        <w:spacing w:line="600" w:lineRule="exact"/>
        <w:rPr>
          <w:rFonts w:hAnsi="宋体"/>
          <w:color w:val="000000" w:themeColor="text1"/>
          <w:sz w:val="24"/>
          <w:szCs w:val="24"/>
        </w:rPr>
      </w:pPr>
    </w:p>
    <w:p>
      <w:pPr>
        <w:pStyle w:val="9"/>
        <w:spacing w:line="600" w:lineRule="exact"/>
        <w:rPr>
          <w:rFonts w:hAnsi="宋体"/>
          <w:color w:val="000000" w:themeColor="text1"/>
          <w:sz w:val="24"/>
          <w:szCs w:val="24"/>
        </w:rPr>
      </w:pPr>
      <w:r>
        <w:rPr>
          <w:rFonts w:hint="eastAsia" w:hAnsi="宋体"/>
          <w:color w:val="000000" w:themeColor="text1"/>
          <w:sz w:val="24"/>
          <w:szCs w:val="24"/>
        </w:rPr>
        <w:t>注：⑴表格内容均需按要求填写并盖章，不得留空，否则按投标无效处理。</w:t>
      </w:r>
    </w:p>
    <w:p>
      <w:pPr>
        <w:pStyle w:val="9"/>
        <w:spacing w:line="600" w:lineRule="exact"/>
        <w:ind w:firstLine="480" w:firstLineChars="200"/>
        <w:rPr>
          <w:rFonts w:hAnsi="宋体"/>
          <w:color w:val="000000" w:themeColor="text1"/>
          <w:sz w:val="24"/>
          <w:szCs w:val="24"/>
        </w:rPr>
      </w:pPr>
      <w:r>
        <w:rPr>
          <w:rFonts w:hint="eastAsia" w:hAnsi="宋体"/>
          <w:color w:val="000000" w:themeColor="text1"/>
          <w:sz w:val="24"/>
          <w:szCs w:val="24"/>
        </w:rPr>
        <w:t>⑵响应文件承诺不得直接复制招标文件需求，如果招标文件需求为小于或大于某个数值标准时，招标文件承诺内容应当写明投标货物具体参数或商务响应承诺的具体数值，否则按投标无效处理。</w:t>
      </w:r>
    </w:p>
    <w:p>
      <w:pPr>
        <w:pStyle w:val="9"/>
        <w:spacing w:line="600" w:lineRule="exact"/>
        <w:ind w:firstLine="480" w:firstLineChars="200"/>
        <w:rPr>
          <w:rFonts w:hAnsi="宋体"/>
          <w:color w:val="000000" w:themeColor="text1"/>
          <w:sz w:val="24"/>
          <w:szCs w:val="24"/>
        </w:rPr>
      </w:pPr>
      <w:r>
        <w:rPr>
          <w:rFonts w:hint="eastAsia" w:hAnsi="宋体"/>
          <w:color w:val="000000" w:themeColor="text1"/>
          <w:sz w:val="24"/>
          <w:szCs w:val="24"/>
        </w:rPr>
        <w:t>⑶当响应文件的技术参数或商务内容低于招标文件要求时，应当如实写明“负偏离”，否则视为虚假应标。</w:t>
      </w:r>
    </w:p>
    <w:p>
      <w:pPr>
        <w:pStyle w:val="9"/>
        <w:spacing w:line="600" w:lineRule="exact"/>
        <w:rPr>
          <w:rFonts w:hAnsi="宋体"/>
          <w:color w:val="000000" w:themeColor="text1"/>
          <w:sz w:val="24"/>
          <w:szCs w:val="24"/>
          <w:u w:val="single"/>
        </w:rPr>
      </w:pPr>
    </w:p>
    <w:p>
      <w:pPr>
        <w:pStyle w:val="9"/>
        <w:spacing w:line="600" w:lineRule="exact"/>
        <w:rPr>
          <w:rFonts w:hAnsi="宋体"/>
          <w:b/>
          <w:color w:val="000000" w:themeColor="text1"/>
        </w:rPr>
        <w:sectPr>
          <w:pgSz w:w="11906" w:h="16838"/>
          <w:pgMar w:top="1440" w:right="1080" w:bottom="1118" w:left="1080" w:header="720" w:footer="720" w:gutter="0"/>
          <w:cols w:space="720" w:num="1"/>
          <w:docGrid w:type="lines" w:linePitch="331" w:charSpace="0"/>
        </w:sectPr>
      </w:pPr>
    </w:p>
    <w:p>
      <w:pPr>
        <w:pStyle w:val="9"/>
        <w:spacing w:line="600" w:lineRule="exact"/>
        <w:rPr>
          <w:rFonts w:hAnsi="宋体"/>
          <w:color w:val="000000" w:themeColor="text1"/>
          <w:u w:val="single"/>
        </w:rPr>
      </w:pPr>
      <w:r>
        <w:rPr>
          <w:rFonts w:hint="eastAsia" w:hAnsi="宋体"/>
          <w:b/>
          <w:color w:val="000000" w:themeColor="text1"/>
        </w:rPr>
        <w:t>格式</w:t>
      </w:r>
      <w:r>
        <w:rPr>
          <w:rFonts w:hAnsi="宋体"/>
          <w:b/>
          <w:color w:val="000000" w:themeColor="text1"/>
        </w:rPr>
        <w:t>8</w:t>
      </w:r>
      <w:r>
        <w:rPr>
          <w:rFonts w:hint="eastAsia" w:hAnsi="宋体"/>
          <w:b/>
          <w:color w:val="000000" w:themeColor="text1"/>
        </w:rPr>
        <w:t>：</w:t>
      </w:r>
    </w:p>
    <w:p>
      <w:pPr>
        <w:pStyle w:val="9"/>
        <w:spacing w:line="500" w:lineRule="exact"/>
        <w:jc w:val="center"/>
        <w:outlineLvl w:val="2"/>
        <w:rPr>
          <w:rFonts w:hAnsi="宋体"/>
          <w:b/>
          <w:bCs/>
          <w:color w:val="000000" w:themeColor="text1"/>
          <w:sz w:val="30"/>
          <w:szCs w:val="30"/>
        </w:rPr>
      </w:pPr>
      <w:r>
        <w:rPr>
          <w:rFonts w:hint="eastAsia" w:hAnsi="宋体"/>
          <w:b/>
          <w:bCs/>
          <w:color w:val="000000" w:themeColor="text1"/>
          <w:sz w:val="30"/>
          <w:szCs w:val="30"/>
        </w:rPr>
        <w:t>法定代表人授权委托书（格式）</w:t>
      </w:r>
    </w:p>
    <w:p>
      <w:pPr>
        <w:pStyle w:val="9"/>
        <w:spacing w:line="500" w:lineRule="exact"/>
        <w:ind w:firstLine="420" w:firstLineChars="200"/>
        <w:rPr>
          <w:rFonts w:hAnsi="宋体"/>
          <w:color w:val="000000" w:themeColor="text1"/>
          <w:u w:val="single"/>
        </w:rPr>
      </w:pP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致：</w:t>
      </w:r>
      <w:r>
        <w:rPr>
          <w:rFonts w:hAnsi="宋体"/>
          <w:color w:val="000000" w:themeColor="text1"/>
          <w:sz w:val="24"/>
          <w:szCs w:val="24"/>
          <w:u w:val="single"/>
        </w:rPr>
        <w:t xml:space="preserve">               </w:t>
      </w:r>
      <w:r>
        <w:rPr>
          <w:rFonts w:hint="eastAsia" w:hAnsi="宋体"/>
          <w:color w:val="000000" w:themeColor="text1"/>
          <w:sz w:val="24"/>
          <w:szCs w:val="24"/>
        </w:rPr>
        <w:t>（采购代理机构名称）</w:t>
      </w:r>
    </w:p>
    <w:p>
      <w:pPr>
        <w:pStyle w:val="9"/>
        <w:spacing w:line="440" w:lineRule="exact"/>
        <w:ind w:firstLine="480" w:firstLineChars="200"/>
        <w:rPr>
          <w:rFonts w:hAnsi="宋体"/>
          <w:color w:val="000000" w:themeColor="text1"/>
          <w:sz w:val="24"/>
          <w:szCs w:val="24"/>
        </w:rPr>
      </w:pP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本人</w:t>
      </w:r>
      <w:r>
        <w:rPr>
          <w:rFonts w:hAnsi="宋体"/>
          <w:color w:val="000000" w:themeColor="text1"/>
          <w:sz w:val="24"/>
          <w:szCs w:val="24"/>
          <w:u w:val="single"/>
        </w:rPr>
        <w:t xml:space="preserve">      </w:t>
      </w:r>
      <w:r>
        <w:rPr>
          <w:rFonts w:hAnsi="宋体"/>
          <w:color w:val="000000" w:themeColor="text1"/>
          <w:sz w:val="24"/>
          <w:szCs w:val="24"/>
        </w:rPr>
        <w:t xml:space="preserve"> </w:t>
      </w:r>
      <w:r>
        <w:rPr>
          <w:rFonts w:hint="eastAsia" w:hAnsi="宋体"/>
          <w:color w:val="000000" w:themeColor="text1"/>
          <w:sz w:val="24"/>
          <w:szCs w:val="24"/>
        </w:rPr>
        <w:t>（姓名）系</w:t>
      </w:r>
      <w:r>
        <w:rPr>
          <w:rFonts w:hAnsi="宋体"/>
          <w:color w:val="000000" w:themeColor="text1"/>
          <w:sz w:val="24"/>
          <w:szCs w:val="24"/>
          <w:u w:val="single"/>
        </w:rPr>
        <w:t xml:space="preserve">            </w:t>
      </w:r>
      <w:r>
        <w:rPr>
          <w:rFonts w:hint="eastAsia" w:hAnsi="宋体"/>
          <w:color w:val="000000" w:themeColor="text1"/>
          <w:sz w:val="24"/>
          <w:szCs w:val="24"/>
        </w:rPr>
        <w:t>（磋商供应商名称）的法定代表人，现授权</w:t>
      </w:r>
      <w:r>
        <w:rPr>
          <w:rFonts w:hAnsi="宋体"/>
          <w:color w:val="000000" w:themeColor="text1"/>
          <w:sz w:val="24"/>
          <w:szCs w:val="24"/>
          <w:u w:val="single"/>
        </w:rPr>
        <w:t xml:space="preserve">     </w:t>
      </w:r>
      <w:r>
        <w:rPr>
          <w:rFonts w:hint="eastAsia" w:hAnsi="宋体"/>
          <w:color w:val="000000" w:themeColor="text1"/>
          <w:sz w:val="24"/>
          <w:szCs w:val="24"/>
        </w:rPr>
        <w:t>（姓名和职务）为我方代理人。代理人根据授权，以我方名义签署、澄清、说明、补正、提交、撤回、修改贵方组织的项目</w:t>
      </w:r>
      <w:r>
        <w:rPr>
          <w:rFonts w:hAnsi="宋体"/>
          <w:color w:val="000000" w:themeColor="text1"/>
          <w:sz w:val="24"/>
          <w:szCs w:val="24"/>
          <w:u w:val="single"/>
        </w:rPr>
        <w:t xml:space="preserve">          </w:t>
      </w:r>
      <w:r>
        <w:rPr>
          <w:rFonts w:hint="eastAsia" w:hAnsi="宋体"/>
          <w:color w:val="000000" w:themeColor="text1"/>
          <w:sz w:val="24"/>
          <w:szCs w:val="24"/>
        </w:rPr>
        <w:t>（项目编号：</w:t>
      </w:r>
      <w:r>
        <w:rPr>
          <w:rFonts w:hAnsi="宋体"/>
          <w:color w:val="000000" w:themeColor="text1"/>
          <w:sz w:val="24"/>
          <w:szCs w:val="24"/>
          <w:u w:val="single"/>
        </w:rPr>
        <w:t xml:space="preserve">          </w:t>
      </w:r>
      <w:r>
        <w:rPr>
          <w:rFonts w:hint="eastAsia" w:hAnsi="宋体"/>
          <w:color w:val="000000" w:themeColor="text1"/>
          <w:sz w:val="24"/>
          <w:szCs w:val="24"/>
        </w:rPr>
        <w:t>）的响应文件、签订合同和处理一切有关事宜，其法律后果由我方承担。</w:t>
      </w:r>
    </w:p>
    <w:p>
      <w:pPr>
        <w:pStyle w:val="9"/>
        <w:spacing w:line="360" w:lineRule="auto"/>
        <w:ind w:firstLine="435"/>
        <w:rPr>
          <w:rFonts w:hAnsi="宋体"/>
          <w:color w:val="000000" w:themeColor="text1"/>
          <w:sz w:val="24"/>
          <w:szCs w:val="24"/>
        </w:rPr>
      </w:pPr>
      <w:r>
        <w:rPr>
          <w:rFonts w:hint="eastAsia" w:hAnsi="宋体"/>
          <w:color w:val="000000" w:themeColor="text1"/>
          <w:sz w:val="24"/>
          <w:szCs w:val="24"/>
        </w:rPr>
        <w:t>本授权书于</w:t>
      </w:r>
      <w:r>
        <w:rPr>
          <w:rFonts w:hAnsi="宋体"/>
          <w:color w:val="000000" w:themeColor="text1"/>
          <w:sz w:val="24"/>
          <w:szCs w:val="24"/>
          <w:u w:val="single"/>
        </w:rPr>
        <w:t xml:space="preserve">     </w:t>
      </w:r>
      <w:r>
        <w:rPr>
          <w:rFonts w:hint="eastAsia" w:hAnsi="宋体"/>
          <w:color w:val="000000" w:themeColor="text1"/>
          <w:sz w:val="24"/>
          <w:szCs w:val="24"/>
        </w:rPr>
        <w:t>年</w:t>
      </w:r>
      <w:r>
        <w:rPr>
          <w:rFonts w:hAnsi="宋体"/>
          <w:color w:val="000000" w:themeColor="text1"/>
          <w:sz w:val="24"/>
          <w:szCs w:val="24"/>
          <w:u w:val="single"/>
        </w:rPr>
        <w:t xml:space="preserve">     </w:t>
      </w:r>
      <w:r>
        <w:rPr>
          <w:rFonts w:hint="eastAsia" w:hAnsi="宋体"/>
          <w:color w:val="000000" w:themeColor="text1"/>
          <w:sz w:val="24"/>
          <w:szCs w:val="24"/>
        </w:rPr>
        <w:t>月</w:t>
      </w:r>
      <w:r>
        <w:rPr>
          <w:rFonts w:hAnsi="宋体"/>
          <w:color w:val="000000" w:themeColor="text1"/>
          <w:sz w:val="24"/>
          <w:szCs w:val="24"/>
          <w:u w:val="single"/>
        </w:rPr>
        <w:t xml:space="preserve">     </w:t>
      </w:r>
      <w:r>
        <w:rPr>
          <w:rFonts w:hint="eastAsia" w:hAnsi="宋体"/>
          <w:color w:val="000000" w:themeColor="text1"/>
          <w:sz w:val="24"/>
          <w:szCs w:val="24"/>
        </w:rPr>
        <w:t>日签字生效，委托期限：</w:t>
      </w:r>
      <w:r>
        <w:rPr>
          <w:rFonts w:hAnsi="宋体"/>
          <w:color w:val="000000" w:themeColor="text1"/>
          <w:sz w:val="24"/>
          <w:szCs w:val="24"/>
          <w:u w:val="single"/>
        </w:rPr>
        <w:t xml:space="preserve">     </w:t>
      </w:r>
      <w:r>
        <w:rPr>
          <w:rFonts w:hint="eastAsia" w:hAnsi="宋体"/>
          <w:color w:val="000000" w:themeColor="text1"/>
          <w:sz w:val="24"/>
          <w:szCs w:val="24"/>
        </w:rPr>
        <w:t>。</w:t>
      </w:r>
    </w:p>
    <w:p>
      <w:pPr>
        <w:pStyle w:val="9"/>
        <w:spacing w:line="360" w:lineRule="auto"/>
        <w:ind w:firstLine="420"/>
        <w:rPr>
          <w:rFonts w:hAnsi="宋体"/>
          <w:color w:val="000000" w:themeColor="text1"/>
          <w:sz w:val="24"/>
          <w:szCs w:val="24"/>
        </w:rPr>
      </w:pPr>
      <w:r>
        <w:rPr>
          <w:rFonts w:hint="eastAsia" w:hAnsi="宋体"/>
          <w:color w:val="000000" w:themeColor="text1"/>
          <w:sz w:val="24"/>
          <w:szCs w:val="24"/>
        </w:rPr>
        <w:t>代理人无转委托权。</w:t>
      </w:r>
    </w:p>
    <w:p>
      <w:pPr>
        <w:pStyle w:val="9"/>
        <w:spacing w:line="360" w:lineRule="auto"/>
        <w:ind w:firstLine="420"/>
        <w:rPr>
          <w:rFonts w:hAnsi="宋体"/>
          <w:color w:val="000000" w:themeColor="text1"/>
          <w:sz w:val="24"/>
          <w:szCs w:val="24"/>
        </w:rPr>
      </w:pP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磋商供应商（盖单位公章）：</w:t>
      </w:r>
      <w:r>
        <w:rPr>
          <w:rFonts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Ansi="宋体"/>
          <w:color w:val="000000" w:themeColor="text1"/>
          <w:sz w:val="24"/>
          <w:szCs w:val="24"/>
        </w:rPr>
        <w:t>社会统一信用代码:</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法定代表人（签字或盖章）：</w:t>
      </w:r>
      <w:r>
        <w:rPr>
          <w:rFonts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法定代表人身份证号码：</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Ansi="宋体"/>
          <w:color w:val="000000" w:themeColor="text1"/>
          <w:sz w:val="24"/>
          <w:szCs w:val="24"/>
          <w:u w:val="single"/>
        </w:rPr>
        <w:t xml:space="preserve"> </w:t>
      </w:r>
    </w:p>
    <w:p>
      <w:pPr>
        <w:pStyle w:val="9"/>
        <w:spacing w:line="360" w:lineRule="auto"/>
        <w:ind w:firstLine="480" w:firstLineChars="200"/>
        <w:rPr>
          <w:rFonts w:hAnsi="宋体"/>
          <w:color w:val="000000" w:themeColor="text1"/>
          <w:sz w:val="24"/>
          <w:szCs w:val="24"/>
        </w:rPr>
      </w:pPr>
      <w:r>
        <w:rPr>
          <w:rFonts w:hint="eastAsia" w:hAnsi="宋体"/>
          <w:color w:val="000000" w:themeColor="text1"/>
          <w:sz w:val="24"/>
          <w:szCs w:val="24"/>
        </w:rPr>
        <w:t>委托代理人（签字或盖章）：</w:t>
      </w:r>
      <w:r>
        <w:rPr>
          <w:rFonts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委托代理人身份证号码：</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p>
    <w:p>
      <w:pPr>
        <w:pStyle w:val="9"/>
        <w:spacing w:line="360" w:lineRule="auto"/>
        <w:ind w:firstLine="420"/>
        <w:jc w:val="right"/>
        <w:rPr>
          <w:rFonts w:hAnsi="宋体"/>
          <w:color w:val="000000" w:themeColor="text1"/>
          <w:sz w:val="24"/>
          <w:szCs w:val="24"/>
          <w:u w:val="single"/>
        </w:rPr>
      </w:pPr>
    </w:p>
    <w:p>
      <w:pPr>
        <w:pStyle w:val="16"/>
        <w:outlineLvl w:val="9"/>
        <w:rPr>
          <w:rFonts w:ascii="宋体"/>
          <w:color w:val="000000" w:themeColor="text1"/>
        </w:rPr>
        <w:sectPr>
          <w:pgSz w:w="11906" w:h="16838"/>
          <w:pgMar w:top="1440" w:right="1080" w:bottom="1118" w:left="1080" w:header="720" w:footer="720" w:gutter="0"/>
          <w:cols w:space="720" w:num="1"/>
          <w:docGrid w:type="lines" w:linePitch="331" w:charSpace="0"/>
        </w:sectPr>
      </w:pPr>
    </w:p>
    <w:p>
      <w:pPr>
        <w:pStyle w:val="9"/>
        <w:spacing w:line="360" w:lineRule="auto"/>
        <w:outlineLvl w:val="1"/>
        <w:rPr>
          <w:rFonts w:hAnsi="宋体"/>
          <w:b/>
          <w:color w:val="000000" w:themeColor="text1"/>
        </w:rPr>
      </w:pPr>
      <w:bookmarkStart w:id="122" w:name="_Toc19457"/>
      <w:bookmarkStart w:id="123" w:name="_Toc14565"/>
      <w:bookmarkStart w:id="124" w:name="_Toc8010"/>
      <w:bookmarkStart w:id="125" w:name="_Toc3746"/>
      <w:r>
        <w:rPr>
          <w:rFonts w:hint="eastAsia" w:hAnsi="宋体"/>
          <w:b/>
          <w:color w:val="000000" w:themeColor="text1"/>
        </w:rPr>
        <w:t>格式</w:t>
      </w:r>
      <w:r>
        <w:rPr>
          <w:rFonts w:hAnsi="宋体"/>
          <w:b/>
          <w:color w:val="000000" w:themeColor="text1"/>
        </w:rPr>
        <w:t>9</w:t>
      </w:r>
      <w:r>
        <w:rPr>
          <w:rFonts w:hint="eastAsia" w:hAnsi="宋体"/>
          <w:b/>
          <w:color w:val="000000" w:themeColor="text1"/>
        </w:rPr>
        <w:t>：</w:t>
      </w:r>
      <w:bookmarkEnd w:id="122"/>
      <w:bookmarkEnd w:id="123"/>
      <w:bookmarkEnd w:id="124"/>
      <w:bookmarkEnd w:id="125"/>
    </w:p>
    <w:p>
      <w:pPr>
        <w:pStyle w:val="9"/>
        <w:jc w:val="center"/>
        <w:outlineLvl w:val="2"/>
        <w:rPr>
          <w:rFonts w:hAnsi="宋体"/>
          <w:b/>
          <w:color w:val="000000" w:themeColor="text1"/>
          <w:sz w:val="30"/>
          <w:szCs w:val="30"/>
        </w:rPr>
      </w:pPr>
      <w:r>
        <w:rPr>
          <w:rFonts w:hint="eastAsia" w:hAnsi="宋体"/>
          <w:b/>
          <w:color w:val="000000" w:themeColor="text1"/>
          <w:sz w:val="30"/>
          <w:szCs w:val="30"/>
        </w:rPr>
        <w:t>信用声明函（格式）</w:t>
      </w:r>
    </w:p>
    <w:p>
      <w:pPr>
        <w:pStyle w:val="9"/>
        <w:jc w:val="center"/>
        <w:rPr>
          <w:rFonts w:hAnsi="宋体" w:cs="宋体"/>
          <w:b/>
          <w:color w:val="000000" w:themeColor="text1"/>
          <w:sz w:val="24"/>
          <w:szCs w:val="24"/>
        </w:rPr>
      </w:pPr>
    </w:p>
    <w:p>
      <w:pPr>
        <w:tabs>
          <w:tab w:val="left" w:pos="7200"/>
        </w:tabs>
        <w:spacing w:line="360" w:lineRule="auto"/>
        <w:rPr>
          <w:rFonts w:ascii="宋体" w:cs="宋体"/>
          <w:color w:val="000000" w:themeColor="text1"/>
          <w:sz w:val="24"/>
        </w:rPr>
      </w:pPr>
      <w:r>
        <w:rPr>
          <w:rFonts w:hint="eastAsia" w:ascii="宋体" w:hAnsi="宋体" w:cs="宋体"/>
          <w:color w:val="000000" w:themeColor="text1"/>
          <w:sz w:val="24"/>
        </w:rPr>
        <w:t>致：</w:t>
      </w:r>
      <w:r>
        <w:rPr>
          <w:rFonts w:ascii="宋体" w:hAnsi="宋体" w:cs="宋体"/>
          <w:color w:val="000000" w:themeColor="text1"/>
          <w:sz w:val="24"/>
          <w:u w:val="single"/>
        </w:rPr>
        <w:t xml:space="preserve">                     </w:t>
      </w:r>
      <w:r>
        <w:rPr>
          <w:rFonts w:hint="eastAsia" w:ascii="宋体" w:hAnsi="宋体" w:cs="宋体"/>
          <w:color w:val="000000" w:themeColor="text1"/>
          <w:sz w:val="24"/>
        </w:rPr>
        <w:t>（采购代理机构名称）</w:t>
      </w:r>
    </w:p>
    <w:p>
      <w:pPr>
        <w:tabs>
          <w:tab w:val="left" w:pos="7200"/>
        </w:tabs>
        <w:spacing w:line="360" w:lineRule="auto"/>
        <w:ind w:firstLine="600" w:firstLineChars="250"/>
        <w:rPr>
          <w:rFonts w:ascii="宋体" w:cs="宋体"/>
          <w:color w:val="000000" w:themeColor="text1"/>
          <w:sz w:val="24"/>
        </w:rPr>
      </w:pPr>
      <w:r>
        <w:rPr>
          <w:rFonts w:ascii="宋体" w:hAnsi="宋体" w:cs="宋体"/>
          <w:color w:val="000000" w:themeColor="text1"/>
          <w:sz w:val="24"/>
          <w:u w:val="single"/>
        </w:rPr>
        <w:t xml:space="preserve">           </w:t>
      </w:r>
      <w:r>
        <w:rPr>
          <w:rFonts w:hint="eastAsia" w:ascii="宋体" w:hAnsi="宋体" w:cs="宋体"/>
          <w:color w:val="000000" w:themeColor="text1"/>
          <w:sz w:val="24"/>
        </w:rPr>
        <w:t>（供应商名称）系中华人民共和国合法企业,经营地址</w:t>
      </w:r>
      <w:r>
        <w:rPr>
          <w:rFonts w:ascii="宋体" w:hAnsi="宋体" w:cs="宋体"/>
          <w:color w:val="000000" w:themeColor="text1"/>
          <w:sz w:val="24"/>
          <w:u w:val="single"/>
        </w:rPr>
        <w:t xml:space="preserve">                   </w:t>
      </w:r>
      <w:r>
        <w:rPr>
          <w:rFonts w:hint="eastAsia" w:ascii="宋体" w:hAnsi="宋体" w:cs="宋体"/>
          <w:color w:val="000000" w:themeColor="text1"/>
          <w:sz w:val="24"/>
        </w:rPr>
        <w:t>。</w:t>
      </w:r>
    </w:p>
    <w:p>
      <w:pPr>
        <w:tabs>
          <w:tab w:val="left" w:pos="7200"/>
        </w:tabs>
        <w:spacing w:line="360" w:lineRule="auto"/>
        <w:ind w:left="420" w:leftChars="200" w:firstLine="600" w:firstLineChars="250"/>
        <w:rPr>
          <w:rFonts w:ascii="宋体" w:cs="宋体"/>
          <w:color w:val="000000" w:themeColor="text1"/>
          <w:sz w:val="24"/>
        </w:rPr>
      </w:pPr>
      <w:r>
        <w:rPr>
          <w:rFonts w:hint="eastAsia" w:ascii="宋体" w:hAnsi="宋体" w:cs="宋体"/>
          <w:color w:val="000000" w:themeColor="text1"/>
          <w:sz w:val="24"/>
        </w:rPr>
        <w:t>我</w:t>
      </w:r>
      <w:r>
        <w:rPr>
          <w:rFonts w:ascii="宋体" w:hAnsi="宋体" w:cs="宋体"/>
          <w:color w:val="000000" w:themeColor="text1"/>
          <w:sz w:val="24"/>
        </w:rPr>
        <w:t xml:space="preserve"> </w:t>
      </w:r>
      <w:r>
        <w:rPr>
          <w:rFonts w:ascii="宋体" w:hAnsi="宋体" w:cs="宋体"/>
          <w:color w:val="000000" w:themeColor="text1"/>
          <w:sz w:val="24"/>
          <w:u w:val="single"/>
        </w:rPr>
        <w:t xml:space="preserve">       </w:t>
      </w:r>
      <w:r>
        <w:rPr>
          <w:rFonts w:hint="eastAsia" w:ascii="宋体" w:hAnsi="宋体" w:cs="宋体"/>
          <w:color w:val="000000" w:themeColor="text1"/>
          <w:sz w:val="24"/>
        </w:rPr>
        <w:t>（姓名）系</w:t>
      </w:r>
      <w:r>
        <w:rPr>
          <w:rFonts w:ascii="宋体" w:hAnsi="宋体" w:cs="宋体"/>
          <w:color w:val="000000" w:themeColor="text1"/>
          <w:sz w:val="24"/>
          <w:u w:val="single"/>
        </w:rPr>
        <w:t xml:space="preserve">           </w:t>
      </w:r>
      <w:r>
        <w:rPr>
          <w:rFonts w:hint="eastAsia" w:ascii="宋体" w:hAnsi="宋体" w:cs="宋体"/>
          <w:color w:val="000000" w:themeColor="text1"/>
          <w:sz w:val="24"/>
        </w:rPr>
        <w:t>（供应商名称）的法定代表人，我方愿意参加贵方组织的</w:t>
      </w:r>
      <w:r>
        <w:rPr>
          <w:rFonts w:ascii="宋体" w:hAnsi="宋体" w:cs="宋体"/>
          <w:color w:val="000000" w:themeColor="text1"/>
          <w:sz w:val="24"/>
          <w:u w:val="single"/>
        </w:rPr>
        <w:t xml:space="preserve">         </w:t>
      </w:r>
      <w:r>
        <w:rPr>
          <w:rFonts w:hint="eastAsia" w:ascii="宋体" w:hAnsi="宋体" w:cs="宋体"/>
          <w:color w:val="000000" w:themeColor="text1"/>
          <w:sz w:val="24"/>
        </w:rPr>
        <w:t>项目的本次政府采购活动，为便于贵方公正、择优地确定成交人及采购服务成果和服务，我方就本次政府采购活动有关事项郑重声明如下：</w:t>
      </w:r>
    </w:p>
    <w:p>
      <w:pPr>
        <w:tabs>
          <w:tab w:val="left" w:pos="7200"/>
        </w:tabs>
        <w:spacing w:line="360" w:lineRule="auto"/>
        <w:ind w:firstLine="480" w:firstLineChars="200"/>
        <w:rPr>
          <w:rFonts w:ascii="宋体" w:cs="宋体"/>
          <w:color w:val="000000" w:themeColor="text1"/>
          <w:sz w:val="24"/>
          <w:u w:val="single"/>
        </w:rPr>
      </w:pPr>
      <w:r>
        <w:rPr>
          <w:rFonts w:ascii="宋体" w:hAnsi="宋体" w:cs="宋体"/>
          <w:color w:val="000000" w:themeColor="text1"/>
          <w:sz w:val="24"/>
        </w:rPr>
        <w:t xml:space="preserve">1. </w:t>
      </w:r>
      <w:r>
        <w:rPr>
          <w:rFonts w:hint="eastAsia" w:ascii="宋体" w:hAnsi="宋体" w:cs="宋体"/>
          <w:color w:val="000000" w:themeColor="text1"/>
          <w:sz w:val="24"/>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80" w:firstLineChars="200"/>
        <w:rPr>
          <w:rFonts w:ascii="宋体" w:cs="宋体"/>
          <w:color w:val="000000" w:themeColor="text1"/>
          <w:sz w:val="24"/>
        </w:rPr>
      </w:pPr>
      <w:r>
        <w:rPr>
          <w:rFonts w:ascii="宋体" w:hAnsi="宋体" w:cs="宋体"/>
          <w:color w:val="000000" w:themeColor="text1"/>
          <w:sz w:val="24"/>
        </w:rPr>
        <w:t xml:space="preserve">2. </w:t>
      </w:r>
      <w:r>
        <w:rPr>
          <w:rFonts w:hint="eastAsia" w:ascii="宋体" w:hAnsi="宋体" w:cs="宋体"/>
          <w:color w:val="000000" w:themeColor="text1"/>
          <w:sz w:val="24"/>
        </w:rPr>
        <w:t>以上事项如有虚假或隐瞒，我方愿意承担一切后果，并不再寻求任何旨在减轻或免除法律责任的辩解。</w:t>
      </w:r>
    </w:p>
    <w:p>
      <w:pPr>
        <w:tabs>
          <w:tab w:val="left" w:pos="7200"/>
        </w:tabs>
        <w:spacing w:line="360" w:lineRule="auto"/>
        <w:ind w:firstLine="480" w:firstLineChars="200"/>
        <w:rPr>
          <w:rFonts w:ascii="宋体" w:cs="宋体"/>
          <w:color w:val="000000" w:themeColor="text1"/>
          <w:sz w:val="24"/>
        </w:rPr>
      </w:pPr>
    </w:p>
    <w:p>
      <w:pPr>
        <w:tabs>
          <w:tab w:val="left" w:pos="7200"/>
        </w:tabs>
        <w:spacing w:line="360" w:lineRule="auto"/>
        <w:ind w:firstLine="5040" w:firstLineChars="2100"/>
        <w:rPr>
          <w:rFonts w:ascii="宋体" w:cs="宋体"/>
          <w:color w:val="000000" w:themeColor="text1"/>
          <w:sz w:val="24"/>
          <w:u w:val="single"/>
        </w:rPr>
      </w:pPr>
      <w:r>
        <w:rPr>
          <w:rFonts w:hint="eastAsia" w:ascii="宋体" w:hAnsi="宋体" w:cs="宋体"/>
          <w:color w:val="000000" w:themeColor="text1"/>
          <w:sz w:val="24"/>
        </w:rPr>
        <w:t>法定代表人或委托代理人（签字或盖章）：</w:t>
      </w:r>
      <w:r>
        <w:rPr>
          <w:rFonts w:ascii="宋体" w:hAnsi="宋体" w:cs="宋体"/>
          <w:color w:val="000000" w:themeColor="text1"/>
          <w:sz w:val="24"/>
          <w:u w:val="single"/>
        </w:rPr>
        <w:t xml:space="preserve">        </w:t>
      </w:r>
    </w:p>
    <w:p>
      <w:pPr>
        <w:tabs>
          <w:tab w:val="left" w:pos="7200"/>
        </w:tabs>
        <w:spacing w:line="360" w:lineRule="auto"/>
        <w:ind w:firstLine="4668" w:firstLineChars="1945"/>
        <w:rPr>
          <w:rFonts w:ascii="宋体" w:cs="宋体"/>
          <w:color w:val="000000" w:themeColor="text1"/>
          <w:sz w:val="24"/>
        </w:rPr>
      </w:pPr>
      <w:r>
        <w:rPr>
          <w:rFonts w:ascii="宋体" w:hAnsi="宋体" w:cs="宋体"/>
          <w:color w:val="000000" w:themeColor="text1"/>
          <w:sz w:val="24"/>
        </w:rPr>
        <w:t xml:space="preserve">   </w:t>
      </w:r>
      <w:r>
        <w:rPr>
          <w:rFonts w:hint="eastAsia" w:ascii="宋体" w:hAnsi="宋体" w:cs="宋体"/>
          <w:color w:val="000000" w:themeColor="text1"/>
          <w:sz w:val="24"/>
        </w:rPr>
        <w:t>供应商（盖章）：</w:t>
      </w:r>
      <w:r>
        <w:rPr>
          <w:rFonts w:ascii="宋体" w:hAnsi="宋体" w:cs="宋体"/>
          <w:color w:val="000000" w:themeColor="text1"/>
          <w:sz w:val="24"/>
          <w:u w:val="single"/>
        </w:rPr>
        <w:t xml:space="preserve">               </w:t>
      </w:r>
      <w:r>
        <w:rPr>
          <w:rFonts w:ascii="宋体" w:hAnsi="宋体" w:cs="宋体"/>
          <w:color w:val="000000" w:themeColor="text1"/>
          <w:sz w:val="24"/>
        </w:rPr>
        <w:t xml:space="preserve">                     </w:t>
      </w:r>
    </w:p>
    <w:p>
      <w:pPr>
        <w:tabs>
          <w:tab w:val="left" w:pos="7200"/>
        </w:tabs>
        <w:spacing w:line="360" w:lineRule="auto"/>
        <w:ind w:firstLine="955" w:firstLineChars="398"/>
        <w:rPr>
          <w:rFonts w:ascii="宋体" w:cs="宋体"/>
          <w:color w:val="000000" w:themeColor="text1"/>
          <w:sz w:val="24"/>
        </w:rPr>
      </w:pPr>
      <w:r>
        <w:rPr>
          <w:rFonts w:ascii="宋体" w:hAnsi="宋体" w:cs="宋体"/>
          <w:color w:val="000000" w:themeColor="text1"/>
          <w:sz w:val="24"/>
        </w:rPr>
        <w:t xml:space="preserve">                                  </w:t>
      </w:r>
      <w:r>
        <w:rPr>
          <w:rFonts w:hint="eastAsia" w:ascii="宋体" w:hAnsi="宋体" w:cs="宋体"/>
          <w:color w:val="000000" w:themeColor="text1"/>
          <w:sz w:val="24"/>
        </w:rPr>
        <w:t>年</w:t>
      </w:r>
      <w:r>
        <w:rPr>
          <w:rFonts w:ascii="宋体" w:hAnsi="宋体" w:cs="宋体"/>
          <w:color w:val="000000" w:themeColor="text1"/>
          <w:sz w:val="24"/>
        </w:rPr>
        <w:t xml:space="preserve">    </w:t>
      </w:r>
      <w:r>
        <w:rPr>
          <w:rFonts w:hint="eastAsia" w:ascii="宋体" w:hAnsi="宋体" w:cs="宋体"/>
          <w:color w:val="000000" w:themeColor="text1"/>
          <w:sz w:val="24"/>
        </w:rPr>
        <w:t>月</w:t>
      </w:r>
      <w:r>
        <w:rPr>
          <w:rFonts w:ascii="宋体" w:hAnsi="宋体" w:cs="宋体"/>
          <w:color w:val="000000" w:themeColor="text1"/>
          <w:sz w:val="24"/>
        </w:rPr>
        <w:t xml:space="preserve">    </w:t>
      </w:r>
      <w:r>
        <w:rPr>
          <w:rFonts w:hint="eastAsia" w:ascii="宋体" w:hAnsi="宋体" w:cs="宋体"/>
          <w:color w:val="000000" w:themeColor="text1"/>
          <w:sz w:val="24"/>
        </w:rPr>
        <w:t>日</w:t>
      </w:r>
    </w:p>
    <w:p>
      <w:pPr>
        <w:pStyle w:val="16"/>
        <w:outlineLvl w:val="9"/>
        <w:rPr>
          <w:color w:val="000000" w:themeColor="text1"/>
        </w:rPr>
        <w:sectPr>
          <w:pgSz w:w="11906" w:h="16838"/>
          <w:pgMar w:top="1440" w:right="1080" w:bottom="1440" w:left="1080" w:header="720" w:footer="720" w:gutter="0"/>
          <w:cols w:space="720" w:num="1"/>
          <w:docGrid w:type="lines" w:linePitch="331" w:charSpace="0"/>
        </w:sectPr>
      </w:pPr>
    </w:p>
    <w:p>
      <w:pPr>
        <w:pStyle w:val="9"/>
        <w:spacing w:line="360" w:lineRule="auto"/>
        <w:rPr>
          <w:rFonts w:hAnsi="宋体"/>
          <w:b/>
          <w:color w:val="000000" w:themeColor="text1"/>
        </w:rPr>
      </w:pPr>
      <w:r>
        <w:rPr>
          <w:rFonts w:hint="eastAsia" w:hAnsi="宋体"/>
          <w:b/>
          <w:color w:val="000000" w:themeColor="text1"/>
        </w:rPr>
        <w:t>格式10：</w:t>
      </w:r>
      <w:r>
        <w:rPr>
          <w:rFonts w:hAnsi="宋体" w:cs="宋体"/>
          <w:color w:val="000000" w:themeColor="text1"/>
          <w:sz w:val="24"/>
          <w:szCs w:val="24"/>
        </w:rPr>
        <w:t xml:space="preserve">                                </w:t>
      </w:r>
    </w:p>
    <w:p>
      <w:pPr>
        <w:pStyle w:val="9"/>
        <w:spacing w:line="500" w:lineRule="exact"/>
        <w:jc w:val="center"/>
        <w:rPr>
          <w:rFonts w:hAnsi="宋体" w:cs="宋体"/>
          <w:b/>
          <w:bCs/>
          <w:color w:val="000000" w:themeColor="text1"/>
          <w:sz w:val="30"/>
          <w:szCs w:val="30"/>
        </w:rPr>
      </w:pPr>
      <w:r>
        <w:rPr>
          <w:rFonts w:hint="eastAsia" w:hAnsi="宋体" w:cs="宋体"/>
          <w:b/>
          <w:bCs/>
          <w:color w:val="000000" w:themeColor="text1"/>
          <w:sz w:val="30"/>
          <w:szCs w:val="30"/>
        </w:rPr>
        <w:t>磋商供应商直接控股、管理关系信息表（格式）</w:t>
      </w:r>
    </w:p>
    <w:p>
      <w:pPr>
        <w:snapToGrid w:val="0"/>
        <w:spacing w:before="50" w:afterLines="50"/>
        <w:jc w:val="center"/>
        <w:rPr>
          <w:rFonts w:ascii="宋体" w:hAnsi="宋体"/>
          <w:b/>
          <w:color w:val="000000" w:themeColor="text1"/>
          <w:sz w:val="28"/>
          <w:szCs w:val="28"/>
        </w:rPr>
      </w:pPr>
    </w:p>
    <w:p>
      <w:pPr>
        <w:snapToGrid w:val="0"/>
        <w:spacing w:before="50" w:afterLines="50"/>
        <w:jc w:val="center"/>
        <w:rPr>
          <w:rFonts w:ascii="宋体" w:hAnsi="宋体"/>
          <w:b/>
          <w:color w:val="000000" w:themeColor="text1"/>
          <w:sz w:val="28"/>
          <w:szCs w:val="28"/>
        </w:rPr>
      </w:pPr>
      <w:r>
        <w:rPr>
          <w:rFonts w:hint="eastAsia" w:ascii="宋体" w:hAnsi="宋体"/>
          <w:b/>
          <w:color w:val="000000" w:themeColor="text1"/>
          <w:sz w:val="28"/>
          <w:szCs w:val="28"/>
        </w:rPr>
        <w:t>磋商供应商直接控股股东信息表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bl>
    <w:p>
      <w:pPr>
        <w:snapToGrid w:val="0"/>
        <w:jc w:val="left"/>
        <w:rPr>
          <w:rFonts w:ascii="宋体" w:hAnsi="宋体"/>
          <w:color w:val="000000" w:themeColor="text1"/>
          <w:sz w:val="24"/>
        </w:rPr>
      </w:pPr>
      <w:r>
        <w:rPr>
          <w:rFonts w:hint="eastAsia" w:ascii="宋体" w:hAnsi="宋体"/>
          <w:color w:val="000000" w:themeColor="text1"/>
          <w:sz w:val="24"/>
        </w:rPr>
        <w:t>注：</w:t>
      </w:r>
    </w:p>
    <w:p>
      <w:pPr>
        <w:snapToGrid w:val="0"/>
        <w:jc w:val="left"/>
        <w:rPr>
          <w:rFonts w:ascii="宋体" w:hAnsi="宋体"/>
          <w:color w:val="000000" w:themeColor="text1"/>
          <w:sz w:val="24"/>
        </w:rPr>
      </w:pPr>
      <w:r>
        <w:rPr>
          <w:rFonts w:hint="eastAsia" w:ascii="宋体" w:hAnsi="宋体"/>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jc w:val="left"/>
        <w:rPr>
          <w:rFonts w:ascii="宋体" w:hAnsi="宋体"/>
          <w:color w:val="000000" w:themeColor="text1"/>
          <w:sz w:val="24"/>
        </w:rPr>
      </w:pPr>
      <w:r>
        <w:rPr>
          <w:rFonts w:hint="eastAsia" w:ascii="宋体" w:hAnsi="宋体"/>
          <w:color w:val="000000" w:themeColor="text1"/>
          <w:sz w:val="24"/>
        </w:rPr>
        <w:t>2.本表所指的控股关系仅限于直接控股关系，不包括间接的控股关系。公司实际控制人与公司之间的关系不属于本表所指的直接控股关系。</w:t>
      </w: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pStyle w:val="9"/>
        <w:spacing w:line="600" w:lineRule="exact"/>
        <w:rPr>
          <w:rFonts w:hAnsi="宋体" w:cs="宋体"/>
          <w:color w:val="000000" w:themeColor="text1"/>
          <w:sz w:val="24"/>
          <w:szCs w:val="24"/>
          <w:u w:val="single"/>
        </w:rPr>
      </w:pPr>
      <w:r>
        <w:rPr>
          <w:rFonts w:hint="eastAsia" w:hAnsi="宋体" w:cs="宋体"/>
          <w:color w:val="000000" w:themeColor="text1"/>
          <w:sz w:val="24"/>
          <w:szCs w:val="24"/>
        </w:rPr>
        <w:t>磋商供应商（盖单位公章）：</w:t>
      </w:r>
      <w:r>
        <w:rPr>
          <w:rFonts w:hAnsi="宋体" w:cs="宋体"/>
          <w:color w:val="000000" w:themeColor="text1"/>
          <w:sz w:val="24"/>
          <w:szCs w:val="24"/>
          <w:u w:val="single"/>
        </w:rPr>
        <w:t xml:space="preserve">                                    </w:t>
      </w:r>
    </w:p>
    <w:p>
      <w:pPr>
        <w:pStyle w:val="9"/>
        <w:spacing w:line="600" w:lineRule="exact"/>
        <w:rPr>
          <w:rFonts w:hAnsi="宋体" w:cs="宋体"/>
          <w:color w:val="000000" w:themeColor="text1"/>
          <w:sz w:val="24"/>
          <w:szCs w:val="24"/>
        </w:rPr>
      </w:pPr>
    </w:p>
    <w:p>
      <w:pPr>
        <w:pStyle w:val="9"/>
        <w:spacing w:line="600" w:lineRule="exact"/>
        <w:rPr>
          <w:rFonts w:hAnsi="宋体" w:cs="宋体"/>
          <w:color w:val="000000" w:themeColor="text1"/>
          <w:sz w:val="24"/>
          <w:szCs w:val="24"/>
          <w:u w:val="single"/>
        </w:rPr>
      </w:pPr>
      <w:r>
        <w:rPr>
          <w:rFonts w:hint="eastAsia" w:hAnsi="宋体" w:cs="宋体"/>
          <w:color w:val="000000" w:themeColor="text1"/>
          <w:sz w:val="24"/>
          <w:szCs w:val="24"/>
        </w:rPr>
        <w:t>法定代表人或其委托代理人（签字或盖章）：</w:t>
      </w:r>
      <w:r>
        <w:rPr>
          <w:rFonts w:hAnsi="宋体" w:cs="宋体"/>
          <w:color w:val="000000" w:themeColor="text1"/>
          <w:sz w:val="24"/>
          <w:szCs w:val="24"/>
          <w:u w:val="single"/>
        </w:rPr>
        <w:t xml:space="preserve">                  </w:t>
      </w:r>
    </w:p>
    <w:p>
      <w:pPr>
        <w:snapToGrid w:val="0"/>
        <w:spacing w:beforeLines="50" w:after="50"/>
        <w:ind w:right="480" w:firstLine="5520" w:firstLineChars="2300"/>
        <w:rPr>
          <w:rFonts w:ascii="宋体" w:hAnsi="宋体"/>
          <w:color w:val="000000" w:themeColor="text1"/>
          <w:sz w:val="24"/>
        </w:rPr>
      </w:pPr>
    </w:p>
    <w:p>
      <w:pPr>
        <w:snapToGrid w:val="0"/>
        <w:spacing w:beforeLines="50" w:after="50"/>
        <w:ind w:right="480" w:firstLine="240" w:firstLineChars="100"/>
        <w:jc w:val="left"/>
        <w:rPr>
          <w:rFonts w:ascii="宋体" w:hAnsi="宋体"/>
          <w:color w:val="000000" w:themeColor="text1"/>
          <w:szCs w:val="21"/>
        </w:rPr>
      </w:pPr>
      <w:r>
        <w:rPr>
          <w:rFonts w:hint="eastAsia" w:ascii="宋体" w:hAnsi="宋体"/>
          <w:color w:val="000000" w:themeColor="text1"/>
          <w:sz w:val="24"/>
        </w:rPr>
        <w:t>年    月    日</w:t>
      </w:r>
    </w:p>
    <w:p>
      <w:pPr>
        <w:snapToGrid w:val="0"/>
        <w:jc w:val="center"/>
        <w:rPr>
          <w:rFonts w:ascii="宋体" w:hAnsi="宋体"/>
          <w:color w:val="000000" w:themeColor="text1"/>
        </w:rPr>
      </w:pPr>
      <w:r>
        <w:rPr>
          <w:rFonts w:ascii="宋体" w:hAnsi="宋体"/>
          <w:b/>
          <w:color w:val="000000" w:themeColor="text1"/>
          <w:sz w:val="28"/>
          <w:szCs w:val="28"/>
        </w:rPr>
        <w:br w:type="page"/>
      </w:r>
      <w:r>
        <w:rPr>
          <w:rFonts w:hint="eastAsia" w:ascii="宋体" w:hAnsi="宋体"/>
          <w:b/>
          <w:color w:val="000000" w:themeColor="text1"/>
          <w:sz w:val="28"/>
          <w:szCs w:val="28"/>
        </w:rPr>
        <w:t>磋商供应商直接管理关系信息表</w:t>
      </w:r>
    </w:p>
    <w:tbl>
      <w:tblPr>
        <w:tblStyle w:val="18"/>
        <w:tblW w:w="0" w:type="auto"/>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备注</w:t>
            </w: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bl>
    <w:p>
      <w:pPr>
        <w:snapToGrid w:val="0"/>
        <w:jc w:val="left"/>
        <w:rPr>
          <w:rFonts w:ascii="宋体" w:hAnsi="宋体"/>
          <w:color w:val="000000" w:themeColor="text1"/>
          <w:sz w:val="24"/>
        </w:rPr>
      </w:pPr>
      <w:r>
        <w:rPr>
          <w:rFonts w:hint="eastAsia" w:ascii="宋体" w:hAnsi="宋体"/>
          <w:color w:val="000000" w:themeColor="text1"/>
          <w:sz w:val="24"/>
        </w:rPr>
        <w:t>注：</w:t>
      </w:r>
    </w:p>
    <w:p>
      <w:pPr>
        <w:snapToGrid w:val="0"/>
        <w:jc w:val="left"/>
        <w:rPr>
          <w:rFonts w:ascii="宋体" w:hAnsi="宋体"/>
          <w:color w:val="000000" w:themeColor="text1"/>
          <w:sz w:val="24"/>
        </w:rPr>
      </w:pPr>
      <w:r>
        <w:rPr>
          <w:rFonts w:hint="eastAsia" w:ascii="宋体" w:hAnsi="宋体"/>
          <w:color w:val="000000" w:themeColor="text1"/>
          <w:sz w:val="24"/>
        </w:rPr>
        <w:t>1.管理关系：是指不具有出资持股关系的其他单位之间存在的管理与被管理关系，如一些上下级关系的事业单位和团体组织。</w:t>
      </w:r>
    </w:p>
    <w:p>
      <w:pPr>
        <w:snapToGrid w:val="0"/>
        <w:jc w:val="left"/>
        <w:rPr>
          <w:rFonts w:ascii="宋体" w:hAnsi="宋体"/>
          <w:color w:val="000000" w:themeColor="text1"/>
        </w:rPr>
      </w:pPr>
      <w:r>
        <w:rPr>
          <w:rFonts w:hint="eastAsia" w:ascii="宋体" w:hAnsi="宋体"/>
          <w:color w:val="000000" w:themeColor="text1"/>
          <w:sz w:val="24"/>
        </w:rPr>
        <w:t>2.本表所指的管理关系仅限于直接管理关系，不包括间接的管理关系。</w:t>
      </w:r>
    </w:p>
    <w:p>
      <w:pPr>
        <w:snapToGrid w:val="0"/>
        <w:jc w:val="left"/>
        <w:rPr>
          <w:rFonts w:ascii="宋体" w:hAnsi="宋体"/>
          <w:color w:val="000000" w:themeColor="text1"/>
        </w:rPr>
      </w:pPr>
    </w:p>
    <w:p>
      <w:pPr>
        <w:snapToGrid w:val="0"/>
        <w:jc w:val="left"/>
        <w:rPr>
          <w:rFonts w:ascii="宋体" w:hAnsi="宋体"/>
          <w:color w:val="000000" w:themeColor="text1"/>
        </w:rPr>
      </w:pPr>
    </w:p>
    <w:p>
      <w:pPr>
        <w:snapToGrid w:val="0"/>
        <w:jc w:val="left"/>
        <w:rPr>
          <w:rFonts w:ascii="宋体" w:hAnsi="宋体"/>
          <w:color w:val="000000" w:themeColor="text1"/>
        </w:rPr>
      </w:pPr>
    </w:p>
    <w:p>
      <w:pPr>
        <w:snapToGrid w:val="0"/>
        <w:jc w:val="left"/>
        <w:rPr>
          <w:color w:val="000000" w:themeColor="text1"/>
        </w:rPr>
      </w:pPr>
    </w:p>
    <w:p>
      <w:pPr>
        <w:snapToGrid w:val="0"/>
        <w:jc w:val="left"/>
        <w:rPr>
          <w:color w:val="000000" w:themeColor="text1"/>
        </w:rPr>
      </w:pPr>
    </w:p>
    <w:p>
      <w:pPr>
        <w:snapToGrid w:val="0"/>
        <w:jc w:val="left"/>
        <w:rPr>
          <w:color w:val="000000" w:themeColor="text1"/>
        </w:rPr>
      </w:pPr>
    </w:p>
    <w:p>
      <w:pPr>
        <w:snapToGrid w:val="0"/>
        <w:jc w:val="left"/>
        <w:rPr>
          <w:rFonts w:ascii="宋体" w:hAnsi="宋体"/>
          <w:color w:val="000000" w:themeColor="text1"/>
          <w:szCs w:val="21"/>
        </w:rPr>
      </w:pPr>
    </w:p>
    <w:p>
      <w:pPr>
        <w:pStyle w:val="9"/>
        <w:spacing w:line="600" w:lineRule="exact"/>
        <w:rPr>
          <w:rFonts w:hAnsi="宋体" w:cs="宋体"/>
          <w:color w:val="000000" w:themeColor="text1"/>
          <w:sz w:val="24"/>
          <w:szCs w:val="24"/>
          <w:u w:val="single"/>
        </w:rPr>
      </w:pPr>
      <w:r>
        <w:rPr>
          <w:rFonts w:hint="eastAsia" w:hAnsi="宋体" w:cs="宋体"/>
          <w:color w:val="000000" w:themeColor="text1"/>
          <w:sz w:val="24"/>
          <w:szCs w:val="24"/>
        </w:rPr>
        <w:t>磋商供应商（盖单位公章）：</w:t>
      </w:r>
      <w:r>
        <w:rPr>
          <w:rFonts w:hAnsi="宋体" w:cs="宋体"/>
          <w:color w:val="000000" w:themeColor="text1"/>
          <w:sz w:val="24"/>
          <w:szCs w:val="24"/>
          <w:u w:val="single"/>
        </w:rPr>
        <w:t xml:space="preserve">                                </w:t>
      </w:r>
    </w:p>
    <w:p>
      <w:pPr>
        <w:pStyle w:val="9"/>
        <w:spacing w:line="600" w:lineRule="exact"/>
        <w:rPr>
          <w:rFonts w:hAnsi="宋体" w:cs="宋体"/>
          <w:color w:val="000000" w:themeColor="text1"/>
          <w:sz w:val="24"/>
          <w:szCs w:val="24"/>
        </w:rPr>
      </w:pPr>
    </w:p>
    <w:p>
      <w:pPr>
        <w:pStyle w:val="9"/>
        <w:spacing w:line="600" w:lineRule="exact"/>
        <w:rPr>
          <w:rFonts w:hAnsi="宋体" w:cs="宋体"/>
          <w:color w:val="000000" w:themeColor="text1"/>
          <w:sz w:val="24"/>
          <w:szCs w:val="24"/>
          <w:u w:val="single"/>
        </w:rPr>
      </w:pPr>
      <w:r>
        <w:rPr>
          <w:rFonts w:hint="eastAsia" w:hAnsi="宋体" w:cs="宋体"/>
          <w:color w:val="000000" w:themeColor="text1"/>
          <w:sz w:val="24"/>
          <w:szCs w:val="24"/>
        </w:rPr>
        <w:t>法定代表人或其委托代理人（签字或盖章）：</w:t>
      </w:r>
      <w:r>
        <w:rPr>
          <w:rFonts w:hAnsi="宋体" w:cs="宋体"/>
          <w:color w:val="000000" w:themeColor="text1"/>
          <w:sz w:val="24"/>
          <w:szCs w:val="24"/>
          <w:u w:val="single"/>
        </w:rPr>
        <w:t xml:space="preserve">                  </w:t>
      </w:r>
    </w:p>
    <w:p>
      <w:pPr>
        <w:snapToGrid w:val="0"/>
        <w:spacing w:beforeLines="50" w:after="50"/>
        <w:ind w:right="480" w:firstLine="5520" w:firstLineChars="2300"/>
        <w:rPr>
          <w:rFonts w:ascii="宋体" w:hAnsi="宋体"/>
          <w:color w:val="000000" w:themeColor="text1"/>
          <w:sz w:val="24"/>
        </w:rPr>
      </w:pPr>
    </w:p>
    <w:p>
      <w:pPr>
        <w:snapToGrid w:val="0"/>
        <w:spacing w:beforeLines="50" w:after="50"/>
        <w:ind w:right="480" w:firstLine="240" w:firstLineChars="100"/>
        <w:jc w:val="left"/>
        <w:rPr>
          <w:rFonts w:ascii="宋体" w:hAnsi="宋体"/>
          <w:color w:val="000000" w:themeColor="text1"/>
          <w:szCs w:val="21"/>
        </w:rPr>
      </w:pPr>
      <w:r>
        <w:rPr>
          <w:rFonts w:hint="eastAsia" w:ascii="宋体" w:hAnsi="宋体"/>
          <w:color w:val="000000" w:themeColor="text1"/>
          <w:sz w:val="24"/>
        </w:rPr>
        <w:t>年    月    日</w:t>
      </w:r>
    </w:p>
    <w:p>
      <w:pPr>
        <w:spacing w:line="600" w:lineRule="exact"/>
        <w:outlineLvl w:val="0"/>
        <w:rPr>
          <w:color w:val="000000" w:themeColor="text1"/>
        </w:rPr>
      </w:pPr>
    </w:p>
    <w:p>
      <w:pPr>
        <w:pStyle w:val="16"/>
        <w:rPr>
          <w:rFonts w:asciiTheme="majorEastAsia" w:hAnsiTheme="majorEastAsia" w:eastAsiaTheme="majorEastAsia" w:cstheme="majorEastAsia"/>
          <w:color w:val="000000" w:themeColor="text1"/>
        </w:rPr>
        <w:sectPr>
          <w:footerReference r:id="rId11" w:type="default"/>
          <w:pgSz w:w="11906" w:h="16838"/>
          <w:pgMar w:top="1440" w:right="1080" w:bottom="1440" w:left="880" w:header="720" w:footer="720" w:gutter="0"/>
          <w:cols w:space="720" w:num="1"/>
          <w:docGrid w:type="lines" w:linePitch="331" w:charSpace="0"/>
        </w:sectPr>
      </w:pPr>
    </w:p>
    <w:p>
      <w:pPr>
        <w:pStyle w:val="16"/>
        <w:rPr>
          <w:rFonts w:asciiTheme="majorEastAsia" w:hAnsiTheme="majorEastAsia" w:eastAsiaTheme="majorEastAsia" w:cstheme="majorEastAsia"/>
          <w:color w:val="000000" w:themeColor="text1"/>
          <w:u w:val="single"/>
        </w:rPr>
      </w:pPr>
      <w:bookmarkStart w:id="126" w:name="_Toc3353"/>
      <w:bookmarkStart w:id="127" w:name="_Toc25178"/>
      <w:r>
        <w:rPr>
          <w:rFonts w:hint="eastAsia" w:asciiTheme="majorEastAsia" w:hAnsiTheme="majorEastAsia" w:eastAsiaTheme="majorEastAsia" w:cstheme="majorEastAsia"/>
          <w:color w:val="000000" w:themeColor="text1"/>
        </w:rPr>
        <w:t>第六章  合同条款及格式</w:t>
      </w:r>
      <w:bookmarkEnd w:id="63"/>
      <w:bookmarkEnd w:id="94"/>
      <w:bookmarkEnd w:id="126"/>
      <w:bookmarkEnd w:id="127"/>
    </w:p>
    <w:p>
      <w:pPr>
        <w:spacing w:line="360" w:lineRule="auto"/>
        <w:ind w:firstLine="880" w:firstLineChars="200"/>
        <w:rPr>
          <w:rFonts w:asciiTheme="majorEastAsia" w:hAnsiTheme="majorEastAsia" w:eastAsiaTheme="majorEastAsia" w:cstheme="majorEastAsia"/>
          <w:color w:val="000000" w:themeColor="text1"/>
          <w:sz w:val="44"/>
        </w:rPr>
      </w:pPr>
    </w:p>
    <w:p>
      <w:pPr>
        <w:spacing w:line="360" w:lineRule="auto"/>
        <w:jc w:val="center"/>
        <w:rPr>
          <w:rFonts w:asciiTheme="majorEastAsia" w:hAnsiTheme="majorEastAsia" w:eastAsiaTheme="majorEastAsia" w:cstheme="majorEastAsia"/>
          <w:b/>
          <w:bCs/>
          <w:color w:val="000000" w:themeColor="text1"/>
          <w:sz w:val="52"/>
        </w:rPr>
      </w:pPr>
      <w:bookmarkStart w:id="128" w:name="_Toc9791"/>
      <w:r>
        <w:rPr>
          <w:rFonts w:hint="eastAsia" w:asciiTheme="majorEastAsia" w:hAnsiTheme="majorEastAsia" w:eastAsiaTheme="majorEastAsia" w:cstheme="majorEastAsia"/>
          <w:b/>
          <w:bCs/>
          <w:color w:val="000000" w:themeColor="text1"/>
          <w:sz w:val="52"/>
        </w:rPr>
        <w:t>南 宁 市 政 府 采 购</w:t>
      </w:r>
      <w:bookmarkEnd w:id="128"/>
    </w:p>
    <w:p>
      <w:pPr>
        <w:spacing w:line="360" w:lineRule="auto"/>
        <w:ind w:firstLine="420" w:firstLineChars="200"/>
        <w:rPr>
          <w:rFonts w:asciiTheme="majorEastAsia" w:hAnsiTheme="majorEastAsia" w:eastAsiaTheme="majorEastAsia" w:cstheme="majorEastAsia"/>
          <w:color w:val="000000" w:themeColor="text1"/>
        </w:rPr>
      </w:pPr>
    </w:p>
    <w:p>
      <w:pPr>
        <w:spacing w:line="360" w:lineRule="auto"/>
        <w:ind w:firstLine="440" w:firstLineChars="200"/>
        <w:rPr>
          <w:rFonts w:asciiTheme="majorEastAsia" w:hAnsiTheme="majorEastAsia" w:eastAsiaTheme="majorEastAsia" w:cstheme="majorEastAsia"/>
          <w:color w:val="000000" w:themeColor="text1"/>
          <w:sz w:val="22"/>
          <w:szCs w:val="28"/>
        </w:rPr>
      </w:pPr>
    </w:p>
    <w:p>
      <w:pPr>
        <w:jc w:val="center"/>
        <w:rPr>
          <w:rFonts w:asciiTheme="majorEastAsia" w:hAnsiTheme="majorEastAsia" w:eastAsiaTheme="majorEastAsia" w:cstheme="majorEastAsia"/>
          <w:b/>
          <w:color w:val="000000" w:themeColor="text1"/>
          <w:sz w:val="36"/>
          <w:szCs w:val="36"/>
        </w:rPr>
      </w:pPr>
      <w:bookmarkStart w:id="129" w:name="_Toc8939"/>
      <w:r>
        <w:rPr>
          <w:rFonts w:hint="eastAsia" w:asciiTheme="majorEastAsia" w:hAnsiTheme="majorEastAsia" w:eastAsiaTheme="majorEastAsia" w:cstheme="majorEastAsia"/>
          <w:b/>
          <w:bCs/>
          <w:color w:val="000000" w:themeColor="text1"/>
          <w:sz w:val="36"/>
          <w:szCs w:val="36"/>
          <w:u w:val="single"/>
        </w:rPr>
        <w:t>南宁市物业服务管理平台</w:t>
      </w:r>
      <w:r>
        <w:rPr>
          <w:rFonts w:hint="eastAsia" w:asciiTheme="majorEastAsia" w:hAnsiTheme="majorEastAsia" w:eastAsiaTheme="majorEastAsia" w:cstheme="majorEastAsia"/>
          <w:b/>
          <w:bCs/>
          <w:color w:val="000000" w:themeColor="text1"/>
          <w:sz w:val="36"/>
          <w:szCs w:val="36"/>
        </w:rPr>
        <w:t>合同</w:t>
      </w:r>
      <w:bookmarkEnd w:id="129"/>
    </w:p>
    <w:p>
      <w:pPr>
        <w:spacing w:line="360" w:lineRule="auto"/>
        <w:ind w:firstLine="2570" w:firstLineChars="800"/>
        <w:rPr>
          <w:rFonts w:asciiTheme="majorEastAsia" w:hAnsiTheme="majorEastAsia" w:eastAsiaTheme="majorEastAsia" w:cstheme="majorEastAsia"/>
          <w:b/>
          <w:color w:val="000000" w:themeColor="text1"/>
          <w:sz w:val="32"/>
          <w:szCs w:val="32"/>
        </w:rPr>
      </w:pPr>
    </w:p>
    <w:p>
      <w:pPr>
        <w:spacing w:line="360" w:lineRule="auto"/>
        <w:ind w:firstLine="2570" w:firstLineChars="800"/>
        <w:rPr>
          <w:rFonts w:asciiTheme="majorEastAsia" w:hAnsiTheme="majorEastAsia" w:eastAsiaTheme="majorEastAsia" w:cstheme="majorEastAsia"/>
          <w:b/>
          <w:color w:val="000000" w:themeColor="text1"/>
          <w:sz w:val="32"/>
          <w:szCs w:val="32"/>
          <w:u w:val="single"/>
        </w:rPr>
      </w:pPr>
      <w:bookmarkStart w:id="130" w:name="_Toc1355"/>
      <w:r>
        <w:rPr>
          <w:rFonts w:hint="eastAsia" w:asciiTheme="majorEastAsia" w:hAnsiTheme="majorEastAsia" w:eastAsiaTheme="majorEastAsia" w:cstheme="majorEastAsia"/>
          <w:b/>
          <w:color w:val="000000" w:themeColor="text1"/>
          <w:sz w:val="32"/>
          <w:szCs w:val="32"/>
        </w:rPr>
        <w:t>合同类别：</w:t>
      </w:r>
      <w:r>
        <w:rPr>
          <w:rFonts w:hint="eastAsia" w:asciiTheme="majorEastAsia" w:hAnsiTheme="majorEastAsia" w:eastAsiaTheme="majorEastAsia" w:cstheme="majorEastAsia"/>
          <w:b/>
          <w:color w:val="000000" w:themeColor="text1"/>
          <w:sz w:val="32"/>
          <w:szCs w:val="32"/>
          <w:u w:val="single"/>
        </w:rPr>
        <w:t>服务竞争性磋商</w:t>
      </w:r>
      <w:bookmarkEnd w:id="130"/>
      <w:r>
        <w:rPr>
          <w:rFonts w:hint="eastAsia" w:asciiTheme="majorEastAsia" w:hAnsiTheme="majorEastAsia" w:eastAsiaTheme="majorEastAsia" w:cstheme="majorEastAsia"/>
          <w:b/>
          <w:color w:val="000000" w:themeColor="text1"/>
          <w:sz w:val="32"/>
          <w:szCs w:val="32"/>
          <w:u w:val="single"/>
        </w:rPr>
        <w:t xml:space="preserve"> </w:t>
      </w:r>
    </w:p>
    <w:p>
      <w:pPr>
        <w:spacing w:line="360" w:lineRule="auto"/>
        <w:ind w:firstLine="2570" w:firstLineChars="800"/>
        <w:rPr>
          <w:rFonts w:asciiTheme="majorEastAsia" w:hAnsiTheme="majorEastAsia" w:eastAsiaTheme="majorEastAsia" w:cstheme="majorEastAsia"/>
          <w:b/>
          <w:color w:val="000000" w:themeColor="text1"/>
          <w:sz w:val="32"/>
          <w:szCs w:val="32"/>
          <w:u w:val="single"/>
        </w:rPr>
      </w:pPr>
      <w:bookmarkStart w:id="131" w:name="_Toc32558"/>
      <w:r>
        <w:rPr>
          <w:rFonts w:hint="eastAsia" w:asciiTheme="majorEastAsia" w:hAnsiTheme="majorEastAsia" w:eastAsiaTheme="majorEastAsia" w:cstheme="majorEastAsia"/>
          <w:b/>
          <w:color w:val="000000" w:themeColor="text1"/>
          <w:sz w:val="32"/>
          <w:szCs w:val="32"/>
        </w:rPr>
        <w:t>合同编号：</w:t>
      </w:r>
      <w:bookmarkEnd w:id="131"/>
      <w:r>
        <w:rPr>
          <w:rFonts w:hint="eastAsia" w:asciiTheme="majorEastAsia" w:hAnsiTheme="majorEastAsia" w:eastAsiaTheme="majorEastAsia" w:cstheme="majorEastAsia"/>
          <w:b/>
          <w:color w:val="000000" w:themeColor="text1"/>
          <w:sz w:val="32"/>
          <w:szCs w:val="32"/>
          <w:u w:val="single"/>
        </w:rPr>
        <w:t xml:space="preserve">NNZC2020-C3-990368-GXYZ  </w:t>
      </w:r>
    </w:p>
    <w:p>
      <w:pPr>
        <w:spacing w:line="360" w:lineRule="auto"/>
        <w:ind w:firstLine="2570" w:firstLineChars="800"/>
        <w:rPr>
          <w:rFonts w:asciiTheme="majorEastAsia" w:hAnsiTheme="majorEastAsia" w:eastAsiaTheme="majorEastAsia" w:cstheme="majorEastAsia"/>
          <w:b/>
          <w:color w:val="000000" w:themeColor="text1"/>
          <w:sz w:val="32"/>
          <w:szCs w:val="32"/>
          <w:u w:val="single"/>
        </w:rPr>
      </w:pPr>
      <w:r>
        <w:rPr>
          <w:rFonts w:hint="eastAsia" w:asciiTheme="majorEastAsia" w:hAnsiTheme="majorEastAsia" w:eastAsiaTheme="majorEastAsia" w:cstheme="majorEastAsia"/>
          <w:b/>
          <w:color w:val="000000" w:themeColor="text1"/>
          <w:sz w:val="32"/>
          <w:szCs w:val="32"/>
        </w:rPr>
        <w:t>采购计划文号：[2020]NCCJB518001/1776-001</w:t>
      </w:r>
    </w:p>
    <w:p>
      <w:pPr>
        <w:ind w:left="2520" w:leftChars="1200"/>
        <w:rPr>
          <w:rFonts w:asciiTheme="majorEastAsia" w:hAnsiTheme="majorEastAsia" w:eastAsiaTheme="majorEastAsia" w:cstheme="majorEastAsia"/>
          <w:b/>
          <w:color w:val="000000" w:themeColor="text1"/>
          <w:sz w:val="32"/>
          <w:szCs w:val="32"/>
          <w:u w:val="single"/>
        </w:rPr>
      </w:pPr>
    </w:p>
    <w:p>
      <w:pPr>
        <w:ind w:firstLine="2605" w:firstLineChars="811"/>
        <w:rPr>
          <w:rFonts w:asciiTheme="majorEastAsia" w:hAnsiTheme="majorEastAsia" w:eastAsiaTheme="majorEastAsia" w:cstheme="majorEastAsia"/>
          <w:b/>
          <w:color w:val="000000" w:themeColor="text1"/>
          <w:sz w:val="32"/>
          <w:szCs w:val="32"/>
          <w:u w:val="single"/>
        </w:rPr>
      </w:pPr>
    </w:p>
    <w:p>
      <w:pPr>
        <w:spacing w:line="360" w:lineRule="auto"/>
        <w:rPr>
          <w:rFonts w:asciiTheme="majorEastAsia" w:hAnsiTheme="majorEastAsia" w:eastAsiaTheme="majorEastAsia" w:cstheme="majorEastAsia"/>
          <w:b/>
          <w:color w:val="000000" w:themeColor="text1"/>
          <w:sz w:val="32"/>
          <w:szCs w:val="32"/>
        </w:rPr>
      </w:pPr>
    </w:p>
    <w:p>
      <w:pPr>
        <w:spacing w:line="360" w:lineRule="auto"/>
        <w:rPr>
          <w:rFonts w:asciiTheme="majorEastAsia" w:hAnsiTheme="majorEastAsia" w:eastAsiaTheme="majorEastAsia" w:cstheme="majorEastAsia"/>
          <w:b/>
          <w:bCs/>
          <w:color w:val="000000" w:themeColor="text1"/>
          <w:sz w:val="36"/>
          <w:szCs w:val="36"/>
        </w:rPr>
      </w:pPr>
    </w:p>
    <w:p>
      <w:pPr>
        <w:pStyle w:val="2"/>
        <w:rPr>
          <w:rFonts w:asciiTheme="majorEastAsia" w:hAnsiTheme="majorEastAsia" w:eastAsiaTheme="majorEastAsia" w:cstheme="majorEastAsia"/>
          <w:color w:val="000000" w:themeColor="text1"/>
          <w:sz w:val="28"/>
          <w:szCs w:val="28"/>
        </w:rPr>
      </w:pPr>
    </w:p>
    <w:p>
      <w:pPr>
        <w:tabs>
          <w:tab w:val="left" w:pos="7200"/>
        </w:tabs>
        <w:spacing w:line="360" w:lineRule="auto"/>
        <w:ind w:firstLine="1552" w:firstLineChars="552"/>
        <w:rPr>
          <w:rFonts w:asciiTheme="majorEastAsia" w:hAnsiTheme="majorEastAsia" w:eastAsiaTheme="majorEastAsia" w:cstheme="majorEastAsia"/>
          <w:b/>
          <w:color w:val="000000" w:themeColor="text1"/>
          <w:sz w:val="28"/>
          <w:szCs w:val="28"/>
        </w:rPr>
      </w:pPr>
    </w:p>
    <w:p>
      <w:pPr>
        <w:tabs>
          <w:tab w:val="left" w:pos="7200"/>
        </w:tabs>
        <w:spacing w:line="360" w:lineRule="auto"/>
        <w:ind w:firstLine="1552" w:firstLineChars="552"/>
        <w:rPr>
          <w:rFonts w:asciiTheme="majorEastAsia" w:hAnsiTheme="majorEastAsia" w:eastAsiaTheme="majorEastAsia" w:cstheme="majorEastAsia"/>
          <w:b/>
          <w:color w:val="000000" w:themeColor="text1"/>
          <w:sz w:val="28"/>
          <w:szCs w:val="28"/>
        </w:rPr>
      </w:pPr>
    </w:p>
    <w:p>
      <w:pPr>
        <w:tabs>
          <w:tab w:val="left" w:pos="7200"/>
        </w:tabs>
        <w:spacing w:line="360" w:lineRule="auto"/>
        <w:ind w:firstLine="2570" w:firstLineChars="800"/>
        <w:rPr>
          <w:rFonts w:asciiTheme="majorEastAsia" w:hAnsiTheme="majorEastAsia" w:eastAsiaTheme="majorEastAsia" w:cstheme="majorEastAsia"/>
          <w:b/>
          <w:color w:val="000000" w:themeColor="text1"/>
          <w:sz w:val="32"/>
          <w:szCs w:val="32"/>
          <w:u w:val="single"/>
        </w:rPr>
      </w:pPr>
      <w:bookmarkStart w:id="132" w:name="_Toc32276"/>
      <w:r>
        <w:rPr>
          <w:rFonts w:hint="eastAsia" w:asciiTheme="majorEastAsia" w:hAnsiTheme="majorEastAsia" w:eastAsiaTheme="majorEastAsia" w:cstheme="majorEastAsia"/>
          <w:b/>
          <w:color w:val="000000" w:themeColor="text1"/>
          <w:sz w:val="32"/>
          <w:szCs w:val="32"/>
        </w:rPr>
        <w:t>采购人：</w:t>
      </w:r>
      <w:bookmarkEnd w:id="132"/>
      <w:r>
        <w:rPr>
          <w:rFonts w:hint="eastAsia" w:asciiTheme="majorEastAsia" w:hAnsiTheme="majorEastAsia" w:eastAsiaTheme="majorEastAsia" w:cstheme="majorEastAsia"/>
          <w:b/>
          <w:color w:val="000000" w:themeColor="text1"/>
          <w:sz w:val="32"/>
          <w:szCs w:val="32"/>
          <w:u w:val="single"/>
        </w:rPr>
        <w:t xml:space="preserve">南宁市住房和城乡建设局        </w:t>
      </w:r>
    </w:p>
    <w:p>
      <w:pPr>
        <w:widowControl/>
        <w:tabs>
          <w:tab w:val="left" w:pos="7380"/>
        </w:tabs>
        <w:spacing w:line="360" w:lineRule="auto"/>
        <w:ind w:firstLine="2570" w:firstLineChars="800"/>
        <w:jc w:val="left"/>
        <w:rPr>
          <w:rFonts w:asciiTheme="majorEastAsia" w:hAnsiTheme="majorEastAsia" w:eastAsiaTheme="majorEastAsia" w:cstheme="majorEastAsia"/>
          <w:b/>
          <w:color w:val="000000" w:themeColor="text1"/>
          <w:sz w:val="36"/>
          <w:szCs w:val="36"/>
        </w:rPr>
        <w:sectPr>
          <w:pgSz w:w="11906" w:h="16838"/>
          <w:pgMar w:top="1440" w:right="1080" w:bottom="1440" w:left="880" w:header="720" w:footer="720" w:gutter="0"/>
          <w:cols w:space="720" w:num="1"/>
          <w:docGrid w:type="lines" w:linePitch="331" w:charSpace="0"/>
        </w:sectPr>
      </w:pPr>
      <w:bookmarkStart w:id="133" w:name="_Toc32593"/>
      <w:r>
        <w:rPr>
          <w:rFonts w:hint="eastAsia" w:asciiTheme="majorEastAsia" w:hAnsiTheme="majorEastAsia" w:eastAsiaTheme="majorEastAsia" w:cstheme="majorEastAsia"/>
          <w:b/>
          <w:color w:val="000000" w:themeColor="text1"/>
          <w:sz w:val="32"/>
          <w:szCs w:val="32"/>
        </w:rPr>
        <w:t>成交供应商：</w:t>
      </w:r>
      <w:r>
        <w:rPr>
          <w:rFonts w:hint="eastAsia" w:asciiTheme="majorEastAsia" w:hAnsiTheme="majorEastAsia" w:eastAsiaTheme="majorEastAsia" w:cstheme="majorEastAsia"/>
          <w:b/>
          <w:color w:val="000000" w:themeColor="text1"/>
          <w:sz w:val="32"/>
          <w:szCs w:val="32"/>
          <w:u w:val="single"/>
        </w:rPr>
        <w:t xml:space="preserve">                          </w:t>
      </w:r>
      <w:bookmarkEnd w:id="133"/>
    </w:p>
    <w:p>
      <w:pPr>
        <w:widowControl/>
        <w:jc w:val="center"/>
        <w:rPr>
          <w:rFonts w:asciiTheme="majorEastAsia" w:hAnsiTheme="majorEastAsia" w:eastAsiaTheme="majorEastAsia" w:cstheme="majorEastAsia"/>
          <w:b/>
          <w:color w:val="000000" w:themeColor="text1"/>
          <w:sz w:val="36"/>
          <w:szCs w:val="36"/>
        </w:rPr>
      </w:pPr>
      <w:bookmarkStart w:id="134" w:name="_Toc20957"/>
      <w:r>
        <w:rPr>
          <w:rFonts w:hint="eastAsia" w:asciiTheme="majorEastAsia" w:hAnsiTheme="majorEastAsia" w:eastAsiaTheme="majorEastAsia" w:cstheme="majorEastAsia"/>
          <w:b/>
          <w:color w:val="000000" w:themeColor="text1"/>
          <w:sz w:val="36"/>
          <w:szCs w:val="36"/>
        </w:rPr>
        <w:t>目  录</w:t>
      </w:r>
      <w:bookmarkEnd w:id="134"/>
    </w:p>
    <w:p>
      <w:pPr>
        <w:tabs>
          <w:tab w:val="left" w:pos="1170"/>
        </w:tabs>
        <w:spacing w:line="360" w:lineRule="auto"/>
        <w:ind w:left="359" w:leftChars="171" w:firstLine="198" w:firstLineChars="71"/>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ab/>
      </w:r>
    </w:p>
    <w:p>
      <w:pPr>
        <w:rPr>
          <w:rFonts w:asciiTheme="majorEastAsia" w:hAnsiTheme="majorEastAsia" w:eastAsiaTheme="majorEastAsia" w:cstheme="majorEastAsia"/>
          <w:b/>
          <w:color w:val="000000" w:themeColor="text1"/>
          <w:sz w:val="30"/>
          <w:szCs w:val="30"/>
        </w:rPr>
      </w:pPr>
      <w:bookmarkStart w:id="135" w:name="_Toc3040"/>
      <w:r>
        <w:rPr>
          <w:rFonts w:hint="eastAsia" w:asciiTheme="majorEastAsia" w:hAnsiTheme="majorEastAsia" w:eastAsiaTheme="majorEastAsia" w:cstheme="majorEastAsia"/>
          <w:b/>
          <w:color w:val="000000" w:themeColor="text1"/>
          <w:sz w:val="30"/>
          <w:szCs w:val="30"/>
        </w:rPr>
        <w:t>一、南宁市政府采购合同书</w:t>
      </w:r>
      <w:bookmarkEnd w:id="135"/>
    </w:p>
    <w:p>
      <w:pPr>
        <w:rPr>
          <w:rFonts w:asciiTheme="majorEastAsia" w:hAnsiTheme="majorEastAsia" w:eastAsiaTheme="majorEastAsia" w:cstheme="majorEastAsia"/>
          <w:b/>
          <w:color w:val="000000" w:themeColor="text1"/>
          <w:sz w:val="30"/>
          <w:szCs w:val="30"/>
        </w:rPr>
      </w:pPr>
      <w:bookmarkStart w:id="136" w:name="_Toc27532"/>
      <w:r>
        <w:rPr>
          <w:rFonts w:hint="eastAsia" w:asciiTheme="majorEastAsia" w:hAnsiTheme="majorEastAsia" w:eastAsiaTheme="majorEastAsia" w:cstheme="majorEastAsia"/>
          <w:b/>
          <w:color w:val="000000" w:themeColor="text1"/>
          <w:sz w:val="30"/>
          <w:szCs w:val="30"/>
        </w:rPr>
        <w:t>二、合同附件</w:t>
      </w:r>
      <w:bookmarkEnd w:id="136"/>
    </w:p>
    <w:p>
      <w:pPr>
        <w:numPr>
          <w:ilvl w:val="0"/>
          <w:numId w:val="9"/>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成交通知书</w:t>
      </w:r>
    </w:p>
    <w:p>
      <w:pPr>
        <w:numPr>
          <w:ilvl w:val="0"/>
          <w:numId w:val="9"/>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竞争性磋商文件服务需求一览表（见竞争性磋商文件）</w:t>
      </w:r>
    </w:p>
    <w:p>
      <w:pPr>
        <w:numPr>
          <w:ilvl w:val="0"/>
          <w:numId w:val="9"/>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竞争性磋商文件的澄清和修改（如有请提供）</w:t>
      </w:r>
    </w:p>
    <w:p>
      <w:pPr>
        <w:numPr>
          <w:ilvl w:val="0"/>
          <w:numId w:val="9"/>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响应文件报价表（见响应文件）、响应文件最终报价表</w:t>
      </w:r>
    </w:p>
    <w:p>
      <w:pPr>
        <w:numPr>
          <w:ilvl w:val="0"/>
          <w:numId w:val="9"/>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响应文件中的服务技术资料表、商务条款偏离表（见响应文件）</w:t>
      </w:r>
    </w:p>
    <w:p>
      <w:pPr>
        <w:numPr>
          <w:ilvl w:val="0"/>
          <w:numId w:val="9"/>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成交供应商澄清函</w:t>
      </w:r>
      <w:r>
        <w:rPr>
          <w:rFonts w:hint="eastAsia" w:asciiTheme="majorEastAsia" w:hAnsiTheme="majorEastAsia" w:eastAsiaTheme="majorEastAsia" w:cstheme="majorEastAsia"/>
          <w:color w:val="000000" w:themeColor="text1"/>
          <w:sz w:val="28"/>
          <w:szCs w:val="28"/>
        </w:rPr>
        <w:t>（如有请提</w:t>
      </w:r>
      <w:r>
        <w:rPr>
          <w:rFonts w:hint="eastAsia" w:asciiTheme="majorEastAsia" w:hAnsiTheme="majorEastAsia" w:eastAsiaTheme="majorEastAsia" w:cstheme="majorEastAsia"/>
          <w:color w:val="000000" w:themeColor="text1"/>
          <w:sz w:val="30"/>
          <w:szCs w:val="30"/>
        </w:rPr>
        <w:t>供</w:t>
      </w:r>
      <w:r>
        <w:rPr>
          <w:rFonts w:hint="eastAsia" w:asciiTheme="majorEastAsia" w:hAnsiTheme="majorEastAsia" w:eastAsiaTheme="majorEastAsia" w:cstheme="majorEastAsia"/>
          <w:color w:val="000000" w:themeColor="text1"/>
          <w:sz w:val="28"/>
          <w:szCs w:val="28"/>
        </w:rPr>
        <w:t>）</w:t>
      </w:r>
    </w:p>
    <w:p>
      <w:pPr>
        <w:numPr>
          <w:ilvl w:val="0"/>
          <w:numId w:val="9"/>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其他与本合同相关的资料（如有请提供）</w:t>
      </w:r>
    </w:p>
    <w:p>
      <w:pPr>
        <w:spacing w:line="360" w:lineRule="auto"/>
        <w:jc w:val="center"/>
        <w:rPr>
          <w:rFonts w:asciiTheme="majorEastAsia" w:hAnsiTheme="majorEastAsia" w:eastAsiaTheme="majorEastAsia" w:cstheme="majorEastAsia"/>
          <w:b/>
          <w:bCs/>
          <w:color w:val="000000" w:themeColor="text1"/>
          <w:sz w:val="28"/>
        </w:rPr>
      </w:pPr>
    </w:p>
    <w:p>
      <w:pPr>
        <w:spacing w:line="360" w:lineRule="auto"/>
        <w:jc w:val="center"/>
        <w:rPr>
          <w:rFonts w:asciiTheme="majorEastAsia" w:hAnsiTheme="majorEastAsia" w:eastAsiaTheme="majorEastAsia" w:cstheme="majorEastAsia"/>
          <w:b/>
          <w:bCs/>
          <w:color w:val="000000" w:themeColor="text1"/>
          <w:sz w:val="30"/>
          <w:szCs w:val="30"/>
        </w:rPr>
      </w:pPr>
      <w:r>
        <w:rPr>
          <w:rFonts w:hint="eastAsia" w:asciiTheme="majorEastAsia" w:hAnsiTheme="majorEastAsia" w:eastAsiaTheme="majorEastAsia" w:cstheme="majorEastAsia"/>
          <w:bCs/>
          <w:color w:val="000000" w:themeColor="text1"/>
          <w:sz w:val="28"/>
        </w:rPr>
        <w:br w:type="page"/>
      </w:r>
      <w:r>
        <w:rPr>
          <w:rFonts w:hint="eastAsia" w:asciiTheme="majorEastAsia" w:hAnsiTheme="majorEastAsia" w:eastAsiaTheme="majorEastAsia" w:cstheme="majorEastAsia"/>
          <w:b/>
          <w:color w:val="000000" w:themeColor="text1"/>
          <w:sz w:val="30"/>
          <w:szCs w:val="30"/>
        </w:rPr>
        <w:t>南宁市政府采购合同书</w:t>
      </w:r>
    </w:p>
    <w:p>
      <w:pPr>
        <w:pStyle w:val="9"/>
        <w:spacing w:line="360" w:lineRule="auto"/>
        <w:rPr>
          <w:rFonts w:asciiTheme="majorEastAsia" w:hAnsiTheme="majorEastAsia" w:eastAsiaTheme="majorEastAsia" w:cstheme="majorEastAsia"/>
          <w:color w:val="000000" w:themeColor="text1"/>
        </w:rPr>
      </w:pPr>
    </w:p>
    <w:p>
      <w:pPr>
        <w:pStyle w:val="9"/>
        <w:spacing w:line="360" w:lineRule="auto"/>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项目名称：</w:t>
      </w:r>
      <w:r>
        <w:rPr>
          <w:rFonts w:hint="eastAsia" w:asciiTheme="majorEastAsia" w:hAnsiTheme="majorEastAsia" w:eastAsiaTheme="majorEastAsia" w:cstheme="majorEastAsia"/>
          <w:color w:val="000000" w:themeColor="text1"/>
          <w:sz w:val="24"/>
          <w:szCs w:val="24"/>
          <w:u w:val="single"/>
        </w:rPr>
        <w:t xml:space="preserve">南宁市物业服务管理平台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项目编号：</w:t>
      </w:r>
      <w:r>
        <w:rPr>
          <w:rFonts w:hint="eastAsia" w:asciiTheme="majorEastAsia" w:hAnsiTheme="majorEastAsia" w:eastAsiaTheme="majorEastAsia" w:cstheme="majorEastAsia"/>
          <w:color w:val="000000" w:themeColor="text1"/>
          <w:sz w:val="24"/>
          <w:szCs w:val="24"/>
          <w:u w:val="single"/>
        </w:rPr>
        <w:t xml:space="preserve">NNZC2020-C3-990368-GXYZ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分标号（有分标时填写）：</w:t>
      </w:r>
      <w:r>
        <w:rPr>
          <w:rFonts w:hint="eastAsia" w:asciiTheme="majorEastAsia" w:hAnsiTheme="majorEastAsia" w:eastAsiaTheme="majorEastAsia" w:cstheme="majorEastAsia"/>
          <w:color w:val="000000" w:themeColor="text1"/>
          <w:sz w:val="24"/>
          <w:szCs w:val="24"/>
          <w:u w:val="single"/>
        </w:rPr>
        <w:t xml:space="preserve"> / </w:t>
      </w:r>
    </w:p>
    <w:p>
      <w:pPr>
        <w:pStyle w:val="9"/>
        <w:spacing w:line="360" w:lineRule="auto"/>
        <w:rPr>
          <w:rFonts w:asciiTheme="majorEastAsia" w:hAnsiTheme="majorEastAsia" w:eastAsiaTheme="majorEastAsia" w:cstheme="majorEastAsia"/>
          <w:color w:val="000000" w:themeColor="text1"/>
          <w:sz w:val="24"/>
          <w:szCs w:val="24"/>
        </w:rPr>
      </w:pPr>
    </w:p>
    <w:p>
      <w:pPr>
        <w:pStyle w:val="9"/>
        <w:tabs>
          <w:tab w:val="left" w:pos="5250"/>
        </w:tabs>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采购人（甲方）：</w:t>
      </w:r>
      <w:r>
        <w:rPr>
          <w:rFonts w:hint="eastAsia" w:asciiTheme="majorEastAsia" w:hAnsiTheme="majorEastAsia" w:eastAsiaTheme="majorEastAsia" w:cstheme="majorEastAsia"/>
          <w:color w:val="000000" w:themeColor="text1"/>
          <w:sz w:val="24"/>
          <w:szCs w:val="24"/>
          <w:u w:val="single"/>
        </w:rPr>
        <w:t xml:space="preserve">南宁市住房和城乡建设局 </w:t>
      </w:r>
    </w:p>
    <w:p>
      <w:pPr>
        <w:pStyle w:val="9"/>
        <w:spacing w:line="360" w:lineRule="auto"/>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成交供应商（乙方）：</w:t>
      </w:r>
      <w:r>
        <w:rPr>
          <w:rFonts w:hint="eastAsia" w:asciiTheme="majorEastAsia" w:hAnsiTheme="majorEastAsia" w:eastAsiaTheme="majorEastAsia" w:cstheme="majorEastAsia"/>
          <w:color w:val="000000" w:themeColor="text1"/>
          <w:sz w:val="24"/>
          <w:szCs w:val="24"/>
          <w:u w:val="single"/>
        </w:rPr>
        <w:t xml:space="preserve">                   </w:t>
      </w:r>
    </w:p>
    <w:bookmarkEnd w:id="64"/>
    <w:bookmarkEnd w:id="65"/>
    <w:bookmarkEnd w:id="66"/>
    <w:bookmarkEnd w:id="67"/>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    </w:t>
      </w:r>
    </w:p>
    <w:p>
      <w:pPr>
        <w:pStyle w:val="9"/>
        <w:spacing w:line="360" w:lineRule="auto"/>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根据   年  月  日南宁市政府采购项目的采购结果，甲方接受乙方对本项目的响应，甲、乙双方同意签署本合同（以下简称合同）。</w:t>
      </w:r>
    </w:p>
    <w:p>
      <w:pPr>
        <w:pStyle w:val="9"/>
        <w:spacing w:line="360" w:lineRule="auto"/>
        <w:rPr>
          <w:rFonts w:asciiTheme="majorEastAsia" w:hAnsiTheme="majorEastAsia" w:eastAsiaTheme="majorEastAsia" w:cstheme="majorEastAsia"/>
          <w:b/>
          <w:color w:val="000000" w:themeColor="text1"/>
          <w:sz w:val="24"/>
          <w:szCs w:val="24"/>
        </w:rPr>
      </w:pP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  采购内容</w:t>
      </w:r>
    </w:p>
    <w:p>
      <w:pPr>
        <w:pStyle w:val="9"/>
        <w:tabs>
          <w:tab w:val="left" w:pos="5220"/>
        </w:tabs>
        <w:spacing w:line="360" w:lineRule="auto"/>
        <w:ind w:firstLine="480" w:firstLineChars="2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1.1 服务名称：</w:t>
      </w:r>
      <w:r>
        <w:rPr>
          <w:rFonts w:hint="eastAsia" w:asciiTheme="majorEastAsia" w:hAnsiTheme="majorEastAsia" w:eastAsiaTheme="majorEastAsia" w:cstheme="majorEastAsia"/>
          <w:color w:val="000000" w:themeColor="text1"/>
          <w:sz w:val="24"/>
          <w:szCs w:val="24"/>
          <w:u w:val="single"/>
        </w:rPr>
        <w:t xml:space="preserve">详见合同附件中响应报价表       </w:t>
      </w:r>
    </w:p>
    <w:p>
      <w:pPr>
        <w:pStyle w:val="9"/>
        <w:tabs>
          <w:tab w:val="left" w:pos="522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1.2 数量：</w:t>
      </w:r>
      <w:r>
        <w:rPr>
          <w:rFonts w:hint="eastAsia" w:asciiTheme="majorEastAsia" w:hAnsiTheme="majorEastAsia" w:eastAsiaTheme="majorEastAsia" w:cstheme="majorEastAsia"/>
          <w:color w:val="000000" w:themeColor="text1"/>
          <w:sz w:val="24"/>
          <w:szCs w:val="24"/>
          <w:u w:val="single"/>
        </w:rPr>
        <w:t xml:space="preserve">详见合同附件中响应报价表           </w:t>
      </w:r>
    </w:p>
    <w:p>
      <w:pPr>
        <w:pStyle w:val="9"/>
        <w:tabs>
          <w:tab w:val="left" w:pos="522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1.2服务内容：</w:t>
      </w:r>
      <w:r>
        <w:rPr>
          <w:rFonts w:hint="eastAsia" w:asciiTheme="majorEastAsia" w:hAnsiTheme="majorEastAsia" w:eastAsiaTheme="majorEastAsia" w:cstheme="majorEastAsia"/>
          <w:color w:val="000000" w:themeColor="text1"/>
          <w:sz w:val="24"/>
          <w:szCs w:val="24"/>
          <w:u w:val="single"/>
        </w:rPr>
        <w:t xml:space="preserve">详见合同附件中响应服务技术资料表及澄清函（响应服务技术资料表与澄清函不一致的以澄清函为准） </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2.  合同金额</w:t>
      </w:r>
    </w:p>
    <w:p>
      <w:pPr>
        <w:pStyle w:val="9"/>
        <w:spacing w:line="360" w:lineRule="auto"/>
        <w:ind w:left="2"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2.1 本合同金额为（大写）人民币</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w:t>
      </w:r>
      <w:r>
        <w:rPr>
          <w:rFonts w:hint="eastAsia" w:asciiTheme="majorEastAsia" w:hAnsiTheme="majorEastAsia" w:eastAsiaTheme="majorEastAsia" w:cstheme="majorEastAsia"/>
          <w:color w:val="000000" w:themeColor="text1"/>
          <w:sz w:val="24"/>
          <w:szCs w:val="24"/>
          <w:u w:val="single"/>
        </w:rPr>
        <w:t>　　　　　　</w:t>
      </w:r>
      <w:r>
        <w:rPr>
          <w:rFonts w:hint="eastAsia" w:asciiTheme="majorEastAsia" w:hAnsiTheme="majorEastAsia" w:eastAsiaTheme="majorEastAsia" w:cstheme="majorEastAsia"/>
          <w:color w:val="000000" w:themeColor="text1"/>
          <w:sz w:val="24"/>
          <w:szCs w:val="24"/>
        </w:rPr>
        <w:t>元）。（详见响应文件最终报价表）</w:t>
      </w:r>
    </w:p>
    <w:p>
      <w:pPr>
        <w:pStyle w:val="9"/>
        <w:tabs>
          <w:tab w:val="left" w:pos="5940"/>
        </w:tabs>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3.  提交服务成果要求</w:t>
      </w:r>
    </w:p>
    <w:p>
      <w:pPr>
        <w:pStyle w:val="9"/>
        <w:tabs>
          <w:tab w:val="left" w:pos="5220"/>
        </w:tabs>
        <w:spacing w:line="360" w:lineRule="auto"/>
        <w:ind w:firstLine="36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3.1 提交服务成果时间：</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ind w:firstLine="36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3.2 提交服务成果</w:t>
      </w:r>
      <w:r>
        <w:rPr>
          <w:rFonts w:hint="eastAsia" w:cs="宋体" w:asciiTheme="majorEastAsia" w:hAnsiTheme="majorEastAsia" w:eastAsiaTheme="majorEastAsia"/>
          <w:color w:val="000000" w:themeColor="text1"/>
          <w:sz w:val="24"/>
        </w:rPr>
        <w:t>地点</w:t>
      </w:r>
      <w:r>
        <w:rPr>
          <w:rFonts w:hint="eastAsia" w:asciiTheme="majorEastAsia" w:hAnsiTheme="majorEastAsia" w:eastAsiaTheme="majorEastAsia" w:cstheme="majorEastAsia"/>
          <w:bCs/>
          <w:color w:val="000000" w:themeColor="text1"/>
          <w:sz w:val="24"/>
          <w:szCs w:val="24"/>
        </w:rPr>
        <w:t>：</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ind w:firstLine="36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3.3 </w:t>
      </w:r>
      <w:r>
        <w:rPr>
          <w:rFonts w:hint="eastAsia" w:asciiTheme="majorEastAsia" w:hAnsiTheme="majorEastAsia" w:eastAsiaTheme="majorEastAsia" w:cstheme="majorEastAsia"/>
          <w:color w:val="000000" w:themeColor="text1"/>
          <w:sz w:val="24"/>
          <w:szCs w:val="24"/>
        </w:rPr>
        <w:t>乙方必须按响应文件承诺的服务响应条款向甲方提供服务。</w:t>
      </w:r>
    </w:p>
    <w:p>
      <w:pPr>
        <w:pStyle w:val="9"/>
        <w:spacing w:line="360" w:lineRule="auto"/>
        <w:ind w:left="410" w:hanging="410" w:hangingChars="17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
          <w:bCs/>
          <w:color w:val="000000" w:themeColor="text1"/>
          <w:sz w:val="24"/>
          <w:szCs w:val="24"/>
        </w:rPr>
        <w:t>4.  履约保证金</w:t>
      </w:r>
    </w:p>
    <w:p>
      <w:pPr>
        <w:pStyle w:val="9"/>
        <w:spacing w:line="440" w:lineRule="exact"/>
        <w:ind w:firstLine="360" w:firstLineChars="150"/>
        <w:jc w:val="left"/>
        <w:rPr>
          <w:rFonts w:asciiTheme="majorEastAsia" w:hAnsiTheme="majorEastAsia" w:eastAsiaTheme="majorEastAsia" w:cstheme="majorEastAsia"/>
          <w:color w:val="000000" w:themeColor="text1"/>
          <w:szCs w:val="28"/>
        </w:rPr>
      </w:pPr>
      <w:r>
        <w:rPr>
          <w:rFonts w:hint="eastAsia" w:asciiTheme="majorEastAsia" w:hAnsiTheme="majorEastAsia" w:eastAsiaTheme="majorEastAsia" w:cstheme="majorEastAsia"/>
          <w:color w:val="000000" w:themeColor="text1"/>
          <w:sz w:val="24"/>
          <w:szCs w:val="24"/>
        </w:rPr>
        <w:t>本项目不收取履约保证金</w:t>
      </w:r>
      <w:r>
        <w:rPr>
          <w:rFonts w:hint="eastAsia" w:asciiTheme="majorEastAsia" w:hAnsiTheme="majorEastAsia" w:eastAsiaTheme="majorEastAsia" w:cstheme="majorEastAsia"/>
          <w:color w:val="000000" w:themeColor="text1"/>
          <w:szCs w:val="28"/>
        </w:rPr>
        <w:t>。</w:t>
      </w:r>
    </w:p>
    <w:p>
      <w:pPr>
        <w:pStyle w:val="9"/>
        <w:spacing w:line="360" w:lineRule="auto"/>
        <w:ind w:left="412" w:hanging="412" w:hangingChars="171"/>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
          <w:bCs/>
          <w:color w:val="000000" w:themeColor="text1"/>
          <w:sz w:val="24"/>
          <w:szCs w:val="24"/>
        </w:rPr>
        <w:t>5.  产权</w:t>
      </w:r>
    </w:p>
    <w:p>
      <w:pPr>
        <w:pStyle w:val="9"/>
        <w:spacing w:line="360" w:lineRule="auto"/>
        <w:ind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5.1 乙方应保证所提供的服务或其任何一部分均不会侵犯任何第三方的专利权、商标权或著作权</w:t>
      </w:r>
      <w:r>
        <w:rPr>
          <w:rFonts w:hint="eastAsia" w:asciiTheme="majorEastAsia" w:hAnsiTheme="majorEastAsia" w:eastAsiaTheme="majorEastAsia" w:cstheme="majorEastAsia"/>
          <w:bCs/>
          <w:color w:val="000000" w:themeColor="text1"/>
          <w:sz w:val="24"/>
          <w:szCs w:val="24"/>
        </w:rPr>
        <w:t>。</w:t>
      </w:r>
    </w:p>
    <w:p>
      <w:pPr>
        <w:pStyle w:val="9"/>
        <w:spacing w:line="360" w:lineRule="auto"/>
        <w:ind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9"/>
        <w:spacing w:line="360" w:lineRule="auto"/>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
          <w:bCs/>
          <w:color w:val="000000" w:themeColor="text1"/>
          <w:sz w:val="24"/>
          <w:szCs w:val="24"/>
        </w:rPr>
        <w:t>6.  技术资料</w:t>
      </w:r>
    </w:p>
    <w:p>
      <w:pPr>
        <w:pStyle w:val="9"/>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6.1 甲方应向乙方提供提交服务成果所必需的有关数据、资料等。</w:t>
      </w:r>
    </w:p>
    <w:p>
      <w:pPr>
        <w:pStyle w:val="9"/>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7.  验收</w:t>
      </w:r>
    </w:p>
    <w:p>
      <w:pPr>
        <w:pStyle w:val="9"/>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7.1 乙方应对提交的服务成果作出全面检查和整理，并列出清单，作为甲方验收和使用的技术条件依据，清单应随提交的服务成果交给甲方。</w:t>
      </w:r>
    </w:p>
    <w:p>
      <w:pPr>
        <w:pStyle w:val="9"/>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7.2 乙方在指定地点提交服务成果后，甲方应在五个工作日内依据竞争性磋商采购文件、乙方的响应文件等组织验收，验收完毕后作出书面验收报告。验收时乙方必须在现场。</w:t>
      </w:r>
    </w:p>
    <w:p>
      <w:pPr>
        <w:pStyle w:val="9"/>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7.3 对复杂的服务，甲方可请国家认可的专业机构参与验收，并由其出具验收报告，相关费用由甲方承担。</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8.  合同款支付</w:t>
      </w:r>
    </w:p>
    <w:p>
      <w:pPr>
        <w:tabs>
          <w:tab w:val="left" w:pos="2101"/>
        </w:tabs>
        <w:spacing w:line="360" w:lineRule="auto"/>
        <w:ind w:firstLine="480" w:firstLineChars="200"/>
        <w:rPr>
          <w:rFonts w:asciiTheme="majorEastAsia" w:hAnsiTheme="majorEastAsia" w:eastAsiaTheme="majorEastAsia" w:cstheme="majorEastAsia"/>
          <w:color w:val="000000" w:themeColor="text1"/>
          <w:sz w:val="24"/>
          <w:u w:val="single"/>
        </w:rPr>
      </w:pPr>
      <w:r>
        <w:rPr>
          <w:rFonts w:hint="eastAsia" w:asciiTheme="majorEastAsia" w:hAnsiTheme="majorEastAsia" w:eastAsiaTheme="majorEastAsia" w:cstheme="majorEastAsia"/>
          <w:bCs/>
          <w:color w:val="000000" w:themeColor="text1"/>
          <w:sz w:val="24"/>
        </w:rPr>
        <w:t>8.1 付款方式：</w:t>
      </w:r>
      <w:r>
        <w:rPr>
          <w:rFonts w:hint="eastAsia" w:asciiTheme="majorEastAsia" w:hAnsiTheme="majorEastAsia" w:eastAsiaTheme="majorEastAsia" w:cstheme="majorEastAsia"/>
          <w:bCs/>
          <w:color w:val="000000" w:themeColor="text1"/>
          <w:sz w:val="24"/>
          <w:u w:val="single"/>
        </w:rPr>
        <w:t xml:space="preserve"> 本项目无预付款，成交供应商完成开发，提交验收材料并通过采购人确认合格后，采购人向成交供应商一次性支付合同全款。</w:t>
      </w:r>
    </w:p>
    <w:p>
      <w:pPr>
        <w:pStyle w:val="9"/>
        <w:tabs>
          <w:tab w:val="left" w:pos="5145"/>
          <w:tab w:val="left" w:pos="5355"/>
          <w:tab w:val="left" w:pos="6195"/>
        </w:tabs>
        <w:spacing w:line="360" w:lineRule="auto"/>
        <w:ind w:firstLine="480" w:firstLineChars="200"/>
        <w:rPr>
          <w:rFonts w:asciiTheme="majorEastAsia" w:hAnsiTheme="majorEastAsia" w:eastAsiaTheme="majorEastAsia" w:cstheme="majorEastAsia"/>
          <w:bCs/>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9"/>
        <w:tabs>
          <w:tab w:val="left" w:pos="5145"/>
          <w:tab w:val="left" w:pos="5355"/>
          <w:tab w:val="left" w:pos="6195"/>
        </w:tabs>
        <w:spacing w:line="360" w:lineRule="auto"/>
        <w:ind w:firstLine="480" w:firstLineChars="200"/>
        <w:rPr>
          <w:rFonts w:asciiTheme="majorEastAsia" w:hAnsiTheme="majorEastAsia" w:eastAsiaTheme="majorEastAsia" w:cstheme="majorEastAsia"/>
          <w:bCs/>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8.3 政府采购监督管理部门在处理投诉事项期间，可以视具体情况书面通知采购人暂停采购活动</w:t>
      </w:r>
      <w:r>
        <w:rPr>
          <w:rFonts w:hint="eastAsia" w:asciiTheme="majorEastAsia" w:hAnsiTheme="majorEastAsia" w:eastAsiaTheme="majorEastAsia" w:cstheme="majorEastAsia"/>
          <w:bCs/>
          <w:color w:val="000000" w:themeColor="text1"/>
          <w:sz w:val="24"/>
          <w:szCs w:val="24"/>
        </w:rPr>
        <w:t>，并延期支付合同款。</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9.  售后服务要求</w:t>
      </w:r>
    </w:p>
    <w:p>
      <w:pPr>
        <w:pStyle w:val="9"/>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9.1 乙方提供服务的质量保证期为：</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（自提交服务验收合格之日起计）</w:t>
      </w:r>
    </w:p>
    <w:p>
      <w:pPr>
        <w:pStyle w:val="9"/>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9.2在本合同第9.1项约定的质量保证期内，乙方应对服务出现的问题负责处理解决并承担一切费用。</w:t>
      </w:r>
    </w:p>
    <w:p>
      <w:pPr>
        <w:pStyle w:val="9"/>
        <w:tabs>
          <w:tab w:val="left" w:pos="5250"/>
        </w:tabs>
        <w:spacing w:line="360" w:lineRule="auto"/>
        <w:ind w:firstLine="480" w:firstLineChars="2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9.5 其他售后服务要求：</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10.  违约责任</w:t>
      </w:r>
    </w:p>
    <w:p>
      <w:pPr>
        <w:pStyle w:val="9"/>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10.1甲方无正当理由拒收服务的，甲方向乙方偿付拒收服务费总值的百分之五违约金。</w:t>
      </w:r>
    </w:p>
    <w:p>
      <w:pPr>
        <w:pStyle w:val="9"/>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10.2 甲方无故逾期接收和办理服务费支付手续的,甲方应按逾期付款总额每日万分之五向乙方支付违约金。</w:t>
      </w:r>
    </w:p>
    <w:p>
      <w:pPr>
        <w:pStyle w:val="9"/>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10.3 乙方逾期交付服务的，乙方应按逾期提供服务总额每日千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11.  不可抗力事件处理</w:t>
      </w:r>
    </w:p>
    <w:p>
      <w:pPr>
        <w:pStyle w:val="9"/>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11.1 在合同有效期内，任何一方因不可抗力事件导致不能履行合同，则合同履行期可延长，其延长期与不可抗力影响期相同。</w:t>
      </w:r>
    </w:p>
    <w:p>
      <w:pPr>
        <w:pStyle w:val="9"/>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11.2 不可抗力事件发生后，应立即通知对方，并寄送有关权威机构出具的证明。</w:t>
      </w:r>
    </w:p>
    <w:p>
      <w:pPr>
        <w:pStyle w:val="9"/>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11.3 不可抗力事件延续120天以上，双方应通过友好协商，确定是否继续履行合同。</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12.  诉讼</w:t>
      </w:r>
    </w:p>
    <w:p>
      <w:pPr>
        <w:pStyle w:val="9"/>
        <w:tabs>
          <w:tab w:val="left" w:pos="0"/>
        </w:tabs>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12.1 双方在执行合同中所发生的一切争议，应通过协商解决。如协商不成，可向合同签订地法院起诉，合同签订地在此约定为广西南宁市。</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13.  合同生效及其它</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13.1 合同经双方法定代表人或授权委托代理人签字并加盖单位公章后生效。</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13.2 合同执行中涉及采购资金和采购内容修改或补充的，须经市财政部门审批，并签书面补充协议报南宁市政府采购监督管理部门备案，方可作为主合同不可分割的一部分。</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13.3 下述合同附件为本合同不可分割的部分并与本合同具有同等效力：</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（1）成交通知书；</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（2）竞争性磋商采购文件服务需求一览表；</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（3）竞争性磋商采购文件的澄清和修改；</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（4）响应文件报价表、响应文件最后报价表；</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（5）响应文件中的服务技术资料表、商务条款偏离表；</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（6）成交供应商澄清函；</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（7）其他与本合同相关的资料。</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13.4 本合同未尽事宜，遵照《中华人民共和国合同法》有关条文执行。</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rPr>
        <w:t>13.5本合同正本一式</w:t>
      </w:r>
      <w:r>
        <w:rPr>
          <w:rFonts w:hint="eastAsia" w:asciiTheme="majorEastAsia" w:hAnsiTheme="majorEastAsia" w:eastAsiaTheme="majorEastAsia" w:cstheme="majorEastAsia"/>
          <w:b/>
          <w:color w:val="000000" w:themeColor="text1"/>
          <w:sz w:val="24"/>
        </w:rPr>
        <w:t>陆份</w:t>
      </w:r>
      <w:r>
        <w:rPr>
          <w:rFonts w:hint="eastAsia" w:asciiTheme="majorEastAsia" w:hAnsiTheme="majorEastAsia" w:eastAsiaTheme="majorEastAsia" w:cstheme="majorEastAsia"/>
          <w:color w:val="000000" w:themeColor="text1"/>
          <w:sz w:val="24"/>
        </w:rPr>
        <w:t>，具有同等法律效力，甲乙双方各执</w:t>
      </w:r>
      <w:r>
        <w:rPr>
          <w:rFonts w:hint="eastAsia" w:asciiTheme="majorEastAsia" w:hAnsiTheme="majorEastAsia" w:eastAsiaTheme="majorEastAsia" w:cstheme="majorEastAsia"/>
          <w:b/>
          <w:color w:val="000000" w:themeColor="text1"/>
          <w:sz w:val="24"/>
        </w:rPr>
        <w:t>叁份</w:t>
      </w:r>
      <w:r>
        <w:rPr>
          <w:rFonts w:hint="eastAsia" w:asciiTheme="majorEastAsia" w:hAnsiTheme="majorEastAsia" w:eastAsiaTheme="majorEastAsia" w:cstheme="majorEastAsia"/>
          <w:color w:val="000000" w:themeColor="text1"/>
          <w:sz w:val="24"/>
        </w:rPr>
        <w:t>；副本</w:t>
      </w:r>
      <w:r>
        <w:rPr>
          <w:rFonts w:hint="eastAsia" w:asciiTheme="majorEastAsia" w:hAnsiTheme="majorEastAsia" w:eastAsiaTheme="majorEastAsia" w:cstheme="majorEastAsia"/>
          <w:b/>
          <w:color w:val="000000" w:themeColor="text1"/>
          <w:sz w:val="24"/>
        </w:rPr>
        <w:t>肆份</w:t>
      </w:r>
      <w:r>
        <w:rPr>
          <w:rFonts w:hint="eastAsia" w:asciiTheme="majorEastAsia" w:hAnsiTheme="majorEastAsia" w:eastAsiaTheme="majorEastAsia" w:cstheme="majorEastAsia"/>
          <w:color w:val="000000" w:themeColor="text1"/>
          <w:sz w:val="24"/>
        </w:rPr>
        <w:t>，甲乙双方各执</w:t>
      </w:r>
      <w:r>
        <w:rPr>
          <w:rFonts w:hint="eastAsia" w:asciiTheme="majorEastAsia" w:hAnsiTheme="majorEastAsia" w:eastAsiaTheme="majorEastAsia" w:cstheme="majorEastAsia"/>
          <w:b/>
          <w:color w:val="000000" w:themeColor="text1"/>
          <w:sz w:val="24"/>
        </w:rPr>
        <w:t>壹份</w:t>
      </w:r>
      <w:r>
        <w:rPr>
          <w:rFonts w:hint="eastAsia" w:asciiTheme="majorEastAsia" w:hAnsiTheme="majorEastAsia" w:eastAsiaTheme="majorEastAsia" w:cstheme="majorEastAsia"/>
          <w:color w:val="000000" w:themeColor="text1"/>
          <w:sz w:val="24"/>
        </w:rPr>
        <w:t>，采购代理</w:t>
      </w:r>
      <w:r>
        <w:rPr>
          <w:rFonts w:hint="eastAsia" w:asciiTheme="majorEastAsia" w:hAnsiTheme="majorEastAsia" w:eastAsiaTheme="majorEastAsia" w:cstheme="majorEastAsia"/>
          <w:b/>
          <w:color w:val="000000" w:themeColor="text1"/>
          <w:sz w:val="24"/>
        </w:rPr>
        <w:t>贰份</w:t>
      </w:r>
      <w:r>
        <w:rPr>
          <w:rFonts w:hint="eastAsia" w:asciiTheme="majorEastAsia" w:hAnsiTheme="majorEastAsia" w:eastAsiaTheme="majorEastAsia" w:cstheme="majorEastAsia"/>
          <w:color w:val="000000" w:themeColor="text1"/>
          <w:sz w:val="24"/>
          <w:szCs w:val="24"/>
        </w:rPr>
        <w:t>。自合同签订之日起2个工作日内由成交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spacing w:line="360" w:lineRule="auto"/>
        <w:rPr>
          <w:rFonts w:asciiTheme="majorEastAsia" w:hAnsiTheme="majorEastAsia" w:eastAsiaTheme="majorEastAsia" w:cstheme="majorEastAsia"/>
          <w:color w:val="000000" w:themeColor="text1"/>
          <w:sz w:val="24"/>
        </w:rPr>
      </w:pPr>
    </w:p>
    <w:p>
      <w:pPr>
        <w:pStyle w:val="9"/>
        <w:spacing w:line="360" w:lineRule="auto"/>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甲方：</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乙方：</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地址：</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地址：</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法定代表人：</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法定代表人：</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委托代理人：</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委托代理人：</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电话：</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电话：</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传真：</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传真：</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邮政编码：</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邮政编码：</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ind w:firstLine="5520" w:firstLineChars="2300"/>
        <w:rPr>
          <w:rFonts w:asciiTheme="majorEastAsia" w:hAnsiTheme="majorEastAsia" w:eastAsiaTheme="majorEastAsia" w:cstheme="majorEastAsia"/>
          <w:color w:val="000000" w:themeColor="text1"/>
          <w:u w:val="single"/>
        </w:rPr>
      </w:pPr>
      <w:r>
        <w:rPr>
          <w:rFonts w:hint="eastAsia" w:asciiTheme="majorEastAsia" w:hAnsiTheme="majorEastAsia" w:eastAsiaTheme="majorEastAsia" w:cstheme="majorEastAsia"/>
          <w:color w:val="000000" w:themeColor="text1"/>
          <w:sz w:val="24"/>
          <w:szCs w:val="24"/>
        </w:rPr>
        <w:t>统一社会代码：</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u w:val="single"/>
        </w:rPr>
        <w:t xml:space="preserve">                      </w:t>
      </w:r>
    </w:p>
    <w:p>
      <w:pPr>
        <w:pStyle w:val="9"/>
        <w:spacing w:line="360" w:lineRule="auto"/>
        <w:ind w:firstLine="5520" w:firstLineChars="23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开户银行：</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ind w:firstLine="5520" w:firstLineChars="23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开户名称：</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ind w:firstLine="5520" w:firstLineChars="23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银行账号：</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rPr>
          <w:rFonts w:asciiTheme="majorEastAsia" w:hAnsiTheme="majorEastAsia" w:eastAsiaTheme="majorEastAsia" w:cstheme="majorEastAsia"/>
          <w:color w:val="000000" w:themeColor="text1"/>
          <w:sz w:val="24"/>
          <w:szCs w:val="24"/>
        </w:rPr>
      </w:pP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合同签订地点：广西南宁市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合同签订日期：</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年</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月</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日</w:t>
      </w:r>
    </w:p>
    <w:p>
      <w:pPr>
        <w:pStyle w:val="9"/>
        <w:spacing w:line="360" w:lineRule="auto"/>
        <w:rPr>
          <w:rFonts w:asciiTheme="majorEastAsia" w:hAnsiTheme="majorEastAsia" w:eastAsiaTheme="majorEastAsia" w:cstheme="majorEastAsia"/>
          <w:color w:val="000000" w:themeColor="text1"/>
          <w:sz w:val="24"/>
          <w:szCs w:val="24"/>
        </w:rPr>
      </w:pPr>
    </w:p>
    <w:p>
      <w:pPr>
        <w:rPr>
          <w:rFonts w:asciiTheme="majorEastAsia" w:hAnsiTheme="majorEastAsia" w:eastAsiaTheme="majorEastAsia"/>
        </w:rPr>
      </w:pPr>
    </w:p>
    <w:sectPr>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FangSong_GB2312">
    <w:altName w:val="仿宋"/>
    <w:panose1 w:val="02010609060101010101"/>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3</w:t>
    </w:r>
    <w:r>
      <w:rPr>
        <w:lang w:val="zh-CN"/>
      </w:rPr>
      <w:fldChar w:fldCharType="end"/>
    </w:r>
  </w:p>
  <w:p>
    <w:pPr>
      <w:pStyle w:val="1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6954"/>
    </w:sdtPr>
    <w:sdtContent>
      <w:p>
        <w:pPr>
          <w:pStyle w:val="11"/>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11"/>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ArCdW41AEAAKUDAAAOAAAAAAAAAAEAIAAAAB8B&#10;AABkcnMvZTJvRG9jLnhtbFBLBQYAAAAABgAGAFkBAABlBQ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54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utlineLvl w:val="0"/>
      <w:rPr>
        <w:rFonts w:asciiTheme="minorEastAsia" w:hAnsiTheme="minorEastAsia" w:eastAsiaTheme="minorEastAsia"/>
        <w:b/>
        <w:color w:val="000000" w:themeColor="text1"/>
        <w:sz w:val="16"/>
        <w:szCs w:val="16"/>
        <w:u w:val="single"/>
      </w:rPr>
    </w:pPr>
    <w:r>
      <w:rPr>
        <w:rFonts w:hint="eastAsia" w:asciiTheme="minorEastAsia" w:hAnsiTheme="minorEastAsia" w:eastAsiaTheme="minorEastAsia"/>
        <w:b/>
        <w:color w:val="000000" w:themeColor="text1"/>
        <w:sz w:val="16"/>
        <w:szCs w:val="16"/>
        <w:u w:val="single"/>
      </w:rPr>
      <w:t xml:space="preserve">项目名称：南宁市物业服务管理平台                                                    项目编号：NNZC2020-C3-990368-GXYZ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right"/>
      <w:rPr>
        <w:rFonts w:ascii="宋体" w:hAnsi="宋体"/>
        <w:color w:val="0D0D0D"/>
        <w:szCs w:val="21"/>
      </w:rPr>
    </w:pPr>
    <w:r>
      <w:rPr>
        <w:rFonts w:ascii="宋体" w:cs="宋体"/>
        <w:b/>
        <w:szCs w:val="21"/>
      </w:rPr>
      <w:drawing>
        <wp:inline distT="0" distB="0" distL="114300" distR="114300">
          <wp:extent cx="332740" cy="332740"/>
          <wp:effectExtent l="0" t="0" r="10160" b="10160"/>
          <wp:docPr id="1" name="图片 1" descr="af2a504d3d9e3c99805d76a7617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f2a504d3d9e3c99805d76a76177922"/>
                  <pic:cNvPicPr>
                    <a:picLocks noChangeAspect="1"/>
                  </pic:cNvPicPr>
                </pic:nvPicPr>
                <pic:blipFill>
                  <a:blip r:embed="rId1"/>
                  <a:stretch>
                    <a:fillRect/>
                  </a:stretch>
                </pic:blipFill>
                <pic:spPr>
                  <a:xfrm>
                    <a:off x="0" y="0"/>
                    <a:ext cx="332740" cy="332740"/>
                  </a:xfrm>
                  <a:prstGeom prst="rect">
                    <a:avLst/>
                  </a:prstGeom>
                  <a:noFill/>
                  <a:ln>
                    <a:noFill/>
                  </a:ln>
                </pic:spPr>
              </pic:pic>
            </a:graphicData>
          </a:graphic>
        </wp:inline>
      </w:drawing>
    </w:r>
    <w:r>
      <w:rPr>
        <w:rFonts w:hint="eastAsia" w:ascii="宋体" w:hAnsi="宋体" w:cs="宋体"/>
        <w:b/>
        <w:szCs w:val="21"/>
      </w:rPr>
      <w:t>广西邕政采购代理有限公司</w:t>
    </w:r>
  </w:p>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outlineLvl w:val="0"/>
      <w:rPr>
        <w:rFonts w:asciiTheme="minorEastAsia" w:hAnsiTheme="minorEastAsia" w:eastAsiaTheme="minorEastAsia"/>
        <w:b/>
        <w:color w:val="000000" w:themeColor="text1"/>
        <w:sz w:val="16"/>
        <w:szCs w:val="16"/>
        <w:u w:val="single"/>
      </w:rPr>
    </w:pPr>
    <w:r>
      <w:rPr>
        <w:rFonts w:hint="eastAsia" w:asciiTheme="minorEastAsia" w:hAnsiTheme="minorEastAsia" w:eastAsiaTheme="minorEastAsia"/>
        <w:b/>
        <w:color w:val="000000" w:themeColor="text1"/>
        <w:sz w:val="16"/>
        <w:szCs w:val="16"/>
        <w:u w:val="single"/>
      </w:rPr>
      <w:t>项目名称：南宁市物业服务管理平台                                                      项目编号：NNZC2020-C3-990368-GXYZ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10F8CC"/>
    <w:multiLevelType w:val="singleLevel"/>
    <w:tmpl w:val="9A10F8CC"/>
    <w:lvl w:ilvl="0" w:tentative="0">
      <w:start w:val="2"/>
      <w:numFmt w:val="decimal"/>
      <w:suff w:val="nothing"/>
      <w:lvlText w:val="%1、"/>
      <w:lvlJc w:val="left"/>
    </w:lvl>
  </w:abstractNum>
  <w:abstractNum w:abstractNumId="1">
    <w:nsid w:val="B42D51D7"/>
    <w:multiLevelType w:val="singleLevel"/>
    <w:tmpl w:val="B42D51D7"/>
    <w:lvl w:ilvl="0" w:tentative="0">
      <w:start w:val="1"/>
      <w:numFmt w:val="decimal"/>
      <w:suff w:val="nothing"/>
      <w:lvlText w:val="%1、"/>
      <w:lvlJc w:val="left"/>
    </w:lvl>
  </w:abstractNum>
  <w:abstractNum w:abstractNumId="2">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pStyle w:val="4"/>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1338FE03"/>
    <w:multiLevelType w:val="singleLevel"/>
    <w:tmpl w:val="1338FE03"/>
    <w:lvl w:ilvl="0" w:tentative="0">
      <w:start w:val="1"/>
      <w:numFmt w:val="decimal"/>
      <w:suff w:val="nothing"/>
      <w:lvlText w:val="%1、"/>
      <w:lvlJc w:val="left"/>
    </w:lvl>
  </w:abstractNum>
  <w:abstractNum w:abstractNumId="4">
    <w:nsid w:val="18373D03"/>
    <w:multiLevelType w:val="singleLevel"/>
    <w:tmpl w:val="18373D03"/>
    <w:lvl w:ilvl="0" w:tentative="0">
      <w:start w:val="1"/>
      <w:numFmt w:val="decimal"/>
      <w:suff w:val="nothing"/>
      <w:lvlText w:val="%1、"/>
      <w:lvlJc w:val="left"/>
    </w:lvl>
  </w:abstractNum>
  <w:abstractNum w:abstractNumId="5">
    <w:nsid w:val="20B6157B"/>
    <w:multiLevelType w:val="multilevel"/>
    <w:tmpl w:val="20B6157B"/>
    <w:lvl w:ilvl="0" w:tentative="0">
      <w:start w:val="1"/>
      <w:numFmt w:val="decimal"/>
      <w:lvlText w:val="%1、"/>
      <w:lvlJc w:val="left"/>
      <w:pPr>
        <w:tabs>
          <w:tab w:val="left" w:pos="1778"/>
        </w:tabs>
        <w:ind w:left="1778"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371C93A9"/>
    <w:multiLevelType w:val="singleLevel"/>
    <w:tmpl w:val="371C93A9"/>
    <w:lvl w:ilvl="0" w:tentative="0">
      <w:start w:val="1"/>
      <w:numFmt w:val="decimal"/>
      <w:suff w:val="nothing"/>
      <w:lvlText w:val="%1、"/>
      <w:lvlJc w:val="left"/>
    </w:lvl>
  </w:abstractNum>
  <w:num w:numId="1">
    <w:abstractNumId w:val="2"/>
  </w:num>
  <w:num w:numId="2">
    <w:abstractNumId w:val="8"/>
  </w:num>
  <w:num w:numId="3">
    <w:abstractNumId w:val="3"/>
  </w:num>
  <w:num w:numId="4">
    <w:abstractNumId w:val="1"/>
  </w:num>
  <w:num w:numId="5">
    <w:abstractNumId w:val="4"/>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readOnly" w:enforcement="1" w:cryptProviderType="rsaFull" w:cryptAlgorithmClass="hash" w:cryptAlgorithmType="typeAny" w:cryptAlgorithmSid="4" w:cryptSpinCount="0" w:hash="wXFuzHQP29JUrMhB52FH9rQ8N0s=" w:salt="VsAyzqHSfLlf4MIXKBz5+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66F739B"/>
    <w:rsid w:val="00024D9F"/>
    <w:rsid w:val="000432F7"/>
    <w:rsid w:val="00053129"/>
    <w:rsid w:val="00085A7C"/>
    <w:rsid w:val="000B32BA"/>
    <w:rsid w:val="001A6919"/>
    <w:rsid w:val="001B40F2"/>
    <w:rsid w:val="001B5FE3"/>
    <w:rsid w:val="001C01C1"/>
    <w:rsid w:val="0023052C"/>
    <w:rsid w:val="003266DA"/>
    <w:rsid w:val="0034558D"/>
    <w:rsid w:val="00377C36"/>
    <w:rsid w:val="003A4EF0"/>
    <w:rsid w:val="0041253C"/>
    <w:rsid w:val="004342D2"/>
    <w:rsid w:val="00435D49"/>
    <w:rsid w:val="004C7E68"/>
    <w:rsid w:val="005026EC"/>
    <w:rsid w:val="005051E3"/>
    <w:rsid w:val="005F0CD2"/>
    <w:rsid w:val="006154C5"/>
    <w:rsid w:val="0061637A"/>
    <w:rsid w:val="00680DBA"/>
    <w:rsid w:val="00683547"/>
    <w:rsid w:val="00695049"/>
    <w:rsid w:val="00697F93"/>
    <w:rsid w:val="00705517"/>
    <w:rsid w:val="0072386A"/>
    <w:rsid w:val="0077180D"/>
    <w:rsid w:val="00866E09"/>
    <w:rsid w:val="008920DA"/>
    <w:rsid w:val="008A2447"/>
    <w:rsid w:val="008D7FFE"/>
    <w:rsid w:val="008E3C20"/>
    <w:rsid w:val="00943EF0"/>
    <w:rsid w:val="00987E2F"/>
    <w:rsid w:val="00994A71"/>
    <w:rsid w:val="009C0A12"/>
    <w:rsid w:val="009D2F88"/>
    <w:rsid w:val="00A07B9C"/>
    <w:rsid w:val="00A210FC"/>
    <w:rsid w:val="00A721CB"/>
    <w:rsid w:val="00AE33B5"/>
    <w:rsid w:val="00B32633"/>
    <w:rsid w:val="00B40C2C"/>
    <w:rsid w:val="00B56C0D"/>
    <w:rsid w:val="00B705B4"/>
    <w:rsid w:val="00B934EB"/>
    <w:rsid w:val="00B94FD4"/>
    <w:rsid w:val="00BE1296"/>
    <w:rsid w:val="00C608C8"/>
    <w:rsid w:val="00C60A4A"/>
    <w:rsid w:val="00C933DC"/>
    <w:rsid w:val="00CA544C"/>
    <w:rsid w:val="00CB6E9B"/>
    <w:rsid w:val="00CC3E7E"/>
    <w:rsid w:val="00CF33EA"/>
    <w:rsid w:val="00D04D12"/>
    <w:rsid w:val="00D21A9C"/>
    <w:rsid w:val="00D30457"/>
    <w:rsid w:val="00D31948"/>
    <w:rsid w:val="00D70CAE"/>
    <w:rsid w:val="00D90B82"/>
    <w:rsid w:val="00DA7796"/>
    <w:rsid w:val="00DC16E1"/>
    <w:rsid w:val="00DF6F2F"/>
    <w:rsid w:val="00E1262B"/>
    <w:rsid w:val="00E247FA"/>
    <w:rsid w:val="00E561D8"/>
    <w:rsid w:val="00E8274F"/>
    <w:rsid w:val="00E84001"/>
    <w:rsid w:val="00EA58CF"/>
    <w:rsid w:val="00EC201F"/>
    <w:rsid w:val="00ED18E4"/>
    <w:rsid w:val="00EF0430"/>
    <w:rsid w:val="00F94EE1"/>
    <w:rsid w:val="01476179"/>
    <w:rsid w:val="025D606C"/>
    <w:rsid w:val="02682DA6"/>
    <w:rsid w:val="0311203F"/>
    <w:rsid w:val="04EE591F"/>
    <w:rsid w:val="058D0A4C"/>
    <w:rsid w:val="05B31345"/>
    <w:rsid w:val="083400AC"/>
    <w:rsid w:val="085561FF"/>
    <w:rsid w:val="0A49209C"/>
    <w:rsid w:val="0B79019E"/>
    <w:rsid w:val="0D4737A8"/>
    <w:rsid w:val="0E35212B"/>
    <w:rsid w:val="0E4A5BFC"/>
    <w:rsid w:val="0EB914D4"/>
    <w:rsid w:val="0F4B7D2A"/>
    <w:rsid w:val="0F552FFC"/>
    <w:rsid w:val="1182700E"/>
    <w:rsid w:val="119B152C"/>
    <w:rsid w:val="11D84B27"/>
    <w:rsid w:val="12464C1C"/>
    <w:rsid w:val="12801FAA"/>
    <w:rsid w:val="12F72574"/>
    <w:rsid w:val="139A3E60"/>
    <w:rsid w:val="13AA14DB"/>
    <w:rsid w:val="14A94DBC"/>
    <w:rsid w:val="152C74D3"/>
    <w:rsid w:val="15327DB4"/>
    <w:rsid w:val="167C1841"/>
    <w:rsid w:val="16AC3696"/>
    <w:rsid w:val="192705CF"/>
    <w:rsid w:val="192B2312"/>
    <w:rsid w:val="1A0D3202"/>
    <w:rsid w:val="1A193D20"/>
    <w:rsid w:val="1A50195F"/>
    <w:rsid w:val="1AA0222D"/>
    <w:rsid w:val="1C23702D"/>
    <w:rsid w:val="1D425AA9"/>
    <w:rsid w:val="1E075742"/>
    <w:rsid w:val="1E542989"/>
    <w:rsid w:val="1F593428"/>
    <w:rsid w:val="21DF6BD0"/>
    <w:rsid w:val="226E4327"/>
    <w:rsid w:val="244933C0"/>
    <w:rsid w:val="2490418A"/>
    <w:rsid w:val="24C03F0A"/>
    <w:rsid w:val="24EC692B"/>
    <w:rsid w:val="2513041D"/>
    <w:rsid w:val="25D05A00"/>
    <w:rsid w:val="26A77876"/>
    <w:rsid w:val="27C124AD"/>
    <w:rsid w:val="29AE1B23"/>
    <w:rsid w:val="2A3A7028"/>
    <w:rsid w:val="2C71603E"/>
    <w:rsid w:val="2D4F4033"/>
    <w:rsid w:val="2E0E0ACC"/>
    <w:rsid w:val="2E8C02E1"/>
    <w:rsid w:val="30423579"/>
    <w:rsid w:val="31375325"/>
    <w:rsid w:val="318E11FE"/>
    <w:rsid w:val="31B7446D"/>
    <w:rsid w:val="3200053D"/>
    <w:rsid w:val="32554FAD"/>
    <w:rsid w:val="32D058DD"/>
    <w:rsid w:val="32D83F95"/>
    <w:rsid w:val="333E4947"/>
    <w:rsid w:val="33A27A9E"/>
    <w:rsid w:val="33DA3176"/>
    <w:rsid w:val="344A1F6B"/>
    <w:rsid w:val="3509018A"/>
    <w:rsid w:val="35241260"/>
    <w:rsid w:val="359308A7"/>
    <w:rsid w:val="35B956BD"/>
    <w:rsid w:val="36323856"/>
    <w:rsid w:val="366F739B"/>
    <w:rsid w:val="369F3368"/>
    <w:rsid w:val="36BB5952"/>
    <w:rsid w:val="36F12C9A"/>
    <w:rsid w:val="38BB46C5"/>
    <w:rsid w:val="3A27786D"/>
    <w:rsid w:val="3B3218AD"/>
    <w:rsid w:val="3C0C5142"/>
    <w:rsid w:val="3CCB74BB"/>
    <w:rsid w:val="3D2A2A35"/>
    <w:rsid w:val="3E0E742D"/>
    <w:rsid w:val="3EE44E28"/>
    <w:rsid w:val="3FB32381"/>
    <w:rsid w:val="40476D59"/>
    <w:rsid w:val="410E37D9"/>
    <w:rsid w:val="42BD67C5"/>
    <w:rsid w:val="44503016"/>
    <w:rsid w:val="44E767D7"/>
    <w:rsid w:val="48976E40"/>
    <w:rsid w:val="48F40B44"/>
    <w:rsid w:val="49BD214C"/>
    <w:rsid w:val="4A532ECA"/>
    <w:rsid w:val="4A5B4721"/>
    <w:rsid w:val="4B1056C5"/>
    <w:rsid w:val="4D0577C0"/>
    <w:rsid w:val="51313C94"/>
    <w:rsid w:val="527346A4"/>
    <w:rsid w:val="52CF34D3"/>
    <w:rsid w:val="52CF55BD"/>
    <w:rsid w:val="535167B0"/>
    <w:rsid w:val="554C56FC"/>
    <w:rsid w:val="563B47AD"/>
    <w:rsid w:val="568A57DA"/>
    <w:rsid w:val="56A777E0"/>
    <w:rsid w:val="56DD5E95"/>
    <w:rsid w:val="57697A99"/>
    <w:rsid w:val="57D50164"/>
    <w:rsid w:val="596C6F4A"/>
    <w:rsid w:val="59EB2798"/>
    <w:rsid w:val="5AA14481"/>
    <w:rsid w:val="5D0B0FC3"/>
    <w:rsid w:val="5D0C3903"/>
    <w:rsid w:val="5D4E044B"/>
    <w:rsid w:val="5EBD36FB"/>
    <w:rsid w:val="5ED129F8"/>
    <w:rsid w:val="5F670F26"/>
    <w:rsid w:val="5F704A31"/>
    <w:rsid w:val="609C565B"/>
    <w:rsid w:val="60E06998"/>
    <w:rsid w:val="60E92C84"/>
    <w:rsid w:val="62360514"/>
    <w:rsid w:val="646B69A7"/>
    <w:rsid w:val="65250017"/>
    <w:rsid w:val="676C32FB"/>
    <w:rsid w:val="682334EA"/>
    <w:rsid w:val="68706A52"/>
    <w:rsid w:val="68FD661D"/>
    <w:rsid w:val="690E229C"/>
    <w:rsid w:val="69B67C51"/>
    <w:rsid w:val="6A346E25"/>
    <w:rsid w:val="6BE236CD"/>
    <w:rsid w:val="6D2A5503"/>
    <w:rsid w:val="6D3A06B4"/>
    <w:rsid w:val="6F6B1E53"/>
    <w:rsid w:val="6F883D93"/>
    <w:rsid w:val="6FDA342A"/>
    <w:rsid w:val="70003322"/>
    <w:rsid w:val="70BD1314"/>
    <w:rsid w:val="70EE4854"/>
    <w:rsid w:val="7112379E"/>
    <w:rsid w:val="713A3D57"/>
    <w:rsid w:val="728315A1"/>
    <w:rsid w:val="72A97EA5"/>
    <w:rsid w:val="74502C29"/>
    <w:rsid w:val="76931D5E"/>
    <w:rsid w:val="778340A1"/>
    <w:rsid w:val="77D958CB"/>
    <w:rsid w:val="77DA4C1D"/>
    <w:rsid w:val="78951C87"/>
    <w:rsid w:val="78D0745D"/>
    <w:rsid w:val="78EB44E6"/>
    <w:rsid w:val="79EA0736"/>
    <w:rsid w:val="7A51613A"/>
    <w:rsid w:val="7A656099"/>
    <w:rsid w:val="7AA45E39"/>
    <w:rsid w:val="7ECB34A5"/>
    <w:rsid w:val="7F305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adjustRightInd w:val="0"/>
      <w:spacing w:before="120" w:line="360" w:lineRule="auto"/>
      <w:ind w:left="284"/>
      <w:textAlignment w:val="baseline"/>
      <w:outlineLvl w:val="0"/>
    </w:pPr>
    <w:rPr>
      <w:rFonts w:eastAsia="黑体"/>
      <w:color w:val="000000"/>
      <w:kern w:val="44"/>
      <w:sz w:val="36"/>
      <w:szCs w:val="20"/>
    </w:rPr>
  </w:style>
  <w:style w:type="paragraph" w:styleId="4">
    <w:name w:val="heading 4"/>
    <w:basedOn w:val="1"/>
    <w:next w:val="1"/>
    <w:qFormat/>
    <w:uiPriority w:val="99"/>
    <w:pPr>
      <w:numPr>
        <w:ilvl w:val="3"/>
        <w:numId w:val="1"/>
      </w:numPr>
      <w:adjustRightInd w:val="0"/>
      <w:spacing w:before="120" w:line="360" w:lineRule="auto"/>
      <w:textAlignment w:val="baseline"/>
      <w:outlineLvl w:val="3"/>
    </w:pPr>
    <w:rPr>
      <w:rFonts w:ascii="Arial" w:eastAsia="黑体"/>
      <w:kern w:val="0"/>
      <w:sz w:val="28"/>
      <w:szCs w:val="20"/>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5">
    <w:name w:val="index 8"/>
    <w:basedOn w:val="1"/>
    <w:next w:val="1"/>
    <w:qFormat/>
    <w:uiPriority w:val="0"/>
    <w:pPr>
      <w:ind w:left="2940"/>
    </w:pPr>
  </w:style>
  <w:style w:type="paragraph" w:styleId="6">
    <w:name w:val="Document Map"/>
    <w:basedOn w:val="1"/>
    <w:link w:val="29"/>
    <w:qFormat/>
    <w:uiPriority w:val="0"/>
    <w:rPr>
      <w:rFonts w:ascii="宋体"/>
      <w:sz w:val="18"/>
      <w:szCs w:val="18"/>
    </w:rPr>
  </w:style>
  <w:style w:type="paragraph" w:styleId="7">
    <w:name w:val="annotation text"/>
    <w:basedOn w:val="1"/>
    <w:link w:val="27"/>
    <w:unhideWhenUsed/>
    <w:qFormat/>
    <w:uiPriority w:val="99"/>
    <w:pPr>
      <w:jc w:val="left"/>
    </w:p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Plain Text"/>
    <w:basedOn w:val="1"/>
    <w:next w:val="4"/>
    <w:link w:val="30"/>
    <w:qFormat/>
    <w:uiPriority w:val="0"/>
    <w:rPr>
      <w:rFonts w:ascii="宋体" w:hAnsi="Courier New"/>
      <w:szCs w:val="20"/>
    </w:rPr>
  </w:style>
  <w:style w:type="paragraph" w:styleId="10">
    <w:name w:val="Balloon Text"/>
    <w:basedOn w:val="1"/>
    <w:link w:val="26"/>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pPr>
      <w:spacing w:before="120" w:after="120"/>
      <w:jc w:val="left"/>
      <w:outlineLvl w:val="0"/>
    </w:pPr>
    <w:rPr>
      <w:b/>
      <w:color w:val="000000"/>
      <w:sz w:val="48"/>
      <w:szCs w:val="48"/>
    </w:rPr>
  </w:style>
  <w:style w:type="paragraph" w:styleId="14">
    <w:name w:val="toc 2"/>
    <w:basedOn w:val="1"/>
    <w:next w:val="1"/>
    <w:qFormat/>
    <w:uiPriority w:val="0"/>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99"/>
    <w:pPr>
      <w:spacing w:before="240" w:after="60"/>
      <w:jc w:val="center"/>
      <w:outlineLvl w:val="0"/>
    </w:pPr>
    <w:rPr>
      <w:rFonts w:ascii="Cambria" w:hAnsi="Cambria"/>
      <w:b/>
      <w:bCs/>
      <w:sz w:val="32"/>
      <w:szCs w:val="32"/>
    </w:rPr>
  </w:style>
  <w:style w:type="paragraph" w:styleId="17">
    <w:name w:val="annotation subject"/>
    <w:basedOn w:val="7"/>
    <w:next w:val="7"/>
    <w:link w:val="28"/>
    <w:qFormat/>
    <w:uiPriority w:val="0"/>
    <w:rPr>
      <w:b/>
      <w:bCs/>
    </w:rPr>
  </w:style>
  <w:style w:type="character" w:styleId="20">
    <w:name w:val="Emphasis"/>
    <w:qFormat/>
    <w:uiPriority w:val="99"/>
    <w:rPr>
      <w:rFonts w:cs="Times New Roman"/>
    </w:rPr>
  </w:style>
  <w:style w:type="character" w:styleId="21">
    <w:name w:val="Hyperlink"/>
    <w:basedOn w:val="19"/>
    <w:qFormat/>
    <w:uiPriority w:val="99"/>
    <w:rPr>
      <w:color w:val="0000FF"/>
      <w:u w:val="none"/>
    </w:rPr>
  </w:style>
  <w:style w:type="character" w:styleId="22">
    <w:name w:val="annotation reference"/>
    <w:semiHidden/>
    <w:qFormat/>
    <w:uiPriority w:val="99"/>
    <w:rPr>
      <w:sz w:val="21"/>
      <w:szCs w:val="21"/>
    </w:rPr>
  </w:style>
  <w:style w:type="paragraph" w:customStyle="1" w:styleId="23">
    <w:name w:val="正文段"/>
    <w:basedOn w:val="1"/>
    <w:qFormat/>
    <w:uiPriority w:val="99"/>
    <w:pPr>
      <w:widowControl/>
      <w:snapToGrid w:val="0"/>
      <w:spacing w:afterLines="50"/>
      <w:ind w:firstLine="200" w:firstLineChars="200"/>
    </w:pPr>
    <w:rPr>
      <w:kern w:val="0"/>
      <w:sz w:val="24"/>
      <w:szCs w:val="20"/>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6">
    <w:name w:val="批注框文本 Char"/>
    <w:basedOn w:val="19"/>
    <w:link w:val="10"/>
    <w:qFormat/>
    <w:uiPriority w:val="0"/>
    <w:rPr>
      <w:kern w:val="2"/>
      <w:sz w:val="18"/>
      <w:szCs w:val="18"/>
    </w:rPr>
  </w:style>
  <w:style w:type="character" w:customStyle="1" w:styleId="27">
    <w:name w:val="批注文字 Char"/>
    <w:basedOn w:val="19"/>
    <w:link w:val="7"/>
    <w:qFormat/>
    <w:uiPriority w:val="99"/>
    <w:rPr>
      <w:kern w:val="2"/>
      <w:sz w:val="21"/>
      <w:szCs w:val="24"/>
    </w:rPr>
  </w:style>
  <w:style w:type="character" w:customStyle="1" w:styleId="28">
    <w:name w:val="批注主题 Char"/>
    <w:basedOn w:val="27"/>
    <w:link w:val="17"/>
    <w:qFormat/>
    <w:uiPriority w:val="0"/>
  </w:style>
  <w:style w:type="character" w:customStyle="1" w:styleId="29">
    <w:name w:val="文档结构图 Char"/>
    <w:basedOn w:val="19"/>
    <w:link w:val="6"/>
    <w:uiPriority w:val="0"/>
    <w:rPr>
      <w:rFonts w:ascii="宋体" w:hAnsi="Times New Roman" w:cs="Times New Roman"/>
      <w:kern w:val="2"/>
      <w:sz w:val="18"/>
      <w:szCs w:val="18"/>
    </w:rPr>
  </w:style>
  <w:style w:type="character" w:customStyle="1" w:styleId="30">
    <w:name w:val="纯文本 Char"/>
    <w:basedOn w:val="19"/>
    <w:link w:val="9"/>
    <w:qFormat/>
    <w:uiPriority w:val="0"/>
    <w:rPr>
      <w:rFonts w:ascii="宋体" w:hAnsi="Courier New"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5328</Words>
  <Characters>30370</Characters>
  <Lines>253</Lines>
  <Paragraphs>71</Paragraphs>
  <TotalTime>0</TotalTime>
  <ScaleCrop>false</ScaleCrop>
  <LinksUpToDate>false</LinksUpToDate>
  <CharactersWithSpaces>35627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2020-09-03T09:02:00Z</dcterms:created>
  <dc:creator>Administrator</dc:creator>
  <cp:lastModifiedBy>Administrator</cp:lastModifiedBy>
  <cp:lastPrinted>2020-09-13T08:46:00Z</cp:lastPrinted>
  <dcterms:modified xsi:type="dcterms:W3CDTF">2020-11-04T09:22:58Z</dcterms:modified>
  <cp:revision>318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