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740" w:lineRule="exact"/>
        <w:jc w:val="center"/>
        <w:outlineLvl w:val="0"/>
        <w:rPr>
          <w:rFonts w:hint="eastAsia" w:ascii="宋体" w:hAnsi="宋体" w:cs="宋体"/>
          <w:b/>
          <w:bCs/>
          <w:sz w:val="28"/>
          <w:szCs w:val="28"/>
        </w:rPr>
      </w:pPr>
      <w:bookmarkStart w:id="0" w:name="_Toc19255"/>
      <w:r>
        <w:rPr>
          <w:rFonts w:hint="eastAsia" w:ascii="宋体" w:hAnsi="宋体" w:cs="宋体"/>
          <w:b/>
          <w:bCs/>
          <w:sz w:val="28"/>
          <w:szCs w:val="28"/>
        </w:rPr>
        <w:t>广西国兴项目管理有限公司G212乐业逻西经幼平至乐业公路工程全过程咨询阶段代建服务项目</w:t>
      </w:r>
      <w:r>
        <w:rPr>
          <w:rFonts w:hint="eastAsia" w:ascii="宋体" w:hAnsi="宋体" w:cs="宋体"/>
          <w:b/>
          <w:bCs/>
          <w:sz w:val="28"/>
          <w:szCs w:val="28"/>
          <w:lang w:eastAsia="zh-CN"/>
        </w:rPr>
        <w:t>（</w:t>
      </w:r>
      <w:r>
        <w:rPr>
          <w:rFonts w:hint="eastAsia" w:ascii="宋体" w:hAnsi="宋体" w:cs="宋体"/>
          <w:b/>
          <w:bCs/>
          <w:sz w:val="28"/>
          <w:szCs w:val="28"/>
        </w:rPr>
        <w:t>BSZC2021-G3-280287-GXGX</w:t>
      </w:r>
      <w:r>
        <w:rPr>
          <w:rFonts w:hint="eastAsia" w:ascii="宋体" w:hAnsi="宋体" w:cs="宋体"/>
          <w:b/>
          <w:bCs/>
          <w:sz w:val="28"/>
          <w:szCs w:val="28"/>
          <w:lang w:eastAsia="zh-CN"/>
        </w:rPr>
        <w:t>）</w:t>
      </w:r>
      <w:r>
        <w:rPr>
          <w:rFonts w:hint="eastAsia" w:ascii="宋体" w:hAnsi="宋体" w:cs="宋体"/>
          <w:b/>
          <w:bCs/>
          <w:sz w:val="28"/>
          <w:szCs w:val="28"/>
        </w:rPr>
        <w:t>招标公告</w:t>
      </w:r>
      <w:bookmarkEnd w:id="0"/>
    </w:p>
    <w:p>
      <w:pPr>
        <w:pStyle w:val="7"/>
        <w:rPr>
          <w:rFonts w:hint="eastAsia" w:ascii="宋体" w:hAnsi="宋体" w:cs="宋体"/>
        </w:rPr>
      </w:pPr>
      <w:r>
        <w:rPr>
          <w:rFonts w:hint="eastAsia" w:ascii="宋体" w:hAnsi="宋体" w:cs="宋体"/>
        </w:rPr>
        <w:t>窗体顶端</w:t>
      </w:r>
    </w:p>
    <w:p>
      <w:pPr>
        <w:pBdr>
          <w:top w:val="single" w:color="auto" w:sz="4" w:space="1"/>
          <w:left w:val="single" w:color="auto" w:sz="4" w:space="4"/>
          <w:bottom w:val="single" w:color="auto" w:sz="4" w:space="1"/>
          <w:right w:val="single" w:color="auto" w:sz="4" w:space="4"/>
        </w:pBdr>
        <w:spacing w:line="360" w:lineRule="auto"/>
        <w:rPr>
          <w:sz w:val="22"/>
          <w:szCs w:val="22"/>
        </w:rPr>
      </w:pPr>
      <w:r>
        <w:rPr>
          <w:rFonts w:hint="eastAsia"/>
          <w:sz w:val="22"/>
          <w:szCs w:val="22"/>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sz w:val="22"/>
          <w:szCs w:val="22"/>
          <w:highlight w:val="none"/>
        </w:rPr>
      </w:pPr>
      <w:r>
        <w:rPr>
          <w:rFonts w:hint="eastAsia"/>
          <w:sz w:val="22"/>
          <w:szCs w:val="22"/>
          <w:highlight w:val="none"/>
          <w:u w:val="single"/>
        </w:rPr>
        <w:t>G212乐业逻西经幼平至乐业公路工程全过程咨询阶段代建服务项目</w:t>
      </w:r>
      <w:r>
        <w:rPr>
          <w:rFonts w:hint="eastAsia"/>
          <w:sz w:val="22"/>
          <w:szCs w:val="22"/>
          <w:highlight w:val="none"/>
        </w:rPr>
        <w:t>的潜在供应商应在全国公共资源交易平台（广西.百色）（(http://ggzy.jgswj.</w:t>
      </w:r>
      <w:r>
        <w:rPr>
          <w:rFonts w:hint="eastAsia"/>
          <w:color w:val="auto"/>
          <w:sz w:val="22"/>
          <w:szCs w:val="22"/>
          <w:highlight w:val="none"/>
        </w:rPr>
        <w:t>gxzf.gov.cn)获取采购文件，并于</w:t>
      </w:r>
      <w:r>
        <w:rPr>
          <w:rFonts w:hint="eastAsia"/>
          <w:color w:val="auto"/>
          <w:sz w:val="22"/>
          <w:szCs w:val="22"/>
          <w:highlight w:val="none"/>
          <w:u w:val="single"/>
        </w:rPr>
        <w:t>2021年</w:t>
      </w:r>
      <w:r>
        <w:rPr>
          <w:rFonts w:hint="eastAsia"/>
          <w:color w:val="auto"/>
          <w:sz w:val="22"/>
          <w:szCs w:val="22"/>
          <w:highlight w:val="none"/>
          <w:u w:val="single"/>
          <w:lang w:val="en-US" w:eastAsia="zh-CN"/>
        </w:rPr>
        <w:t>11</w:t>
      </w:r>
      <w:r>
        <w:rPr>
          <w:rFonts w:hint="eastAsia"/>
          <w:color w:val="auto"/>
          <w:sz w:val="22"/>
          <w:szCs w:val="22"/>
          <w:highlight w:val="none"/>
          <w:u w:val="single"/>
        </w:rPr>
        <w:t>月</w:t>
      </w:r>
      <w:r>
        <w:rPr>
          <w:rFonts w:hint="eastAsia"/>
          <w:color w:val="auto"/>
          <w:sz w:val="22"/>
          <w:szCs w:val="22"/>
          <w:highlight w:val="none"/>
          <w:u w:val="single"/>
          <w:lang w:val="en-US" w:eastAsia="zh-CN"/>
        </w:rPr>
        <w:t>01</w:t>
      </w:r>
      <w:r>
        <w:rPr>
          <w:rFonts w:hint="eastAsia"/>
          <w:color w:val="auto"/>
          <w:sz w:val="22"/>
          <w:szCs w:val="22"/>
          <w:highlight w:val="none"/>
          <w:u w:val="single"/>
        </w:rPr>
        <w:t>日</w:t>
      </w:r>
      <w:r>
        <w:rPr>
          <w:rFonts w:hint="eastAsia"/>
          <w:color w:val="auto"/>
          <w:sz w:val="22"/>
          <w:szCs w:val="22"/>
          <w:highlight w:val="none"/>
          <w:u w:val="single"/>
          <w:lang w:val="en-US" w:eastAsia="zh-CN"/>
        </w:rPr>
        <w:t>10</w:t>
      </w:r>
      <w:r>
        <w:rPr>
          <w:rFonts w:hint="eastAsia"/>
          <w:color w:val="auto"/>
          <w:sz w:val="22"/>
          <w:szCs w:val="22"/>
          <w:highlight w:val="none"/>
          <w:u w:val="single"/>
        </w:rPr>
        <w:t>点</w:t>
      </w:r>
      <w:r>
        <w:rPr>
          <w:rFonts w:hint="eastAsia"/>
          <w:color w:val="auto"/>
          <w:sz w:val="22"/>
          <w:szCs w:val="22"/>
          <w:highlight w:val="none"/>
          <w:u w:val="single"/>
          <w:lang w:val="en-US" w:eastAsia="zh-CN"/>
        </w:rPr>
        <w:t>00</w:t>
      </w:r>
      <w:r>
        <w:rPr>
          <w:rFonts w:hint="eastAsia"/>
          <w:color w:val="auto"/>
          <w:sz w:val="22"/>
          <w:szCs w:val="22"/>
          <w:highlight w:val="none"/>
          <w:u w:val="single"/>
        </w:rPr>
        <w:t>分</w:t>
      </w:r>
      <w:r>
        <w:rPr>
          <w:rFonts w:hint="eastAsia"/>
          <w:bCs/>
          <w:color w:val="auto"/>
          <w:sz w:val="22"/>
          <w:szCs w:val="22"/>
          <w:highlight w:val="none"/>
        </w:rPr>
        <w:t>（北京时间）前提交响应文件</w:t>
      </w:r>
      <w:r>
        <w:rPr>
          <w:rFonts w:hint="eastAsia"/>
          <w:color w:val="auto"/>
          <w:sz w:val="22"/>
          <w:szCs w:val="22"/>
          <w:highlight w:val="none"/>
        </w:rPr>
        <w:t>。</w:t>
      </w:r>
    </w:p>
    <w:p>
      <w:pPr>
        <w:spacing w:line="360" w:lineRule="auto"/>
        <w:outlineLvl w:val="0"/>
        <w:rPr>
          <w:sz w:val="22"/>
          <w:szCs w:val="22"/>
          <w:highlight w:val="none"/>
        </w:rPr>
      </w:pPr>
      <w:bookmarkStart w:id="1" w:name="_Toc14529"/>
      <w:bookmarkStart w:id="2" w:name="_Toc28359089"/>
      <w:bookmarkStart w:id="3" w:name="_Toc35393798"/>
      <w:bookmarkStart w:id="4" w:name="_Toc28359012"/>
      <w:bookmarkStart w:id="5" w:name="_Toc35393629"/>
      <w:r>
        <w:rPr>
          <w:rFonts w:hint="eastAsia"/>
          <w:b/>
          <w:bCs/>
          <w:sz w:val="22"/>
          <w:szCs w:val="22"/>
          <w:highlight w:val="none"/>
        </w:rPr>
        <w:t>一、项目基本情况</w:t>
      </w:r>
      <w:bookmarkEnd w:id="1"/>
      <w:bookmarkEnd w:id="2"/>
      <w:bookmarkEnd w:id="3"/>
      <w:bookmarkEnd w:id="4"/>
      <w:bookmarkEnd w:id="5"/>
    </w:p>
    <w:p>
      <w:pPr>
        <w:spacing w:line="360" w:lineRule="auto"/>
        <w:ind w:firstLine="440" w:firstLineChars="200"/>
        <w:rPr>
          <w:rFonts w:hint="eastAsia"/>
          <w:sz w:val="22"/>
          <w:szCs w:val="22"/>
          <w:highlight w:val="none"/>
        </w:rPr>
      </w:pPr>
      <w:r>
        <w:rPr>
          <w:rFonts w:hint="eastAsia"/>
          <w:sz w:val="22"/>
          <w:szCs w:val="22"/>
          <w:highlight w:val="none"/>
        </w:rPr>
        <w:t xml:space="preserve">1.项目编号：BSZC2021-G3-280287-GXGX </w:t>
      </w:r>
    </w:p>
    <w:p>
      <w:pPr>
        <w:spacing w:line="360" w:lineRule="auto"/>
        <w:ind w:firstLine="440" w:firstLineChars="200"/>
        <w:rPr>
          <w:rFonts w:hint="eastAsia"/>
          <w:b/>
          <w:bCs/>
          <w:sz w:val="22"/>
          <w:szCs w:val="22"/>
          <w:highlight w:val="none"/>
        </w:rPr>
      </w:pPr>
      <w:r>
        <w:rPr>
          <w:rFonts w:hint="eastAsia"/>
          <w:sz w:val="22"/>
          <w:szCs w:val="22"/>
          <w:highlight w:val="none"/>
        </w:rPr>
        <w:t>2.项目名称：G212乐业逻西经幼平至乐业公路工程全过程咨询阶段代建服务项目</w:t>
      </w:r>
    </w:p>
    <w:p>
      <w:pPr>
        <w:spacing w:line="360" w:lineRule="auto"/>
        <w:ind w:firstLine="440" w:firstLineChars="200"/>
        <w:rPr>
          <w:sz w:val="22"/>
          <w:szCs w:val="22"/>
          <w:highlight w:val="none"/>
        </w:rPr>
      </w:pPr>
      <w:r>
        <w:rPr>
          <w:rFonts w:hint="eastAsia"/>
          <w:sz w:val="22"/>
          <w:szCs w:val="22"/>
          <w:highlight w:val="none"/>
        </w:rPr>
        <w:t xml:space="preserve">3.采购方式：公开招标 </w:t>
      </w:r>
    </w:p>
    <w:p>
      <w:pPr>
        <w:spacing w:line="360" w:lineRule="auto"/>
        <w:ind w:firstLine="440" w:firstLineChars="200"/>
        <w:rPr>
          <w:rFonts w:hint="eastAsia"/>
          <w:sz w:val="22"/>
          <w:szCs w:val="22"/>
          <w:highlight w:val="none"/>
        </w:rPr>
      </w:pPr>
      <w:r>
        <w:rPr>
          <w:rFonts w:hint="eastAsia"/>
          <w:sz w:val="22"/>
          <w:szCs w:val="22"/>
          <w:highlight w:val="none"/>
        </w:rPr>
        <w:t>4.预算金额：9900</w:t>
      </w:r>
      <w:r>
        <w:rPr>
          <w:rFonts w:hint="eastAsia"/>
          <w:sz w:val="22"/>
          <w:szCs w:val="22"/>
          <w:highlight w:val="none"/>
          <w:lang w:val="en-US" w:eastAsia="zh-CN"/>
        </w:rPr>
        <w:t>000.00</w:t>
      </w:r>
      <w:r>
        <w:rPr>
          <w:rFonts w:hint="eastAsia"/>
          <w:sz w:val="22"/>
          <w:szCs w:val="22"/>
          <w:highlight w:val="none"/>
        </w:rPr>
        <w:t>元</w:t>
      </w:r>
      <w:bookmarkStart w:id="42" w:name="_GoBack"/>
      <w:bookmarkEnd w:id="42"/>
    </w:p>
    <w:p>
      <w:pPr>
        <w:spacing w:line="360" w:lineRule="auto"/>
        <w:ind w:firstLine="440" w:firstLineChars="200"/>
        <w:rPr>
          <w:sz w:val="22"/>
          <w:szCs w:val="22"/>
        </w:rPr>
      </w:pPr>
      <w:r>
        <w:rPr>
          <w:rFonts w:hint="eastAsia"/>
          <w:sz w:val="22"/>
          <w:szCs w:val="22"/>
        </w:rPr>
        <w:t>5.采购需求：G212乐业逻西经幼平至乐业公路工程全过程咨询阶段代建服务项目，服务内容包括项目施工准备阶段、工程实施阶段的技术服务、代建设单位验工计价以及支付工程费用及项目其他服务（要求项目管理电子信息化，强化计量支付、档案管理等）全过程代建服务。如需进一步了解详细内容，具体内容详见公开招标文件。</w:t>
      </w:r>
    </w:p>
    <w:p>
      <w:pPr>
        <w:spacing w:line="360" w:lineRule="auto"/>
        <w:ind w:firstLine="440" w:firstLineChars="200"/>
        <w:rPr>
          <w:rFonts w:hint="eastAsia" w:ascii="宋体" w:hAnsi="宋体" w:cs="宋体"/>
          <w:sz w:val="22"/>
          <w:szCs w:val="22"/>
        </w:rPr>
      </w:pPr>
      <w:r>
        <w:rPr>
          <w:rFonts w:hint="eastAsia"/>
          <w:sz w:val="22"/>
          <w:szCs w:val="22"/>
        </w:rPr>
        <w:t>6.合同履行期限：从项目施工准备阶段起至工程竣工审计结算完成，并向业主移交完整规范的全套项目相关技术资料止。</w:t>
      </w:r>
    </w:p>
    <w:p>
      <w:pPr>
        <w:spacing w:line="360" w:lineRule="auto"/>
        <w:ind w:firstLine="440" w:firstLineChars="200"/>
        <w:rPr>
          <w:sz w:val="22"/>
          <w:szCs w:val="22"/>
        </w:rPr>
      </w:pPr>
      <w:r>
        <w:rPr>
          <w:rFonts w:hint="eastAsia"/>
          <w:sz w:val="22"/>
          <w:szCs w:val="22"/>
        </w:rPr>
        <w:t>7.本项目不接受联合体投标。</w:t>
      </w:r>
    </w:p>
    <w:p>
      <w:pPr>
        <w:spacing w:line="360" w:lineRule="auto"/>
        <w:outlineLvl w:val="0"/>
        <w:rPr>
          <w:b/>
          <w:bCs/>
        </w:rPr>
      </w:pPr>
      <w:bookmarkStart w:id="6" w:name="_Toc28359013"/>
      <w:bookmarkStart w:id="7" w:name="_Toc35393630"/>
      <w:bookmarkStart w:id="8" w:name="_Toc35393799"/>
      <w:bookmarkStart w:id="9" w:name="_Toc28359090"/>
      <w:bookmarkStart w:id="10" w:name="_Toc11301"/>
      <w:r>
        <w:rPr>
          <w:rFonts w:hint="eastAsia"/>
          <w:b/>
          <w:bCs/>
        </w:rPr>
        <w:t>二、申请人的资格要求：</w:t>
      </w:r>
      <w:bookmarkEnd w:id="6"/>
      <w:bookmarkEnd w:id="7"/>
      <w:bookmarkEnd w:id="8"/>
      <w:bookmarkEnd w:id="9"/>
      <w:bookmarkEnd w:id="10"/>
    </w:p>
    <w:p>
      <w:pPr>
        <w:pStyle w:val="2"/>
        <w:tabs>
          <w:tab w:val="center" w:pos="4153"/>
          <w:tab w:val="right" w:pos="8306"/>
        </w:tabs>
        <w:spacing w:line="360" w:lineRule="auto"/>
        <w:ind w:firstLine="440" w:firstLineChars="200"/>
        <w:rPr>
          <w:sz w:val="22"/>
          <w:szCs w:val="22"/>
        </w:rPr>
      </w:pPr>
      <w:bookmarkStart w:id="11" w:name="_Toc28359014"/>
      <w:bookmarkStart w:id="12" w:name="_Toc28359091"/>
      <w:r>
        <w:rPr>
          <w:sz w:val="22"/>
          <w:szCs w:val="22"/>
        </w:rPr>
        <w:t>1、符合《中华人民共和国政府采购法》第二十二条规定，</w:t>
      </w:r>
    </w:p>
    <w:p>
      <w:pPr>
        <w:pStyle w:val="2"/>
        <w:tabs>
          <w:tab w:val="center" w:pos="4153"/>
          <w:tab w:val="right" w:pos="8306"/>
        </w:tabs>
        <w:spacing w:line="360" w:lineRule="auto"/>
        <w:ind w:firstLine="440" w:firstLineChars="200"/>
        <w:rPr>
          <w:sz w:val="22"/>
          <w:szCs w:val="22"/>
        </w:rPr>
      </w:pPr>
      <w:r>
        <w:rPr>
          <w:rFonts w:hint="eastAsia"/>
          <w:sz w:val="22"/>
          <w:szCs w:val="22"/>
        </w:rPr>
        <w:t>2、落实政府采购政策需满足的资格要求：无。</w:t>
      </w:r>
    </w:p>
    <w:p>
      <w:pPr>
        <w:spacing w:line="360" w:lineRule="auto"/>
        <w:ind w:firstLine="440" w:firstLineChars="200"/>
        <w:rPr>
          <w:rFonts w:hint="eastAsia" w:ascii="宋体" w:hAnsi="宋体" w:cs="宋体"/>
          <w:bCs/>
          <w:sz w:val="22"/>
          <w:szCs w:val="22"/>
        </w:rPr>
      </w:pPr>
      <w:r>
        <w:rPr>
          <w:rFonts w:hint="eastAsia" w:ascii="宋体" w:hAnsi="宋体" w:cs="宋体"/>
          <w:bCs/>
          <w:sz w:val="22"/>
          <w:szCs w:val="22"/>
        </w:rPr>
        <w:t>3、本项目的特定资格要求：</w:t>
      </w:r>
    </w:p>
    <w:p>
      <w:pPr>
        <w:pStyle w:val="4"/>
        <w:spacing w:before="75" w:beforeAutospacing="0" w:after="75" w:afterAutospacing="0" w:line="360" w:lineRule="auto"/>
        <w:ind w:left="420"/>
        <w:rPr>
          <w:rFonts w:hint="eastAsia" w:cs="宋体"/>
          <w:color w:val="auto"/>
          <w:sz w:val="22"/>
          <w:szCs w:val="22"/>
        </w:rPr>
      </w:pPr>
      <w:r>
        <w:rPr>
          <w:rFonts w:hint="eastAsia" w:cs="宋体"/>
          <w:color w:val="auto"/>
          <w:sz w:val="22"/>
          <w:szCs w:val="22"/>
        </w:rPr>
        <w:t>（1） 本次招标要求投标人具有独立法人资格，持有有效的营业执照，具有满足公路工程项目建设需要的组织机构和质量、安全、环境保护等方面的管理制度的公路建设管理单位或设计单位；</w:t>
      </w:r>
      <w:r>
        <w:rPr>
          <w:rFonts w:hint="eastAsia"/>
          <w:color w:val="auto"/>
          <w:sz w:val="22"/>
        </w:rPr>
        <w:t>详见其它补充事宜。</w:t>
      </w:r>
    </w:p>
    <w:p>
      <w:pPr>
        <w:spacing w:line="360" w:lineRule="auto"/>
        <w:outlineLvl w:val="0"/>
      </w:pPr>
      <w:bookmarkStart w:id="13" w:name="_Toc12065"/>
      <w:bookmarkStart w:id="14" w:name="_Toc35393631"/>
      <w:bookmarkStart w:id="15" w:name="_Toc35393800"/>
      <w:r>
        <w:rPr>
          <w:rFonts w:hint="eastAsia"/>
          <w:b/>
          <w:bCs/>
        </w:rPr>
        <w:t>三、获取招标文件</w:t>
      </w:r>
      <w:bookmarkEnd w:id="11"/>
      <w:bookmarkEnd w:id="12"/>
      <w:bookmarkEnd w:id="13"/>
      <w:bookmarkEnd w:id="14"/>
      <w:bookmarkEnd w:id="15"/>
    </w:p>
    <w:p>
      <w:pPr>
        <w:pStyle w:val="4"/>
        <w:spacing w:before="75" w:beforeAutospacing="0" w:after="75" w:afterAutospacing="0" w:line="360" w:lineRule="auto"/>
        <w:ind w:firstLine="420"/>
        <w:rPr>
          <w:rFonts w:hint="eastAsia"/>
          <w:color w:val="auto"/>
          <w:sz w:val="22"/>
        </w:rPr>
      </w:pPr>
      <w:r>
        <w:rPr>
          <w:rFonts w:hint="eastAsia"/>
          <w:color w:val="auto"/>
          <w:sz w:val="22"/>
        </w:rPr>
        <w:t>1.时间：自招标公告发出之时起至2021年</w:t>
      </w:r>
      <w:r>
        <w:rPr>
          <w:rFonts w:hint="eastAsia"/>
          <w:color w:val="auto"/>
          <w:sz w:val="22"/>
          <w:lang w:val="en-US" w:eastAsia="zh-CN"/>
        </w:rPr>
        <w:t>11</w:t>
      </w:r>
      <w:r>
        <w:rPr>
          <w:rFonts w:hint="eastAsia"/>
          <w:color w:val="auto"/>
          <w:sz w:val="22"/>
        </w:rPr>
        <w:t>月</w:t>
      </w:r>
      <w:r>
        <w:rPr>
          <w:rFonts w:hint="eastAsia"/>
          <w:color w:val="auto"/>
          <w:sz w:val="22"/>
          <w:lang w:val="en-US" w:eastAsia="zh-CN"/>
        </w:rPr>
        <w:t>01</w:t>
      </w:r>
      <w:r>
        <w:rPr>
          <w:rFonts w:hint="eastAsia"/>
          <w:color w:val="auto"/>
          <w:sz w:val="22"/>
        </w:rPr>
        <w:t>日止，每天08:30至12:00，15:00至17:30（北京时间，法定节假日除外）。</w:t>
      </w:r>
    </w:p>
    <w:p>
      <w:pPr>
        <w:pStyle w:val="4"/>
        <w:spacing w:before="75" w:beforeAutospacing="0" w:after="75" w:afterAutospacing="0" w:line="360" w:lineRule="auto"/>
        <w:ind w:firstLine="420"/>
        <w:rPr>
          <w:rFonts w:hint="eastAsia"/>
          <w:color w:val="auto"/>
          <w:sz w:val="22"/>
        </w:rPr>
      </w:pPr>
      <w:r>
        <w:rPr>
          <w:rFonts w:hint="eastAsia"/>
          <w:color w:val="auto"/>
          <w:sz w:val="22"/>
        </w:rPr>
        <w:t>2.地点：全国公共资源交易平台（广西·百色）（http://ggzy.jgswj.gxzf.gov.cn/bsggzy/）</w:t>
      </w:r>
    </w:p>
    <w:p>
      <w:pPr>
        <w:pStyle w:val="4"/>
        <w:spacing w:before="75" w:beforeAutospacing="0" w:after="75" w:afterAutospacing="0" w:line="360" w:lineRule="auto"/>
        <w:ind w:firstLine="420"/>
        <w:rPr>
          <w:rFonts w:hint="eastAsia"/>
          <w:color w:val="auto"/>
          <w:sz w:val="22"/>
        </w:rPr>
      </w:pPr>
      <w:r>
        <w:rPr>
          <w:rFonts w:hint="eastAsia"/>
          <w:color w:val="auto"/>
          <w:sz w:val="22"/>
        </w:rPr>
        <w:t>3.方式：潜在投标人均可在全国公共资源交易平台(广西·百色)(http://ggzy. jgswj. gxzf. gov. cn/bsggzy)自行下载获取招标文件(逾期下载的，投标无效)。</w:t>
      </w:r>
    </w:p>
    <w:p>
      <w:pPr>
        <w:pStyle w:val="4"/>
        <w:spacing w:before="75" w:beforeAutospacing="0" w:after="75" w:afterAutospacing="0" w:line="360" w:lineRule="auto"/>
        <w:ind w:firstLine="420"/>
        <w:rPr>
          <w:color w:val="auto"/>
          <w:sz w:val="22"/>
        </w:rPr>
      </w:pPr>
      <w:r>
        <w:rPr>
          <w:rFonts w:hint="eastAsia"/>
          <w:color w:val="auto"/>
          <w:sz w:val="22"/>
        </w:rPr>
        <w:t>4.售价：0元</w:t>
      </w:r>
    </w:p>
    <w:p>
      <w:pPr>
        <w:spacing w:line="360" w:lineRule="auto"/>
        <w:outlineLvl w:val="0"/>
        <w:rPr>
          <w:rFonts w:hint="eastAsia"/>
          <w:b/>
          <w:bCs/>
          <w:sz w:val="22"/>
          <w:szCs w:val="22"/>
        </w:rPr>
      </w:pPr>
      <w:bookmarkStart w:id="16" w:name="_Toc28359015"/>
      <w:bookmarkStart w:id="17" w:name="_Toc6625"/>
      <w:bookmarkStart w:id="18" w:name="_Toc28359092"/>
      <w:bookmarkStart w:id="19" w:name="_Toc35393632"/>
      <w:bookmarkStart w:id="20" w:name="_Toc35393801"/>
      <w:r>
        <w:rPr>
          <w:rFonts w:hint="eastAsia"/>
          <w:b/>
          <w:bCs/>
          <w:sz w:val="22"/>
          <w:szCs w:val="22"/>
        </w:rPr>
        <w:t>四、</w:t>
      </w:r>
      <w:bookmarkEnd w:id="16"/>
      <w:bookmarkEnd w:id="17"/>
      <w:bookmarkEnd w:id="18"/>
      <w:bookmarkEnd w:id="19"/>
      <w:bookmarkEnd w:id="20"/>
      <w:r>
        <w:rPr>
          <w:rFonts w:hint="eastAsia"/>
          <w:b/>
          <w:bCs/>
          <w:sz w:val="22"/>
          <w:szCs w:val="22"/>
        </w:rPr>
        <w:t>提交投标文件截止时间、开标时间和地点</w:t>
      </w:r>
    </w:p>
    <w:p>
      <w:pPr>
        <w:pStyle w:val="4"/>
        <w:spacing w:before="75" w:beforeAutospacing="0" w:after="75" w:afterAutospacing="0" w:line="360" w:lineRule="auto"/>
        <w:ind w:firstLine="420"/>
        <w:rPr>
          <w:rFonts w:ascii="sans-serif" w:hAnsi="sans-serif" w:eastAsia="sans-serif" w:cs="sans-serif"/>
          <w:color w:val="auto"/>
          <w:sz w:val="22"/>
          <w:szCs w:val="22"/>
        </w:rPr>
      </w:pPr>
      <w:r>
        <w:rPr>
          <w:rFonts w:hint="eastAsia"/>
          <w:color w:val="auto"/>
          <w:sz w:val="22"/>
          <w:szCs w:val="22"/>
        </w:rPr>
        <w:t>投标文件提交截止时间：</w:t>
      </w:r>
      <w:r>
        <w:rPr>
          <w:rFonts w:hint="eastAsia"/>
          <w:color w:val="auto"/>
          <w:sz w:val="22"/>
          <w:szCs w:val="22"/>
          <w:highlight w:val="none"/>
          <w:u w:val="single"/>
        </w:rPr>
        <w:t>2021年</w:t>
      </w:r>
      <w:r>
        <w:rPr>
          <w:rFonts w:hint="eastAsia"/>
          <w:color w:val="auto"/>
          <w:sz w:val="22"/>
          <w:szCs w:val="22"/>
          <w:highlight w:val="none"/>
          <w:u w:val="single"/>
          <w:lang w:val="en-US" w:eastAsia="zh-CN"/>
        </w:rPr>
        <w:t>11</w:t>
      </w:r>
      <w:r>
        <w:rPr>
          <w:rFonts w:hint="eastAsia"/>
          <w:color w:val="auto"/>
          <w:sz w:val="22"/>
          <w:szCs w:val="22"/>
          <w:highlight w:val="none"/>
          <w:u w:val="single"/>
        </w:rPr>
        <w:t>月</w:t>
      </w:r>
      <w:r>
        <w:rPr>
          <w:rFonts w:hint="eastAsia"/>
          <w:color w:val="auto"/>
          <w:sz w:val="22"/>
          <w:szCs w:val="22"/>
          <w:highlight w:val="none"/>
          <w:u w:val="single"/>
          <w:lang w:val="en-US" w:eastAsia="zh-CN"/>
        </w:rPr>
        <w:t>01</w:t>
      </w:r>
      <w:r>
        <w:rPr>
          <w:rFonts w:hint="eastAsia"/>
          <w:color w:val="auto"/>
          <w:sz w:val="22"/>
          <w:szCs w:val="22"/>
          <w:highlight w:val="none"/>
          <w:u w:val="single"/>
        </w:rPr>
        <w:t>日</w:t>
      </w:r>
      <w:r>
        <w:rPr>
          <w:rFonts w:hint="eastAsia"/>
          <w:color w:val="auto"/>
          <w:sz w:val="22"/>
          <w:szCs w:val="22"/>
          <w:highlight w:val="none"/>
          <w:u w:val="single"/>
          <w:lang w:val="en-US" w:eastAsia="zh-CN"/>
        </w:rPr>
        <w:t>10</w:t>
      </w:r>
      <w:r>
        <w:rPr>
          <w:rFonts w:hint="eastAsia"/>
          <w:color w:val="auto"/>
          <w:sz w:val="22"/>
          <w:szCs w:val="22"/>
          <w:highlight w:val="none"/>
          <w:u w:val="single"/>
        </w:rPr>
        <w:t>点</w:t>
      </w:r>
      <w:r>
        <w:rPr>
          <w:rFonts w:hint="eastAsia"/>
          <w:color w:val="auto"/>
          <w:sz w:val="22"/>
          <w:szCs w:val="22"/>
          <w:highlight w:val="none"/>
          <w:u w:val="single"/>
          <w:lang w:val="en-US" w:eastAsia="zh-CN"/>
        </w:rPr>
        <w:t>00</w:t>
      </w:r>
      <w:r>
        <w:rPr>
          <w:rFonts w:hint="eastAsia"/>
          <w:color w:val="auto"/>
          <w:sz w:val="22"/>
          <w:szCs w:val="22"/>
          <w:highlight w:val="none"/>
          <w:u w:val="single"/>
        </w:rPr>
        <w:t>分</w:t>
      </w:r>
      <w:r>
        <w:rPr>
          <w:rFonts w:hint="eastAsia"/>
          <w:color w:val="auto"/>
          <w:sz w:val="22"/>
          <w:szCs w:val="22"/>
        </w:rPr>
        <w:t>（北京时间）</w:t>
      </w:r>
    </w:p>
    <w:p>
      <w:pPr>
        <w:adjustRightInd w:val="0"/>
        <w:snapToGrid w:val="0"/>
        <w:spacing w:line="360" w:lineRule="auto"/>
        <w:ind w:firstLine="440" w:firstLineChars="200"/>
        <w:rPr>
          <w:color w:val="auto"/>
          <w:sz w:val="22"/>
          <w:szCs w:val="22"/>
        </w:rPr>
      </w:pPr>
      <w:r>
        <w:rPr>
          <w:rFonts w:hint="eastAsia"/>
          <w:color w:val="auto"/>
          <w:sz w:val="22"/>
          <w:szCs w:val="22"/>
        </w:rPr>
        <w:t>投标地点：百色市公共资源交易中心（百色园博园政务服务中心三楼）开标厅（详见电子显示屏场地安排），逾期送达的将予以拒收。</w:t>
      </w:r>
    </w:p>
    <w:p>
      <w:pPr>
        <w:adjustRightInd w:val="0"/>
        <w:snapToGrid w:val="0"/>
        <w:spacing w:line="360" w:lineRule="auto"/>
        <w:ind w:firstLine="440" w:firstLineChars="200"/>
        <w:rPr>
          <w:rFonts w:hint="eastAsia"/>
          <w:color w:val="auto"/>
          <w:sz w:val="22"/>
          <w:szCs w:val="22"/>
        </w:rPr>
      </w:pPr>
      <w:bookmarkStart w:id="21" w:name="_Toc28359016"/>
      <w:bookmarkStart w:id="22" w:name="_Toc35393633"/>
      <w:bookmarkStart w:id="23" w:name="_Toc28359093"/>
      <w:bookmarkStart w:id="24" w:name="_Toc35393802"/>
      <w:bookmarkStart w:id="25" w:name="_Toc7411"/>
      <w:r>
        <w:rPr>
          <w:rFonts w:hint="eastAsia"/>
          <w:color w:val="auto"/>
          <w:sz w:val="22"/>
          <w:szCs w:val="22"/>
        </w:rPr>
        <w:t>开标时间：</w:t>
      </w:r>
      <w:r>
        <w:rPr>
          <w:rFonts w:hint="eastAsia" w:ascii="宋体" w:hAnsi="宋体" w:eastAsia="宋体" w:cs="Arial"/>
          <w:color w:val="auto"/>
          <w:kern w:val="0"/>
          <w:sz w:val="22"/>
          <w:szCs w:val="22"/>
          <w:highlight w:val="none"/>
          <w:u w:val="single"/>
          <w:lang w:val="en-US" w:eastAsia="zh-CN" w:bidi="ar-SA"/>
        </w:rPr>
        <w:t>2021年11月01日10点00分</w:t>
      </w:r>
      <w:r>
        <w:rPr>
          <w:rFonts w:hint="eastAsia"/>
          <w:color w:val="auto"/>
          <w:sz w:val="22"/>
          <w:szCs w:val="22"/>
        </w:rPr>
        <w:t>（北京时间）</w:t>
      </w:r>
    </w:p>
    <w:p>
      <w:pPr>
        <w:adjustRightInd w:val="0"/>
        <w:snapToGrid w:val="0"/>
        <w:spacing w:line="360" w:lineRule="auto"/>
        <w:ind w:firstLine="440" w:firstLineChars="200"/>
        <w:rPr>
          <w:rFonts w:hint="eastAsia"/>
          <w:color w:val="auto"/>
          <w:sz w:val="22"/>
          <w:szCs w:val="22"/>
        </w:rPr>
      </w:pPr>
      <w:r>
        <w:rPr>
          <w:rFonts w:hint="eastAsia"/>
          <w:color w:val="auto"/>
          <w:sz w:val="22"/>
          <w:szCs w:val="22"/>
        </w:rPr>
        <w:t>开标地点：百色市公共资源交易中心开标厅（百色园博园政务服务中心三楼）（开标厅详见场地安排屏幕显示）。</w:t>
      </w:r>
    </w:p>
    <w:p>
      <w:pPr>
        <w:adjustRightInd w:val="0"/>
        <w:snapToGrid w:val="0"/>
        <w:spacing w:line="360" w:lineRule="auto"/>
        <w:ind w:firstLine="440" w:firstLineChars="200"/>
        <w:rPr>
          <w:rFonts w:hint="eastAsia"/>
          <w:sz w:val="22"/>
          <w:szCs w:val="22"/>
        </w:rPr>
      </w:pPr>
      <w:r>
        <w:rPr>
          <w:rFonts w:hint="eastAsia"/>
          <w:sz w:val="22"/>
          <w:szCs w:val="22"/>
        </w:rPr>
        <w:t>注：投标人应在投标文件提交截止时间内，将投标文件密封送达投标地点，未在规定时间内送达或者未按照招标文件要求密封的投标文件，采购人采购代理机构将予以拒收。</w:t>
      </w:r>
    </w:p>
    <w:p>
      <w:pPr>
        <w:adjustRightInd w:val="0"/>
        <w:snapToGrid w:val="0"/>
        <w:spacing w:line="360" w:lineRule="auto"/>
        <w:ind w:firstLine="442" w:firstLineChars="200"/>
        <w:outlineLvl w:val="0"/>
        <w:rPr>
          <w:rFonts w:cs="Arial"/>
          <w:b/>
          <w:bCs/>
          <w:sz w:val="22"/>
          <w:szCs w:val="22"/>
        </w:rPr>
      </w:pPr>
      <w:r>
        <w:rPr>
          <w:rFonts w:hint="eastAsia" w:cs="Arial"/>
          <w:b/>
          <w:bCs/>
          <w:sz w:val="22"/>
          <w:szCs w:val="22"/>
        </w:rPr>
        <w:t>五、</w:t>
      </w:r>
      <w:bookmarkEnd w:id="21"/>
      <w:bookmarkEnd w:id="22"/>
      <w:bookmarkEnd w:id="23"/>
      <w:bookmarkEnd w:id="24"/>
      <w:bookmarkEnd w:id="25"/>
      <w:bookmarkStart w:id="26" w:name="_Toc35393803"/>
      <w:bookmarkStart w:id="27" w:name="_Toc35393634"/>
      <w:bookmarkStart w:id="28" w:name="_Toc28359094"/>
      <w:bookmarkStart w:id="29" w:name="_Toc11898"/>
      <w:bookmarkStart w:id="30" w:name="_Toc28359017"/>
      <w:r>
        <w:rPr>
          <w:rFonts w:hint="eastAsia" w:cs="Arial"/>
          <w:b/>
          <w:bCs/>
          <w:sz w:val="22"/>
          <w:szCs w:val="22"/>
        </w:rPr>
        <w:t>公告期限</w:t>
      </w:r>
      <w:bookmarkEnd w:id="26"/>
      <w:bookmarkEnd w:id="27"/>
      <w:bookmarkEnd w:id="28"/>
      <w:bookmarkEnd w:id="29"/>
      <w:bookmarkEnd w:id="30"/>
    </w:p>
    <w:p>
      <w:pPr>
        <w:adjustRightInd w:val="0"/>
        <w:snapToGrid w:val="0"/>
        <w:spacing w:line="360" w:lineRule="auto"/>
        <w:ind w:firstLine="440" w:firstLineChars="200"/>
        <w:rPr>
          <w:rFonts w:cs="Arial"/>
          <w:sz w:val="22"/>
          <w:szCs w:val="22"/>
        </w:rPr>
      </w:pPr>
      <w:r>
        <w:rPr>
          <w:rFonts w:hint="eastAsia" w:cs="Arial"/>
          <w:sz w:val="22"/>
          <w:szCs w:val="22"/>
        </w:rPr>
        <w:t>自本公告发布之日起5个工作日。</w:t>
      </w:r>
    </w:p>
    <w:p>
      <w:pPr>
        <w:adjustRightInd w:val="0"/>
        <w:snapToGrid w:val="0"/>
        <w:spacing w:line="360" w:lineRule="auto"/>
        <w:ind w:firstLine="442" w:firstLineChars="200"/>
        <w:outlineLvl w:val="0"/>
        <w:rPr>
          <w:rFonts w:cs="Arial"/>
          <w:b/>
          <w:bCs/>
          <w:sz w:val="22"/>
          <w:szCs w:val="22"/>
        </w:rPr>
      </w:pPr>
      <w:bookmarkStart w:id="31" w:name="_Toc15266"/>
      <w:bookmarkStart w:id="32" w:name="_Toc35393804"/>
      <w:bookmarkStart w:id="33" w:name="_Toc35393635"/>
      <w:r>
        <w:rPr>
          <w:rFonts w:hint="eastAsia" w:cs="Arial"/>
          <w:b/>
          <w:bCs/>
          <w:sz w:val="22"/>
          <w:szCs w:val="22"/>
        </w:rPr>
        <w:t>六、其他补充事宜</w:t>
      </w:r>
      <w:bookmarkEnd w:id="31"/>
      <w:bookmarkEnd w:id="32"/>
      <w:bookmarkEnd w:id="33"/>
    </w:p>
    <w:p>
      <w:pPr>
        <w:pStyle w:val="4"/>
        <w:spacing w:before="75" w:beforeAutospacing="0" w:after="75" w:afterAutospacing="0" w:line="360" w:lineRule="auto"/>
        <w:ind w:firstLine="420"/>
        <w:outlineLvl w:val="1"/>
        <w:rPr>
          <w:color w:val="auto"/>
          <w:sz w:val="22"/>
        </w:rPr>
      </w:pPr>
      <w:bookmarkStart w:id="34" w:name="_Toc22819"/>
      <w:r>
        <w:rPr>
          <w:rFonts w:hint="eastAsia"/>
          <w:color w:val="auto"/>
          <w:sz w:val="22"/>
        </w:rPr>
        <w:t>1.</w:t>
      </w:r>
      <w:bookmarkEnd w:id="34"/>
      <w:r>
        <w:rPr>
          <w:rFonts w:hint="eastAsia"/>
          <w:color w:val="auto"/>
          <w:sz w:val="22"/>
        </w:rPr>
        <w:t>投标保证金（人民币）：壹拾万元整（¥100000.00元）。</w:t>
      </w:r>
    </w:p>
    <w:p>
      <w:pPr>
        <w:pStyle w:val="4"/>
        <w:spacing w:before="75" w:beforeAutospacing="0" w:after="75" w:afterAutospacing="0" w:line="360" w:lineRule="auto"/>
        <w:ind w:firstLine="420"/>
        <w:outlineLvl w:val="1"/>
        <w:rPr>
          <w:color w:val="auto"/>
          <w:sz w:val="22"/>
        </w:rPr>
      </w:pPr>
      <w:r>
        <w:rPr>
          <w:rFonts w:hint="eastAsia"/>
          <w:color w:val="auto"/>
          <w:sz w:val="22"/>
        </w:rPr>
        <w:t>投标人应于截标前将投标保证金以银行转账、支票、汇票、本票、银行出具的保函或保险机构出具的保函、保险单等非现金形式交至以下账户，禁止采用现金交纳方式。采用转账、电汇形式的，保证金必须从投标人银行账户转出，并于投标文件递交截止时间前到达以下指定账户；采用支票、汇票、本票、银行出具的保函或保险机构出具的保函、保险单形式的，投标人应于投标文件递交截止时间前递交单独密封的支票、汇票、本票、保险、保函原件；否则视为无效保证金。交纳时请在备注栏或用途栏标注项目名称或项目编号。</w:t>
      </w:r>
    </w:p>
    <w:p>
      <w:pPr>
        <w:widowControl/>
        <w:spacing w:line="360" w:lineRule="auto"/>
        <w:ind w:firstLine="440" w:firstLineChars="200"/>
        <w:rPr>
          <w:rFonts w:hint="eastAsia" w:ascii="宋体" w:hAnsi="宋体" w:cs="Arial"/>
          <w:color w:val="auto"/>
          <w:kern w:val="0"/>
          <w:sz w:val="22"/>
        </w:rPr>
      </w:pPr>
      <w:bookmarkStart w:id="35" w:name="_Toc21284"/>
      <w:r>
        <w:rPr>
          <w:rFonts w:hint="eastAsia" w:ascii="宋体" w:hAnsi="宋体" w:cs="Arial"/>
          <w:color w:val="auto"/>
          <w:kern w:val="0"/>
          <w:sz w:val="22"/>
        </w:rPr>
        <w:t xml:space="preserve">开户名称：百色市公共资源交易中心      </w:t>
      </w:r>
    </w:p>
    <w:p>
      <w:pPr>
        <w:widowControl/>
        <w:spacing w:line="360" w:lineRule="auto"/>
        <w:ind w:firstLine="440" w:firstLineChars="200"/>
        <w:rPr>
          <w:rFonts w:hint="eastAsia" w:ascii="宋体" w:hAnsi="宋体" w:eastAsia="宋体" w:cs="Arial"/>
          <w:color w:val="auto"/>
          <w:kern w:val="0"/>
          <w:sz w:val="22"/>
        </w:rPr>
      </w:pPr>
      <w:r>
        <w:rPr>
          <w:rFonts w:hint="eastAsia" w:ascii="宋体" w:hAnsi="宋体" w:cs="Arial"/>
          <w:color w:val="auto"/>
          <w:kern w:val="0"/>
          <w:sz w:val="22"/>
        </w:rPr>
        <w:t>开户银行</w:t>
      </w:r>
      <w:r>
        <w:rPr>
          <w:rFonts w:hint="eastAsia" w:ascii="宋体" w:hAnsi="宋体" w:eastAsia="宋体" w:cs="Arial"/>
          <w:color w:val="auto"/>
          <w:kern w:val="0"/>
          <w:sz w:val="22"/>
        </w:rPr>
        <w:t>：广西北部湾银行股份有限公司百色分行</w:t>
      </w:r>
    </w:p>
    <w:p>
      <w:pPr>
        <w:widowControl/>
        <w:spacing w:line="360" w:lineRule="auto"/>
        <w:ind w:firstLine="440" w:firstLineChars="200"/>
        <w:rPr>
          <w:rFonts w:hint="eastAsia" w:ascii="宋体" w:hAnsi="宋体" w:eastAsia="宋体" w:cs="Arial"/>
          <w:color w:val="auto"/>
          <w:kern w:val="0"/>
          <w:sz w:val="22"/>
        </w:rPr>
      </w:pPr>
      <w:r>
        <w:rPr>
          <w:rFonts w:hint="eastAsia" w:ascii="宋体" w:hAnsi="宋体" w:eastAsia="宋体" w:cs="Arial"/>
          <w:color w:val="auto"/>
          <w:kern w:val="0"/>
          <w:sz w:val="22"/>
        </w:rPr>
        <w:t>银行账户：</w:t>
      </w:r>
      <w:r>
        <w:rPr>
          <w:rFonts w:hint="default" w:ascii="宋体" w:hAnsi="宋体" w:eastAsia="宋体" w:cs="Arial"/>
          <w:color w:val="auto"/>
          <w:kern w:val="0"/>
          <w:sz w:val="22"/>
        </w:rPr>
        <w:t>8000895552555523534962</w:t>
      </w:r>
      <w:r>
        <w:rPr>
          <w:rFonts w:hint="eastAsia" w:ascii="宋体" w:hAnsi="宋体" w:eastAsia="宋体" w:cs="Arial"/>
          <w:color w:val="auto"/>
          <w:kern w:val="0"/>
          <w:sz w:val="22"/>
        </w:rPr>
        <w:t xml:space="preserve">  </w:t>
      </w:r>
    </w:p>
    <w:p>
      <w:pPr>
        <w:pStyle w:val="4"/>
        <w:spacing w:before="75" w:beforeAutospacing="0" w:after="75" w:afterAutospacing="0" w:line="360" w:lineRule="auto"/>
        <w:ind w:firstLine="420"/>
        <w:outlineLvl w:val="1"/>
        <w:rPr>
          <w:rFonts w:hint="eastAsia" w:cs="宋体"/>
          <w:color w:val="auto"/>
        </w:rPr>
      </w:pPr>
      <w:r>
        <w:rPr>
          <w:rFonts w:hint="eastAsia"/>
          <w:color w:val="auto"/>
          <w:sz w:val="22"/>
        </w:rPr>
        <w:t>2.网上查询地址：</w:t>
      </w:r>
      <w:bookmarkEnd w:id="35"/>
      <w:bookmarkStart w:id="36" w:name="_Toc18758"/>
      <w:r>
        <w:rPr>
          <w:rFonts w:hint="eastAsia"/>
          <w:color w:val="auto"/>
          <w:sz w:val="22"/>
        </w:rPr>
        <w:t>中国政府采购网、广西壮族自治区政府采购网、全国公共资源交易平台（广西·百色）。</w:t>
      </w:r>
    </w:p>
    <w:p>
      <w:pPr>
        <w:pStyle w:val="4"/>
        <w:spacing w:before="75" w:beforeAutospacing="0" w:after="75" w:afterAutospacing="0" w:line="360" w:lineRule="auto"/>
        <w:ind w:left="315" w:firstLine="220" w:firstLineChars="100"/>
        <w:outlineLvl w:val="1"/>
        <w:rPr>
          <w:color w:val="auto"/>
          <w:sz w:val="22"/>
        </w:rPr>
      </w:pPr>
      <w:r>
        <w:rPr>
          <w:rFonts w:hint="eastAsia"/>
          <w:color w:val="auto"/>
          <w:sz w:val="22"/>
        </w:rPr>
        <w:t>3.本项目需要落实的政府采购政策：</w:t>
      </w:r>
      <w:bookmarkEnd w:id="36"/>
    </w:p>
    <w:p>
      <w:pPr>
        <w:pStyle w:val="4"/>
        <w:spacing w:before="75" w:beforeAutospacing="0" w:after="75" w:afterAutospacing="0" w:line="360" w:lineRule="auto"/>
        <w:ind w:firstLine="440" w:firstLineChars="200"/>
        <w:rPr>
          <w:color w:val="auto"/>
          <w:sz w:val="22"/>
        </w:rPr>
      </w:pPr>
      <w:r>
        <w:rPr>
          <w:rFonts w:hint="eastAsia"/>
          <w:color w:val="auto"/>
          <w:sz w:val="22"/>
        </w:rPr>
        <w:t>（1）政府采购促进中小企业发展。</w:t>
      </w:r>
    </w:p>
    <w:p>
      <w:pPr>
        <w:pStyle w:val="4"/>
        <w:spacing w:before="75" w:beforeAutospacing="0" w:after="75" w:afterAutospacing="0" w:line="360" w:lineRule="auto"/>
        <w:ind w:firstLine="440" w:firstLineChars="200"/>
        <w:rPr>
          <w:color w:val="auto"/>
          <w:sz w:val="22"/>
        </w:rPr>
      </w:pPr>
      <w:r>
        <w:rPr>
          <w:rFonts w:hint="eastAsia"/>
          <w:color w:val="auto"/>
          <w:sz w:val="22"/>
        </w:rPr>
        <w:t>（2）政府采购支持采用本国产品的政策。</w:t>
      </w:r>
    </w:p>
    <w:p>
      <w:pPr>
        <w:pStyle w:val="4"/>
        <w:spacing w:before="75" w:beforeAutospacing="0" w:after="75" w:afterAutospacing="0" w:line="360" w:lineRule="auto"/>
        <w:ind w:firstLine="440" w:firstLineChars="200"/>
        <w:rPr>
          <w:color w:val="auto"/>
          <w:sz w:val="22"/>
        </w:rPr>
      </w:pPr>
      <w:r>
        <w:rPr>
          <w:rFonts w:hint="eastAsia"/>
          <w:color w:val="auto"/>
          <w:sz w:val="22"/>
        </w:rPr>
        <w:t>（3）强制采购节能产品；优先采购节能产品、环境标志产品。</w:t>
      </w:r>
    </w:p>
    <w:p>
      <w:pPr>
        <w:pStyle w:val="4"/>
        <w:spacing w:before="75" w:beforeAutospacing="0" w:after="75" w:afterAutospacing="0" w:line="360" w:lineRule="auto"/>
        <w:ind w:firstLine="440" w:firstLineChars="200"/>
        <w:rPr>
          <w:color w:val="auto"/>
          <w:sz w:val="22"/>
        </w:rPr>
      </w:pPr>
      <w:r>
        <w:rPr>
          <w:rFonts w:hint="eastAsia"/>
          <w:color w:val="auto"/>
          <w:sz w:val="22"/>
        </w:rPr>
        <w:t>（4）政府采购促进残疾人就业政策。</w:t>
      </w:r>
    </w:p>
    <w:p>
      <w:pPr>
        <w:pStyle w:val="4"/>
        <w:spacing w:before="75" w:beforeAutospacing="0" w:after="75" w:afterAutospacing="0" w:line="360" w:lineRule="auto"/>
        <w:ind w:left="420"/>
        <w:rPr>
          <w:rFonts w:hint="eastAsia"/>
          <w:color w:val="auto"/>
          <w:sz w:val="22"/>
        </w:rPr>
      </w:pPr>
      <w:r>
        <w:rPr>
          <w:rFonts w:hint="eastAsia"/>
          <w:color w:val="auto"/>
          <w:sz w:val="22"/>
        </w:rPr>
        <w:t>（5）政府采购支持监狱企业发展。</w:t>
      </w:r>
    </w:p>
    <w:p>
      <w:pPr>
        <w:pStyle w:val="4"/>
        <w:spacing w:before="75" w:beforeAutospacing="0" w:after="75" w:afterAutospacing="0" w:line="360" w:lineRule="auto"/>
        <w:ind w:left="420"/>
        <w:rPr>
          <w:rFonts w:hint="eastAsia"/>
          <w:color w:val="auto"/>
          <w:sz w:val="22"/>
        </w:rPr>
      </w:pPr>
      <w:r>
        <w:rPr>
          <w:rFonts w:hint="eastAsia"/>
          <w:color w:val="auto"/>
          <w:sz w:val="22"/>
        </w:rPr>
        <w:t>4.投标人的法定代表人或委托代理人应当按时参加开标会并携带以下资料：</w:t>
      </w:r>
      <w:r>
        <w:rPr>
          <w:rFonts w:hint="eastAsia"/>
          <w:color w:val="auto"/>
          <w:sz w:val="22"/>
        </w:rPr>
        <w:br w:type="textWrapping"/>
      </w:r>
      <w:r>
        <w:rPr>
          <w:rFonts w:hint="eastAsia"/>
          <w:color w:val="auto"/>
          <w:sz w:val="22"/>
        </w:rPr>
        <w:t>（1）投标单位由法定代表人参加开标会的，须提供法定代表人身份证原件、营业执照副本复印件及投标保证金缴纳凭证；</w:t>
      </w:r>
      <w:r>
        <w:rPr>
          <w:rFonts w:hint="eastAsia"/>
          <w:color w:val="auto"/>
          <w:sz w:val="22"/>
        </w:rPr>
        <w:br w:type="textWrapping"/>
      </w:r>
      <w:r>
        <w:rPr>
          <w:rFonts w:hint="eastAsia"/>
          <w:color w:val="auto"/>
          <w:sz w:val="22"/>
        </w:rPr>
        <w:t>（2）投标人由授权委托代理人参加开标会的，持法定代表人签字或盖章的授权委托书原件、营业执照副本复印件、委托代理人身份证原件及投标保证金缴纳凭证。</w:t>
      </w:r>
    </w:p>
    <w:p>
      <w:pPr>
        <w:pStyle w:val="4"/>
        <w:spacing w:before="75" w:beforeAutospacing="0" w:after="75" w:afterAutospacing="0" w:line="360" w:lineRule="auto"/>
        <w:ind w:left="420"/>
        <w:rPr>
          <w:rFonts w:hint="eastAsia"/>
          <w:color w:val="auto"/>
          <w:sz w:val="22"/>
        </w:rPr>
      </w:pPr>
      <w:r>
        <w:rPr>
          <w:rFonts w:hint="eastAsia"/>
          <w:color w:val="auto"/>
          <w:sz w:val="22"/>
        </w:rPr>
        <w:t>5.为配合采购人执行政府采购项目及备案，未入驻政府采购云平台的投标人请在获取招标文件后登录政府采购云平台(网址: http://www. zcygov. cn)进行商家入驻，如在操作过程中遇到问题或需技术支持，请致电政采云客服热线: 400-881-7190。</w:t>
      </w:r>
    </w:p>
    <w:p>
      <w:pPr>
        <w:pStyle w:val="4"/>
        <w:spacing w:before="75" w:beforeAutospacing="0" w:after="75" w:afterAutospacing="0" w:line="360" w:lineRule="auto"/>
        <w:ind w:left="420"/>
        <w:rPr>
          <w:rFonts w:hint="eastAsia"/>
          <w:color w:val="auto"/>
          <w:sz w:val="22"/>
          <w:szCs w:val="22"/>
        </w:rPr>
      </w:pPr>
      <w:r>
        <w:rPr>
          <w:rFonts w:hint="eastAsia"/>
          <w:color w:val="auto"/>
          <w:sz w:val="22"/>
        </w:rPr>
        <w:t>6.疫情防控期间，投标人须按照《百色市公共资源交易中心疫情防控期间进场交易项目服务指南》要求入场，投标人在递交投标文件时需持“投标人（供应商）承诺书”（格式见招标文件附件1）及“各交易活动参与人承诺书”（格式见招标文件附件2），疫情区过来人员须出具7天核酸检测报告及广西绿色健康码。如投标人因未按要求提供以上材料或者拒绝配合检查而被隔离在开标</w:t>
      </w:r>
      <w:r>
        <w:rPr>
          <w:rFonts w:hint="eastAsia"/>
          <w:color w:val="auto"/>
          <w:sz w:val="22"/>
          <w:szCs w:val="22"/>
        </w:rPr>
        <w:t>现场外的，视为未按时到达开标现场。</w:t>
      </w:r>
    </w:p>
    <w:p>
      <w:pPr>
        <w:spacing w:line="360" w:lineRule="auto"/>
        <w:ind w:firstLine="440" w:firstLineChars="200"/>
        <w:rPr>
          <w:rFonts w:hint="eastAsia" w:ascii="宋体" w:hAnsi="宋体" w:cs="宋体"/>
          <w:sz w:val="22"/>
          <w:szCs w:val="22"/>
        </w:rPr>
      </w:pPr>
      <w:r>
        <w:rPr>
          <w:rFonts w:hint="eastAsia" w:cs="Arial"/>
          <w:sz w:val="22"/>
          <w:szCs w:val="22"/>
        </w:rPr>
        <w:t>7.资格要求的补充事项：</w:t>
      </w:r>
      <w:r>
        <w:rPr>
          <w:rFonts w:hint="eastAsia" w:ascii="宋体" w:hAnsi="宋体" w:cs="宋体"/>
          <w:sz w:val="22"/>
          <w:szCs w:val="22"/>
        </w:rPr>
        <w:t>（2）业绩要求：承担过1个及以上高速公路、一级公路、二级公路或者独立桥梁、隧道工程的建设相关的业绩（包括代建或设计），具有良好的履约评价和市场信誉；</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企业管理机构要求：拥有专业齐全、结构合理的专业技术人才队伍，工程技术系列中级以上职称人员不少于30人，其中具有高级及以上职称人员不少于10人。 </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（3）人员要求：</w:t>
      </w:r>
    </w:p>
    <w:p>
      <w:pPr>
        <w:pStyle w:val="8"/>
        <w:spacing w:line="360" w:lineRule="auto"/>
        <w:jc w:val="both"/>
        <w:rPr>
          <w:rFonts w:hint="eastAsia"/>
          <w:sz w:val="22"/>
          <w:szCs w:val="22"/>
        </w:rPr>
      </w:pPr>
      <w:r>
        <w:rPr>
          <w:rFonts w:hint="eastAsia"/>
          <w:sz w:val="22"/>
          <w:szCs w:val="22"/>
        </w:rPr>
        <w:t>①拟投入的项目负责人具有公路与桥梁相关专业高级及以上技术职称，5年以上的公路建设行业从业经验，至少具有1个类似项目（包括代建或设计）经历；且不接受有在建、已中标未开工或已列为其他项目施工中标候选人第一名的人员作为项目负责人；</w:t>
      </w:r>
    </w:p>
    <w:p>
      <w:pPr>
        <w:pStyle w:val="8"/>
        <w:spacing w:line="360" w:lineRule="auto"/>
        <w:jc w:val="both"/>
        <w:rPr>
          <w:rFonts w:hint="eastAsia"/>
          <w:sz w:val="22"/>
          <w:szCs w:val="22"/>
        </w:rPr>
      </w:pPr>
      <w:r>
        <w:rPr>
          <w:rFonts w:hint="eastAsia"/>
          <w:sz w:val="22"/>
          <w:szCs w:val="22"/>
        </w:rPr>
        <w:t>②拟投入的技术负责人具有公路与桥梁相关专业高级及以上技术职称，5年以上的公路建设行业从业经验；且不接受有在建、已中标未开工或已列为其他项目施工中标候选人第一名的人员作为技术负责人；</w:t>
      </w:r>
    </w:p>
    <w:p>
      <w:pPr>
        <w:pStyle w:val="8"/>
        <w:spacing w:line="360" w:lineRule="auto"/>
        <w:jc w:val="both"/>
        <w:rPr>
          <w:rFonts w:hint="eastAsia"/>
          <w:sz w:val="22"/>
          <w:szCs w:val="22"/>
        </w:rPr>
      </w:pPr>
      <w:r>
        <w:rPr>
          <w:rFonts w:hint="eastAsia"/>
          <w:sz w:val="22"/>
          <w:szCs w:val="22"/>
        </w:rPr>
        <w:t>③拟投入的工程管理部门负责人具有公路与桥梁相关专业中级及以上技术职称，3年以上的公路建设行业从业经验。且不接受有在建、已中标未开工或已列为其他项目施工中标候选人第一名的人员作为工程管理部负责人。</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（4）财务要求：财务状况良好，提供近三年（2018-2020年）经审计的财务报告</w:t>
      </w:r>
      <w:r>
        <w:rPr>
          <w:rFonts w:hint="eastAsia" w:ascii="宋体" w:hAnsi="宋体" w:cs="宋体"/>
          <w:kern w:val="0"/>
          <w:sz w:val="22"/>
          <w:szCs w:val="22"/>
          <w:u w:val="single"/>
        </w:rPr>
        <w:t>（提供资产负债</w:t>
      </w:r>
      <w:r>
        <w:rPr>
          <w:rFonts w:hint="eastAsia" w:ascii="宋体" w:hAnsi="宋体" w:cs="宋体"/>
          <w:kern w:val="0"/>
          <w:sz w:val="22"/>
          <w:szCs w:val="22"/>
        </w:rPr>
        <w:t>表、现金流量表、利润表）。对于从取得营业执照时间起到投标截止时间为止不足要求年数的企业，只需提交企业取得营业执照年份至所要求最近年份经审计的财务报表。</w:t>
      </w:r>
    </w:p>
    <w:p>
      <w:pPr>
        <w:pStyle w:val="9"/>
        <w:spacing w:line="360" w:lineRule="auto"/>
        <w:rPr>
          <w:rFonts w:hint="eastAsia" w:ascii="宋体" w:hAnsi="宋体" w:cs="宋体"/>
          <w:sz w:val="22"/>
          <w:szCs w:val="22"/>
        </w:rPr>
      </w:pPr>
      <w:r>
        <w:rPr>
          <w:rFonts w:hint="eastAsia" w:ascii="宋体" w:hAnsi="宋体" w:cs="宋体"/>
          <w:sz w:val="22"/>
          <w:szCs w:val="22"/>
        </w:rPr>
        <w:t xml:space="preserve">     （5）信誉要求：</w:t>
      </w:r>
    </w:p>
    <w:p>
      <w:pPr>
        <w:pStyle w:val="9"/>
        <w:spacing w:line="360" w:lineRule="auto"/>
        <w:rPr>
          <w:rFonts w:hint="eastAsia" w:ascii="宋体" w:hAnsi="宋体" w:cs="宋体"/>
          <w:sz w:val="22"/>
          <w:szCs w:val="22"/>
        </w:rPr>
      </w:pPr>
      <w:r>
        <w:rPr>
          <w:rFonts w:hint="eastAsia" w:ascii="宋体" w:hAnsi="宋体" w:cs="宋体"/>
          <w:sz w:val="22"/>
          <w:szCs w:val="22"/>
        </w:rPr>
        <w:t xml:space="preserve">    投标人不得存在下列不良状况或者不良信用记录：</w:t>
      </w:r>
    </w:p>
    <w:p>
      <w:pPr>
        <w:pStyle w:val="9"/>
        <w:spacing w:line="360" w:lineRule="auto"/>
        <w:rPr>
          <w:rFonts w:hint="eastAsia"/>
          <w:kern w:val="2"/>
          <w:sz w:val="22"/>
          <w:szCs w:val="22"/>
        </w:rPr>
      </w:pPr>
      <w:r>
        <w:rPr>
          <w:rFonts w:hint="eastAsia" w:ascii="宋体" w:hAnsi="宋体" w:cs="宋体"/>
          <w:sz w:val="22"/>
          <w:szCs w:val="22"/>
        </w:rPr>
        <w:t xml:space="preserve">    </w:t>
      </w:r>
      <w:r>
        <w:rPr>
          <w:rFonts w:hint="eastAsia"/>
          <w:kern w:val="2"/>
          <w:sz w:val="22"/>
          <w:szCs w:val="22"/>
        </w:rPr>
        <w:t>①被市级及以上交通运输主管部门依法暂停或取消招标项目所在地的投标资格且处于有效期内；</w:t>
      </w:r>
    </w:p>
    <w:p>
      <w:pPr>
        <w:pStyle w:val="9"/>
        <w:spacing w:line="360" w:lineRule="auto"/>
        <w:ind w:firstLine="440" w:firstLineChars="200"/>
        <w:rPr>
          <w:rFonts w:hint="eastAsia"/>
          <w:kern w:val="2"/>
          <w:sz w:val="22"/>
          <w:szCs w:val="22"/>
        </w:rPr>
      </w:pPr>
      <w:r>
        <w:rPr>
          <w:rFonts w:hint="eastAsia"/>
          <w:kern w:val="2"/>
          <w:sz w:val="22"/>
          <w:szCs w:val="22"/>
        </w:rPr>
        <w:t>②被责令停业，暂扣或吊销执照，或吊销资质证书；</w:t>
      </w:r>
    </w:p>
    <w:p>
      <w:pPr>
        <w:pStyle w:val="4"/>
        <w:spacing w:before="75" w:beforeAutospacing="0" w:after="75" w:afterAutospacing="0" w:line="360" w:lineRule="auto"/>
        <w:ind w:left="420"/>
        <w:rPr>
          <w:rFonts w:hint="eastAsia" w:ascii="Times New Roman" w:hAnsi="Times New Roman" w:cs="Times New Roman"/>
          <w:color w:val="auto"/>
          <w:kern w:val="2"/>
          <w:sz w:val="22"/>
          <w:szCs w:val="22"/>
        </w:rPr>
      </w:pPr>
      <w:r>
        <w:rPr>
          <w:rFonts w:hint="eastAsia" w:ascii="Times New Roman" w:hAnsi="Times New Roman" w:cs="Times New Roman"/>
          <w:color w:val="auto"/>
          <w:kern w:val="2"/>
          <w:sz w:val="22"/>
          <w:szCs w:val="22"/>
        </w:rPr>
        <w:t>③进入清算程序，或被宣告破产，或其他丧失履约能力的情形；</w:t>
      </w:r>
    </w:p>
    <w:p>
      <w:pPr>
        <w:pStyle w:val="4"/>
        <w:spacing w:before="75" w:beforeAutospacing="0" w:after="75" w:afterAutospacing="0" w:line="360" w:lineRule="auto"/>
        <w:ind w:left="420"/>
        <w:rPr>
          <w:rFonts w:hint="eastAsia"/>
          <w:color w:val="auto"/>
          <w:sz w:val="22"/>
          <w:szCs w:val="22"/>
        </w:rPr>
      </w:pPr>
      <w:r>
        <w:rPr>
          <w:rFonts w:hint="eastAsia"/>
          <w:color w:val="auto"/>
          <w:sz w:val="22"/>
          <w:szCs w:val="22"/>
        </w:rPr>
        <w:t>④在国家企业信用公示系统（http://www.gsxt.gov.cn/）中被列为失信被列入严重违法失信的企业名单；</w:t>
      </w:r>
    </w:p>
    <w:p>
      <w:pPr>
        <w:pStyle w:val="4"/>
        <w:spacing w:before="75" w:beforeAutospacing="0" w:after="75" w:afterAutospacing="0" w:line="360" w:lineRule="auto"/>
        <w:ind w:left="420"/>
        <w:rPr>
          <w:rFonts w:hint="eastAsia" w:ascii="Times New Roman" w:hAnsi="Times New Roman" w:cs="Times New Roman"/>
          <w:color w:val="auto"/>
          <w:kern w:val="2"/>
          <w:sz w:val="22"/>
          <w:szCs w:val="22"/>
        </w:rPr>
      </w:pPr>
      <w:r>
        <w:rPr>
          <w:rFonts w:hint="eastAsia" w:ascii="Times New Roman" w:hAnsi="Times New Roman" w:cs="Times New Roman"/>
          <w:color w:val="auto"/>
          <w:kern w:val="2"/>
          <w:sz w:val="22"/>
          <w:szCs w:val="22"/>
        </w:rPr>
        <w:t xml:space="preserve">⑤在“信用中国”网站（https://www.creditchina.gov.cn/）中被列为失信被执行人名单； </w:t>
      </w:r>
    </w:p>
    <w:p>
      <w:pPr>
        <w:pStyle w:val="4"/>
        <w:spacing w:before="75" w:beforeAutospacing="0" w:after="75" w:afterAutospacing="0" w:line="360" w:lineRule="auto"/>
        <w:ind w:left="420"/>
        <w:rPr>
          <w:rFonts w:hint="eastAsia" w:ascii="Times New Roman" w:hAnsi="Times New Roman" w:cs="Times New Roman"/>
          <w:color w:val="auto"/>
          <w:kern w:val="2"/>
          <w:sz w:val="22"/>
          <w:szCs w:val="22"/>
        </w:rPr>
      </w:pPr>
      <w:r>
        <w:rPr>
          <w:rFonts w:hint="eastAsia" w:ascii="Times New Roman" w:hAnsi="Times New Roman" w:cs="Times New Roman"/>
          <w:color w:val="auto"/>
          <w:kern w:val="2"/>
          <w:sz w:val="22"/>
          <w:szCs w:val="22"/>
        </w:rPr>
        <w:t>⑥近三年内投标人的法定代表人不得有行贿犯罪行为【以评标阶段通过“中国裁判文书”网站（https://wenshu.court.gov.cn）查询结果为准】。</w:t>
      </w:r>
    </w:p>
    <w:p>
      <w:pPr>
        <w:pStyle w:val="4"/>
        <w:spacing w:before="75" w:beforeAutospacing="0" w:after="75" w:afterAutospacing="0" w:line="360" w:lineRule="auto"/>
        <w:ind w:left="420"/>
        <w:rPr>
          <w:rFonts w:hint="eastAsia"/>
          <w:color w:val="auto"/>
          <w:sz w:val="22"/>
          <w:szCs w:val="22"/>
        </w:rPr>
      </w:pPr>
      <w:r>
        <w:rPr>
          <w:rFonts w:hint="eastAsia" w:ascii="Times New Roman" w:hAnsi="Times New Roman" w:cs="Times New Roman"/>
          <w:color w:val="auto"/>
          <w:kern w:val="2"/>
          <w:sz w:val="22"/>
          <w:szCs w:val="22"/>
        </w:rPr>
        <w:t>（6）</w:t>
      </w:r>
      <w:r>
        <w:rPr>
          <w:rFonts w:hint="eastAsia"/>
          <w:color w:val="auto"/>
          <w:sz w:val="22"/>
          <w:szCs w:val="22"/>
        </w:rPr>
        <w:t>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pPr>
        <w:pStyle w:val="4"/>
        <w:spacing w:before="75" w:beforeAutospacing="0" w:after="75" w:afterAutospacing="0" w:line="360" w:lineRule="auto"/>
        <w:ind w:left="420"/>
        <w:rPr>
          <w:rFonts w:hint="eastAsia" w:eastAsia="仿宋"/>
          <w:color w:val="auto"/>
          <w:sz w:val="22"/>
          <w:szCs w:val="22"/>
        </w:rPr>
      </w:pPr>
      <w:r>
        <w:rPr>
          <w:rFonts w:hint="eastAsia"/>
          <w:color w:val="auto"/>
          <w:sz w:val="22"/>
          <w:szCs w:val="22"/>
        </w:rPr>
        <w:t>（7）对在“信用中国”网站(www. credi tchina. gov.cn)、 中国政府采购网(www. ccgp. gov. 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outlineLvl w:val="0"/>
        <w:rPr>
          <w:b/>
          <w:bCs/>
          <w:sz w:val="22"/>
          <w:szCs w:val="22"/>
        </w:rPr>
      </w:pPr>
      <w:bookmarkStart w:id="37" w:name="_Toc35393805"/>
      <w:bookmarkStart w:id="38" w:name="_Toc28359095"/>
      <w:bookmarkStart w:id="39" w:name="_Toc26461"/>
      <w:bookmarkStart w:id="40" w:name="_Toc28359018"/>
      <w:bookmarkStart w:id="41" w:name="_Toc35393636"/>
      <w:r>
        <w:rPr>
          <w:rFonts w:hint="eastAsia"/>
          <w:b/>
          <w:bCs/>
          <w:sz w:val="22"/>
          <w:szCs w:val="22"/>
        </w:rPr>
        <w:t>八、凡对本次采购提出询问，请按以下方式联系。</w:t>
      </w:r>
      <w:bookmarkEnd w:id="37"/>
      <w:bookmarkEnd w:id="38"/>
      <w:bookmarkEnd w:id="39"/>
      <w:bookmarkEnd w:id="40"/>
      <w:bookmarkEnd w:id="41"/>
    </w:p>
    <w:p>
      <w:pPr>
        <w:widowControl/>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1.采 购 人：</w:t>
      </w:r>
      <w:r>
        <w:rPr>
          <w:rFonts w:hint="eastAsia" w:ascii="宋体" w:hAnsi="宋体" w:cs="宋体"/>
          <w:sz w:val="22"/>
          <w:szCs w:val="22"/>
          <w:lang w:val="zh-CN"/>
        </w:rPr>
        <w:t xml:space="preserve">乐业县交通运输局 </w:t>
      </w:r>
      <w:r>
        <w:rPr>
          <w:rFonts w:hint="eastAsia" w:ascii="宋体" w:hAnsi="宋体" w:cs="宋体"/>
          <w:kern w:val="0"/>
          <w:sz w:val="22"/>
          <w:szCs w:val="22"/>
        </w:rPr>
        <w:t xml:space="preserve">                    </w:t>
      </w:r>
    </w:p>
    <w:p>
      <w:pPr>
        <w:widowControl/>
        <w:spacing w:line="360" w:lineRule="auto"/>
        <w:ind w:firstLine="440" w:firstLineChars="200"/>
        <w:rPr>
          <w:rFonts w:hint="eastAsia" w:ascii="宋体" w:hAnsi="宋体" w:cs="宋体"/>
          <w:sz w:val="22"/>
          <w:szCs w:val="22"/>
          <w:lang w:val="zh-CN"/>
        </w:rPr>
      </w:pPr>
      <w:r>
        <w:rPr>
          <w:rFonts w:hint="eastAsia" w:ascii="宋体" w:hAnsi="宋体" w:cs="宋体"/>
          <w:kern w:val="0"/>
          <w:sz w:val="22"/>
          <w:szCs w:val="22"/>
        </w:rPr>
        <w:t>地    址</w:t>
      </w:r>
      <w:r>
        <w:rPr>
          <w:rFonts w:hint="eastAsia" w:ascii="宋体" w:hAnsi="宋体" w:cs="宋体"/>
          <w:sz w:val="22"/>
          <w:szCs w:val="22"/>
          <w:lang w:val="zh-CN"/>
        </w:rPr>
        <w:t>：乐业县同乐镇三乐街103号</w:t>
      </w:r>
    </w:p>
    <w:p>
      <w:pPr>
        <w:widowControl/>
        <w:spacing w:line="360" w:lineRule="auto"/>
        <w:ind w:firstLine="440" w:firstLineChars="200"/>
        <w:rPr>
          <w:rFonts w:hint="eastAsia" w:ascii="宋体" w:hAnsi="宋体" w:cs="宋体"/>
          <w:sz w:val="22"/>
          <w:szCs w:val="22"/>
          <w:lang w:val="zh-CN"/>
        </w:rPr>
      </w:pPr>
      <w:r>
        <w:rPr>
          <w:rFonts w:hint="eastAsia" w:ascii="宋体" w:hAnsi="宋体" w:cs="宋体"/>
          <w:sz w:val="22"/>
          <w:szCs w:val="22"/>
          <w:lang w:val="zh-CN"/>
        </w:rPr>
        <w:t xml:space="preserve">联 系 人：黄锡鑫    </w:t>
      </w:r>
    </w:p>
    <w:p>
      <w:pPr>
        <w:widowControl/>
        <w:spacing w:line="360" w:lineRule="auto"/>
        <w:ind w:firstLine="440" w:firstLineChars="200"/>
        <w:rPr>
          <w:rFonts w:hint="eastAsia" w:ascii="宋体" w:hAnsi="宋体" w:cs="宋体"/>
          <w:kern w:val="0"/>
          <w:sz w:val="22"/>
          <w:szCs w:val="22"/>
        </w:rPr>
      </w:pPr>
      <w:r>
        <w:rPr>
          <w:rFonts w:hint="eastAsia" w:ascii="宋体" w:hAnsi="宋体" w:cs="宋体"/>
          <w:sz w:val="22"/>
          <w:szCs w:val="22"/>
          <w:lang w:val="zh-CN"/>
        </w:rPr>
        <w:t xml:space="preserve">联系电话：0776-7922194  </w:t>
      </w:r>
      <w:r>
        <w:rPr>
          <w:rFonts w:hint="eastAsia" w:ascii="宋体" w:hAnsi="宋体" w:cs="宋体"/>
          <w:kern w:val="0"/>
          <w:sz w:val="22"/>
          <w:szCs w:val="22"/>
        </w:rPr>
        <w:t xml:space="preserve">                        </w:t>
      </w:r>
    </w:p>
    <w:p>
      <w:pPr>
        <w:widowControl/>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2.采购代理机构：广西国兴项目管理有限公司           </w:t>
      </w:r>
    </w:p>
    <w:p>
      <w:pPr>
        <w:widowControl/>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地    址：南宁市良庆区体强路19号阳光城·时代中心B座2220号 </w:t>
      </w:r>
    </w:p>
    <w:p>
      <w:pPr>
        <w:widowControl/>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联 系 人：郭庆娟 </w:t>
      </w:r>
    </w:p>
    <w:p>
      <w:pPr>
        <w:widowControl/>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联系电话：0771-5789574</w:t>
      </w:r>
    </w:p>
    <w:p>
      <w:pPr>
        <w:widowControl/>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3.监督部门：乐业县政府采购管理中心 </w:t>
      </w:r>
    </w:p>
    <w:p>
      <w:pPr>
        <w:widowControl/>
        <w:spacing w:line="360" w:lineRule="auto"/>
        <w:ind w:firstLine="440" w:firstLineChars="200"/>
        <w:rPr>
          <w:rFonts w:hint="eastAsia" w:ascii="宋体" w:hAnsi="宋体" w:cs="宋体"/>
          <w:kern w:val="0"/>
          <w:sz w:val="24"/>
        </w:rPr>
      </w:pPr>
      <w:r>
        <w:rPr>
          <w:rFonts w:hint="eastAsia" w:ascii="宋体" w:hAnsi="宋体" w:cs="宋体"/>
          <w:kern w:val="0"/>
          <w:sz w:val="22"/>
          <w:szCs w:val="22"/>
        </w:rPr>
        <w:t xml:space="preserve">联系电话：0776-7922622           </w:t>
      </w:r>
      <w:r>
        <w:rPr>
          <w:rFonts w:hint="eastAsia" w:ascii="宋体" w:hAnsi="宋体" w:cs="宋体"/>
          <w:kern w:val="0"/>
          <w:sz w:val="24"/>
        </w:rPr>
        <w:t xml:space="preserve">                      </w:t>
      </w:r>
    </w:p>
    <w:p>
      <w:pPr>
        <w:pStyle w:val="10"/>
        <w:tabs>
          <w:tab w:val="left" w:pos="1061"/>
        </w:tabs>
        <w:spacing w:before="151" w:line="360" w:lineRule="auto"/>
        <w:ind w:left="-200" w:right="-512" w:rightChars="-244" w:firstLine="240" w:firstLineChars="100"/>
        <w:jc w:val="center"/>
        <w:rPr>
          <w:rFonts w:hint="eastAsia" w:ascii="宋体" w:hAnsi="宋体" w:cs="宋体"/>
          <w:kern w:val="0"/>
          <w:sz w:val="24"/>
          <w:szCs w:val="24"/>
        </w:rPr>
      </w:pPr>
      <w:r>
        <w:rPr>
          <w:rFonts w:hint="eastAsia" w:ascii="宋体" w:hAnsi="宋体" w:cs="宋体"/>
          <w:kern w:val="0"/>
          <w:sz w:val="24"/>
          <w:szCs w:val="24"/>
        </w:rPr>
        <w:t xml:space="preserve">                        </w:t>
      </w:r>
    </w:p>
    <w:p>
      <w:pPr>
        <w:pStyle w:val="10"/>
        <w:tabs>
          <w:tab w:val="left" w:pos="1061"/>
        </w:tabs>
        <w:spacing w:before="151" w:line="360" w:lineRule="auto"/>
        <w:ind w:left="-200" w:right="-932" w:rightChars="-444" w:firstLine="240" w:firstLineChars="100"/>
        <w:jc w:val="center"/>
        <w:rPr>
          <w:rFonts w:hint="eastAsia" w:ascii="宋体" w:hAnsi="宋体" w:cs="宋体"/>
          <w:kern w:val="0"/>
          <w:sz w:val="24"/>
          <w:szCs w:val="24"/>
        </w:rPr>
      </w:pPr>
      <w:r>
        <w:rPr>
          <w:rFonts w:hint="eastAsia" w:ascii="宋体" w:hAnsi="宋体" w:cs="宋体"/>
          <w:kern w:val="0"/>
          <w:sz w:val="24"/>
          <w:szCs w:val="24"/>
        </w:rPr>
        <w:t xml:space="preserve">           采购代理机构：广西国兴项目管理有限公司 </w:t>
      </w:r>
    </w:p>
    <w:p>
      <w:pPr>
        <w:spacing w:line="360" w:lineRule="auto"/>
      </w:pPr>
      <w:r>
        <w:rPr>
          <w:rFonts w:hint="eastAsia" w:ascii="宋体" w:hAnsi="宋体" w:cs="宋体"/>
          <w:kern w:val="0"/>
          <w:sz w:val="24"/>
        </w:rPr>
        <w:t xml:space="preserve">                                                 2021年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09</w:t>
      </w:r>
      <w:r>
        <w:rPr>
          <w:rFonts w:hint="eastAsia" w:ascii="宋体" w:hAnsi="宋体" w:cs="宋体"/>
          <w:kern w:val="0"/>
          <w:sz w:val="24"/>
        </w:rPr>
        <w:t>日</w:t>
      </w:r>
    </w:p>
    <w:p/>
    <w:sectPr>
      <w:pgSz w:w="11906" w:h="16838"/>
      <w:pgMar w:top="1383" w:right="1746"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14BEA"/>
    <w:rsid w:val="4B41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Arial"/>
      <w:color w:val="0000FF"/>
      <w:kern w:val="0"/>
      <w:sz w:val="24"/>
    </w:rPr>
  </w:style>
  <w:style w:type="paragraph" w:customStyle="1" w:styleId="7">
    <w:name w:val="_Style 3"/>
    <w:basedOn w:val="1"/>
    <w:next w:val="1"/>
    <w:uiPriority w:val="0"/>
    <w:pPr>
      <w:pBdr>
        <w:bottom w:val="single" w:color="auto" w:sz="6" w:space="1"/>
      </w:pBdr>
      <w:jc w:val="center"/>
    </w:pPr>
    <w:rPr>
      <w:rFonts w:ascii="Arial" w:eastAsia="宋体"/>
      <w:vanish/>
      <w:sz w:val="16"/>
    </w:rPr>
  </w:style>
  <w:style w:type="paragraph" w:customStyle="1" w:styleId="8">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
    <w:name w:val="表格文字"/>
    <w:basedOn w:val="1"/>
    <w:uiPriority w:val="0"/>
    <w:pPr>
      <w:adjustRightInd w:val="0"/>
      <w:spacing w:line="420" w:lineRule="atLeast"/>
      <w:jc w:val="left"/>
      <w:textAlignment w:val="baseline"/>
    </w:pPr>
    <w:rPr>
      <w:kern w:val="0"/>
      <w:szCs w:val="20"/>
    </w:rPr>
  </w:style>
  <w:style w:type="paragraph" w:styleId="10">
    <w:name w:val="List Paragraph"/>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2021-10-09T06:05:00Z</dcterms:created>
  <dc:creator>NTKO</dc:creator>
  <cp:lastModifiedBy>NTKO</cp:lastModifiedBy>
  <dcterms:modified xsi:type="dcterms:W3CDTF">2021-10-09T06:09:13Z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A78AC0AAE2E34CB5A318B4DF75443F9F</vt:lpwstr>
  </property>
</Properties>
</file>