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center"/>
        <w:rPr>
          <w:rFonts w:hint="eastAsia" w:ascii="华康简魏碑" w:eastAsia="华康简魏碑"/>
          <w:b/>
          <w:bCs/>
          <w:spacing w:val="80"/>
          <w:sz w:val="64"/>
          <w:lang w:eastAsia="zh-CN"/>
        </w:rPr>
      </w:pPr>
      <w:r>
        <w:rPr>
          <w:rFonts w:hint="eastAsia" w:ascii="华康简魏碑" w:eastAsia="华康简魏碑"/>
          <w:b/>
          <w:bCs/>
          <w:spacing w:val="80"/>
          <w:sz w:val="64"/>
          <w:lang w:eastAsia="zh-CN"/>
        </w:rPr>
        <w:drawing>
          <wp:anchor distT="0" distB="0" distL="114300" distR="114300" simplePos="0" relativeHeight="251676672" behindDoc="0" locked="0" layoutInCell="1" allowOverlap="1">
            <wp:simplePos x="0" y="0"/>
            <wp:positionH relativeFrom="column">
              <wp:posOffset>-180340</wp:posOffset>
            </wp:positionH>
            <wp:positionV relativeFrom="paragraph">
              <wp:posOffset>-102870</wp:posOffset>
            </wp:positionV>
            <wp:extent cx="6658610" cy="9401175"/>
            <wp:effectExtent l="0" t="0" r="8890" b="9525"/>
            <wp:wrapSquare wrapText="bothSides"/>
            <wp:docPr id="1" name="图片 1" descr="201229091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229091547"/>
                    <pic:cNvPicPr>
                      <a:picLocks noChangeAspect="1"/>
                    </pic:cNvPicPr>
                  </pic:nvPicPr>
                  <pic:blipFill>
                    <a:blip r:embed="rId9"/>
                    <a:stretch>
                      <a:fillRect/>
                    </a:stretch>
                  </pic:blipFill>
                  <pic:spPr>
                    <a:xfrm>
                      <a:off x="0" y="0"/>
                      <a:ext cx="6658610" cy="9401175"/>
                    </a:xfrm>
                    <a:prstGeom prst="rect">
                      <a:avLst/>
                    </a:prstGeom>
                  </pic:spPr>
                </pic:pic>
              </a:graphicData>
            </a:graphic>
          </wp:anchor>
        </w:drawing>
      </w:r>
    </w:p>
    <w:p>
      <w:pPr>
        <w:pStyle w:val="15"/>
        <w:jc w:val="center"/>
        <w:rPr>
          <w:rFonts w:ascii="华康简魏碑" w:eastAsia="华康简魏碑"/>
          <w:b/>
          <w:bCs/>
          <w:spacing w:val="80"/>
          <w:sz w:val="64"/>
        </w:rPr>
      </w:pPr>
      <w:r>
        <w:rPr>
          <w:rFonts w:hint="eastAsia" w:ascii="华康简魏碑" w:eastAsia="华康简魏碑"/>
          <w:b/>
          <w:bCs/>
          <w:spacing w:val="80"/>
          <w:sz w:val="64"/>
        </w:rPr>
        <w:t>南宁市政府采购</w:t>
      </w:r>
    </w:p>
    <w:p>
      <w:pPr>
        <w:pStyle w:val="15"/>
        <w:jc w:val="center"/>
        <w:rPr>
          <w:rFonts w:ascii="楷体_GB2312" w:eastAsia="楷体_GB2312"/>
          <w:b/>
          <w:bCs/>
          <w:sz w:val="44"/>
          <w:szCs w:val="44"/>
        </w:rPr>
      </w:pPr>
    </w:p>
    <w:p>
      <w:pPr>
        <w:pStyle w:val="15"/>
        <w:rPr>
          <w:rFonts w:ascii="楷体_GB2312" w:eastAsia="楷体_GB2312"/>
          <w:b/>
          <w:bCs/>
          <w:sz w:val="44"/>
          <w:szCs w:val="44"/>
        </w:rPr>
      </w:pPr>
    </w:p>
    <w:p>
      <w:pPr>
        <w:pStyle w:val="5"/>
        <w:numPr>
          <w:ilvl w:val="255"/>
          <w:numId w:val="0"/>
        </w:numPr>
        <w:ind w:left="1077"/>
      </w:pPr>
    </w:p>
    <w:p>
      <w:pPr>
        <w:pStyle w:val="15"/>
        <w:jc w:val="center"/>
        <w:rPr>
          <w:rFonts w:ascii="楷体_GB2312" w:eastAsia="楷体_GB2312"/>
          <w:b/>
          <w:bCs/>
          <w:sz w:val="72"/>
        </w:rPr>
      </w:pPr>
      <w:r>
        <w:rPr>
          <w:rFonts w:hint="eastAsia"/>
          <w:sz w:val="96"/>
          <w:szCs w:val="96"/>
        </w:rPr>
        <w:t>公开招标文件</w:t>
      </w:r>
    </w:p>
    <w:p>
      <w:pPr>
        <w:jc w:val="center"/>
        <w:rPr>
          <w:rFonts w:ascii="宋体" w:hAnsi="宋体"/>
          <w:b/>
          <w:sz w:val="36"/>
          <w:szCs w:val="36"/>
        </w:rPr>
      </w:pPr>
      <w:r>
        <w:rPr>
          <w:rFonts w:hint="eastAsia" w:ascii="宋体" w:hAnsi="宋体"/>
          <w:b/>
          <w:sz w:val="36"/>
          <w:szCs w:val="36"/>
        </w:rPr>
        <w:t>（货物类</w:t>
      </w:r>
      <w:r>
        <w:rPr>
          <w:rFonts w:hint="eastAsia" w:hAnsi="宋体"/>
          <w:b/>
          <w:sz w:val="36"/>
          <w:szCs w:val="36"/>
        </w:rPr>
        <w:t>、交易</w:t>
      </w:r>
      <w:r>
        <w:rPr>
          <w:rFonts w:hint="eastAsia" w:ascii="宋体" w:hAnsi="宋体"/>
          <w:b/>
          <w:sz w:val="36"/>
          <w:szCs w:val="36"/>
        </w:rPr>
        <w:t>)</w:t>
      </w:r>
    </w:p>
    <w:p>
      <w:pPr>
        <w:pStyle w:val="15"/>
        <w:rPr>
          <w:rFonts w:hAnsi="宋体" w:cs="宋体"/>
        </w:rPr>
      </w:pPr>
    </w:p>
    <w:p>
      <w:pPr>
        <w:pStyle w:val="15"/>
        <w:rPr>
          <w:rFonts w:hAnsi="宋体" w:cs="宋体"/>
        </w:rPr>
      </w:pPr>
    </w:p>
    <w:p>
      <w:pPr>
        <w:pStyle w:val="15"/>
        <w:rPr>
          <w:rFonts w:hAnsi="宋体" w:cs="宋体"/>
        </w:rPr>
      </w:pPr>
    </w:p>
    <w:p>
      <w:pPr>
        <w:tabs>
          <w:tab w:val="left" w:pos="7665"/>
        </w:tabs>
        <w:rPr>
          <w:rFonts w:ascii="宋体" w:hAnsi="宋体" w:cs="宋体"/>
          <w:b/>
          <w:sz w:val="36"/>
          <w:szCs w:val="36"/>
        </w:rPr>
      </w:pPr>
    </w:p>
    <w:p>
      <w:pPr>
        <w:tabs>
          <w:tab w:val="left" w:pos="7665"/>
        </w:tabs>
        <w:rPr>
          <w:rFonts w:ascii="宋体" w:hAnsi="宋体" w:cs="宋体"/>
          <w:b/>
          <w:sz w:val="36"/>
          <w:szCs w:val="36"/>
        </w:rPr>
      </w:pPr>
      <w:r>
        <w:rPr>
          <w:rFonts w:hint="eastAsia" w:ascii="宋体" w:hAnsi="宋体" w:cs="宋体"/>
          <w:b/>
          <w:sz w:val="36"/>
          <w:szCs w:val="36"/>
        </w:rPr>
        <w:t>项目名称：南宁职业技术学院人工智能创新研发室建设项目</w:t>
      </w:r>
    </w:p>
    <w:p>
      <w:pPr>
        <w:tabs>
          <w:tab w:val="left" w:pos="7922"/>
        </w:tabs>
        <w:rPr>
          <w:rFonts w:ascii="宋体" w:hAnsi="宋体" w:cs="宋体"/>
          <w:b/>
          <w:sz w:val="36"/>
          <w:szCs w:val="36"/>
        </w:rPr>
      </w:pPr>
      <w:r>
        <w:rPr>
          <w:rFonts w:hint="eastAsia" w:ascii="宋体" w:hAnsi="宋体" w:cs="宋体"/>
          <w:b/>
          <w:sz w:val="36"/>
          <w:szCs w:val="36"/>
        </w:rPr>
        <w:t>项目编号：NNZC2020-G1-00035-HJZB</w:t>
      </w:r>
      <w:r>
        <w:rPr>
          <w:rFonts w:hint="eastAsia" w:ascii="宋体" w:hAnsi="宋体" w:cs="宋体"/>
          <w:b/>
          <w:sz w:val="36"/>
          <w:szCs w:val="36"/>
        </w:rPr>
        <w:tab/>
      </w:r>
    </w:p>
    <w:p>
      <w:pPr>
        <w:pStyle w:val="12"/>
        <w:rPr>
          <w:rFonts w:ascii="宋体" w:hAnsi="宋体" w:cs="宋体"/>
          <w:b/>
          <w:sz w:val="36"/>
          <w:szCs w:val="36"/>
        </w:rPr>
      </w:pPr>
      <w:r>
        <w:rPr>
          <w:rFonts w:hint="eastAsia" w:ascii="宋体" w:hAnsi="宋体" w:cs="宋体"/>
          <w:b/>
          <w:sz w:val="36"/>
          <w:szCs w:val="36"/>
        </w:rPr>
        <w:t>审批编号：</w:t>
      </w:r>
      <w:r>
        <w:rPr>
          <w:rFonts w:hint="eastAsia" w:ascii="宋体" w:hAnsi="宋体" w:eastAsia="宋体" w:cs="宋体"/>
          <w:b/>
          <w:sz w:val="36"/>
          <w:szCs w:val="36"/>
        </w:rPr>
        <w:t>[2020]NCCJW962</w:t>
      </w:r>
    </w:p>
    <w:p/>
    <w:p>
      <w:pPr>
        <w:rPr>
          <w:rFonts w:ascii="宋体" w:hAnsi="宋体" w:cs="宋体"/>
          <w:b/>
          <w:sz w:val="36"/>
          <w:szCs w:val="36"/>
        </w:rPr>
      </w:pPr>
      <w:r>
        <w:drawing>
          <wp:inline distT="0" distB="0" distL="114300" distR="114300">
            <wp:extent cx="5933440" cy="40005"/>
            <wp:effectExtent l="0" t="0" r="10160" b="17145"/>
            <wp:docPr id="6" name="图片 6" descr="C:\Users\DELL\AppData\Local\Temp\ksohtml\wps450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DELL\AppData\Local\Temp\ksohtml\wps450F.tmp.png"/>
                    <pic:cNvPicPr>
                      <a:picLocks noChangeAspect="1"/>
                    </pic:cNvPicPr>
                  </pic:nvPicPr>
                  <pic:blipFill>
                    <a:blip r:embed="rId10"/>
                    <a:stretch>
                      <a:fillRect/>
                    </a:stretch>
                  </pic:blipFill>
                  <pic:spPr>
                    <a:xfrm>
                      <a:off x="0" y="0"/>
                      <a:ext cx="5933440" cy="40005"/>
                    </a:xfrm>
                    <a:prstGeom prst="rect">
                      <a:avLst/>
                    </a:prstGeom>
                    <a:noFill/>
                    <a:ln w="9525">
                      <a:noFill/>
                    </a:ln>
                  </pic:spPr>
                </pic:pic>
              </a:graphicData>
            </a:graphic>
          </wp:inline>
        </w:drawing>
      </w:r>
    </w:p>
    <w:p>
      <w:pPr>
        <w:tabs>
          <w:tab w:val="left" w:pos="5565"/>
          <w:tab w:val="left" w:pos="7560"/>
        </w:tabs>
        <w:rPr>
          <w:rFonts w:ascii="宋体" w:hAnsi="宋体" w:cs="宋体"/>
          <w:b/>
          <w:sz w:val="36"/>
          <w:szCs w:val="36"/>
        </w:rPr>
      </w:pPr>
    </w:p>
    <w:p>
      <w:pPr>
        <w:tabs>
          <w:tab w:val="left" w:pos="5565"/>
          <w:tab w:val="left" w:pos="7560"/>
        </w:tabs>
        <w:ind w:firstLine="723" w:firstLineChars="200"/>
        <w:rPr>
          <w:rFonts w:ascii="宋体" w:hAnsi="宋体" w:cs="宋体"/>
          <w:b/>
          <w:sz w:val="36"/>
          <w:szCs w:val="36"/>
        </w:rPr>
      </w:pPr>
      <w:r>
        <w:rPr>
          <w:rFonts w:hint="eastAsia" w:ascii="宋体" w:hAnsi="宋体" w:cs="宋体"/>
          <w:b/>
          <w:sz w:val="36"/>
          <w:szCs w:val="36"/>
        </w:rPr>
        <w:t>采购人：</w:t>
      </w:r>
      <w:r>
        <w:rPr>
          <w:rFonts w:hint="eastAsia" w:ascii="宋体" w:hAnsi="宋体" w:cs="宋体"/>
          <w:b/>
          <w:bCs/>
          <w:sz w:val="36"/>
          <w:szCs w:val="36"/>
        </w:rPr>
        <w:t>南宁职业技术学院</w:t>
      </w:r>
    </w:p>
    <w:p>
      <w:pPr>
        <w:tabs>
          <w:tab w:val="left" w:pos="5565"/>
          <w:tab w:val="left" w:pos="7560"/>
        </w:tabs>
        <w:ind w:firstLine="723" w:firstLineChars="200"/>
        <w:rPr>
          <w:rFonts w:ascii="宋体" w:hAnsi="宋体" w:cs="宋体"/>
          <w:b/>
          <w:color w:val="FF0000"/>
          <w:sz w:val="36"/>
          <w:szCs w:val="36"/>
        </w:rPr>
      </w:pPr>
      <w:r>
        <w:rPr>
          <w:rFonts w:hint="eastAsia" w:ascii="宋体" w:hAnsi="宋体" w:cs="宋体"/>
          <w:b/>
          <w:sz w:val="36"/>
          <w:szCs w:val="36"/>
        </w:rPr>
        <w:t>采购代理机构：广西恒基建设工程咨询有限公司</w:t>
      </w:r>
    </w:p>
    <w:p>
      <w:pPr>
        <w:tabs>
          <w:tab w:val="left" w:pos="7665"/>
        </w:tabs>
        <w:jc w:val="center"/>
        <w:rPr>
          <w:rFonts w:ascii="宋体" w:hAnsi="宋体" w:cs="宋体"/>
          <w:b/>
          <w:sz w:val="36"/>
          <w:szCs w:val="36"/>
        </w:rPr>
      </w:pPr>
    </w:p>
    <w:p>
      <w:pPr>
        <w:pStyle w:val="25"/>
      </w:pPr>
    </w:p>
    <w:p>
      <w:pPr>
        <w:tabs>
          <w:tab w:val="left" w:pos="7665"/>
        </w:tabs>
        <w:jc w:val="center"/>
        <w:rPr>
          <w:rFonts w:ascii="宋体" w:hAnsi="宋体" w:cs="宋体"/>
          <w:b/>
          <w:sz w:val="48"/>
          <w:szCs w:val="48"/>
        </w:rPr>
        <w:sectPr>
          <w:footerReference r:id="rId4" w:type="first"/>
          <w:footerReference r:id="rId3" w:type="default"/>
          <w:pgSz w:w="11906" w:h="16838"/>
          <w:pgMar w:top="1134" w:right="1134" w:bottom="1134" w:left="1134" w:header="720" w:footer="720" w:gutter="0"/>
          <w:pgNumType w:start="0"/>
          <w:cols w:space="720" w:num="1"/>
          <w:titlePg/>
          <w:docGrid w:type="lines" w:linePitch="331" w:charSpace="0"/>
        </w:sectPr>
      </w:pPr>
      <w:r>
        <w:rPr>
          <w:rFonts w:hint="eastAsia" w:ascii="宋体" w:hAnsi="宋体" w:cs="宋体"/>
          <w:b/>
          <w:sz w:val="36"/>
          <w:szCs w:val="36"/>
        </w:rPr>
        <w:t>2020年12月</w:t>
      </w:r>
    </w:p>
    <w:p>
      <w:pPr>
        <w:pStyle w:val="15"/>
        <w:rPr>
          <w:rFonts w:ascii="Times New Roman" w:hAnsi="Times New Roman"/>
        </w:rPr>
      </w:pPr>
      <w:bookmarkStart w:id="0" w:name="_Toc139967210"/>
      <w:bookmarkStart w:id="1" w:name="_Toc139966426"/>
    </w:p>
    <w:p>
      <w:pPr>
        <w:pStyle w:val="15"/>
        <w:jc w:val="center"/>
        <w:rPr>
          <w:rFonts w:ascii="Times New Roman" w:hAnsi="Times New Roman"/>
          <w:b/>
          <w:sz w:val="48"/>
          <w:szCs w:val="48"/>
        </w:rPr>
      </w:pPr>
      <w:r>
        <w:rPr>
          <w:rFonts w:hint="eastAsia" w:ascii="Times New Roman" w:hAnsi="Times New Roman"/>
          <w:b/>
          <w:sz w:val="48"/>
          <w:szCs w:val="48"/>
        </w:rPr>
        <w:t>目 录</w:t>
      </w:r>
    </w:p>
    <w:p>
      <w:pPr>
        <w:pStyle w:val="21"/>
        <w:rPr>
          <w:color w:val="auto"/>
        </w:rPr>
      </w:pPr>
    </w:p>
    <w:p>
      <w:pPr>
        <w:pStyle w:val="21"/>
        <w:tabs>
          <w:tab w:val="right" w:leader="dot" w:pos="9628"/>
        </w:tabs>
        <w:rPr>
          <w:rFonts w:ascii="Calibri" w:hAnsi="Calibri"/>
          <w:b w:val="0"/>
          <w:color w:val="auto"/>
          <w:sz w:val="28"/>
          <w:szCs w:val="28"/>
        </w:rPr>
      </w:pPr>
      <w:r>
        <w:rPr>
          <w:b w:val="0"/>
          <w:color w:val="auto"/>
          <w:sz w:val="30"/>
          <w:szCs w:val="30"/>
        </w:rPr>
        <w:fldChar w:fldCharType="begin"/>
      </w:r>
      <w:r>
        <w:rPr>
          <w:b w:val="0"/>
          <w:color w:val="auto"/>
          <w:sz w:val="30"/>
          <w:szCs w:val="30"/>
        </w:rPr>
        <w:instrText xml:space="preserve"> TOC \o "1-3" \h \z \u </w:instrText>
      </w:r>
      <w:r>
        <w:rPr>
          <w:b w:val="0"/>
          <w:color w:val="auto"/>
          <w:sz w:val="30"/>
          <w:szCs w:val="30"/>
        </w:rPr>
        <w:fldChar w:fldCharType="separate"/>
      </w:r>
      <w:r>
        <w:fldChar w:fldCharType="begin"/>
      </w:r>
      <w:r>
        <w:instrText xml:space="preserve"> HYPERLINK \l "_Toc1654622" </w:instrText>
      </w:r>
      <w:r>
        <w:fldChar w:fldCharType="separate"/>
      </w:r>
      <w:r>
        <w:rPr>
          <w:rStyle w:val="37"/>
          <w:rFonts w:hint="eastAsia"/>
          <w:color w:val="auto"/>
          <w:sz w:val="28"/>
          <w:szCs w:val="28"/>
        </w:rPr>
        <w:t>第一章招标公告</w:t>
      </w:r>
      <w:r>
        <w:rPr>
          <w:color w:val="auto"/>
          <w:sz w:val="28"/>
          <w:szCs w:val="28"/>
        </w:rPr>
        <w:tab/>
      </w:r>
      <w:r>
        <w:rPr>
          <w:color w:val="auto"/>
          <w:sz w:val="28"/>
          <w:szCs w:val="28"/>
        </w:rPr>
        <w:fldChar w:fldCharType="end"/>
      </w:r>
      <w:r>
        <w:rPr>
          <w:rFonts w:hint="eastAsia"/>
          <w:color w:val="auto"/>
          <w:sz w:val="28"/>
          <w:szCs w:val="28"/>
        </w:rPr>
        <w:t>2</w:t>
      </w:r>
    </w:p>
    <w:p>
      <w:pPr>
        <w:pStyle w:val="21"/>
        <w:tabs>
          <w:tab w:val="right" w:leader="dot" w:pos="9628"/>
        </w:tabs>
        <w:rPr>
          <w:rFonts w:ascii="Calibri" w:hAnsi="Calibri"/>
          <w:b w:val="0"/>
          <w:color w:val="auto"/>
          <w:sz w:val="28"/>
          <w:szCs w:val="28"/>
        </w:rPr>
      </w:pPr>
      <w:r>
        <w:fldChar w:fldCharType="begin"/>
      </w:r>
      <w:r>
        <w:instrText xml:space="preserve"> HYPERLINK \l "_Toc1654624" </w:instrText>
      </w:r>
      <w:r>
        <w:fldChar w:fldCharType="separate"/>
      </w:r>
      <w:r>
        <w:rPr>
          <w:rStyle w:val="37"/>
          <w:rFonts w:hint="eastAsia"/>
          <w:color w:val="auto"/>
          <w:sz w:val="28"/>
          <w:szCs w:val="28"/>
        </w:rPr>
        <w:t>第二章 货物需求一览表</w:t>
      </w:r>
      <w:r>
        <w:rPr>
          <w:color w:val="auto"/>
          <w:sz w:val="28"/>
          <w:szCs w:val="28"/>
        </w:rPr>
        <w:tab/>
      </w:r>
      <w:r>
        <w:rPr>
          <w:color w:val="auto"/>
          <w:sz w:val="28"/>
          <w:szCs w:val="28"/>
        </w:rPr>
        <w:fldChar w:fldCharType="begin"/>
      </w:r>
      <w:r>
        <w:rPr>
          <w:color w:val="auto"/>
          <w:sz w:val="28"/>
          <w:szCs w:val="28"/>
        </w:rPr>
        <w:instrText xml:space="preserve"> PAGEREF _Toc1654624 \h </w:instrText>
      </w:r>
      <w:r>
        <w:rPr>
          <w:color w:val="auto"/>
          <w:sz w:val="28"/>
          <w:szCs w:val="28"/>
        </w:rPr>
        <w:fldChar w:fldCharType="separate"/>
      </w:r>
      <w:r>
        <w:rPr>
          <w:color w:val="auto"/>
          <w:sz w:val="28"/>
          <w:szCs w:val="28"/>
        </w:rPr>
        <w:t>6</w:t>
      </w:r>
      <w:r>
        <w:rPr>
          <w:color w:val="auto"/>
          <w:sz w:val="28"/>
          <w:szCs w:val="28"/>
        </w:rPr>
        <w:fldChar w:fldCharType="end"/>
      </w:r>
      <w:r>
        <w:rPr>
          <w:color w:val="auto"/>
          <w:sz w:val="28"/>
          <w:szCs w:val="28"/>
        </w:rPr>
        <w:fldChar w:fldCharType="end"/>
      </w:r>
    </w:p>
    <w:p>
      <w:pPr>
        <w:pStyle w:val="21"/>
        <w:tabs>
          <w:tab w:val="right" w:leader="dot" w:pos="9628"/>
        </w:tabs>
        <w:rPr>
          <w:rFonts w:hint="default" w:ascii="Calibri" w:hAnsi="Calibri" w:eastAsia="宋体"/>
          <w:b w:val="0"/>
          <w:color w:val="auto"/>
          <w:sz w:val="28"/>
          <w:szCs w:val="28"/>
          <w:lang w:val="en-US" w:eastAsia="zh-CN"/>
        </w:rPr>
      </w:pPr>
      <w:r>
        <w:fldChar w:fldCharType="begin"/>
      </w:r>
      <w:r>
        <w:instrText xml:space="preserve"> HYPERLINK \l "_Toc1654625" </w:instrText>
      </w:r>
      <w:r>
        <w:fldChar w:fldCharType="separate"/>
      </w:r>
      <w:r>
        <w:rPr>
          <w:rStyle w:val="37"/>
          <w:rFonts w:hint="eastAsia"/>
          <w:color w:val="auto"/>
          <w:sz w:val="28"/>
          <w:szCs w:val="28"/>
        </w:rPr>
        <w:t>第三章 评标方法</w:t>
      </w:r>
      <w:r>
        <w:rPr>
          <w:color w:val="auto"/>
          <w:sz w:val="28"/>
          <w:szCs w:val="28"/>
        </w:rPr>
        <w:tab/>
      </w:r>
      <w:r>
        <w:rPr>
          <w:color w:val="auto"/>
          <w:sz w:val="28"/>
          <w:szCs w:val="28"/>
        </w:rPr>
        <w:fldChar w:fldCharType="end"/>
      </w:r>
      <w:r>
        <w:rPr>
          <w:rFonts w:hint="eastAsia"/>
          <w:color w:val="auto"/>
          <w:sz w:val="28"/>
          <w:szCs w:val="28"/>
          <w:lang w:val="en-US" w:eastAsia="zh-CN"/>
        </w:rPr>
        <w:t>14</w:t>
      </w:r>
    </w:p>
    <w:p>
      <w:pPr>
        <w:pStyle w:val="21"/>
        <w:tabs>
          <w:tab w:val="right" w:leader="dot" w:pos="9628"/>
        </w:tabs>
        <w:rPr>
          <w:rFonts w:hint="default" w:ascii="Calibri" w:hAnsi="Calibri" w:eastAsia="宋体"/>
          <w:b w:val="0"/>
          <w:color w:val="auto"/>
          <w:sz w:val="28"/>
          <w:szCs w:val="28"/>
          <w:lang w:val="en-US" w:eastAsia="zh-CN"/>
        </w:rPr>
      </w:pPr>
      <w:r>
        <w:fldChar w:fldCharType="begin"/>
      </w:r>
      <w:r>
        <w:instrText xml:space="preserve"> HYPERLINK \l "_Toc1654626" </w:instrText>
      </w:r>
      <w:r>
        <w:fldChar w:fldCharType="separate"/>
      </w:r>
      <w:r>
        <w:rPr>
          <w:rStyle w:val="37"/>
          <w:rFonts w:hint="eastAsia"/>
          <w:color w:val="auto"/>
          <w:sz w:val="28"/>
          <w:szCs w:val="28"/>
        </w:rPr>
        <w:t>第四章 投标人须知</w:t>
      </w:r>
      <w:r>
        <w:rPr>
          <w:color w:val="auto"/>
          <w:sz w:val="28"/>
          <w:szCs w:val="28"/>
        </w:rPr>
        <w:tab/>
      </w:r>
      <w:r>
        <w:rPr>
          <w:color w:val="auto"/>
          <w:sz w:val="28"/>
          <w:szCs w:val="28"/>
        </w:rPr>
        <w:fldChar w:fldCharType="end"/>
      </w:r>
      <w:r>
        <w:rPr>
          <w:rFonts w:hint="eastAsia"/>
          <w:color w:val="auto"/>
          <w:sz w:val="28"/>
          <w:szCs w:val="28"/>
          <w:lang w:val="en-US" w:eastAsia="zh-CN"/>
        </w:rPr>
        <w:t>17</w:t>
      </w:r>
    </w:p>
    <w:p>
      <w:pPr>
        <w:pStyle w:val="23"/>
        <w:rPr>
          <w:rFonts w:hint="default" w:ascii="Calibri" w:hAnsi="Calibri" w:eastAsia="宋体"/>
          <w:smallCaps w:val="0"/>
          <w:sz w:val="28"/>
          <w:szCs w:val="28"/>
          <w:lang w:val="en-US" w:eastAsia="zh-CN"/>
        </w:rPr>
      </w:pPr>
      <w:r>
        <w:fldChar w:fldCharType="begin"/>
      </w:r>
      <w:r>
        <w:instrText xml:space="preserve"> HYPERLINK \l "_Toc1654627" </w:instrText>
      </w:r>
      <w:r>
        <w:fldChar w:fldCharType="separate"/>
      </w:r>
      <w:r>
        <w:rPr>
          <w:rStyle w:val="37"/>
          <w:rFonts w:hint="eastAsia"/>
          <w:b/>
          <w:color w:val="auto"/>
          <w:sz w:val="28"/>
          <w:szCs w:val="28"/>
        </w:rPr>
        <w:t>一 总则</w:t>
      </w:r>
      <w:r>
        <w:rPr>
          <w:sz w:val="28"/>
          <w:szCs w:val="28"/>
        </w:rPr>
        <w:tab/>
      </w:r>
      <w:r>
        <w:rPr>
          <w:sz w:val="28"/>
          <w:szCs w:val="28"/>
        </w:rPr>
        <w:fldChar w:fldCharType="end"/>
      </w:r>
      <w:r>
        <w:rPr>
          <w:rFonts w:hint="eastAsia"/>
          <w:sz w:val="28"/>
          <w:szCs w:val="28"/>
          <w:lang w:val="en-US" w:eastAsia="zh-CN"/>
        </w:rPr>
        <w:t>20</w:t>
      </w:r>
    </w:p>
    <w:p>
      <w:pPr>
        <w:pStyle w:val="23"/>
        <w:rPr>
          <w:rFonts w:hint="default" w:ascii="Calibri" w:hAnsi="Calibri" w:eastAsia="宋体"/>
          <w:smallCaps w:val="0"/>
          <w:sz w:val="28"/>
          <w:szCs w:val="28"/>
          <w:lang w:val="en-US" w:eastAsia="zh-CN"/>
        </w:rPr>
      </w:pPr>
      <w:r>
        <w:fldChar w:fldCharType="begin"/>
      </w:r>
      <w:r>
        <w:instrText xml:space="preserve"> HYPERLINK \l "_Toc1654628" </w:instrText>
      </w:r>
      <w:r>
        <w:fldChar w:fldCharType="separate"/>
      </w:r>
      <w:r>
        <w:rPr>
          <w:rStyle w:val="37"/>
          <w:rFonts w:hint="eastAsia"/>
          <w:b/>
          <w:color w:val="auto"/>
          <w:sz w:val="28"/>
          <w:szCs w:val="28"/>
        </w:rPr>
        <w:t>二 公开招标文件</w:t>
      </w:r>
      <w:r>
        <w:rPr>
          <w:sz w:val="28"/>
          <w:szCs w:val="28"/>
        </w:rPr>
        <w:tab/>
      </w:r>
      <w:r>
        <w:rPr>
          <w:sz w:val="28"/>
          <w:szCs w:val="28"/>
        </w:rPr>
        <w:fldChar w:fldCharType="end"/>
      </w:r>
      <w:r>
        <w:rPr>
          <w:rFonts w:hint="eastAsia"/>
          <w:sz w:val="28"/>
          <w:szCs w:val="28"/>
          <w:lang w:val="en-US" w:eastAsia="zh-CN"/>
        </w:rPr>
        <w:t>23</w:t>
      </w:r>
    </w:p>
    <w:p>
      <w:pPr>
        <w:pStyle w:val="23"/>
        <w:rPr>
          <w:rFonts w:hint="default" w:ascii="Calibri" w:hAnsi="Calibri" w:eastAsia="宋体"/>
          <w:smallCaps w:val="0"/>
          <w:sz w:val="28"/>
          <w:szCs w:val="28"/>
          <w:lang w:val="en-US" w:eastAsia="zh-CN"/>
        </w:rPr>
      </w:pPr>
      <w:r>
        <w:fldChar w:fldCharType="begin"/>
      </w:r>
      <w:r>
        <w:instrText xml:space="preserve"> HYPERLINK \l "_Toc1654629" </w:instrText>
      </w:r>
      <w:r>
        <w:fldChar w:fldCharType="separate"/>
      </w:r>
      <w:r>
        <w:rPr>
          <w:rStyle w:val="37"/>
          <w:rFonts w:hint="eastAsia"/>
          <w:b/>
          <w:color w:val="auto"/>
          <w:sz w:val="28"/>
          <w:szCs w:val="28"/>
        </w:rPr>
        <w:t>三 投标文件</w:t>
      </w:r>
      <w:r>
        <w:rPr>
          <w:sz w:val="28"/>
          <w:szCs w:val="28"/>
        </w:rPr>
        <w:tab/>
      </w:r>
      <w:r>
        <w:rPr>
          <w:sz w:val="28"/>
          <w:szCs w:val="28"/>
        </w:rPr>
        <w:fldChar w:fldCharType="end"/>
      </w:r>
      <w:r>
        <w:rPr>
          <w:rFonts w:hint="eastAsia"/>
          <w:sz w:val="28"/>
          <w:szCs w:val="28"/>
          <w:lang w:val="en-US" w:eastAsia="zh-CN"/>
        </w:rPr>
        <w:t>23</w:t>
      </w:r>
    </w:p>
    <w:p>
      <w:pPr>
        <w:pStyle w:val="23"/>
        <w:rPr>
          <w:rFonts w:hint="default" w:ascii="Calibri" w:hAnsi="Calibri" w:eastAsia="宋体"/>
          <w:smallCaps w:val="0"/>
          <w:sz w:val="28"/>
          <w:szCs w:val="28"/>
          <w:lang w:val="en-US" w:eastAsia="zh-CN"/>
        </w:rPr>
      </w:pPr>
      <w:r>
        <w:fldChar w:fldCharType="begin"/>
      </w:r>
      <w:r>
        <w:instrText xml:space="preserve"> HYPERLINK \l "_Toc1654630" </w:instrText>
      </w:r>
      <w:r>
        <w:fldChar w:fldCharType="separate"/>
      </w:r>
      <w:r>
        <w:rPr>
          <w:rStyle w:val="37"/>
          <w:rFonts w:hint="eastAsia"/>
          <w:b/>
          <w:color w:val="auto"/>
          <w:sz w:val="28"/>
          <w:szCs w:val="28"/>
        </w:rPr>
        <w:t>四 投标</w:t>
      </w:r>
      <w:r>
        <w:rPr>
          <w:sz w:val="28"/>
          <w:szCs w:val="28"/>
        </w:rPr>
        <w:tab/>
      </w:r>
      <w:r>
        <w:rPr>
          <w:sz w:val="28"/>
          <w:szCs w:val="28"/>
        </w:rPr>
        <w:fldChar w:fldCharType="end"/>
      </w:r>
      <w:r>
        <w:rPr>
          <w:rFonts w:hint="eastAsia"/>
          <w:sz w:val="28"/>
          <w:szCs w:val="28"/>
          <w:lang w:val="en-US" w:eastAsia="zh-CN"/>
        </w:rPr>
        <w:t>27</w:t>
      </w:r>
    </w:p>
    <w:p>
      <w:pPr>
        <w:pStyle w:val="23"/>
        <w:rPr>
          <w:rFonts w:hint="default" w:ascii="Calibri" w:hAnsi="Calibri" w:eastAsia="宋体"/>
          <w:smallCaps w:val="0"/>
          <w:sz w:val="28"/>
          <w:szCs w:val="28"/>
          <w:lang w:val="en-US" w:eastAsia="zh-CN"/>
        </w:rPr>
      </w:pPr>
      <w:r>
        <w:fldChar w:fldCharType="begin"/>
      </w:r>
      <w:r>
        <w:instrText xml:space="preserve"> HYPERLINK \l "_Toc1654631" </w:instrText>
      </w:r>
      <w:r>
        <w:fldChar w:fldCharType="separate"/>
      </w:r>
      <w:r>
        <w:rPr>
          <w:rStyle w:val="37"/>
          <w:rFonts w:hint="eastAsia"/>
          <w:b/>
          <w:color w:val="auto"/>
          <w:sz w:val="28"/>
          <w:szCs w:val="28"/>
        </w:rPr>
        <w:t>五 开标与评标</w:t>
      </w:r>
      <w:r>
        <w:rPr>
          <w:sz w:val="28"/>
          <w:szCs w:val="28"/>
        </w:rPr>
        <w:tab/>
      </w:r>
      <w:r>
        <w:rPr>
          <w:sz w:val="28"/>
          <w:szCs w:val="28"/>
        </w:rPr>
        <w:fldChar w:fldCharType="end"/>
      </w:r>
      <w:r>
        <w:rPr>
          <w:rFonts w:hint="eastAsia"/>
          <w:sz w:val="28"/>
          <w:szCs w:val="28"/>
          <w:lang w:val="en-US" w:eastAsia="zh-CN"/>
        </w:rPr>
        <w:t>27</w:t>
      </w:r>
    </w:p>
    <w:p>
      <w:pPr>
        <w:pStyle w:val="23"/>
        <w:rPr>
          <w:rFonts w:hint="default" w:ascii="Calibri" w:hAnsi="Calibri" w:eastAsia="宋体"/>
          <w:smallCaps w:val="0"/>
          <w:sz w:val="28"/>
          <w:szCs w:val="28"/>
          <w:lang w:val="en-US" w:eastAsia="zh-CN"/>
        </w:rPr>
      </w:pPr>
      <w:r>
        <w:fldChar w:fldCharType="begin"/>
      </w:r>
      <w:r>
        <w:instrText xml:space="preserve"> HYPERLINK \l "_Toc1654632" </w:instrText>
      </w:r>
      <w:r>
        <w:fldChar w:fldCharType="separate"/>
      </w:r>
      <w:r>
        <w:rPr>
          <w:rStyle w:val="37"/>
          <w:rFonts w:hint="eastAsia"/>
          <w:b/>
          <w:color w:val="auto"/>
          <w:sz w:val="28"/>
          <w:szCs w:val="28"/>
        </w:rPr>
        <w:t>六 合同授予</w:t>
      </w:r>
      <w:r>
        <w:rPr>
          <w:sz w:val="28"/>
          <w:szCs w:val="28"/>
        </w:rPr>
        <w:tab/>
      </w:r>
      <w:r>
        <w:rPr>
          <w:sz w:val="28"/>
          <w:szCs w:val="28"/>
        </w:rPr>
        <w:fldChar w:fldCharType="end"/>
      </w:r>
      <w:r>
        <w:rPr>
          <w:rFonts w:hint="eastAsia"/>
          <w:sz w:val="28"/>
          <w:szCs w:val="28"/>
          <w:lang w:val="en-US" w:eastAsia="zh-CN"/>
        </w:rPr>
        <w:t>30</w:t>
      </w:r>
    </w:p>
    <w:p>
      <w:pPr>
        <w:pStyle w:val="23"/>
        <w:rPr>
          <w:rFonts w:hint="default" w:ascii="Calibri" w:hAnsi="Calibri" w:eastAsia="宋体"/>
          <w:smallCaps w:val="0"/>
          <w:sz w:val="28"/>
          <w:szCs w:val="28"/>
          <w:lang w:val="en-US" w:eastAsia="zh-CN"/>
        </w:rPr>
      </w:pPr>
      <w:r>
        <w:fldChar w:fldCharType="begin"/>
      </w:r>
      <w:r>
        <w:instrText xml:space="preserve"> HYPERLINK \l "_Toc1654633" </w:instrText>
      </w:r>
      <w:r>
        <w:fldChar w:fldCharType="separate"/>
      </w:r>
      <w:r>
        <w:rPr>
          <w:rStyle w:val="37"/>
          <w:rFonts w:hint="eastAsia"/>
          <w:b/>
          <w:color w:val="auto"/>
          <w:sz w:val="28"/>
          <w:szCs w:val="28"/>
        </w:rPr>
        <w:t>七 其他事项</w:t>
      </w:r>
      <w:r>
        <w:rPr>
          <w:sz w:val="28"/>
          <w:szCs w:val="28"/>
        </w:rPr>
        <w:tab/>
      </w:r>
      <w:r>
        <w:rPr>
          <w:sz w:val="28"/>
          <w:szCs w:val="28"/>
        </w:rPr>
        <w:fldChar w:fldCharType="end"/>
      </w:r>
      <w:r>
        <w:rPr>
          <w:rFonts w:hint="eastAsia"/>
          <w:sz w:val="28"/>
          <w:szCs w:val="28"/>
          <w:lang w:val="en-US" w:eastAsia="zh-CN"/>
        </w:rPr>
        <w:t>32</w:t>
      </w:r>
    </w:p>
    <w:p>
      <w:pPr>
        <w:pStyle w:val="21"/>
        <w:tabs>
          <w:tab w:val="right" w:leader="dot" w:pos="9628"/>
        </w:tabs>
        <w:rPr>
          <w:rFonts w:hint="default" w:ascii="Calibri" w:hAnsi="Calibri" w:eastAsia="宋体"/>
          <w:b w:val="0"/>
          <w:color w:val="auto"/>
          <w:sz w:val="28"/>
          <w:szCs w:val="28"/>
          <w:lang w:val="en-US" w:eastAsia="zh-CN"/>
        </w:rPr>
      </w:pPr>
      <w:r>
        <w:fldChar w:fldCharType="begin"/>
      </w:r>
      <w:r>
        <w:instrText xml:space="preserve"> HYPERLINK \l "_Toc1654634" </w:instrText>
      </w:r>
      <w:r>
        <w:fldChar w:fldCharType="separate"/>
      </w:r>
      <w:r>
        <w:rPr>
          <w:rStyle w:val="37"/>
          <w:rFonts w:hint="eastAsia"/>
          <w:color w:val="auto"/>
          <w:sz w:val="28"/>
          <w:szCs w:val="28"/>
        </w:rPr>
        <w:t>第五章 投标文件格式</w:t>
      </w:r>
      <w:r>
        <w:rPr>
          <w:color w:val="auto"/>
          <w:sz w:val="28"/>
          <w:szCs w:val="28"/>
        </w:rPr>
        <w:tab/>
      </w:r>
      <w:r>
        <w:rPr>
          <w:color w:val="auto"/>
          <w:sz w:val="28"/>
          <w:szCs w:val="28"/>
        </w:rPr>
        <w:fldChar w:fldCharType="end"/>
      </w:r>
      <w:r>
        <w:rPr>
          <w:rFonts w:hint="eastAsia"/>
          <w:color w:val="auto"/>
          <w:sz w:val="28"/>
          <w:szCs w:val="28"/>
          <w:lang w:val="en-US" w:eastAsia="zh-CN"/>
        </w:rPr>
        <w:t>33</w:t>
      </w:r>
    </w:p>
    <w:p>
      <w:pPr>
        <w:pStyle w:val="21"/>
        <w:tabs>
          <w:tab w:val="right" w:leader="dot" w:pos="9628"/>
        </w:tabs>
        <w:rPr>
          <w:rFonts w:hint="default" w:ascii="Calibri" w:hAnsi="Calibri" w:eastAsia="宋体"/>
          <w:b w:val="0"/>
          <w:color w:val="auto"/>
          <w:sz w:val="28"/>
          <w:szCs w:val="28"/>
          <w:lang w:val="en-US" w:eastAsia="zh-CN"/>
        </w:rPr>
      </w:pPr>
      <w:r>
        <w:fldChar w:fldCharType="begin"/>
      </w:r>
      <w:r>
        <w:instrText xml:space="preserve"> HYPERLINK \l "_Toc1654635" </w:instrText>
      </w:r>
      <w:r>
        <w:fldChar w:fldCharType="separate"/>
      </w:r>
      <w:r>
        <w:rPr>
          <w:rStyle w:val="37"/>
          <w:rFonts w:hint="eastAsia"/>
          <w:color w:val="auto"/>
          <w:sz w:val="28"/>
          <w:szCs w:val="28"/>
        </w:rPr>
        <w:t>第六章 合同条款及格式</w:t>
      </w:r>
      <w:r>
        <w:rPr>
          <w:color w:val="auto"/>
          <w:sz w:val="28"/>
          <w:szCs w:val="28"/>
        </w:rPr>
        <w:tab/>
      </w:r>
      <w:r>
        <w:rPr>
          <w:color w:val="auto"/>
          <w:sz w:val="28"/>
          <w:szCs w:val="28"/>
        </w:rPr>
        <w:fldChar w:fldCharType="end"/>
      </w:r>
      <w:r>
        <w:rPr>
          <w:rFonts w:hint="eastAsia"/>
          <w:color w:val="auto"/>
          <w:sz w:val="28"/>
          <w:szCs w:val="28"/>
          <w:lang w:val="en-US" w:eastAsia="zh-CN"/>
        </w:rPr>
        <w:t>46</w:t>
      </w:r>
    </w:p>
    <w:p>
      <w:pPr>
        <w:pStyle w:val="21"/>
        <w:tabs>
          <w:tab w:val="right" w:leader="dot" w:pos="9628"/>
        </w:tabs>
        <w:rPr>
          <w:rFonts w:hint="default" w:ascii="Calibri" w:hAnsi="Calibri" w:eastAsia="宋体"/>
          <w:b w:val="0"/>
          <w:color w:val="auto"/>
          <w:sz w:val="21"/>
          <w:szCs w:val="22"/>
          <w:lang w:val="en-US" w:eastAsia="zh-CN"/>
        </w:rPr>
      </w:pPr>
      <w:r>
        <w:fldChar w:fldCharType="begin"/>
      </w:r>
      <w:r>
        <w:instrText xml:space="preserve"> HYPERLINK \l "_Toc1654636" </w:instrText>
      </w:r>
      <w:r>
        <w:fldChar w:fldCharType="separate"/>
      </w:r>
      <w:r>
        <w:rPr>
          <w:rStyle w:val="37"/>
          <w:rFonts w:hint="eastAsia"/>
          <w:color w:val="auto"/>
          <w:sz w:val="28"/>
          <w:szCs w:val="28"/>
        </w:rPr>
        <w:t>第七章 质疑材料格式</w:t>
      </w:r>
      <w:r>
        <w:rPr>
          <w:color w:val="auto"/>
          <w:sz w:val="28"/>
          <w:szCs w:val="28"/>
        </w:rPr>
        <w:tab/>
      </w:r>
      <w:r>
        <w:rPr>
          <w:color w:val="auto"/>
          <w:sz w:val="28"/>
          <w:szCs w:val="28"/>
        </w:rPr>
        <w:fldChar w:fldCharType="end"/>
      </w:r>
      <w:r>
        <w:rPr>
          <w:rFonts w:hint="eastAsia"/>
          <w:color w:val="auto"/>
          <w:sz w:val="28"/>
          <w:szCs w:val="28"/>
          <w:lang w:val="en-US" w:eastAsia="zh-CN"/>
        </w:rPr>
        <w:t>53</w:t>
      </w:r>
      <w:bookmarkStart w:id="73" w:name="_GoBack"/>
      <w:bookmarkEnd w:id="73"/>
    </w:p>
    <w:p>
      <w:pPr>
        <w:rPr>
          <w:rFonts w:eastAsiaTheme="majorEastAsia"/>
        </w:rPr>
      </w:pPr>
      <w:r>
        <w:rPr>
          <w:sz w:val="30"/>
          <w:szCs w:val="30"/>
        </w:rPr>
        <w:fldChar w:fldCharType="end"/>
      </w:r>
      <w:bookmarkStart w:id="2" w:name="_Toc460253689"/>
      <w:bookmarkStart w:id="3" w:name="_Toc485920200"/>
    </w:p>
    <w:p>
      <w:pPr>
        <w:rPr>
          <w:rFonts w:eastAsiaTheme="majorEastAsia"/>
        </w:rPr>
      </w:pPr>
    </w:p>
    <w:bookmarkEnd w:id="2"/>
    <w:bookmarkEnd w:id="3"/>
    <w:p>
      <w:pPr>
        <w:widowControl/>
        <w:jc w:val="center"/>
        <w:rPr>
          <w:rFonts w:asciiTheme="minorEastAsia" w:hAnsiTheme="minorEastAsia" w:eastAsiaTheme="minorEastAsia" w:cstheme="minorEastAsia"/>
          <w:b/>
          <w:bCs/>
          <w:kern w:val="0"/>
          <w:sz w:val="30"/>
          <w:szCs w:val="30"/>
        </w:rPr>
      </w:pPr>
    </w:p>
    <w:p>
      <w:pPr>
        <w:pStyle w:val="12"/>
        <w:rPr>
          <w:rFonts w:asciiTheme="minorEastAsia" w:hAnsiTheme="minorEastAsia" w:eastAsiaTheme="minorEastAsia" w:cstheme="minorEastAsia"/>
          <w:b/>
          <w:bCs/>
          <w:kern w:val="0"/>
          <w:sz w:val="30"/>
          <w:szCs w:val="30"/>
        </w:rPr>
      </w:pPr>
    </w:p>
    <w:p>
      <w:pPr>
        <w:pStyle w:val="12"/>
        <w:rPr>
          <w:rFonts w:asciiTheme="minorEastAsia" w:hAnsiTheme="minorEastAsia" w:eastAsiaTheme="minorEastAsia" w:cstheme="minorEastAsia"/>
          <w:b/>
          <w:bCs/>
          <w:kern w:val="0"/>
          <w:sz w:val="30"/>
          <w:szCs w:val="30"/>
        </w:rPr>
      </w:pPr>
    </w:p>
    <w:bookmarkEnd w:id="0"/>
    <w:bookmarkEnd w:id="1"/>
    <w:p>
      <w:pPr>
        <w:pStyle w:val="15"/>
        <w:jc w:val="center"/>
        <w:outlineLvl w:val="0"/>
        <w:rPr>
          <w:rFonts w:hAnsi="宋体"/>
          <w:b/>
          <w:sz w:val="36"/>
          <w:szCs w:val="36"/>
        </w:rPr>
      </w:pPr>
      <w:r>
        <w:rPr>
          <w:rFonts w:hint="eastAsia" w:ascii="Times New Roman" w:hAnsi="Times New Roman"/>
          <w:b/>
          <w:sz w:val="36"/>
        </w:rPr>
        <w:t>第一章</w:t>
      </w:r>
      <w:bookmarkStart w:id="4" w:name="_Toc35393789"/>
      <w:bookmarkStart w:id="5" w:name="_Toc28359001"/>
      <w:r>
        <w:rPr>
          <w:rFonts w:hint="eastAsia" w:ascii="Times New Roman" w:hAnsi="Times New Roman"/>
          <w:b/>
          <w:sz w:val="36"/>
        </w:rPr>
        <w:t xml:space="preserve">  </w:t>
      </w:r>
      <w:r>
        <w:rPr>
          <w:rFonts w:hint="eastAsia" w:ascii="华文中宋" w:hAnsi="华文中宋" w:eastAsia="华文中宋"/>
          <w:sz w:val="36"/>
          <w:szCs w:val="32"/>
        </w:rPr>
        <w:t>招标公告</w:t>
      </w:r>
      <w:bookmarkEnd w:id="4"/>
      <w:bookmarkEnd w:id="5"/>
    </w:p>
    <w:p>
      <w:pPr>
        <w:pStyle w:val="3"/>
        <w:tabs>
          <w:tab w:val="left" w:pos="0"/>
          <w:tab w:val="left" w:pos="3165"/>
          <w:tab w:val="center" w:pos="4153"/>
        </w:tabs>
        <w:autoSpaceDE w:val="0"/>
        <w:autoSpaceDN w:val="0"/>
        <w:spacing w:before="0" w:line="440" w:lineRule="exact"/>
        <w:jc w:val="left"/>
        <w:rPr>
          <w:rFonts w:ascii="华文中宋" w:hAnsi="华文中宋" w:eastAsia="华文中宋"/>
        </w:rPr>
      </w:pPr>
      <w:r>
        <w:rPr>
          <w:rFonts w:ascii="华文中宋" w:hAnsi="华文中宋" w:eastAsia="华文中宋"/>
        </w:rPr>
        <w:tab/>
      </w:r>
    </w:p>
    <w:p>
      <w:pPr>
        <w:pBdr>
          <w:top w:val="single" w:color="auto" w:sz="4" w:space="1"/>
          <w:left w:val="single" w:color="auto" w:sz="4" w:space="4"/>
          <w:bottom w:val="single" w:color="auto" w:sz="4" w:space="1"/>
          <w:right w:val="single" w:color="auto" w:sz="4" w:space="4"/>
        </w:pBdr>
        <w:spacing w:line="440" w:lineRule="exact"/>
        <w:ind w:firstLine="420" w:firstLineChars="200"/>
        <w:rPr>
          <w:rFonts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440" w:lineRule="exact"/>
        <w:ind w:firstLine="420" w:firstLineChars="200"/>
        <w:rPr>
          <w:rFonts w:ascii="宋体" w:hAnsi="宋体" w:cs="宋体"/>
          <w:szCs w:val="21"/>
        </w:rPr>
      </w:pPr>
      <w:r>
        <w:rPr>
          <w:rFonts w:hint="eastAsia" w:ascii="宋体" w:hAnsi="宋体" w:cs="宋体"/>
          <w:szCs w:val="21"/>
          <w:u w:val="single"/>
        </w:rPr>
        <w:t>南宁职业技术学院人工智能创新研发室建设项目</w:t>
      </w:r>
      <w:r>
        <w:rPr>
          <w:rFonts w:hint="eastAsia" w:ascii="宋体" w:hAnsi="宋体" w:cs="宋体"/>
          <w:szCs w:val="21"/>
        </w:rPr>
        <w:t>招标项目的潜在投标人应在</w:t>
      </w:r>
      <w:r>
        <w:rPr>
          <w:rFonts w:hint="eastAsia" w:ascii="宋体" w:hAnsi="宋体" w:cs="宋体"/>
          <w:szCs w:val="21"/>
          <w:u w:val="single"/>
        </w:rPr>
        <w:t>南宁市公共资源交易平台(https://www.nnggzy.org.cn)的信息公告处免费下载</w:t>
      </w:r>
      <w:r>
        <w:rPr>
          <w:rFonts w:hint="eastAsia" w:ascii="宋体" w:hAnsi="宋体" w:cs="宋体"/>
          <w:szCs w:val="21"/>
        </w:rPr>
        <w:t>获取招标文件，并于</w:t>
      </w:r>
      <w:r>
        <w:rPr>
          <w:rFonts w:hint="eastAsia" w:ascii="宋体" w:hAnsi="宋体" w:cs="宋体"/>
          <w:szCs w:val="21"/>
          <w:u w:val="single"/>
        </w:rPr>
        <w:t>202</w:t>
      </w:r>
      <w:r>
        <w:rPr>
          <w:rFonts w:hint="eastAsia" w:ascii="宋体" w:hAnsi="宋体" w:cs="宋体"/>
          <w:szCs w:val="21"/>
          <w:u w:val="single"/>
          <w:lang w:val="en-US" w:eastAsia="zh-CN"/>
        </w:rPr>
        <w:t>1</w:t>
      </w:r>
      <w:r>
        <w:rPr>
          <w:rFonts w:hint="eastAsia" w:ascii="宋体" w:hAnsi="宋体" w:cs="宋体"/>
          <w:szCs w:val="21"/>
          <w:u w:val="single"/>
        </w:rPr>
        <w:t>年</w:t>
      </w:r>
      <w:r>
        <w:rPr>
          <w:rFonts w:hint="eastAsia" w:ascii="宋体" w:hAnsi="宋体" w:cs="宋体"/>
          <w:szCs w:val="21"/>
          <w:u w:val="single"/>
          <w:lang w:val="en-US" w:eastAsia="zh-CN"/>
        </w:rPr>
        <w:t>1</w:t>
      </w:r>
      <w:r>
        <w:rPr>
          <w:rFonts w:hint="eastAsia" w:ascii="宋体" w:hAnsi="宋体" w:cs="宋体"/>
          <w:szCs w:val="21"/>
          <w:u w:val="single"/>
        </w:rPr>
        <w:t>月</w:t>
      </w:r>
      <w:r>
        <w:rPr>
          <w:rFonts w:hint="eastAsia" w:ascii="宋体" w:hAnsi="宋体" w:cs="宋体"/>
          <w:szCs w:val="21"/>
          <w:u w:val="single"/>
          <w:lang w:val="en-US" w:eastAsia="zh-CN"/>
        </w:rPr>
        <w:t>20</w:t>
      </w:r>
      <w:r>
        <w:rPr>
          <w:rFonts w:hint="eastAsia" w:ascii="宋体" w:hAnsi="宋体" w:cs="宋体"/>
          <w:szCs w:val="21"/>
          <w:u w:val="single"/>
        </w:rPr>
        <w:t>日</w:t>
      </w:r>
      <w:r>
        <w:rPr>
          <w:rFonts w:hint="eastAsia" w:ascii="宋体" w:hAnsi="宋体" w:cs="宋体"/>
          <w:bCs/>
          <w:szCs w:val="21"/>
          <w:u w:val="single"/>
        </w:rPr>
        <w:t>09时30分</w:t>
      </w:r>
      <w:r>
        <w:rPr>
          <w:rFonts w:hint="eastAsia" w:ascii="宋体" w:hAnsi="宋体" w:cs="宋体"/>
          <w:bCs/>
          <w:szCs w:val="21"/>
        </w:rPr>
        <w:t>（北京时间）前递交投标文件</w:t>
      </w:r>
      <w:r>
        <w:rPr>
          <w:rFonts w:hint="eastAsia" w:ascii="宋体" w:hAnsi="宋体" w:cs="宋体"/>
          <w:szCs w:val="21"/>
        </w:rPr>
        <w:t>。</w:t>
      </w:r>
    </w:p>
    <w:p>
      <w:pPr>
        <w:pStyle w:val="2"/>
        <w:numPr>
          <w:ilvl w:val="255"/>
          <w:numId w:val="0"/>
        </w:numPr>
        <w:spacing w:line="440" w:lineRule="exact"/>
        <w:ind w:left="425"/>
        <w:rPr>
          <w:rFonts w:ascii="宋体" w:hAnsi="宋体" w:eastAsia="宋体" w:cs="宋体"/>
          <w:sz w:val="21"/>
          <w:szCs w:val="21"/>
        </w:rPr>
      </w:pPr>
      <w:bookmarkStart w:id="6" w:name="_Toc28359079"/>
      <w:bookmarkStart w:id="7" w:name="_Toc35393790"/>
      <w:bookmarkStart w:id="8" w:name="_Toc35393621"/>
      <w:bookmarkStart w:id="9" w:name="_Toc28359002"/>
      <w:bookmarkStart w:id="10" w:name="_Hlk24379207"/>
      <w:r>
        <w:rPr>
          <w:rFonts w:hint="eastAsia" w:ascii="宋体" w:hAnsi="宋体" w:eastAsia="宋体" w:cs="宋体"/>
          <w:sz w:val="21"/>
          <w:szCs w:val="21"/>
        </w:rPr>
        <w:t>一、项目基本情况</w:t>
      </w:r>
      <w:bookmarkEnd w:id="6"/>
      <w:bookmarkEnd w:id="7"/>
      <w:bookmarkEnd w:id="8"/>
      <w:bookmarkEnd w:id="9"/>
    </w:p>
    <w:p>
      <w:pPr>
        <w:spacing w:line="440" w:lineRule="exact"/>
        <w:ind w:firstLine="420" w:firstLineChars="200"/>
        <w:rPr>
          <w:rFonts w:ascii="宋体" w:hAnsi="宋体" w:cs="宋体"/>
          <w:szCs w:val="21"/>
        </w:rPr>
      </w:pPr>
      <w:r>
        <w:rPr>
          <w:rFonts w:hint="eastAsia" w:ascii="宋体" w:hAnsi="宋体" w:cs="宋体"/>
          <w:szCs w:val="21"/>
        </w:rPr>
        <w:t>项目编号：NNZC2020-G1-00035-HJZB</w:t>
      </w:r>
    </w:p>
    <w:p>
      <w:pPr>
        <w:spacing w:line="440" w:lineRule="exact"/>
        <w:ind w:firstLine="420" w:firstLineChars="200"/>
        <w:rPr>
          <w:rFonts w:ascii="宋体" w:hAnsi="宋体" w:cs="宋体"/>
          <w:color w:val="FF0000"/>
          <w:szCs w:val="21"/>
        </w:rPr>
      </w:pPr>
      <w:r>
        <w:rPr>
          <w:rFonts w:hint="eastAsia" w:ascii="宋体" w:hAnsi="宋体" w:cs="宋体"/>
          <w:szCs w:val="21"/>
        </w:rPr>
        <w:t>项目名称：南宁职业技术学院人工智能创新研发室建设项目</w:t>
      </w:r>
    </w:p>
    <w:bookmarkEnd w:id="10"/>
    <w:p>
      <w:pPr>
        <w:spacing w:line="440" w:lineRule="exact"/>
        <w:ind w:firstLine="420" w:firstLineChars="200"/>
        <w:rPr>
          <w:rFonts w:ascii="宋体" w:hAnsi="宋体" w:cs="宋体"/>
          <w:szCs w:val="21"/>
        </w:rPr>
      </w:pPr>
      <w:r>
        <w:rPr>
          <w:rFonts w:hint="eastAsia" w:ascii="宋体" w:hAnsi="宋体" w:cs="宋体"/>
          <w:szCs w:val="21"/>
        </w:rPr>
        <w:t>预算金额：人民币壹佰伍拾万元整（1500000.00元）</w:t>
      </w:r>
    </w:p>
    <w:p>
      <w:pPr>
        <w:spacing w:line="440" w:lineRule="exact"/>
        <w:ind w:firstLine="420" w:firstLineChars="200"/>
        <w:rPr>
          <w:rFonts w:ascii="宋体" w:hAnsi="宋体" w:cs="宋体"/>
          <w:szCs w:val="21"/>
        </w:rPr>
      </w:pPr>
      <w:r>
        <w:rPr>
          <w:rFonts w:hint="eastAsia" w:ascii="宋体" w:hAnsi="宋体" w:cs="宋体"/>
          <w:szCs w:val="21"/>
        </w:rPr>
        <w:t>最高限价：人民币壹佰伍拾万元整（1500000.00元）</w:t>
      </w:r>
    </w:p>
    <w:p>
      <w:pPr>
        <w:spacing w:line="440" w:lineRule="exact"/>
        <w:ind w:firstLine="420" w:firstLineChars="200"/>
        <w:rPr>
          <w:rFonts w:ascii="宋体" w:hAnsi="宋体" w:cs="宋体"/>
          <w:szCs w:val="21"/>
          <w:u w:val="single"/>
        </w:rPr>
      </w:pPr>
      <w:r>
        <w:rPr>
          <w:rFonts w:hint="eastAsia" w:ascii="宋体" w:hAnsi="宋体" w:cs="宋体"/>
          <w:szCs w:val="21"/>
        </w:rPr>
        <w:t>采购需求：拟对人工智能创新研发室建设项目进行采购，如需进一步了解详细内容，详见公开招标文件。</w:t>
      </w:r>
    </w:p>
    <w:p>
      <w:pPr>
        <w:spacing w:line="440" w:lineRule="exact"/>
        <w:ind w:firstLine="420" w:firstLineChars="200"/>
        <w:rPr>
          <w:rFonts w:asciiTheme="majorEastAsia" w:hAnsiTheme="majorEastAsia" w:eastAsiaTheme="majorEastAsia"/>
        </w:rPr>
      </w:pPr>
      <w:r>
        <w:rPr>
          <w:rFonts w:hint="eastAsia" w:ascii="宋体" w:hAnsi="宋体" w:cs="宋体"/>
          <w:szCs w:val="21"/>
        </w:rPr>
        <w:t>合同履行期限：</w:t>
      </w:r>
      <w:r>
        <w:rPr>
          <w:rFonts w:hint="eastAsia" w:asciiTheme="majorEastAsia" w:hAnsiTheme="majorEastAsia" w:eastAsiaTheme="majorEastAsia"/>
        </w:rPr>
        <w:t>详见公开招标文件。</w:t>
      </w:r>
    </w:p>
    <w:p>
      <w:pPr>
        <w:spacing w:line="440" w:lineRule="exact"/>
        <w:ind w:firstLine="420"/>
      </w:pPr>
      <w:r>
        <w:rPr>
          <w:rFonts w:hint="eastAsia" w:ascii="宋体" w:hAnsi="宋体" w:cs="宋体"/>
          <w:szCs w:val="21"/>
        </w:rPr>
        <w:t>本项目（□是/☑否）接受联合体投标。</w:t>
      </w:r>
    </w:p>
    <w:p>
      <w:pPr>
        <w:pStyle w:val="2"/>
        <w:numPr>
          <w:ilvl w:val="255"/>
          <w:numId w:val="0"/>
        </w:numPr>
        <w:spacing w:line="440" w:lineRule="exact"/>
        <w:ind w:left="425"/>
        <w:rPr>
          <w:rFonts w:ascii="宋体" w:hAnsi="宋体" w:eastAsia="宋体" w:cs="宋体"/>
          <w:sz w:val="21"/>
          <w:szCs w:val="21"/>
        </w:rPr>
      </w:pPr>
      <w:bookmarkStart w:id="11" w:name="_Toc35393791"/>
      <w:bookmarkStart w:id="12" w:name="_Toc28359003"/>
      <w:bookmarkStart w:id="13" w:name="_Toc35393622"/>
      <w:bookmarkStart w:id="14" w:name="_Toc28359080"/>
      <w:r>
        <w:rPr>
          <w:rFonts w:hint="eastAsia" w:ascii="宋体" w:hAnsi="宋体" w:eastAsia="宋体" w:cs="宋体"/>
          <w:sz w:val="21"/>
          <w:szCs w:val="21"/>
        </w:rPr>
        <w:t>二、申请人的资格要求：</w:t>
      </w:r>
      <w:bookmarkEnd w:id="11"/>
      <w:bookmarkEnd w:id="12"/>
      <w:bookmarkEnd w:id="13"/>
      <w:bookmarkEnd w:id="14"/>
    </w:p>
    <w:p>
      <w:pPr>
        <w:spacing w:line="440" w:lineRule="exact"/>
        <w:ind w:firstLine="420" w:firstLineChars="200"/>
        <w:rPr>
          <w:rFonts w:ascii="宋体" w:hAnsi="宋体" w:cs="宋体"/>
          <w:szCs w:val="21"/>
        </w:rPr>
      </w:pPr>
      <w:bookmarkStart w:id="15" w:name="_Toc28359081"/>
      <w:bookmarkStart w:id="16" w:name="_Toc35393792"/>
      <w:bookmarkStart w:id="17" w:name="_Toc35393623"/>
      <w:bookmarkStart w:id="18" w:name="_Toc28359004"/>
      <w:r>
        <w:rPr>
          <w:rFonts w:hint="eastAsia" w:ascii="宋体" w:hAnsi="宋体" w:cs="宋体"/>
          <w:szCs w:val="21"/>
        </w:rPr>
        <w:t>1.满足《中华人民共和国政府采购法》第二十二条规定；</w:t>
      </w:r>
    </w:p>
    <w:p>
      <w:pPr>
        <w:spacing w:line="440" w:lineRule="exact"/>
        <w:ind w:firstLine="420" w:firstLineChars="200"/>
        <w:rPr>
          <w:rFonts w:ascii="宋体" w:hAnsi="宋体" w:cs="宋体"/>
          <w:szCs w:val="21"/>
        </w:rPr>
      </w:pPr>
      <w:r>
        <w:rPr>
          <w:rFonts w:hint="eastAsia" w:ascii="宋体" w:hAnsi="宋体" w:cs="宋体"/>
          <w:szCs w:val="21"/>
        </w:rPr>
        <w:t>2.落实政府采购政策需满足的资格要求：本项目非专门面向中小企业采购；</w:t>
      </w:r>
    </w:p>
    <w:p>
      <w:pPr>
        <w:widowControl/>
        <w:shd w:val="clear" w:color="auto" w:fill="FFFFFF"/>
        <w:adjustRightInd w:val="0"/>
        <w:snapToGrid w:val="0"/>
        <w:spacing w:line="440" w:lineRule="exact"/>
        <w:ind w:firstLine="420" w:firstLineChars="200"/>
        <w:jc w:val="left"/>
        <w:rPr>
          <w:rFonts w:ascii="宋体" w:hAnsi="宋体" w:cs="宋体"/>
          <w:szCs w:val="21"/>
        </w:rPr>
      </w:pPr>
      <w:r>
        <w:rPr>
          <w:rFonts w:hint="eastAsia" w:ascii="宋体" w:hAnsi="宋体" w:cs="宋体"/>
          <w:szCs w:val="21"/>
        </w:rPr>
        <w:t>3.本项目的特定资格要求：无</w:t>
      </w:r>
    </w:p>
    <w:p>
      <w:pPr>
        <w:widowControl/>
        <w:shd w:val="clear" w:color="auto" w:fill="FFFFFF"/>
        <w:adjustRightInd w:val="0"/>
        <w:snapToGrid w:val="0"/>
        <w:spacing w:line="440" w:lineRule="exact"/>
        <w:ind w:firstLine="420" w:firstLineChars="200"/>
        <w:jc w:val="left"/>
        <w:rPr>
          <w:rFonts w:ascii="宋体" w:hAnsi="宋体" w:cs="宋体"/>
          <w:kern w:val="0"/>
          <w:szCs w:val="21"/>
        </w:rPr>
      </w:pPr>
      <w:r>
        <w:rPr>
          <w:rFonts w:hint="eastAsia" w:ascii="宋体" w:hAnsi="宋体" w:cs="宋体"/>
          <w:kern w:val="0"/>
          <w:szCs w:val="21"/>
        </w:rPr>
        <w:t>4.供应商未被列入失信被执行人、重大税收违法案件当事人名单、政府采购严重违法失信行为记录名单；</w:t>
      </w:r>
    </w:p>
    <w:p>
      <w:pPr>
        <w:widowControl/>
        <w:shd w:val="clear" w:color="auto" w:fill="FFFFFF"/>
        <w:adjustRightInd w:val="0"/>
        <w:snapToGrid w:val="0"/>
        <w:spacing w:line="440" w:lineRule="exact"/>
        <w:ind w:firstLine="420" w:firstLineChars="200"/>
        <w:jc w:val="left"/>
        <w:rPr>
          <w:rFonts w:ascii="宋体" w:hAnsi="宋体" w:cs="宋体"/>
          <w:color w:val="000000" w:themeColor="text1"/>
          <w:kern w:val="0"/>
          <w:szCs w:val="21"/>
        </w:rPr>
      </w:pPr>
      <w:r>
        <w:rPr>
          <w:rFonts w:hint="eastAsia" w:ascii="宋体" w:hAnsi="宋体" w:cs="宋体"/>
          <w:color w:val="000000" w:themeColor="text1"/>
          <w:kern w:val="0"/>
          <w:szCs w:val="21"/>
        </w:rPr>
        <w:t>5.具有国内法人资格，注册经营范围满足所招标内容的供应商；</w:t>
      </w:r>
    </w:p>
    <w:p>
      <w:pPr>
        <w:shd w:val="clear" w:color="auto" w:fill="FFFFFF"/>
        <w:adjustRightInd w:val="0"/>
        <w:snapToGrid w:val="0"/>
        <w:spacing w:line="440" w:lineRule="exact"/>
        <w:ind w:firstLine="420" w:firstLineChars="200"/>
        <w:rPr>
          <w:rFonts w:ascii="宋体" w:hAnsi="宋体" w:cs="宋体"/>
          <w:color w:val="000000" w:themeColor="text1"/>
          <w:kern w:val="0"/>
          <w:szCs w:val="21"/>
        </w:rPr>
      </w:pPr>
      <w:r>
        <w:rPr>
          <w:rFonts w:hint="eastAsia" w:ascii="宋体" w:hAnsi="宋体" w:cs="宋体"/>
          <w:color w:val="000000" w:themeColor="text1"/>
          <w:kern w:val="0"/>
          <w:szCs w:val="21"/>
        </w:rPr>
        <w:t>6、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p>
      <w:pPr>
        <w:pStyle w:val="2"/>
        <w:numPr>
          <w:ilvl w:val="255"/>
          <w:numId w:val="0"/>
        </w:numPr>
        <w:spacing w:line="440" w:lineRule="exact"/>
        <w:ind w:left="425"/>
        <w:rPr>
          <w:rFonts w:ascii="宋体" w:hAnsi="宋体" w:eastAsia="宋体" w:cs="宋体"/>
          <w:sz w:val="21"/>
          <w:szCs w:val="21"/>
        </w:rPr>
      </w:pPr>
      <w:r>
        <w:rPr>
          <w:rFonts w:hint="eastAsia" w:ascii="宋体" w:hAnsi="宋体" w:eastAsia="宋体" w:cs="宋体"/>
          <w:sz w:val="21"/>
          <w:szCs w:val="21"/>
        </w:rPr>
        <w:t>三、获取招标文件</w:t>
      </w:r>
      <w:bookmarkEnd w:id="15"/>
      <w:bookmarkEnd w:id="16"/>
      <w:bookmarkEnd w:id="17"/>
      <w:bookmarkEnd w:id="18"/>
    </w:p>
    <w:p>
      <w:pPr>
        <w:pStyle w:val="13"/>
        <w:tabs>
          <w:tab w:val="left" w:pos="3420"/>
        </w:tabs>
        <w:spacing w:line="360" w:lineRule="exact"/>
        <w:ind w:firstLine="444" w:firstLineChars="200"/>
        <w:rPr>
          <w:spacing w:val="6"/>
          <w:kern w:val="48"/>
          <w:sz w:val="21"/>
          <w:szCs w:val="21"/>
        </w:rPr>
      </w:pPr>
      <w:r>
        <w:rPr>
          <w:rFonts w:hint="eastAsia"/>
          <w:spacing w:val="6"/>
          <w:kern w:val="48"/>
          <w:sz w:val="21"/>
          <w:szCs w:val="21"/>
        </w:rPr>
        <w:t>时间：公告发布之日起至投标文件提交截止时间前</w:t>
      </w:r>
    </w:p>
    <w:p>
      <w:pPr>
        <w:pStyle w:val="13"/>
        <w:tabs>
          <w:tab w:val="left" w:pos="3420"/>
        </w:tabs>
        <w:spacing w:line="336" w:lineRule="exact"/>
        <w:ind w:firstLine="444" w:firstLineChars="200"/>
        <w:rPr>
          <w:rFonts w:hAnsi="宋体" w:cs="宋体"/>
          <w:color w:val="000000"/>
          <w:spacing w:val="6"/>
          <w:kern w:val="48"/>
          <w:sz w:val="21"/>
        </w:rPr>
      </w:pPr>
      <w:r>
        <w:rPr>
          <w:rFonts w:hint="eastAsia" w:hAnsi="宋体" w:cs="宋体"/>
          <w:spacing w:val="6"/>
          <w:kern w:val="48"/>
          <w:sz w:val="21"/>
        </w:rPr>
        <w:t>地点：南宁市公共资源交易平台（https://www.nnggzy.</w:t>
      </w:r>
      <w:r>
        <w:rPr>
          <w:rFonts w:hint="eastAsia" w:hAnsi="宋体" w:cs="宋体"/>
          <w:color w:val="000000"/>
          <w:spacing w:val="6"/>
          <w:kern w:val="48"/>
          <w:sz w:val="21"/>
        </w:rPr>
        <w:t>org.cn/gxnnzbw/）</w:t>
      </w:r>
    </w:p>
    <w:p>
      <w:pPr>
        <w:pStyle w:val="13"/>
        <w:tabs>
          <w:tab w:val="left" w:pos="3420"/>
        </w:tabs>
        <w:spacing w:line="336" w:lineRule="exact"/>
        <w:ind w:firstLine="444" w:firstLineChars="200"/>
        <w:rPr>
          <w:rFonts w:hAnsi="宋体" w:cs="宋体"/>
          <w:color w:val="000000"/>
          <w:spacing w:val="6"/>
          <w:kern w:val="48"/>
          <w:sz w:val="21"/>
        </w:rPr>
      </w:pPr>
      <w:r>
        <w:rPr>
          <w:rFonts w:hint="eastAsia" w:hAnsi="宋体" w:cs="宋体"/>
          <w:color w:val="000000"/>
          <w:spacing w:val="6"/>
          <w:kern w:val="48"/>
          <w:sz w:val="21"/>
        </w:rPr>
        <w:t>方式：供应商在南宁市公共资源交易平台（https://www.nnggzy.org.cn/gxnnzbw/）对应公告页面免费下载获取招标文件。</w:t>
      </w:r>
    </w:p>
    <w:p>
      <w:pPr>
        <w:pStyle w:val="13"/>
        <w:tabs>
          <w:tab w:val="left" w:pos="3420"/>
        </w:tabs>
        <w:spacing w:line="336" w:lineRule="exact"/>
        <w:ind w:firstLine="444" w:firstLineChars="200"/>
        <w:rPr>
          <w:rFonts w:hAnsi="宋体" w:cs="宋体"/>
          <w:color w:val="000000"/>
          <w:spacing w:val="6"/>
          <w:kern w:val="48"/>
          <w:sz w:val="21"/>
        </w:rPr>
      </w:pPr>
      <w:r>
        <w:rPr>
          <w:rFonts w:hint="eastAsia" w:hAnsi="宋体" w:cs="宋体"/>
          <w:color w:val="000000"/>
          <w:spacing w:val="6"/>
          <w:kern w:val="48"/>
          <w:sz w:val="21"/>
        </w:rPr>
        <w:t>售价：0元</w:t>
      </w:r>
    </w:p>
    <w:p>
      <w:pPr>
        <w:pStyle w:val="24"/>
        <w:shd w:val="clear" w:color="auto" w:fill="FFFFFF"/>
        <w:spacing w:before="0" w:beforeAutospacing="0" w:after="0" w:afterAutospacing="0" w:line="400" w:lineRule="exact"/>
        <w:ind w:firstLine="422" w:firstLineChars="200"/>
        <w:jc w:val="both"/>
        <w:rPr>
          <w:b/>
          <w:bCs/>
          <w:color w:val="000000" w:themeColor="text1"/>
          <w:sz w:val="21"/>
        </w:rPr>
      </w:pPr>
      <w:r>
        <w:rPr>
          <w:rFonts w:hint="eastAsia"/>
          <w:b/>
          <w:bCs/>
          <w:color w:val="000000" w:themeColor="text1"/>
          <w:sz w:val="21"/>
        </w:rPr>
        <w:t>注：</w:t>
      </w:r>
      <w:r>
        <w:rPr>
          <w:rFonts w:hint="eastAsia"/>
          <w:b/>
          <w:bCs/>
          <w:kern w:val="0"/>
        </w:rPr>
        <w:t>为配合采购人进行政府采购项目执行和备案，未在政采云注册的供应商可在获取采购文件后登录政采云进行注册，如在操作过程中遇到问题或者需要技术支持，请致电政采云客服热线：400-881-7190。</w:t>
      </w:r>
      <w:r>
        <w:rPr>
          <w:rFonts w:hint="eastAsia"/>
          <w:b/>
          <w:bCs/>
          <w:color w:val="000000" w:themeColor="text1"/>
          <w:sz w:val="21"/>
        </w:rPr>
        <w:t>。</w:t>
      </w:r>
    </w:p>
    <w:p>
      <w:pPr>
        <w:pStyle w:val="2"/>
        <w:numPr>
          <w:ilvl w:val="255"/>
          <w:numId w:val="0"/>
        </w:numPr>
        <w:spacing w:line="440" w:lineRule="exact"/>
        <w:ind w:left="425"/>
        <w:rPr>
          <w:rFonts w:ascii="宋体" w:hAnsi="宋体" w:eastAsia="宋体" w:cs="宋体"/>
          <w:sz w:val="21"/>
          <w:szCs w:val="21"/>
        </w:rPr>
      </w:pPr>
      <w:bookmarkStart w:id="19" w:name="_Toc28359082"/>
      <w:bookmarkStart w:id="20" w:name="_Toc28359005"/>
      <w:bookmarkStart w:id="21" w:name="_Toc35393793"/>
      <w:bookmarkStart w:id="22" w:name="_Toc35393624"/>
      <w:r>
        <w:rPr>
          <w:rFonts w:hint="eastAsia" w:ascii="宋体" w:hAnsi="宋体" w:eastAsia="宋体" w:cs="宋体"/>
          <w:sz w:val="21"/>
          <w:szCs w:val="21"/>
        </w:rPr>
        <w:t>四、提交投标文件</w:t>
      </w:r>
      <w:bookmarkEnd w:id="19"/>
      <w:bookmarkEnd w:id="20"/>
      <w:r>
        <w:rPr>
          <w:rFonts w:hint="eastAsia" w:ascii="宋体" w:hAnsi="宋体" w:eastAsia="宋体" w:cs="宋体"/>
          <w:sz w:val="21"/>
          <w:szCs w:val="21"/>
        </w:rPr>
        <w:t>截止时间、开标时间和地点</w:t>
      </w:r>
      <w:bookmarkEnd w:id="21"/>
      <w:bookmarkEnd w:id="22"/>
    </w:p>
    <w:p>
      <w:pPr>
        <w:spacing w:line="440" w:lineRule="exact"/>
        <w:ind w:firstLine="420" w:firstLineChars="200"/>
        <w:rPr>
          <w:rFonts w:ascii="宋体" w:hAnsi="宋体" w:cs="宋体"/>
          <w:bCs/>
          <w:szCs w:val="21"/>
        </w:rPr>
      </w:pPr>
      <w:r>
        <w:rPr>
          <w:rFonts w:hint="eastAsia" w:ascii="宋体" w:hAnsi="宋体" w:cs="宋体"/>
          <w:bCs/>
          <w:szCs w:val="21"/>
        </w:rPr>
        <w:t>时间：</w:t>
      </w:r>
      <w:r>
        <w:rPr>
          <w:rFonts w:hint="eastAsia" w:ascii="宋体" w:hAnsi="宋体" w:cs="宋体"/>
          <w:szCs w:val="21"/>
          <w:u w:val="single"/>
        </w:rPr>
        <w:t>202</w:t>
      </w:r>
      <w:r>
        <w:rPr>
          <w:rFonts w:hint="eastAsia" w:ascii="宋体" w:hAnsi="宋体" w:cs="宋体"/>
          <w:szCs w:val="21"/>
          <w:u w:val="single"/>
          <w:lang w:val="en-US" w:eastAsia="zh-CN"/>
        </w:rPr>
        <w:t>1</w:t>
      </w:r>
      <w:r>
        <w:rPr>
          <w:rFonts w:hint="eastAsia" w:ascii="宋体" w:hAnsi="宋体" w:cs="宋体"/>
          <w:szCs w:val="21"/>
          <w:u w:val="single"/>
        </w:rPr>
        <w:t>年</w:t>
      </w:r>
      <w:r>
        <w:rPr>
          <w:rFonts w:hint="eastAsia" w:ascii="宋体" w:hAnsi="宋体" w:cs="宋体"/>
          <w:szCs w:val="21"/>
          <w:u w:val="single"/>
          <w:lang w:val="en-US" w:eastAsia="zh-CN"/>
        </w:rPr>
        <w:t>1</w:t>
      </w:r>
      <w:r>
        <w:rPr>
          <w:rFonts w:hint="eastAsia" w:ascii="宋体" w:hAnsi="宋体" w:cs="宋体"/>
          <w:szCs w:val="21"/>
          <w:u w:val="single"/>
        </w:rPr>
        <w:t>月</w:t>
      </w:r>
      <w:r>
        <w:rPr>
          <w:rFonts w:hint="eastAsia" w:ascii="宋体" w:hAnsi="宋体" w:cs="宋体"/>
          <w:szCs w:val="21"/>
          <w:u w:val="single"/>
          <w:lang w:val="en-US" w:eastAsia="zh-CN"/>
        </w:rPr>
        <w:t>20</w:t>
      </w:r>
      <w:r>
        <w:rPr>
          <w:rFonts w:hint="eastAsia" w:ascii="宋体" w:hAnsi="宋体" w:cs="宋体"/>
          <w:szCs w:val="21"/>
          <w:u w:val="single"/>
        </w:rPr>
        <w:t>日</w:t>
      </w:r>
      <w:r>
        <w:rPr>
          <w:rFonts w:hint="eastAsia" w:ascii="宋体" w:hAnsi="宋体" w:cs="宋体"/>
          <w:bCs/>
          <w:szCs w:val="21"/>
          <w:u w:val="single"/>
        </w:rPr>
        <w:t>09时30分</w:t>
      </w:r>
      <w:r>
        <w:rPr>
          <w:rFonts w:hint="eastAsia" w:ascii="宋体" w:hAnsi="宋体" w:cs="宋体"/>
          <w:bCs/>
          <w:szCs w:val="21"/>
        </w:rPr>
        <w:t>（北京时间）</w:t>
      </w:r>
    </w:p>
    <w:p>
      <w:pPr>
        <w:ind w:firstLine="420" w:firstLineChars="200"/>
        <w:rPr>
          <w:szCs w:val="21"/>
        </w:rPr>
      </w:pPr>
      <w:r>
        <w:rPr>
          <w:rFonts w:hint="eastAsia"/>
          <w:color w:val="000000" w:themeColor="text1"/>
        </w:rPr>
        <w:t>地点：</w:t>
      </w:r>
      <w:r>
        <w:rPr>
          <w:rFonts w:hint="eastAsia"/>
          <w:color w:val="000000" w:themeColor="text1"/>
          <w:kern w:val="0"/>
        </w:rPr>
        <w:t>南宁市良庆区玉洞大道33号（市青少年活动中心旁）南宁市市民中心9楼南宁市公共资源交易中心（具体详见9楼电子显示屏场地安排）。因疫情影响，投标人无需到现场参与投标（现场取消投标人签字环节），投标文件可通过邮寄快递或投标人自送的方式送达招标代理机构。</w:t>
      </w:r>
    </w:p>
    <w:p>
      <w:pPr>
        <w:pStyle w:val="2"/>
        <w:numPr>
          <w:ilvl w:val="255"/>
          <w:numId w:val="0"/>
        </w:numPr>
        <w:spacing w:line="440" w:lineRule="exact"/>
        <w:ind w:left="425"/>
        <w:rPr>
          <w:rFonts w:ascii="宋体" w:hAnsi="宋体" w:eastAsia="宋体" w:cs="宋体"/>
          <w:sz w:val="21"/>
          <w:szCs w:val="21"/>
        </w:rPr>
      </w:pPr>
      <w:bookmarkStart w:id="23" w:name="_Toc35393794"/>
      <w:bookmarkStart w:id="24" w:name="_Toc28359084"/>
      <w:bookmarkStart w:id="25" w:name="_Toc35393625"/>
      <w:bookmarkStart w:id="26" w:name="_Toc28359007"/>
      <w:r>
        <w:rPr>
          <w:rFonts w:hint="eastAsia" w:ascii="宋体" w:hAnsi="宋体" w:eastAsia="宋体" w:cs="宋体"/>
          <w:sz w:val="21"/>
          <w:szCs w:val="21"/>
        </w:rPr>
        <w:t>五、公告期限</w:t>
      </w:r>
      <w:bookmarkEnd w:id="23"/>
      <w:bookmarkEnd w:id="24"/>
      <w:bookmarkEnd w:id="25"/>
      <w:bookmarkEnd w:id="26"/>
    </w:p>
    <w:p>
      <w:pPr>
        <w:spacing w:line="440" w:lineRule="exact"/>
        <w:ind w:firstLine="420" w:firstLineChars="200"/>
        <w:rPr>
          <w:rFonts w:ascii="宋体" w:hAnsi="宋体" w:cs="宋体"/>
          <w:kern w:val="0"/>
          <w:szCs w:val="21"/>
        </w:rPr>
      </w:pPr>
      <w:r>
        <w:rPr>
          <w:rFonts w:hint="eastAsia" w:ascii="宋体" w:hAnsi="宋体" w:cs="宋体"/>
          <w:kern w:val="0"/>
          <w:szCs w:val="21"/>
        </w:rPr>
        <w:t>自本公告发布之日起5个工作日。</w:t>
      </w:r>
    </w:p>
    <w:p>
      <w:pPr>
        <w:pStyle w:val="2"/>
        <w:numPr>
          <w:ilvl w:val="255"/>
          <w:numId w:val="0"/>
        </w:numPr>
        <w:spacing w:line="440" w:lineRule="exact"/>
        <w:ind w:left="425"/>
        <w:rPr>
          <w:rFonts w:ascii="宋体" w:hAnsi="宋体" w:eastAsia="宋体" w:cs="宋体"/>
          <w:sz w:val="21"/>
          <w:szCs w:val="21"/>
        </w:rPr>
      </w:pPr>
      <w:bookmarkStart w:id="27" w:name="_Toc35393626"/>
      <w:bookmarkStart w:id="28" w:name="_Toc35393795"/>
      <w:r>
        <w:rPr>
          <w:rFonts w:hint="eastAsia" w:ascii="宋体" w:hAnsi="宋体" w:eastAsia="宋体" w:cs="宋体"/>
          <w:sz w:val="21"/>
          <w:szCs w:val="21"/>
        </w:rPr>
        <w:t>六、其他补充事宜</w:t>
      </w:r>
      <w:bookmarkEnd w:id="27"/>
      <w:bookmarkEnd w:id="28"/>
    </w:p>
    <w:p>
      <w:pPr>
        <w:pStyle w:val="12"/>
        <w:spacing w:line="440" w:lineRule="exact"/>
        <w:ind w:firstLine="420" w:firstLineChars="200"/>
        <w:rPr>
          <w:rFonts w:hint="eastAsia" w:ascii="宋体" w:hAnsi="宋体" w:cs="宋体"/>
        </w:rPr>
      </w:pPr>
      <w:bookmarkStart w:id="29" w:name="_Toc28359085"/>
      <w:bookmarkStart w:id="30" w:name="_Toc35393627"/>
      <w:bookmarkStart w:id="31" w:name="_Toc35393796"/>
      <w:bookmarkStart w:id="32" w:name="_Toc28359008"/>
      <w:r>
        <w:rPr>
          <w:rFonts w:hint="eastAsia" w:ascii="宋体" w:hAnsi="宋体" w:cs="宋体"/>
          <w:color w:val="000000"/>
          <w:kern w:val="0"/>
          <w:szCs w:val="21"/>
        </w:rPr>
        <w:t>1、媒体查询：</w:t>
      </w:r>
      <w:r>
        <w:rPr>
          <w:rFonts w:hint="eastAsia" w:ascii="宋体" w:hAnsi="宋体" w:cs="宋体"/>
        </w:rPr>
        <w:t>网上查询地址：中国政府采购网（www.ccgp.gov.cn）、广西壮族自治区政府采购网(www.gxzfcg.gov.cn)、南宁市公共资源交易中心网（www.nnggzy.net）、南宁市政府采购网（http://zfcg.nanning.gov.cn/index.do）。</w:t>
      </w:r>
    </w:p>
    <w:p>
      <w:pPr>
        <w:pStyle w:val="12"/>
        <w:spacing w:line="440" w:lineRule="exact"/>
        <w:ind w:firstLine="420"/>
        <w:rPr>
          <w:rFonts w:hint="eastAsia" w:ascii="宋体" w:hAnsi="宋体" w:cs="宋体"/>
        </w:rPr>
      </w:pPr>
      <w:r>
        <w:rPr>
          <w:rFonts w:hint="eastAsia" w:ascii="宋体" w:hAnsi="宋体" w:cs="宋体"/>
        </w:rPr>
        <w:t>2、本次采购需落实的采购政策：《政府采购促进中小企业发展暂行办法》（财库〔2011〕181号）；《关于我区政府采购支持监狱企业发展有关问题的通知》（桂财采〔2015〕24号）；</w:t>
      </w:r>
      <w:r>
        <w:rPr>
          <w:rFonts w:hint="eastAsia" w:ascii="宋体" w:hAnsi="宋体" w:cs="宋体"/>
          <w:szCs w:val="21"/>
        </w:rPr>
        <w:t>《财政部、司法部关于政府采购支持监狱企业发展有关问题的通知》（财库〔2015〕24号）</w:t>
      </w:r>
      <w:r>
        <w:rPr>
          <w:rFonts w:hint="eastAsia" w:ascii="宋体" w:hAnsi="宋体" w:cs="宋体"/>
        </w:rPr>
        <w:t>；《招标采购促进广西工业产品产销对接实施细则》（桂政办发〔2015〕78号）；优先采购节能产品、环境标志产品。</w:t>
      </w:r>
    </w:p>
    <w:p>
      <w:pPr>
        <w:pStyle w:val="12"/>
        <w:spacing w:line="440" w:lineRule="exact"/>
        <w:ind w:firstLine="422" w:firstLineChars="200"/>
        <w:rPr>
          <w:rFonts w:ascii="宋体" w:hAnsi="宋体" w:cs="宋体"/>
          <w:b/>
          <w:bCs/>
          <w:szCs w:val="21"/>
        </w:rPr>
      </w:pPr>
      <w:r>
        <w:rPr>
          <w:rFonts w:hint="eastAsia" w:ascii="宋体" w:hAnsi="宋体" w:cs="宋体"/>
          <w:b/>
          <w:bCs/>
          <w:szCs w:val="21"/>
        </w:rPr>
        <w:t>七、投标文件的有关要求</w:t>
      </w:r>
    </w:p>
    <w:p>
      <w:pPr>
        <w:pStyle w:val="12"/>
        <w:spacing w:line="440" w:lineRule="exact"/>
        <w:ind w:firstLine="420"/>
        <w:rPr>
          <w:rFonts w:hint="eastAsia" w:ascii="宋体" w:hAnsi="宋体" w:cs="宋体"/>
          <w:color w:val="auto"/>
        </w:rPr>
      </w:pPr>
      <w:r>
        <w:rPr>
          <w:rFonts w:hint="eastAsia" w:ascii="宋体" w:hAnsi="宋体" w:cs="宋体"/>
        </w:rPr>
        <w:t>（1）邮寄快递包裹或投标人自送包裹送达时间至少为投标截止时间1个小</w:t>
      </w:r>
      <w:r>
        <w:rPr>
          <w:rFonts w:hint="eastAsia" w:ascii="宋体" w:hAnsi="宋体" w:cs="宋体"/>
          <w:color w:val="auto"/>
        </w:rPr>
        <w:t>时前（即202</w:t>
      </w:r>
      <w:r>
        <w:rPr>
          <w:rFonts w:hint="eastAsia" w:ascii="宋体" w:hAnsi="宋体" w:cs="宋体"/>
          <w:color w:val="auto"/>
          <w:lang w:val="en-US" w:eastAsia="zh-CN"/>
        </w:rPr>
        <w:t>1</w:t>
      </w:r>
      <w:r>
        <w:rPr>
          <w:rFonts w:hint="eastAsia" w:ascii="宋体" w:hAnsi="宋体" w:cs="宋体"/>
          <w:color w:val="auto"/>
        </w:rPr>
        <w:t>年</w:t>
      </w:r>
      <w:r>
        <w:rPr>
          <w:rFonts w:hint="eastAsia" w:ascii="宋体" w:hAnsi="宋体" w:cs="宋体"/>
          <w:color w:val="auto"/>
          <w:lang w:val="en-US" w:eastAsia="zh-CN"/>
        </w:rPr>
        <w:t>1</w:t>
      </w:r>
      <w:r>
        <w:rPr>
          <w:rFonts w:hint="eastAsia" w:ascii="宋体" w:hAnsi="宋体" w:cs="宋体"/>
          <w:color w:val="auto"/>
        </w:rPr>
        <w:t>月</w:t>
      </w:r>
      <w:r>
        <w:rPr>
          <w:rFonts w:hint="eastAsia" w:ascii="宋体" w:hAnsi="宋体" w:cs="宋体"/>
          <w:color w:val="auto"/>
          <w:lang w:val="en-US" w:eastAsia="zh-CN"/>
        </w:rPr>
        <w:t>20</w:t>
      </w:r>
      <w:r>
        <w:rPr>
          <w:rFonts w:hint="eastAsia" w:ascii="宋体" w:hAnsi="宋体" w:cs="宋体"/>
          <w:color w:val="auto"/>
        </w:rPr>
        <w:t>日8时30分前）。</w:t>
      </w:r>
    </w:p>
    <w:p>
      <w:pPr>
        <w:pStyle w:val="12"/>
        <w:spacing w:line="440" w:lineRule="exact"/>
        <w:ind w:firstLine="420"/>
        <w:rPr>
          <w:rFonts w:hint="eastAsia" w:ascii="宋体" w:hAnsi="宋体" w:cs="宋体"/>
        </w:rPr>
      </w:pPr>
      <w:r>
        <w:rPr>
          <w:rFonts w:hint="eastAsia" w:ascii="宋体" w:hAnsi="宋体" w:cs="宋体"/>
        </w:rPr>
        <w:t>投标文件必须在投标截止时间前送达。采购代理机构签收邮寄包裹或自送包裹的时间即为投标人投标文件的送达时间，逾期送达的投标文件无效，后果由投标人自行承担。</w:t>
      </w:r>
    </w:p>
    <w:p>
      <w:pPr>
        <w:pStyle w:val="12"/>
        <w:spacing w:line="440" w:lineRule="exact"/>
        <w:ind w:firstLine="420"/>
        <w:rPr>
          <w:rFonts w:hint="eastAsia" w:ascii="宋体" w:hAnsi="宋体" w:cs="宋体"/>
        </w:rPr>
      </w:pPr>
      <w:r>
        <w:rPr>
          <w:rFonts w:hint="eastAsia" w:ascii="宋体" w:hAnsi="宋体" w:cs="宋体"/>
        </w:rPr>
        <w:t>（2）投标人应充分预留投标文件邮寄、送达所需要的时间。为确保疫情防控期间邮寄包裹能及时送达，应选择邮寄运送时间有保障的快递公司寄送投标文件，并尽量在开标日期1日前送达。</w:t>
      </w:r>
    </w:p>
    <w:p>
      <w:pPr>
        <w:pStyle w:val="12"/>
        <w:spacing w:line="440" w:lineRule="exact"/>
        <w:ind w:firstLine="420"/>
        <w:rPr>
          <w:rFonts w:hint="eastAsia" w:ascii="宋体" w:hAnsi="宋体" w:cs="宋体"/>
        </w:rPr>
      </w:pPr>
      <w:r>
        <w:rPr>
          <w:rFonts w:hint="eastAsia" w:ascii="宋体" w:hAnsi="宋体" w:cs="宋体"/>
        </w:rPr>
        <w:t>（3）投标人按照招标文件要求装订密封好投标文件后，应使用不透明、防水的邮寄袋或箱子再次包裹已密封的投标文件，并在最外层邮寄袋或箱子上注明</w:t>
      </w:r>
      <w:r>
        <w:rPr>
          <w:rFonts w:hint="eastAsia" w:ascii="宋体" w:hAnsi="宋体" w:cs="宋体"/>
          <w:b/>
          <w:bCs/>
        </w:rPr>
        <w:t>投标人单位名称、项目名称、项目编号、有效的电子邮箱、联系人及联系方式</w:t>
      </w:r>
      <w:r>
        <w:rPr>
          <w:rFonts w:hint="eastAsia" w:ascii="宋体" w:hAnsi="宋体" w:cs="宋体"/>
        </w:rPr>
        <w:t>。如因投标文件包裹信息注明不完整或缺失造成投标文件无法辨认属于哪一个项目或无法与投标人取得联系造成的后果投标人自负。</w:t>
      </w:r>
    </w:p>
    <w:p>
      <w:pPr>
        <w:pStyle w:val="12"/>
        <w:spacing w:line="440" w:lineRule="exact"/>
        <w:ind w:firstLine="420"/>
        <w:rPr>
          <w:rFonts w:hint="eastAsia" w:ascii="宋体" w:hAnsi="宋体" w:cs="宋体"/>
        </w:rPr>
      </w:pPr>
      <w:r>
        <w:rPr>
          <w:rFonts w:hint="eastAsia" w:ascii="宋体" w:hAnsi="宋体" w:cs="宋体"/>
        </w:rPr>
        <w:t>（4）投标文件邮寄或投标人自送地址：</w:t>
      </w:r>
      <w:r>
        <w:rPr>
          <w:rFonts w:hint="eastAsia" w:ascii="宋体" w:hAnsi="宋体" w:cs="宋体"/>
          <w:szCs w:val="21"/>
        </w:rPr>
        <w:t>广西恒基建设工程咨询有限公司（南宁市青秀区云景路69号南宁市轨道交通运营控制中心B楼14层</w:t>
      </w:r>
      <w:r>
        <w:rPr>
          <w:rFonts w:hint="eastAsia" w:ascii="宋体" w:hAnsi="宋体" w:cs="宋体"/>
        </w:rPr>
        <w:t>（收件人：</w:t>
      </w:r>
      <w:r>
        <w:rPr>
          <w:rFonts w:hint="eastAsia" w:ascii="宋体" w:hAnsi="宋体" w:cs="宋体"/>
          <w:szCs w:val="21"/>
        </w:rPr>
        <w:t>周仁</w:t>
      </w:r>
      <w:r>
        <w:rPr>
          <w:rFonts w:hint="eastAsia" w:ascii="宋体" w:hAnsi="宋体" w:cs="宋体"/>
        </w:rPr>
        <w:t>，电话：</w:t>
      </w:r>
      <w:r>
        <w:rPr>
          <w:rFonts w:hint="eastAsia" w:ascii="宋体" w:hAnsi="宋体" w:cs="宋体"/>
          <w:szCs w:val="21"/>
        </w:rPr>
        <w:t>0771-2756880、13077771375</w:t>
      </w:r>
      <w:r>
        <w:rPr>
          <w:rFonts w:hint="eastAsia" w:ascii="宋体" w:hAnsi="宋体" w:cs="宋体"/>
        </w:rPr>
        <w:t>）。签收时间为工作日早上8:30-12:00，下午14:30-17:30。</w:t>
      </w:r>
    </w:p>
    <w:p>
      <w:pPr>
        <w:pStyle w:val="12"/>
        <w:spacing w:line="440" w:lineRule="exact"/>
        <w:ind w:firstLine="420"/>
      </w:pPr>
      <w:r>
        <w:rPr>
          <w:rFonts w:hint="eastAsia"/>
        </w:rPr>
        <w:t>（5）招标代理机构工作人员在接收投标文件邮寄包裹时，确认无误接收完成后，第一时间按照投标人在邮寄包裹上所预留的电子邮箱告知投标文件收件情况，请投标人务必确保所预留的电子邮箱的有效性，并注意查收邮件。电子邮件自发出成功时起视为投标人已收悉，如因投标人原因未及时查收电子邮件的，后果由投标人自行承担。</w:t>
      </w:r>
    </w:p>
    <w:p>
      <w:pPr>
        <w:pStyle w:val="12"/>
        <w:spacing w:line="440" w:lineRule="exact"/>
        <w:ind w:firstLine="422" w:firstLineChars="200"/>
        <w:rPr>
          <w:rFonts w:ascii="宋体" w:hAnsi="宋体" w:cs="宋体"/>
          <w:b/>
          <w:bCs/>
          <w:szCs w:val="21"/>
        </w:rPr>
      </w:pPr>
      <w:r>
        <w:rPr>
          <w:rFonts w:hint="eastAsia" w:ascii="宋体" w:hAnsi="宋体" w:cs="宋体"/>
          <w:b/>
          <w:bCs/>
          <w:szCs w:val="21"/>
        </w:rPr>
        <w:t>八、关于投标文件澄清的有关要求</w:t>
      </w:r>
    </w:p>
    <w:p>
      <w:pPr>
        <w:pStyle w:val="12"/>
        <w:spacing w:line="440" w:lineRule="exact"/>
        <w:ind w:firstLine="420"/>
        <w:rPr>
          <w:rFonts w:ascii="宋体" w:hAnsi="宋体" w:cs="宋体"/>
          <w:szCs w:val="21"/>
        </w:rPr>
      </w:pPr>
      <w:r>
        <w:rPr>
          <w:rFonts w:hint="eastAsia" w:ascii="宋体" w:hAnsi="宋体" w:cs="宋体"/>
          <w:szCs w:val="21"/>
        </w:rPr>
        <w:t>1、为便于采购代理机构或评标委员会在项目评标期间与供应商取得联系，做好评标过程中供应商对投标文件的澄清、说明或者补正等工作，供应商务必做到：“第五章投标文件格式”中“投标函（格式）”落款处的“电话”务必填写法定代表人或委托代理人的电话联系方式；</w:t>
      </w:r>
      <w:r>
        <w:rPr>
          <w:rFonts w:ascii="宋体" w:hAnsi="宋体" w:cs="宋体"/>
          <w:color w:val="000000"/>
          <w:kern w:val="0"/>
          <w:szCs w:val="21"/>
        </w:rPr>
        <w:t>落款处的“电子邮箱”请预留法定代表人或委托代理人的电子邮箱。</w:t>
      </w:r>
    </w:p>
    <w:p>
      <w:pPr>
        <w:pStyle w:val="12"/>
        <w:spacing w:line="440" w:lineRule="exact"/>
        <w:ind w:firstLine="420"/>
        <w:rPr>
          <w:rFonts w:ascii="宋体" w:hAnsi="宋体" w:cs="宋体"/>
          <w:szCs w:val="21"/>
        </w:rPr>
      </w:pPr>
      <w:r>
        <w:rPr>
          <w:rFonts w:hint="eastAsia" w:ascii="宋体" w:hAnsi="宋体" w:cs="宋体"/>
          <w:szCs w:val="21"/>
        </w:rPr>
        <w:t>2、开标当天供应商务必保持电话畅通。如果评标过程中需要供应商对投标文件作出澄清、说明或者补正的，评标委员会会通知供应商在规定的时间内通过电子邮件、传真等方式提交。供应商所提交的澄清、说明或者补正等材料必须加盖供应商的公章确认。</w:t>
      </w:r>
    </w:p>
    <w:p>
      <w:pPr>
        <w:pStyle w:val="12"/>
        <w:spacing w:line="440" w:lineRule="exact"/>
        <w:ind w:firstLine="420"/>
        <w:rPr>
          <w:rFonts w:ascii="宋体" w:hAnsi="宋体" w:cs="宋体"/>
          <w:szCs w:val="21"/>
        </w:rPr>
      </w:pPr>
      <w:r>
        <w:rPr>
          <w:rFonts w:hint="eastAsia" w:ascii="宋体" w:hAnsi="宋体" w:cs="宋体"/>
          <w:szCs w:val="21"/>
        </w:rPr>
        <w:t>3、如供应商未按上述要求提供联系方式，致使采购代理机构或评标委员会在项目评标期间无法与供应商取得联系的，或因自身原因未能保持电话畅通或未按评标委员会要求提交澄清、说明或者补正的，后果由供应商自行承担。</w:t>
      </w:r>
    </w:p>
    <w:p>
      <w:pPr>
        <w:pStyle w:val="12"/>
        <w:spacing w:line="440" w:lineRule="exact"/>
        <w:ind w:firstLine="422" w:firstLineChars="200"/>
        <w:rPr>
          <w:rFonts w:ascii="宋体" w:hAnsi="宋体" w:cs="宋体"/>
          <w:b/>
          <w:bCs/>
          <w:szCs w:val="21"/>
        </w:rPr>
      </w:pPr>
      <w:r>
        <w:rPr>
          <w:rFonts w:hint="eastAsia" w:ascii="宋体" w:hAnsi="宋体" w:cs="宋体"/>
          <w:b/>
          <w:bCs/>
          <w:szCs w:val="21"/>
        </w:rPr>
        <w:t>九、关于开标会的有关要求</w:t>
      </w:r>
    </w:p>
    <w:p>
      <w:pPr>
        <w:pStyle w:val="12"/>
        <w:spacing w:line="440" w:lineRule="exact"/>
        <w:ind w:firstLine="420"/>
        <w:rPr>
          <w:rFonts w:ascii="宋体" w:hAnsi="宋体" w:cs="宋体"/>
          <w:szCs w:val="21"/>
        </w:rPr>
      </w:pPr>
      <w:r>
        <w:rPr>
          <w:rFonts w:hint="eastAsia" w:ascii="宋体" w:hAnsi="宋体" w:cs="宋体"/>
          <w:szCs w:val="21"/>
        </w:rPr>
        <w:t>为做好疫情防控工作，避免开标会现场人员密集，本项目开标会过程中所有需要供应商签字确认的表格，取消签字流程，供应商不参加开标会。开标会现场，由招标代理机构项目负责人主持，采购人和南宁市公共资源交易中心工作人员进行现场全流程见证完成开标会工作。</w:t>
      </w:r>
    </w:p>
    <w:p>
      <w:pPr>
        <w:pStyle w:val="2"/>
        <w:numPr>
          <w:ilvl w:val="255"/>
          <w:numId w:val="0"/>
        </w:numPr>
        <w:spacing w:line="440" w:lineRule="exact"/>
        <w:ind w:left="425"/>
        <w:rPr>
          <w:rFonts w:ascii="宋体" w:hAnsi="宋体" w:eastAsia="宋体" w:cs="宋体"/>
          <w:sz w:val="21"/>
          <w:szCs w:val="21"/>
        </w:rPr>
      </w:pPr>
      <w:r>
        <w:rPr>
          <w:rFonts w:hint="eastAsia" w:ascii="宋体" w:hAnsi="宋体" w:eastAsia="宋体" w:cs="宋体"/>
          <w:sz w:val="21"/>
          <w:szCs w:val="21"/>
        </w:rPr>
        <w:t>十、对本次招标提出询问，请按以下方式联系</w:t>
      </w:r>
      <w:bookmarkEnd w:id="29"/>
      <w:bookmarkEnd w:id="30"/>
      <w:bookmarkEnd w:id="31"/>
      <w:bookmarkEnd w:id="32"/>
    </w:p>
    <w:p>
      <w:pPr>
        <w:pStyle w:val="12"/>
        <w:spacing w:line="440" w:lineRule="exact"/>
        <w:ind w:firstLine="420" w:firstLineChars="200"/>
        <w:rPr>
          <w:rFonts w:hint="eastAsia" w:ascii="宋体" w:hAnsi="宋体" w:cs="宋体"/>
        </w:rPr>
      </w:pPr>
      <w:bookmarkStart w:id="33" w:name="_Toc35393806"/>
      <w:bookmarkStart w:id="34" w:name="_Toc28359019"/>
      <w:bookmarkStart w:id="35" w:name="_Toc28359096"/>
      <w:bookmarkStart w:id="36" w:name="_Toc35393637"/>
      <w:r>
        <w:rPr>
          <w:rFonts w:hint="eastAsia" w:ascii="宋体" w:hAnsi="宋体" w:cs="宋体"/>
        </w:rPr>
        <w:t>1、采购人信息</w:t>
      </w:r>
      <w:bookmarkEnd w:id="33"/>
      <w:bookmarkEnd w:id="34"/>
      <w:bookmarkEnd w:id="35"/>
      <w:bookmarkEnd w:id="36"/>
    </w:p>
    <w:p>
      <w:pPr>
        <w:pStyle w:val="12"/>
        <w:spacing w:line="440" w:lineRule="exact"/>
        <w:ind w:firstLine="420"/>
        <w:rPr>
          <w:rFonts w:hint="eastAsia" w:ascii="宋体" w:hAnsi="宋体" w:cs="宋体"/>
        </w:rPr>
      </w:pPr>
      <w:r>
        <w:rPr>
          <w:rFonts w:hint="eastAsia" w:ascii="宋体" w:hAnsi="宋体" w:cs="宋体"/>
        </w:rPr>
        <w:t>名称：</w:t>
      </w:r>
      <w:r>
        <w:rPr>
          <w:rFonts w:hint="eastAsia" w:ascii="宋体" w:hAnsi="宋体" w:cs="宋体"/>
          <w:kern w:val="0"/>
          <w:szCs w:val="21"/>
        </w:rPr>
        <w:t>南宁职业技术学院</w:t>
      </w:r>
    </w:p>
    <w:p>
      <w:pPr>
        <w:pStyle w:val="12"/>
        <w:spacing w:line="440" w:lineRule="exact"/>
        <w:ind w:firstLine="420"/>
        <w:rPr>
          <w:rFonts w:hint="eastAsia" w:ascii="宋体" w:hAnsi="宋体" w:cs="宋体"/>
        </w:rPr>
      </w:pPr>
      <w:r>
        <w:rPr>
          <w:rFonts w:hint="eastAsia" w:ascii="宋体" w:hAnsi="宋体" w:cs="宋体"/>
        </w:rPr>
        <w:t>地址：</w:t>
      </w:r>
      <w:r>
        <w:rPr>
          <w:rFonts w:hint="eastAsia" w:ascii="宋体" w:hAnsi="宋体" w:cs="宋体"/>
          <w:kern w:val="0"/>
          <w:szCs w:val="21"/>
        </w:rPr>
        <w:t>南宁市大学西路169号</w:t>
      </w:r>
    </w:p>
    <w:p>
      <w:pPr>
        <w:widowControl/>
        <w:shd w:val="clear" w:color="auto" w:fill="FFFFFF"/>
        <w:adjustRightInd w:val="0"/>
        <w:snapToGrid w:val="0"/>
        <w:spacing w:line="440" w:lineRule="exact"/>
        <w:ind w:firstLine="440"/>
        <w:jc w:val="left"/>
        <w:rPr>
          <w:rFonts w:ascii="宋体" w:hAnsi="宋体" w:cs="宋体"/>
          <w:kern w:val="0"/>
          <w:szCs w:val="21"/>
        </w:rPr>
      </w:pPr>
      <w:r>
        <w:rPr>
          <w:rFonts w:hint="eastAsia" w:ascii="宋体" w:hAnsi="宋体" w:cs="宋体"/>
        </w:rPr>
        <w:t>联系方式：</w:t>
      </w:r>
      <w:r>
        <w:rPr>
          <w:rFonts w:hint="eastAsia" w:ascii="宋体" w:hAnsi="宋体" w:cs="宋体"/>
          <w:kern w:val="0"/>
          <w:szCs w:val="21"/>
        </w:rPr>
        <w:t xml:space="preserve">莫老师   0771-2029355 </w:t>
      </w:r>
    </w:p>
    <w:p>
      <w:pPr>
        <w:pStyle w:val="12"/>
        <w:spacing w:line="440" w:lineRule="exact"/>
        <w:ind w:firstLine="420"/>
        <w:rPr>
          <w:rFonts w:hint="eastAsia" w:ascii="宋体" w:hAnsi="宋体" w:cs="宋体"/>
        </w:rPr>
      </w:pPr>
      <w:bookmarkStart w:id="37" w:name="_Toc35393638"/>
      <w:bookmarkStart w:id="38" w:name="_Toc35393807"/>
      <w:bookmarkStart w:id="39" w:name="_Toc28359020"/>
      <w:bookmarkStart w:id="40" w:name="_Toc28359097"/>
      <w:r>
        <w:rPr>
          <w:rFonts w:hint="eastAsia" w:ascii="宋体" w:hAnsi="宋体" w:cs="宋体"/>
        </w:rPr>
        <w:t>2、采购代理机构信息</w:t>
      </w:r>
      <w:bookmarkEnd w:id="37"/>
      <w:bookmarkEnd w:id="38"/>
      <w:bookmarkEnd w:id="39"/>
      <w:bookmarkEnd w:id="40"/>
    </w:p>
    <w:p>
      <w:pPr>
        <w:pStyle w:val="12"/>
        <w:spacing w:line="440" w:lineRule="exact"/>
        <w:ind w:firstLine="420"/>
        <w:rPr>
          <w:rFonts w:hint="eastAsia" w:ascii="宋体" w:hAnsi="宋体" w:cs="宋体"/>
        </w:rPr>
      </w:pPr>
      <w:r>
        <w:rPr>
          <w:rFonts w:hint="eastAsia" w:ascii="宋体" w:hAnsi="宋体" w:cs="宋体"/>
        </w:rPr>
        <w:t>名称：广西恒基建设工程咨询有限公司</w:t>
      </w:r>
    </w:p>
    <w:p>
      <w:pPr>
        <w:pStyle w:val="12"/>
        <w:spacing w:line="440" w:lineRule="exact"/>
        <w:ind w:firstLine="420"/>
        <w:rPr>
          <w:rFonts w:hint="eastAsia" w:ascii="宋体" w:hAnsi="宋体" w:cs="宋体"/>
        </w:rPr>
      </w:pPr>
      <w:r>
        <w:rPr>
          <w:rFonts w:hint="eastAsia" w:ascii="宋体" w:hAnsi="宋体" w:cs="宋体"/>
        </w:rPr>
        <w:t>地址：南宁市青秀区云景路69号南宁市轨道交通运营控制中心B楼14层　</w:t>
      </w:r>
    </w:p>
    <w:p>
      <w:pPr>
        <w:pStyle w:val="12"/>
        <w:spacing w:line="440" w:lineRule="exact"/>
        <w:ind w:firstLine="420"/>
        <w:rPr>
          <w:rFonts w:hint="eastAsia" w:ascii="宋体" w:hAnsi="宋体" w:cs="宋体"/>
        </w:rPr>
      </w:pPr>
      <w:r>
        <w:rPr>
          <w:rFonts w:hint="eastAsia" w:ascii="宋体" w:hAnsi="宋体" w:cs="宋体"/>
        </w:rPr>
        <w:t>联系方式：周仁  0771-2756880  13077771375</w:t>
      </w:r>
    </w:p>
    <w:p>
      <w:pPr>
        <w:pStyle w:val="12"/>
        <w:spacing w:line="440" w:lineRule="exact"/>
        <w:ind w:firstLine="420"/>
        <w:rPr>
          <w:rFonts w:hint="eastAsia" w:ascii="宋体" w:hAnsi="宋体" w:cs="宋体"/>
        </w:rPr>
      </w:pPr>
      <w:bookmarkStart w:id="41" w:name="_Toc35393639"/>
      <w:bookmarkStart w:id="42" w:name="_Toc28359098"/>
      <w:bookmarkStart w:id="43" w:name="_Toc35393808"/>
      <w:bookmarkStart w:id="44" w:name="_Toc28359021"/>
      <w:r>
        <w:rPr>
          <w:rFonts w:hint="eastAsia" w:ascii="宋体" w:hAnsi="宋体" w:cs="宋体"/>
        </w:rPr>
        <w:t>3、项目联系方式</w:t>
      </w:r>
      <w:bookmarkEnd w:id="41"/>
      <w:bookmarkEnd w:id="42"/>
      <w:bookmarkEnd w:id="43"/>
      <w:bookmarkEnd w:id="44"/>
    </w:p>
    <w:p>
      <w:pPr>
        <w:pStyle w:val="12"/>
        <w:spacing w:line="440" w:lineRule="exact"/>
        <w:ind w:firstLine="420"/>
        <w:rPr>
          <w:rFonts w:hint="eastAsia" w:ascii="宋体" w:hAnsi="宋体" w:cs="宋体"/>
        </w:rPr>
      </w:pPr>
      <w:r>
        <w:rPr>
          <w:rFonts w:hint="eastAsia" w:ascii="宋体" w:hAnsi="宋体" w:cs="宋体"/>
        </w:rPr>
        <w:t>项目联系人：周仁</w:t>
      </w:r>
    </w:p>
    <w:p>
      <w:pPr>
        <w:pStyle w:val="12"/>
        <w:spacing w:line="440" w:lineRule="exact"/>
        <w:ind w:firstLine="420"/>
        <w:rPr>
          <w:rFonts w:hint="eastAsia" w:ascii="宋体" w:hAnsi="宋体" w:cs="宋体"/>
        </w:rPr>
      </w:pPr>
      <w:r>
        <w:rPr>
          <w:rFonts w:hint="eastAsia" w:ascii="宋体" w:hAnsi="宋体" w:cs="宋体"/>
        </w:rPr>
        <w:t>电　　话：0771-2756880   13077771375</w:t>
      </w:r>
    </w:p>
    <w:p>
      <w:pPr>
        <w:pStyle w:val="12"/>
        <w:spacing w:line="440" w:lineRule="exact"/>
        <w:ind w:firstLine="420"/>
        <w:rPr>
          <w:rFonts w:hint="eastAsia" w:ascii="宋体" w:hAnsi="宋体" w:cs="宋体"/>
        </w:rPr>
      </w:pPr>
      <w:r>
        <w:rPr>
          <w:rFonts w:hint="eastAsia" w:ascii="宋体" w:hAnsi="宋体" w:cs="宋体"/>
        </w:rPr>
        <w:t>4、政府采购监督管理部门：南宁市财政局政府采购监督管理办公室；</w:t>
      </w:r>
    </w:p>
    <w:p>
      <w:pPr>
        <w:pStyle w:val="12"/>
        <w:spacing w:line="440" w:lineRule="exact"/>
        <w:ind w:firstLine="420"/>
        <w:rPr>
          <w:rFonts w:hint="eastAsia" w:ascii="宋体" w:hAnsi="宋体" w:cs="宋体"/>
        </w:rPr>
      </w:pPr>
      <w:r>
        <w:rPr>
          <w:rFonts w:hint="eastAsia" w:ascii="宋体" w:hAnsi="宋体" w:cs="宋体"/>
        </w:rPr>
        <w:t>联系电话：0771-2189091</w:t>
      </w:r>
    </w:p>
    <w:p>
      <w:pPr>
        <w:pStyle w:val="12"/>
        <w:spacing w:line="440" w:lineRule="exact"/>
        <w:ind w:firstLine="420"/>
        <w:rPr>
          <w:rFonts w:hint="eastAsia" w:ascii="宋体" w:hAnsi="宋体" w:cs="宋体"/>
        </w:rPr>
      </w:pPr>
      <w:r>
        <w:rPr>
          <w:rFonts w:hint="eastAsia" w:ascii="宋体" w:hAnsi="宋体" w:cs="宋体"/>
        </w:rPr>
        <w:t>质疑电话：0771-2756880</w:t>
      </w:r>
    </w:p>
    <w:p>
      <w:pPr>
        <w:spacing w:line="440" w:lineRule="exact"/>
        <w:ind w:firstLine="630" w:firstLineChars="300"/>
        <w:rPr>
          <w:rFonts w:ascii="宋体" w:hAnsi="宋体" w:cs="宋体"/>
          <w:szCs w:val="21"/>
          <w:u w:val="single"/>
        </w:rPr>
      </w:pPr>
    </w:p>
    <w:p>
      <w:pPr>
        <w:pStyle w:val="15"/>
        <w:spacing w:line="360" w:lineRule="auto"/>
        <w:jc w:val="center"/>
        <w:outlineLvl w:val="0"/>
        <w:rPr>
          <w:rFonts w:ascii="Times New Roman" w:hAnsi="Times New Roman"/>
          <w:b/>
          <w:sz w:val="36"/>
        </w:rPr>
      </w:pPr>
      <w:r>
        <w:rPr>
          <w:rFonts w:hint="eastAsia" w:hAnsi="宋体" w:cs="宋体"/>
          <w:color w:val="000000"/>
          <w:kern w:val="0"/>
          <w:szCs w:val="21"/>
        </w:rPr>
        <w:t xml:space="preserve">                                   </w:t>
      </w:r>
      <w:r>
        <w:rPr>
          <w:rFonts w:hAnsi="宋体" w:cs="宋体"/>
          <w:color w:val="000000"/>
          <w:kern w:val="0"/>
          <w:szCs w:val="21"/>
        </w:rPr>
        <w:t>采购代理机构：广西恒基建设工程咨询有限公司 </w:t>
      </w:r>
      <w:r>
        <w:rPr>
          <w:rFonts w:hAnsi="宋体" w:cs="宋体"/>
          <w:color w:val="000000"/>
          <w:kern w:val="0"/>
          <w:szCs w:val="21"/>
        </w:rPr>
        <w:br w:type="textWrapping"/>
      </w:r>
      <w:r>
        <w:rPr>
          <w:rFonts w:hint="eastAsia" w:hAnsi="宋体" w:cs="宋体"/>
          <w:color w:val="000000"/>
          <w:kern w:val="0"/>
          <w:szCs w:val="21"/>
        </w:rPr>
        <w:t xml:space="preserve">                            </w:t>
      </w:r>
      <w:r>
        <w:rPr>
          <w:rFonts w:hAnsi="宋体" w:cs="宋体"/>
          <w:kern w:val="0"/>
          <w:szCs w:val="21"/>
        </w:rPr>
        <w:t>日期：2020年</w:t>
      </w:r>
      <w:r>
        <w:rPr>
          <w:rFonts w:hint="eastAsia" w:hAnsi="宋体" w:cs="宋体"/>
          <w:kern w:val="0"/>
          <w:szCs w:val="21"/>
          <w:lang w:val="en-US" w:eastAsia="zh-CN"/>
        </w:rPr>
        <w:t>12</w:t>
      </w:r>
      <w:r>
        <w:rPr>
          <w:rFonts w:hAnsi="宋体" w:cs="宋体"/>
          <w:kern w:val="0"/>
          <w:szCs w:val="21"/>
        </w:rPr>
        <w:t>月</w:t>
      </w:r>
      <w:r>
        <w:rPr>
          <w:rFonts w:hint="eastAsia" w:hAnsi="宋体" w:cs="宋体"/>
          <w:kern w:val="0"/>
          <w:szCs w:val="21"/>
          <w:lang w:val="en-US" w:eastAsia="zh-CN"/>
        </w:rPr>
        <w:t>29</w:t>
      </w:r>
      <w:r>
        <w:rPr>
          <w:rFonts w:hAnsi="宋体" w:cs="宋体"/>
          <w:kern w:val="0"/>
          <w:szCs w:val="21"/>
        </w:rPr>
        <w:t>日</w:t>
      </w:r>
      <w:r>
        <w:rPr>
          <w:rFonts w:hAnsi="宋体" w:cs="宋体"/>
          <w:color w:val="0000FF"/>
          <w:kern w:val="0"/>
          <w:szCs w:val="21"/>
        </w:rPr>
        <w:br w:type="textWrapping"/>
      </w:r>
      <w:r>
        <w:rPr>
          <w:rFonts w:hint="eastAsia" w:ascii="Times New Roman" w:hAnsi="Times New Roman"/>
          <w:b/>
          <w:sz w:val="36"/>
        </w:rPr>
        <w:br w:type="page"/>
      </w:r>
      <w:bookmarkStart w:id="45" w:name="_Toc1654624"/>
      <w:r>
        <w:rPr>
          <w:rFonts w:hint="eastAsia" w:ascii="Times New Roman" w:hAnsi="Times New Roman"/>
          <w:b/>
          <w:sz w:val="36"/>
        </w:rPr>
        <w:t>第二章 货物需求一览表</w:t>
      </w:r>
      <w:bookmarkEnd w:id="45"/>
    </w:p>
    <w:p>
      <w:pPr>
        <w:adjustRightInd w:val="0"/>
        <w:spacing w:line="360" w:lineRule="exact"/>
        <w:rPr>
          <w:rFonts w:hAnsi="宋体"/>
          <w:b/>
          <w:szCs w:val="21"/>
        </w:rPr>
      </w:pPr>
      <w:r>
        <w:rPr>
          <w:rFonts w:hint="eastAsia" w:hAnsi="宋体"/>
          <w:b/>
          <w:szCs w:val="21"/>
        </w:rPr>
        <w:t>说明：</w:t>
      </w:r>
    </w:p>
    <w:p>
      <w:pPr>
        <w:spacing w:line="360" w:lineRule="exact"/>
        <w:ind w:firstLine="420" w:firstLineChars="200"/>
        <w:rPr>
          <w:rFonts w:ascii="宋体" w:hAnsi="宋体"/>
          <w:szCs w:val="21"/>
        </w:rPr>
      </w:pPr>
      <w:r>
        <w:rPr>
          <w:rFonts w:hint="eastAsia" w:ascii="宋体" w:hAnsi="宋体"/>
          <w:szCs w:val="21"/>
        </w:rPr>
        <w:t>1、本项目需求中的货物品牌型号、技术参数及其性能（配置）仅起参考作用，投标人可选用其他品牌型号替代，但这些替代的产品要实质上相当于或优于参考品牌型号及其技术参数性能（配置）要求。</w:t>
      </w:r>
    </w:p>
    <w:p>
      <w:pPr>
        <w:spacing w:line="360" w:lineRule="exact"/>
        <w:ind w:firstLine="420" w:firstLineChars="200"/>
        <w:rPr>
          <w:rFonts w:ascii="宋体" w:hAnsi="宋体"/>
          <w:szCs w:val="21"/>
        </w:rPr>
      </w:pPr>
      <w:r>
        <w:rPr>
          <w:rFonts w:hint="eastAsia" w:ascii="宋体" w:hAnsi="宋体"/>
          <w:szCs w:val="21"/>
        </w:rPr>
        <w:t>2、本需求中参考品牌型号规格及技术参数不明确或有误的，或投标人选用其他品牌型号替代的，请以详细、正确的品牌型号、技术参数（配置）同时填写投标报价明细表和技术规格偏离表。</w:t>
      </w:r>
    </w:p>
    <w:p>
      <w:pPr>
        <w:spacing w:line="360" w:lineRule="exact"/>
        <w:ind w:firstLine="420" w:firstLineChars="200"/>
        <w:rPr>
          <w:rFonts w:ascii="宋体" w:hAnsi="宋体"/>
          <w:szCs w:val="21"/>
        </w:rPr>
      </w:pPr>
      <w:r>
        <w:rPr>
          <w:rFonts w:hint="eastAsia" w:ascii="宋体" w:hAnsi="宋体"/>
          <w:szCs w:val="21"/>
        </w:rPr>
        <w:t>3、凡在技术参数及其性能（配置）要求中表述为“标配”或“标准配置”的设备，投标人应在技术响应表中将其标配参数详细列明。</w:t>
      </w:r>
    </w:p>
    <w:p>
      <w:pPr>
        <w:spacing w:line="360" w:lineRule="exact"/>
        <w:ind w:firstLine="420" w:firstLineChars="200"/>
        <w:rPr>
          <w:rFonts w:ascii="宋体" w:hAnsi="宋体"/>
          <w:color w:val="0000FF"/>
          <w:szCs w:val="21"/>
        </w:rPr>
      </w:pPr>
      <w:r>
        <w:rPr>
          <w:rFonts w:hint="eastAsia" w:ascii="宋体" w:hAnsi="宋体"/>
          <w:szCs w:val="21"/>
        </w:rPr>
        <w:t>4、投标人必须自行为其投标产品侵犯其他投标人或专利人的专利成果承担相应法律责任。</w:t>
      </w:r>
    </w:p>
    <w:p>
      <w:pPr>
        <w:spacing w:line="360" w:lineRule="exact"/>
        <w:ind w:firstLine="420" w:firstLineChars="200"/>
        <w:rPr>
          <w:rFonts w:ascii="宋体" w:hAnsi="宋体"/>
          <w:color w:val="0000FF"/>
          <w:szCs w:val="21"/>
        </w:rPr>
      </w:pPr>
      <w:r>
        <w:rPr>
          <w:rFonts w:hint="eastAsia" w:ascii="宋体" w:hAnsi="宋体"/>
          <w:szCs w:val="21"/>
        </w:rPr>
        <w:t>5、根据《关于调整优化节能产品、环境标志产品政府采购执行机制的通知》（财库〔2019〕9号），对政府采购节能产品、环境标志产品实施品目清单管理，依据品目清单和认证证书实施政府优先采购和强制采购。</w:t>
      </w:r>
    </w:p>
    <w:p>
      <w:pPr>
        <w:widowControl/>
        <w:shd w:val="clear" w:color="auto" w:fill="FFFFFF"/>
        <w:snapToGrid w:val="0"/>
        <w:spacing w:line="360" w:lineRule="auto"/>
        <w:ind w:firstLine="442"/>
        <w:jc w:val="left"/>
        <w:rPr>
          <w:rFonts w:ascii="宋体" w:hAnsi="宋体" w:cs="宋体"/>
          <w:b/>
          <w:bCs/>
          <w:kern w:val="0"/>
          <w:szCs w:val="21"/>
        </w:rPr>
      </w:pPr>
      <w:r>
        <w:rPr>
          <w:rFonts w:hint="eastAsia" w:ascii="宋体" w:hAnsi="宋体" w:cs="宋体"/>
          <w:b/>
          <w:bCs/>
          <w:kern w:val="0"/>
          <w:szCs w:val="21"/>
        </w:rPr>
        <w:t>6、本货物需求一览表中标注“★”号的内容为本次采购的实质性要求和条件。必须满足或优于，否则投标无效。</w:t>
      </w:r>
    </w:p>
    <w:p>
      <w:pPr>
        <w:widowControl/>
        <w:shd w:val="clear" w:color="auto" w:fill="FFFFFF"/>
        <w:snapToGrid w:val="0"/>
        <w:spacing w:line="360" w:lineRule="auto"/>
        <w:ind w:firstLine="442"/>
        <w:jc w:val="left"/>
      </w:pPr>
      <w:r>
        <w:rPr>
          <w:rFonts w:hint="eastAsia" w:ascii="宋体" w:hAnsi="宋体" w:cs="宋体"/>
          <w:b/>
          <w:bCs/>
          <w:kern w:val="0"/>
          <w:szCs w:val="21"/>
        </w:rPr>
        <w:t>7、本货物需求一览表中“项号”栏的序号前标注“</w:t>
      </w:r>
      <w:r>
        <w:rPr>
          <w:rFonts w:hint="eastAsia"/>
          <w:szCs w:val="21"/>
        </w:rPr>
        <w:t>▲</w:t>
      </w:r>
      <w:r>
        <w:rPr>
          <w:rFonts w:hint="eastAsia" w:ascii="宋体" w:hAnsi="宋体" w:cs="宋体"/>
          <w:b/>
          <w:bCs/>
          <w:kern w:val="0"/>
          <w:szCs w:val="21"/>
        </w:rPr>
        <w:t>”号的为核心产品。</w:t>
      </w:r>
    </w:p>
    <w:p>
      <w:pPr>
        <w:spacing w:line="320" w:lineRule="exact"/>
        <w:ind w:firstLine="422" w:firstLineChars="200"/>
        <w:rPr>
          <w:szCs w:val="21"/>
        </w:rPr>
      </w:pPr>
      <w:r>
        <w:rPr>
          <w:rFonts w:hint="eastAsia" w:ascii="宋体" w:hAnsi="宋体"/>
          <w:b/>
          <w:szCs w:val="21"/>
        </w:rPr>
        <w:t>8、本次采购的最高限价为</w:t>
      </w:r>
      <w:r>
        <w:rPr>
          <w:rFonts w:hint="eastAsia" w:ascii="宋体" w:hAnsi="宋体"/>
          <w:b/>
          <w:color w:val="000000" w:themeColor="text1"/>
          <w:szCs w:val="21"/>
          <w:u w:val="single"/>
        </w:rPr>
        <w:t>150万元，</w:t>
      </w:r>
      <w:r>
        <w:rPr>
          <w:rFonts w:hint="eastAsia" w:ascii="宋体" w:hAnsi="宋体"/>
          <w:b/>
          <w:szCs w:val="21"/>
        </w:rPr>
        <w:t>分项最高限价详见表格；本项目所有项号的货物都有分项预算价（元），投标人报价的单项报价不能超出分项预算合价（元），</w:t>
      </w:r>
      <w:r>
        <w:rPr>
          <w:rFonts w:hint="eastAsia" w:ascii="宋体" w:hAnsi="宋体" w:cs="宋体"/>
          <w:b/>
          <w:kern w:val="0"/>
          <w:szCs w:val="21"/>
        </w:rPr>
        <w:t>否则相应标段投标无效</w:t>
      </w:r>
      <w:r>
        <w:rPr>
          <w:rFonts w:hint="eastAsia" w:ascii="宋体" w:hAnsi="宋体"/>
          <w:b/>
          <w:szCs w:val="21"/>
        </w:rPr>
        <w:t>。</w:t>
      </w:r>
    </w:p>
    <w:p>
      <w:pPr>
        <w:pStyle w:val="15"/>
        <w:snapToGrid w:val="0"/>
        <w:spacing w:line="360" w:lineRule="exact"/>
        <w:jc w:val="left"/>
        <w:rPr>
          <w:rFonts w:hAnsi="宋体"/>
          <w:b/>
          <w:szCs w:val="21"/>
        </w:rPr>
      </w:pPr>
    </w:p>
    <w:tbl>
      <w:tblPr>
        <w:tblStyle w:val="27"/>
        <w:tblW w:w="10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0"/>
        <w:gridCol w:w="1325"/>
        <w:gridCol w:w="706"/>
        <w:gridCol w:w="1819"/>
        <w:gridCol w:w="4768"/>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1" w:type="dxa"/>
            <w:tcMar>
              <w:top w:w="15" w:type="dxa"/>
              <w:left w:w="15" w:type="dxa"/>
              <w:right w:w="15" w:type="dxa"/>
            </w:tcMar>
            <w:vAlign w:val="center"/>
          </w:tcPr>
          <w:p>
            <w:pPr>
              <w:widowControl/>
              <w:wordWrap w:val="0"/>
              <w:adjustRightInd w:val="0"/>
              <w:snapToGrid w:val="0"/>
              <w:spacing w:line="440" w:lineRule="exact"/>
              <w:jc w:val="center"/>
              <w:textAlignment w:val="center"/>
              <w:rPr>
                <w:rFonts w:cs="宋体" w:asciiTheme="majorEastAsia" w:hAnsiTheme="majorEastAsia" w:eastAsiaTheme="majorEastAsia"/>
                <w:b/>
                <w:sz w:val="24"/>
              </w:rPr>
            </w:pPr>
            <w:r>
              <w:rPr>
                <w:rFonts w:hint="eastAsia" w:cs="宋体" w:asciiTheme="majorEastAsia" w:hAnsiTheme="majorEastAsia" w:eastAsiaTheme="majorEastAsia"/>
                <w:b/>
                <w:kern w:val="0"/>
                <w:sz w:val="24"/>
              </w:rPr>
              <w:t>项号</w:t>
            </w:r>
          </w:p>
        </w:tc>
        <w:tc>
          <w:tcPr>
            <w:tcW w:w="1325" w:type="dxa"/>
            <w:tcMar>
              <w:top w:w="15" w:type="dxa"/>
              <w:left w:w="15" w:type="dxa"/>
              <w:right w:w="15" w:type="dxa"/>
            </w:tcMar>
            <w:vAlign w:val="center"/>
          </w:tcPr>
          <w:p>
            <w:pPr>
              <w:widowControl/>
              <w:wordWrap w:val="0"/>
              <w:adjustRightInd w:val="0"/>
              <w:snapToGrid w:val="0"/>
              <w:spacing w:line="440" w:lineRule="exact"/>
              <w:jc w:val="center"/>
              <w:textAlignment w:val="center"/>
              <w:rPr>
                <w:rFonts w:cs="宋体" w:asciiTheme="majorEastAsia" w:hAnsiTheme="majorEastAsia" w:eastAsiaTheme="majorEastAsia"/>
                <w:b/>
                <w:sz w:val="24"/>
              </w:rPr>
            </w:pPr>
            <w:r>
              <w:rPr>
                <w:rFonts w:hint="eastAsia" w:cs="宋体" w:asciiTheme="majorEastAsia" w:hAnsiTheme="majorEastAsia" w:eastAsiaTheme="majorEastAsia"/>
                <w:b/>
                <w:kern w:val="0"/>
                <w:sz w:val="24"/>
              </w:rPr>
              <w:t>货物名称</w:t>
            </w:r>
          </w:p>
        </w:tc>
        <w:tc>
          <w:tcPr>
            <w:tcW w:w="706" w:type="dxa"/>
            <w:tcMar>
              <w:top w:w="15" w:type="dxa"/>
              <w:left w:w="15" w:type="dxa"/>
              <w:right w:w="15" w:type="dxa"/>
            </w:tcMar>
            <w:vAlign w:val="center"/>
          </w:tcPr>
          <w:p>
            <w:pPr>
              <w:widowControl/>
              <w:wordWrap w:val="0"/>
              <w:adjustRightInd w:val="0"/>
              <w:snapToGrid w:val="0"/>
              <w:spacing w:line="440" w:lineRule="exact"/>
              <w:jc w:val="center"/>
              <w:textAlignment w:val="center"/>
              <w:rPr>
                <w:rFonts w:cs="宋体" w:asciiTheme="majorEastAsia" w:hAnsiTheme="majorEastAsia" w:eastAsiaTheme="majorEastAsia"/>
                <w:b/>
                <w:sz w:val="24"/>
              </w:rPr>
            </w:pPr>
            <w:r>
              <w:rPr>
                <w:rFonts w:hint="eastAsia" w:cs="宋体" w:asciiTheme="majorEastAsia" w:hAnsiTheme="majorEastAsia" w:eastAsiaTheme="majorEastAsia"/>
                <w:b/>
                <w:kern w:val="0"/>
                <w:sz w:val="24"/>
              </w:rPr>
              <w:t>数量</w:t>
            </w:r>
          </w:p>
        </w:tc>
        <w:tc>
          <w:tcPr>
            <w:tcW w:w="1819" w:type="dxa"/>
            <w:tcMar>
              <w:top w:w="15" w:type="dxa"/>
              <w:left w:w="15" w:type="dxa"/>
              <w:right w:w="15" w:type="dxa"/>
            </w:tcMar>
            <w:vAlign w:val="center"/>
          </w:tcPr>
          <w:p>
            <w:pPr>
              <w:widowControl/>
              <w:wordWrap w:val="0"/>
              <w:adjustRightInd w:val="0"/>
              <w:snapToGrid w:val="0"/>
              <w:spacing w:line="440" w:lineRule="exact"/>
              <w:jc w:val="center"/>
              <w:textAlignment w:val="center"/>
              <w:rPr>
                <w:rFonts w:cs="宋体" w:asciiTheme="majorEastAsia" w:hAnsiTheme="majorEastAsia" w:eastAsiaTheme="majorEastAsia"/>
                <w:b/>
                <w:sz w:val="24"/>
              </w:rPr>
            </w:pPr>
            <w:r>
              <w:rPr>
                <w:rFonts w:hint="eastAsia" w:cs="宋体" w:asciiTheme="majorEastAsia" w:hAnsiTheme="majorEastAsia" w:eastAsiaTheme="majorEastAsia"/>
                <w:b/>
                <w:kern w:val="0"/>
                <w:sz w:val="24"/>
              </w:rPr>
              <w:t>参考品牌、型号</w:t>
            </w:r>
          </w:p>
        </w:tc>
        <w:tc>
          <w:tcPr>
            <w:tcW w:w="4768" w:type="dxa"/>
            <w:tcMar>
              <w:top w:w="15" w:type="dxa"/>
              <w:left w:w="15" w:type="dxa"/>
              <w:right w:w="15" w:type="dxa"/>
            </w:tcMar>
            <w:vAlign w:val="center"/>
          </w:tcPr>
          <w:p>
            <w:pPr>
              <w:widowControl/>
              <w:wordWrap w:val="0"/>
              <w:adjustRightInd w:val="0"/>
              <w:snapToGrid w:val="0"/>
              <w:spacing w:line="440" w:lineRule="exact"/>
              <w:jc w:val="center"/>
              <w:textAlignment w:val="center"/>
              <w:rPr>
                <w:rFonts w:cs="宋体" w:asciiTheme="majorEastAsia" w:hAnsiTheme="majorEastAsia" w:eastAsiaTheme="majorEastAsia"/>
                <w:b/>
                <w:sz w:val="24"/>
              </w:rPr>
            </w:pPr>
            <w:r>
              <w:rPr>
                <w:rFonts w:hint="eastAsia" w:cs="宋体" w:asciiTheme="majorEastAsia" w:hAnsiTheme="majorEastAsia" w:eastAsiaTheme="majorEastAsia"/>
                <w:b/>
                <w:kern w:val="0"/>
                <w:sz w:val="24"/>
              </w:rPr>
              <w:t>技术参数要求</w:t>
            </w:r>
          </w:p>
        </w:tc>
        <w:tc>
          <w:tcPr>
            <w:tcW w:w="1610" w:type="dxa"/>
            <w:tcMar>
              <w:top w:w="15" w:type="dxa"/>
              <w:left w:w="15" w:type="dxa"/>
              <w:right w:w="15" w:type="dxa"/>
            </w:tcMar>
            <w:vAlign w:val="center"/>
          </w:tcPr>
          <w:p>
            <w:pPr>
              <w:widowControl/>
              <w:wordWrap w:val="0"/>
              <w:adjustRightInd w:val="0"/>
              <w:snapToGrid w:val="0"/>
              <w:spacing w:line="440" w:lineRule="exact"/>
              <w:jc w:val="center"/>
              <w:textAlignment w:val="center"/>
              <w:rPr>
                <w:rFonts w:cs="宋体" w:asciiTheme="majorEastAsia" w:hAnsiTheme="majorEastAsia" w:eastAsiaTheme="majorEastAsia"/>
                <w:b/>
                <w:sz w:val="24"/>
              </w:rPr>
            </w:pPr>
            <w:r>
              <w:rPr>
                <w:rFonts w:hint="eastAsia" w:cs="宋体" w:asciiTheme="majorEastAsia" w:hAnsiTheme="majorEastAsia" w:eastAsiaTheme="majorEastAsia"/>
                <w:b/>
                <w:kern w:val="0"/>
                <w:sz w:val="24"/>
              </w:rPr>
              <w:t>分项最高限价（元）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1" w:type="dxa"/>
            <w:tcMar>
              <w:top w:w="15" w:type="dxa"/>
              <w:left w:w="15" w:type="dxa"/>
              <w:right w:w="15" w:type="dxa"/>
            </w:tcMar>
            <w:vAlign w:val="center"/>
          </w:tcPr>
          <w:p>
            <w:pPr>
              <w:widowControl/>
              <w:wordWrap w:val="0"/>
              <w:adjustRightInd w:val="0"/>
              <w:snapToGrid w:val="0"/>
              <w:spacing w:line="440" w:lineRule="exact"/>
              <w:jc w:val="center"/>
              <w:textAlignment w:val="center"/>
              <w:rPr>
                <w:rFonts w:ascii="宋体" w:hAnsi="宋体" w:cs="宋体"/>
                <w:szCs w:val="21"/>
              </w:rPr>
            </w:pPr>
            <w:r>
              <w:rPr>
                <w:rFonts w:hint="eastAsia" w:ascii="宋体" w:hAnsi="宋体" w:cs="宋体"/>
                <w:bCs/>
                <w:szCs w:val="21"/>
              </w:rPr>
              <w:t>1</w:t>
            </w:r>
          </w:p>
        </w:tc>
        <w:tc>
          <w:tcPr>
            <w:tcW w:w="1325" w:type="dxa"/>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AI实验平台云实验管理模块</w:t>
            </w:r>
          </w:p>
        </w:tc>
        <w:tc>
          <w:tcPr>
            <w:tcW w:w="706" w:type="dxa"/>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1</w:t>
            </w:r>
            <w:r>
              <w:rPr>
                <w:rFonts w:hint="eastAsia" w:ascii="宋体" w:hAnsi="宋体"/>
                <w:sz w:val="18"/>
                <w:szCs w:val="18"/>
              </w:rPr>
              <w:t>套</w:t>
            </w:r>
          </w:p>
        </w:tc>
        <w:tc>
          <w:tcPr>
            <w:tcW w:w="1819" w:type="dxa"/>
            <w:noWrap/>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华为、百度、阿里云等同档次品牌</w:t>
            </w:r>
          </w:p>
        </w:tc>
        <w:tc>
          <w:tcPr>
            <w:tcW w:w="4768" w:type="dxa"/>
            <w:tcMar>
              <w:top w:w="15" w:type="dxa"/>
              <w:left w:w="15" w:type="dxa"/>
              <w:right w:w="15" w:type="dxa"/>
            </w:tcMar>
            <w:vAlign w:val="center"/>
          </w:tcPr>
          <w:p>
            <w:pPr>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支持绑定公有云子账号；【需提供功能截图，交付功能要与截图示例相同】</w:t>
            </w:r>
          </w:p>
          <w:p>
            <w:pPr>
              <w:rPr>
                <w:rFonts w:ascii="宋体" w:hAnsi="宋体"/>
                <w:sz w:val="18"/>
                <w:szCs w:val="18"/>
              </w:rPr>
            </w:pPr>
            <w:r>
              <w:rPr>
                <w:rFonts w:hint="eastAsia" w:ascii="宋体" w:hAnsi="宋体"/>
                <w:sz w:val="18"/>
                <w:szCs w:val="18"/>
              </w:rPr>
              <w:t>★2.支持通过平台向绑定的公有云企业账号下的子账号批量拨款；【需提供功能截图，交付功能要与截图示例相同】</w:t>
            </w:r>
          </w:p>
          <w:p>
            <w:pPr>
              <w:rPr>
                <w:rFonts w:ascii="宋体" w:hAnsi="宋体"/>
                <w:sz w:val="18"/>
                <w:szCs w:val="18"/>
              </w:rPr>
            </w:pPr>
            <w:r>
              <w:rPr>
                <w:rFonts w:hint="eastAsia" w:ascii="宋体" w:hAnsi="宋体"/>
                <w:sz w:val="18"/>
                <w:szCs w:val="18"/>
              </w:rPr>
              <w:t>★3.支持对班级下的课程拨款；【需提供功能截图，交付功能要与截图示例相同】</w:t>
            </w:r>
          </w:p>
          <w:p>
            <w:pPr>
              <w:rPr>
                <w:rFonts w:ascii="宋体" w:hAnsi="宋体"/>
                <w:sz w:val="18"/>
                <w:szCs w:val="18"/>
              </w:rPr>
            </w:pPr>
            <w:r>
              <w:rPr>
                <w:rFonts w:hint="eastAsia" w:ascii="宋体" w:hAnsi="宋体"/>
                <w:sz w:val="18"/>
                <w:szCs w:val="18"/>
              </w:rPr>
              <w:t>★4.支持对该课程中的学生追加拨款。【需提供功能截图，交付功能要与截图示例相同】</w:t>
            </w:r>
          </w:p>
          <w:p>
            <w:pPr>
              <w:rPr>
                <w:rFonts w:ascii="宋体" w:hAnsi="宋体"/>
                <w:sz w:val="18"/>
                <w:szCs w:val="18"/>
              </w:rPr>
            </w:pPr>
            <w:r>
              <w:rPr>
                <w:rFonts w:hint="eastAsia" w:ascii="宋体" w:hAnsi="宋体"/>
                <w:sz w:val="18"/>
                <w:szCs w:val="18"/>
              </w:rPr>
              <w:t>5.支持从课程进入实验；</w:t>
            </w:r>
          </w:p>
          <w:p>
            <w:pPr>
              <w:rPr>
                <w:rFonts w:ascii="宋体" w:hAnsi="宋体"/>
                <w:sz w:val="18"/>
                <w:szCs w:val="18"/>
              </w:rPr>
            </w:pPr>
            <w:r>
              <w:rPr>
                <w:rFonts w:hint="eastAsia" w:ascii="宋体" w:hAnsi="宋体"/>
                <w:sz w:val="18"/>
                <w:szCs w:val="18"/>
              </w:rPr>
              <w:t>6.支持使用绑定公有云子账号登陆公有云进行实验；</w:t>
            </w:r>
          </w:p>
          <w:p>
            <w:pPr>
              <w:rPr>
                <w:rFonts w:ascii="宋体" w:hAnsi="宋体"/>
                <w:sz w:val="18"/>
                <w:szCs w:val="18"/>
              </w:rPr>
            </w:pPr>
            <w:r>
              <w:rPr>
                <w:rFonts w:hint="eastAsia" w:ascii="宋体" w:hAnsi="宋体"/>
                <w:sz w:val="18"/>
                <w:szCs w:val="18"/>
              </w:rPr>
              <w:t>★7.支持将公有云页面嵌入平台实验操作区，支持在实验区打开多个实验地址；【需提供功能截图，交付功能要与截图示例相同】</w:t>
            </w:r>
          </w:p>
          <w:p>
            <w:pPr>
              <w:rPr>
                <w:rFonts w:ascii="宋体" w:hAnsi="宋体"/>
                <w:sz w:val="18"/>
                <w:szCs w:val="18"/>
              </w:rPr>
            </w:pPr>
            <w:r>
              <w:rPr>
                <w:rFonts w:hint="eastAsia" w:ascii="宋体" w:hAnsi="宋体"/>
                <w:sz w:val="18"/>
                <w:szCs w:val="18"/>
              </w:rPr>
              <w:t>8.支持一边查看学习指导书，一边进行实验；</w:t>
            </w:r>
          </w:p>
          <w:p>
            <w:pPr>
              <w:rPr>
                <w:rFonts w:ascii="宋体" w:hAnsi="宋体"/>
                <w:sz w:val="18"/>
                <w:szCs w:val="18"/>
              </w:rPr>
            </w:pPr>
            <w:r>
              <w:rPr>
                <w:rFonts w:hint="eastAsia" w:ascii="宋体" w:hAnsi="宋体"/>
                <w:sz w:val="18"/>
                <w:szCs w:val="18"/>
              </w:rPr>
              <w:t>★9.实验操作界面，支持指导书界面左侧显示、浮层显示、自由拉伸和收起【需提供功能截图，交付功能要与截图示例相同】</w:t>
            </w:r>
          </w:p>
          <w:p>
            <w:pPr>
              <w:rPr>
                <w:rFonts w:ascii="宋体" w:hAnsi="宋体"/>
                <w:sz w:val="18"/>
                <w:szCs w:val="18"/>
              </w:rPr>
            </w:pPr>
            <w:r>
              <w:rPr>
                <w:rFonts w:hint="eastAsia" w:ascii="宋体" w:hAnsi="宋体"/>
                <w:sz w:val="18"/>
                <w:szCs w:val="18"/>
              </w:rPr>
              <w:t>★10.支持查看Markdown实验指导书；支持查看1-5个文档实验指导书；支持1-3个实验指导视频；【需提供功能截图，交付功能要与截图示例相同】</w:t>
            </w:r>
          </w:p>
          <w:p>
            <w:pPr>
              <w:rPr>
                <w:rFonts w:ascii="宋体" w:hAnsi="宋体"/>
                <w:sz w:val="18"/>
                <w:szCs w:val="18"/>
              </w:rPr>
            </w:pPr>
            <w:r>
              <w:rPr>
                <w:rFonts w:hint="eastAsia" w:ascii="宋体" w:hAnsi="宋体"/>
                <w:sz w:val="18"/>
                <w:szCs w:val="18"/>
              </w:rPr>
              <w:t>11.支持在实验过程中提问或回答他人的提问，进行互动交流；支持删除提问和问答；</w:t>
            </w:r>
          </w:p>
          <w:p>
            <w:pPr>
              <w:rPr>
                <w:rFonts w:ascii="宋体" w:hAnsi="宋体"/>
                <w:sz w:val="18"/>
                <w:szCs w:val="18"/>
              </w:rPr>
            </w:pPr>
            <w:r>
              <w:rPr>
                <w:rFonts w:hint="eastAsia" w:ascii="宋体" w:hAnsi="宋体"/>
                <w:sz w:val="18"/>
                <w:szCs w:val="18"/>
              </w:rPr>
              <w:t>12.支持自动生成学员实验报告，老师逐个或批量批改实验报告；</w:t>
            </w:r>
          </w:p>
          <w:p>
            <w:pPr>
              <w:rPr>
                <w:rFonts w:ascii="宋体" w:hAnsi="宋体"/>
                <w:sz w:val="18"/>
                <w:szCs w:val="18"/>
              </w:rPr>
            </w:pPr>
            <w:r>
              <w:rPr>
                <w:rFonts w:hint="eastAsia" w:ascii="宋体" w:hAnsi="宋体"/>
                <w:sz w:val="18"/>
                <w:szCs w:val="18"/>
              </w:rPr>
              <w:t>★13.支持实验计时，非正常退出实验，实验计时结束，自动结束实验，生成实验报告；【需提供功能截图，交付功能要与截图示例相同】</w:t>
            </w:r>
          </w:p>
          <w:p>
            <w:pPr>
              <w:rPr>
                <w:rFonts w:ascii="宋体" w:hAnsi="宋体"/>
                <w:sz w:val="18"/>
                <w:szCs w:val="18"/>
              </w:rPr>
            </w:pPr>
            <w:r>
              <w:rPr>
                <w:rFonts w:hint="eastAsia" w:ascii="宋体" w:hAnsi="宋体"/>
                <w:sz w:val="18"/>
                <w:szCs w:val="18"/>
              </w:rPr>
              <w:t>★14.支持实验结束后，无需任何操作，自动释放实验资源；【需提供功能截图，交付功能要与截图示例相同】</w:t>
            </w:r>
          </w:p>
          <w:p>
            <w:pPr>
              <w:rPr>
                <w:rFonts w:ascii="宋体" w:hAnsi="宋体"/>
                <w:sz w:val="18"/>
                <w:szCs w:val="18"/>
              </w:rPr>
            </w:pPr>
            <w:r>
              <w:rPr>
                <w:rFonts w:hint="eastAsia" w:ascii="宋体" w:hAnsi="宋体"/>
                <w:sz w:val="18"/>
                <w:szCs w:val="18"/>
              </w:rPr>
              <w:t>15.实验进入时间：</w:t>
            </w:r>
            <w:r>
              <w:rPr>
                <w:rFonts w:hint="eastAsia" w:ascii="宋体" w:hAnsi="宋体"/>
                <w:color w:val="auto"/>
                <w:sz w:val="18"/>
                <w:szCs w:val="18"/>
              </w:rPr>
              <w:t>≤1</w:t>
            </w:r>
            <w:r>
              <w:rPr>
                <w:rFonts w:hint="eastAsia" w:ascii="宋体" w:hAnsi="宋体"/>
                <w:sz w:val="18"/>
                <w:szCs w:val="18"/>
              </w:rPr>
              <w:t>秒；</w:t>
            </w:r>
          </w:p>
          <w:p>
            <w:pPr>
              <w:pStyle w:val="25"/>
              <w:spacing w:before="0" w:after="0"/>
              <w:jc w:val="left"/>
              <w:rPr>
                <w:rFonts w:ascii="宋体" w:hAnsi="宋体" w:cs="宋体"/>
                <w:sz w:val="21"/>
                <w:szCs w:val="21"/>
              </w:rPr>
            </w:pPr>
            <w:r>
              <w:rPr>
                <w:rFonts w:hint="eastAsia" w:ascii="宋体" w:hAnsi="宋体"/>
                <w:b w:val="0"/>
                <w:sz w:val="18"/>
                <w:szCs w:val="18"/>
              </w:rPr>
              <w:t>16.用户实验环境与实验数据完全独立。</w:t>
            </w:r>
          </w:p>
        </w:tc>
        <w:tc>
          <w:tcPr>
            <w:tcW w:w="1610" w:type="dxa"/>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150000.00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1" w:type="dxa"/>
            <w:tcMar>
              <w:top w:w="15" w:type="dxa"/>
              <w:left w:w="15" w:type="dxa"/>
              <w:right w:w="15" w:type="dxa"/>
            </w:tcMar>
            <w:vAlign w:val="center"/>
          </w:tcPr>
          <w:p>
            <w:pPr>
              <w:widowControl/>
              <w:wordWrap w:val="0"/>
              <w:adjustRightInd w:val="0"/>
              <w:snapToGrid w:val="0"/>
              <w:spacing w:line="440" w:lineRule="exact"/>
              <w:jc w:val="center"/>
              <w:textAlignment w:val="center"/>
              <w:rPr>
                <w:rFonts w:ascii="宋体" w:hAnsi="宋体" w:cs="宋体"/>
                <w:szCs w:val="21"/>
              </w:rPr>
            </w:pPr>
            <w:r>
              <w:rPr>
                <w:rFonts w:hint="eastAsia" w:ascii="宋体" w:hAnsi="宋体" w:cs="宋体"/>
                <w:b/>
                <w:bCs/>
                <w:szCs w:val="21"/>
              </w:rPr>
              <w:t>2</w:t>
            </w:r>
          </w:p>
        </w:tc>
        <w:tc>
          <w:tcPr>
            <w:tcW w:w="1325" w:type="dxa"/>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AI综合实训案例课程资源</w:t>
            </w:r>
          </w:p>
        </w:tc>
        <w:tc>
          <w:tcPr>
            <w:tcW w:w="706" w:type="dxa"/>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1项</w:t>
            </w:r>
          </w:p>
        </w:tc>
        <w:tc>
          <w:tcPr>
            <w:tcW w:w="1819" w:type="dxa"/>
            <w:noWrap/>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华为、百度、阿里云等同档次品牌</w:t>
            </w:r>
          </w:p>
        </w:tc>
        <w:tc>
          <w:tcPr>
            <w:tcW w:w="4768" w:type="dxa"/>
            <w:tcMar>
              <w:top w:w="15" w:type="dxa"/>
              <w:left w:w="15" w:type="dxa"/>
              <w:right w:w="15" w:type="dxa"/>
            </w:tcMar>
            <w:vAlign w:val="center"/>
          </w:tcPr>
          <w:p>
            <w:pPr>
              <w:rPr>
                <w:rFonts w:ascii="宋体" w:hAnsi="宋体"/>
                <w:sz w:val="18"/>
                <w:szCs w:val="18"/>
              </w:rPr>
            </w:pPr>
            <w:r>
              <w:rPr>
                <w:rFonts w:ascii="宋体" w:hAnsi="宋体"/>
                <w:sz w:val="18"/>
                <w:szCs w:val="18"/>
              </w:rPr>
              <w:t>一</w:t>
            </w:r>
            <w:r>
              <w:rPr>
                <w:rFonts w:hint="eastAsia" w:ascii="宋体" w:hAnsi="宋体"/>
                <w:sz w:val="18"/>
                <w:szCs w:val="18"/>
              </w:rPr>
              <w:t>、A</w:t>
            </w:r>
            <w:r>
              <w:rPr>
                <w:rFonts w:ascii="宋体" w:hAnsi="宋体"/>
                <w:sz w:val="18"/>
                <w:szCs w:val="18"/>
              </w:rPr>
              <w:t>I综合实训课程资料</w:t>
            </w:r>
          </w:p>
          <w:p>
            <w:pPr>
              <w:rPr>
                <w:rFonts w:ascii="宋体" w:hAnsi="宋体"/>
                <w:sz w:val="18"/>
                <w:szCs w:val="18"/>
              </w:rPr>
            </w:pPr>
            <w:r>
              <w:rPr>
                <w:rFonts w:hint="eastAsia" w:ascii="宋体" w:hAnsi="宋体"/>
                <w:sz w:val="18"/>
                <w:szCs w:val="18"/>
              </w:rPr>
              <w:t>1、课程资源须部署在AI实验平台上，提供课程大纲、理论课程资料、实验指导书；</w:t>
            </w:r>
          </w:p>
          <w:p>
            <w:pPr>
              <w:rPr>
                <w:rFonts w:ascii="宋体" w:hAnsi="宋体"/>
                <w:sz w:val="18"/>
                <w:szCs w:val="18"/>
              </w:rPr>
            </w:pPr>
            <w:r>
              <w:rPr>
                <w:rFonts w:hint="eastAsia" w:ascii="宋体" w:hAnsi="宋体"/>
                <w:sz w:val="18"/>
                <w:szCs w:val="18"/>
              </w:rPr>
              <w:t>2、课程资源能够在AI实验平台上完成相应的课程实验；</w:t>
            </w:r>
          </w:p>
          <w:p>
            <w:pPr>
              <w:rPr>
                <w:rFonts w:ascii="宋体" w:hAnsi="宋体"/>
                <w:sz w:val="18"/>
                <w:szCs w:val="18"/>
              </w:rPr>
            </w:pPr>
            <w:r>
              <w:rPr>
                <w:rFonts w:hint="eastAsia" w:ascii="宋体" w:hAnsi="宋体"/>
                <w:sz w:val="18"/>
                <w:szCs w:val="18"/>
              </w:rPr>
              <w:t>3、提供《人工智能芯片技术实战》课程课程大纲、理论PPT和实验手册，包含但不限于以下知识点：AI芯片简介：AI芯片、AI处理器；Linux基础知识：Linux简介、Ubuntu简介、Shell基本命令、Shell文件相关管理、Shell进程相关管理、Shell文本操作、Shell归档、管道、重定向；深度学习框架：深度学习框架；卷积神经网络算法原理：卷积神经系统网络基础、深度学习图像分类、深度学习目标检测；AI应用：并行编程思维、框架、应用场景及实验原理；</w:t>
            </w:r>
          </w:p>
          <w:p>
            <w:pPr>
              <w:rPr>
                <w:rFonts w:ascii="宋体" w:hAnsi="宋体"/>
                <w:sz w:val="18"/>
                <w:szCs w:val="18"/>
              </w:rPr>
            </w:pPr>
            <w:r>
              <w:rPr>
                <w:rFonts w:hint="eastAsia" w:ascii="宋体" w:hAnsi="宋体"/>
                <w:sz w:val="18"/>
                <w:szCs w:val="18"/>
              </w:rPr>
              <w:t>4、提供《人工智能平台基础应用实战》课程课程大纲、理论课程资料及实验指导书，包含但不限于以下知识点：人工智能平台技术：人工智能平台、人工智能平台预备知识、人工智能平台自动学习；人工智能平台应用：人工智能平台操作、预置算法与自定义基础算法；</w:t>
            </w:r>
          </w:p>
          <w:p>
            <w:pPr>
              <w:rPr>
                <w:rFonts w:ascii="宋体" w:hAnsi="宋体"/>
                <w:sz w:val="18"/>
                <w:szCs w:val="18"/>
              </w:rPr>
            </w:pPr>
            <w:r>
              <w:rPr>
                <w:rFonts w:hint="eastAsia" w:ascii="宋体" w:hAnsi="宋体"/>
                <w:sz w:val="18"/>
                <w:szCs w:val="18"/>
              </w:rPr>
              <w:t>5、提供《人脸识别综合案例实践》课程课程大纲、理论PPT和实验手册，包含但不限于以下知识点：人脸识别实训简介：人脸识别项目简介；人脸检测：MTCNN网络、RNet与ONet网络 ；人脸识别：FaceNet概述、FaceNet网络结构、FaceNet网络实训与部署；</w:t>
            </w:r>
          </w:p>
          <w:p>
            <w:pPr>
              <w:rPr>
                <w:rFonts w:ascii="宋体" w:hAnsi="宋体"/>
                <w:sz w:val="18"/>
                <w:szCs w:val="18"/>
              </w:rPr>
            </w:pPr>
            <w:r>
              <w:rPr>
                <w:rFonts w:hint="eastAsia" w:ascii="宋体" w:hAnsi="宋体"/>
                <w:sz w:val="18"/>
                <w:szCs w:val="18"/>
              </w:rPr>
              <w:t>6、提供《基于知识库的问答系统综合案例实践》课程课程大纲、理论PPT和实验手册，包含但不限于以下知识点：问答系统基本知识：问答系统简介、问答系统方案设计；问答系统技术知识：问答系统实体识别技术、问答系统语义匹配技术；问答系统构建实操：问答系统BERT技术；</w:t>
            </w:r>
          </w:p>
          <w:p>
            <w:pPr>
              <w:rPr>
                <w:rFonts w:ascii="宋体" w:hAnsi="宋体"/>
                <w:sz w:val="18"/>
                <w:szCs w:val="18"/>
              </w:rPr>
            </w:pPr>
            <w:r>
              <w:rPr>
                <w:rFonts w:hint="eastAsia" w:ascii="宋体" w:hAnsi="宋体"/>
                <w:sz w:val="18"/>
                <w:szCs w:val="18"/>
              </w:rPr>
              <w:t>7、提供《深度学习下的OCR技术综合案例实践》课程课程大纲、理论PPT和实验手册，包含但不限于以下知识点：OCR基础知识：OCR技术概览、深度学习的OCR技术；文本区域检测算法：文本区域检测CTP算法、文本区域检测EAST算法、文本区域检测PixelLink算法；文本识别实例：文本识别CRNN+CTC算法；</w:t>
            </w:r>
          </w:p>
          <w:p>
            <w:pPr>
              <w:rPr>
                <w:rFonts w:ascii="宋体" w:hAnsi="宋体"/>
                <w:sz w:val="18"/>
                <w:szCs w:val="18"/>
              </w:rPr>
            </w:pPr>
            <w:r>
              <w:rPr>
                <w:rFonts w:hint="eastAsia" w:ascii="宋体" w:hAnsi="宋体"/>
                <w:sz w:val="18"/>
                <w:szCs w:val="18"/>
              </w:rPr>
              <w:t>8、提供《语音识别综合案例实践》课程课程大纲、理论PPT和实验手册，包含但不限于以下知识点：语音识别基础知识：语音处理基础知识、语音识别流程、传统语音识别方法、深度学习算法；中文语音识别实践：其他语言模型；</w:t>
            </w:r>
          </w:p>
          <w:p>
            <w:pPr>
              <w:rPr>
                <w:rFonts w:ascii="宋体" w:hAnsi="宋体"/>
                <w:sz w:val="18"/>
                <w:szCs w:val="18"/>
              </w:rPr>
            </w:pPr>
            <w:r>
              <w:rPr>
                <w:rFonts w:hint="eastAsia" w:ascii="宋体" w:hAnsi="宋体"/>
                <w:sz w:val="18"/>
                <w:szCs w:val="18"/>
              </w:rPr>
              <w:t>9、提供《文本情感分析和文本相似度应用综合案例实践》课程资源：实训内容包含但不限于语言模型、文本相似度分析、文本情感分析《文本情感分析和文本相似度应用综合案例实践》课程课程大纲、理论PPT和实验手册，包含但不限于以下知识点：语言模型基础知识：语言模型、词向量、循环神经网络；语言模型介绍：ELMo模型、Transformer模型、GPT模型、BERT模型；文本情感分析实践：文本相似度计算的方法、文本情感分析的方法；</w:t>
            </w:r>
          </w:p>
          <w:p>
            <w:pPr>
              <w:rPr>
                <w:rFonts w:ascii="宋体" w:hAnsi="宋体"/>
                <w:sz w:val="18"/>
                <w:szCs w:val="18"/>
              </w:rPr>
            </w:pPr>
            <w:r>
              <w:rPr>
                <w:rFonts w:hint="eastAsia" w:ascii="宋体" w:hAnsi="宋体"/>
                <w:sz w:val="18"/>
                <w:szCs w:val="18"/>
              </w:rPr>
              <w:t>10、提供《视频内容分析综合案例实践》课程课程大纲、理论PPT和实验手册，包含但不限于以下知识点：视频处理基础知识：视频处理基础、视频背景建模、视频光流估计、Pytorch操作；视频内容分析实战：目标跟踪、目标检测、短视频行为识别、视频时序行为检测；</w:t>
            </w:r>
          </w:p>
          <w:p>
            <w:pPr>
              <w:rPr>
                <w:rFonts w:ascii="宋体" w:hAnsi="宋体"/>
                <w:sz w:val="18"/>
                <w:szCs w:val="18"/>
              </w:rPr>
            </w:pPr>
            <w:r>
              <w:rPr>
                <w:rFonts w:hint="eastAsia" w:ascii="宋体" w:hAnsi="宋体"/>
                <w:sz w:val="18"/>
                <w:szCs w:val="18"/>
              </w:rPr>
              <w:t>11、提供《生成对抗网络综合案例实践》课程课程大纲、理论PPT和实验手册，包含但不限于以下知识点：生成对抗网络基础：生成对抗网络简介、训练生成对抗网络、深度卷积生成对抗网络、条件生成对抗网络；生成对抗网络算法：Pix2Pix算法、CycleGan算法、其他GAN算法、评估生成对抗网络；</w:t>
            </w:r>
          </w:p>
          <w:p>
            <w:pPr>
              <w:rPr>
                <w:rFonts w:ascii="宋体" w:hAnsi="宋体"/>
                <w:sz w:val="18"/>
                <w:szCs w:val="18"/>
              </w:rPr>
            </w:pPr>
            <w:r>
              <w:rPr>
                <w:rFonts w:hint="eastAsia" w:ascii="宋体" w:hAnsi="宋体"/>
                <w:sz w:val="18"/>
                <w:szCs w:val="18"/>
              </w:rPr>
              <w:t>12、提供《实例分割应用综合案例实践》课程课程大纲、理论PPT和实验手册，包含但不限于以下知识点：实例分割概览：实例分割概览；图像特征：图像中的特征与特征图；实例分割模型：Mask R-CNN模型前身、Mask R-CNN模型；</w:t>
            </w:r>
          </w:p>
          <w:p>
            <w:pPr>
              <w:rPr>
                <w:rFonts w:ascii="宋体" w:hAnsi="宋体"/>
                <w:sz w:val="18"/>
                <w:szCs w:val="18"/>
              </w:rPr>
            </w:pPr>
            <w:r>
              <w:rPr>
                <w:rFonts w:ascii="宋体" w:hAnsi="宋体"/>
                <w:sz w:val="18"/>
                <w:szCs w:val="18"/>
              </w:rPr>
              <w:t>二</w:t>
            </w:r>
            <w:r>
              <w:rPr>
                <w:rFonts w:hint="eastAsia" w:ascii="宋体" w:hAnsi="宋体"/>
                <w:sz w:val="18"/>
                <w:szCs w:val="18"/>
              </w:rPr>
              <w:t>、A</w:t>
            </w:r>
            <w:r>
              <w:rPr>
                <w:rFonts w:ascii="宋体" w:hAnsi="宋体"/>
                <w:sz w:val="18"/>
                <w:szCs w:val="18"/>
              </w:rPr>
              <w:t>I其他课程资源</w:t>
            </w:r>
          </w:p>
          <w:p>
            <w:pPr>
              <w:rPr>
                <w:rFonts w:ascii="宋体" w:hAnsi="宋体"/>
                <w:sz w:val="18"/>
                <w:szCs w:val="18"/>
              </w:rPr>
            </w:pPr>
            <w:r>
              <w:rPr>
                <w:rFonts w:hint="eastAsia" w:ascii="宋体" w:hAnsi="宋体"/>
                <w:sz w:val="18"/>
                <w:szCs w:val="18"/>
              </w:rPr>
              <w:t>1、提供原厂ICT学院人工智能方向课程授权服务；</w:t>
            </w:r>
          </w:p>
          <w:p>
            <w:pPr>
              <w:rPr>
                <w:rFonts w:ascii="宋体" w:hAnsi="宋体"/>
                <w:sz w:val="18"/>
                <w:szCs w:val="18"/>
              </w:rPr>
            </w:pPr>
            <w:r>
              <w:rPr>
                <w:rFonts w:hint="eastAsia" w:ascii="宋体" w:hAnsi="宋体"/>
                <w:sz w:val="18"/>
                <w:szCs w:val="18"/>
              </w:rPr>
              <w:t>2、授权课程包支持人工智能方向课程学科建设；</w:t>
            </w:r>
          </w:p>
          <w:p>
            <w:pPr>
              <w:rPr>
                <w:rFonts w:ascii="宋体" w:hAnsi="宋体"/>
                <w:sz w:val="18"/>
                <w:szCs w:val="18"/>
              </w:rPr>
            </w:pPr>
            <w:r>
              <w:rPr>
                <w:rFonts w:hint="eastAsia" w:ascii="宋体" w:hAnsi="宋体"/>
                <w:sz w:val="18"/>
                <w:szCs w:val="18"/>
              </w:rPr>
              <w:t>3、授权课程包含原厂在线视频教程、教学大纲、课程教材、PPT课件、试题库、实验手册、产品手册等；</w:t>
            </w:r>
          </w:p>
          <w:p>
            <w:pPr>
              <w:rPr>
                <w:rFonts w:ascii="宋体" w:hAnsi="宋体" w:cs="宋体"/>
                <w:szCs w:val="21"/>
              </w:rPr>
            </w:pPr>
            <w:r>
              <w:rPr>
                <w:rFonts w:hint="eastAsia" w:ascii="宋体" w:hAnsi="宋体"/>
                <w:sz w:val="18"/>
                <w:szCs w:val="18"/>
              </w:rPr>
              <w:t>4、授权服务期内，院校学生享受购买原厂认证考试券优惠服务，且优惠范围覆盖与原厂的合作领域。</w:t>
            </w:r>
          </w:p>
        </w:tc>
        <w:tc>
          <w:tcPr>
            <w:tcW w:w="1610" w:type="dxa"/>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500000.00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1" w:type="dxa"/>
            <w:tcMar>
              <w:top w:w="15" w:type="dxa"/>
              <w:left w:w="15" w:type="dxa"/>
              <w:right w:w="15" w:type="dxa"/>
            </w:tcMar>
            <w:vAlign w:val="center"/>
          </w:tcPr>
          <w:p>
            <w:pPr>
              <w:widowControl/>
              <w:wordWrap w:val="0"/>
              <w:adjustRightInd w:val="0"/>
              <w:snapToGrid w:val="0"/>
              <w:spacing w:line="440" w:lineRule="exact"/>
              <w:jc w:val="center"/>
              <w:textAlignment w:val="center"/>
              <w:rPr>
                <w:rFonts w:ascii="宋体" w:hAnsi="宋体" w:cs="宋体"/>
                <w:szCs w:val="21"/>
              </w:rPr>
            </w:pPr>
            <w:r>
              <w:rPr>
                <w:rFonts w:hint="eastAsia" w:ascii="宋体" w:hAnsi="宋体" w:cs="宋体"/>
                <w:b/>
                <w:bCs/>
                <w:szCs w:val="21"/>
              </w:rPr>
              <w:t>3</w:t>
            </w:r>
          </w:p>
        </w:tc>
        <w:tc>
          <w:tcPr>
            <w:tcW w:w="1325" w:type="dxa"/>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企业AI开发高级工程师认证培训</w:t>
            </w:r>
          </w:p>
        </w:tc>
        <w:tc>
          <w:tcPr>
            <w:tcW w:w="706" w:type="dxa"/>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1项</w:t>
            </w:r>
          </w:p>
        </w:tc>
        <w:tc>
          <w:tcPr>
            <w:tcW w:w="1819" w:type="dxa"/>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华为、百度、阿里云等同档次品牌</w:t>
            </w:r>
          </w:p>
        </w:tc>
        <w:tc>
          <w:tcPr>
            <w:tcW w:w="4768" w:type="dxa"/>
            <w:tcMar>
              <w:top w:w="15" w:type="dxa"/>
              <w:left w:w="15" w:type="dxa"/>
              <w:right w:w="15" w:type="dxa"/>
            </w:tcMar>
            <w:vAlign w:val="center"/>
          </w:tcPr>
          <w:p>
            <w:pPr>
              <w:rPr>
                <w:rFonts w:ascii="宋体" w:hAnsi="宋体"/>
                <w:sz w:val="18"/>
                <w:szCs w:val="18"/>
              </w:rPr>
            </w:pPr>
            <w:r>
              <w:rPr>
                <w:rFonts w:hint="eastAsia" w:ascii="宋体" w:hAnsi="宋体"/>
                <w:sz w:val="18"/>
                <w:szCs w:val="18"/>
              </w:rPr>
              <w:t>1、须提供与企业AI开发高级工程师认证培训课程匹配的师资培训服务；</w:t>
            </w:r>
            <w:r>
              <w:rPr>
                <w:rFonts w:hint="eastAsia" w:ascii="宋体" w:hAnsi="宋体"/>
                <w:sz w:val="18"/>
                <w:szCs w:val="18"/>
              </w:rPr>
              <w:br w:type="textWrapping"/>
            </w:r>
            <w:r>
              <w:rPr>
                <w:rFonts w:hint="eastAsia" w:ascii="宋体" w:hAnsi="宋体"/>
                <w:sz w:val="18"/>
                <w:szCs w:val="18"/>
              </w:rPr>
              <w:t>★2、为保障师资培训质量，厂商必须有相应的培训中心作为支持，供货时供应商需提供原厂培训中心授权函；</w:t>
            </w:r>
            <w:r>
              <w:rPr>
                <w:rFonts w:hint="eastAsia" w:ascii="宋体" w:hAnsi="宋体"/>
                <w:sz w:val="18"/>
                <w:szCs w:val="18"/>
              </w:rPr>
              <w:br w:type="textWrapping"/>
            </w:r>
            <w:r>
              <w:rPr>
                <w:rFonts w:hint="eastAsia" w:ascii="宋体" w:hAnsi="宋体"/>
                <w:sz w:val="18"/>
                <w:szCs w:val="18"/>
              </w:rPr>
              <w:t>★3、该认证培训课程须在国际认证考试中心Prometric或VUE可查；</w:t>
            </w:r>
          </w:p>
          <w:p>
            <w:pPr>
              <w:rPr>
                <w:rFonts w:ascii="宋体" w:hAnsi="宋体"/>
                <w:sz w:val="18"/>
                <w:szCs w:val="18"/>
              </w:rPr>
            </w:pPr>
            <w:r>
              <w:rPr>
                <w:rFonts w:hint="eastAsia" w:ascii="宋体" w:hAnsi="宋体"/>
                <w:sz w:val="18"/>
                <w:szCs w:val="18"/>
              </w:rPr>
              <w:t>4、该认证培训服务费用须包含教材、培训、考证等；</w:t>
            </w:r>
          </w:p>
          <w:p>
            <w:pPr>
              <w:rPr>
                <w:rFonts w:ascii="宋体" w:hAnsi="宋体" w:cs="宋体"/>
                <w:szCs w:val="21"/>
              </w:rPr>
            </w:pPr>
            <w:r>
              <w:rPr>
                <w:rFonts w:hint="eastAsia" w:ascii="宋体" w:hAnsi="宋体"/>
                <w:sz w:val="18"/>
                <w:szCs w:val="18"/>
              </w:rPr>
              <w:t>★5</w:t>
            </w:r>
            <w:r>
              <w:rPr>
                <w:rFonts w:hint="eastAsia" w:ascii="宋体" w:hAnsi="宋体" w:cs="宋体"/>
                <w:sz w:val="18"/>
                <w:szCs w:val="18"/>
                <w:lang w:bidi="ar"/>
              </w:rPr>
              <w:t>、</w:t>
            </w:r>
            <w:r>
              <w:rPr>
                <w:rFonts w:hint="eastAsia" w:ascii="宋体" w:hAnsi="宋体"/>
                <w:sz w:val="18"/>
                <w:szCs w:val="18"/>
                <w:lang w:val="en-US" w:eastAsia="zh-CN"/>
              </w:rPr>
              <w:t>该服务必须为采购人提供4名企业AI开发高级工程师认证培训，时效期为2年</w:t>
            </w:r>
            <w:r>
              <w:rPr>
                <w:rFonts w:hint="eastAsia" w:ascii="宋体" w:hAnsi="宋体" w:cs="宋体"/>
                <w:sz w:val="18"/>
                <w:szCs w:val="18"/>
                <w:lang w:bidi="ar"/>
              </w:rPr>
              <w:t>；</w:t>
            </w:r>
            <w:r>
              <w:rPr>
                <w:rFonts w:hint="eastAsia" w:ascii="宋体" w:hAnsi="宋体"/>
                <w:sz w:val="18"/>
                <w:szCs w:val="18"/>
              </w:rPr>
              <w:br w:type="textWrapping"/>
            </w:r>
            <w:r>
              <w:rPr>
                <w:rFonts w:ascii="宋体" w:hAnsi="宋体"/>
                <w:sz w:val="18"/>
                <w:szCs w:val="18"/>
              </w:rPr>
              <w:t>6</w:t>
            </w:r>
            <w:r>
              <w:rPr>
                <w:rFonts w:hint="eastAsia" w:ascii="宋体" w:hAnsi="宋体"/>
                <w:sz w:val="18"/>
                <w:szCs w:val="18"/>
              </w:rPr>
              <w:t>、该认证培训课程内容包含：自然语言处理实验、语音处理实验、图像处理实验、深度前馈神经网络、语音处理理论和应用、自然语言处理理论和应用、图像处理理论和应用；</w:t>
            </w:r>
          </w:p>
        </w:tc>
        <w:tc>
          <w:tcPr>
            <w:tcW w:w="1610" w:type="dxa"/>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1" w:type="dxa"/>
            <w:tcMar>
              <w:top w:w="15" w:type="dxa"/>
              <w:left w:w="15" w:type="dxa"/>
              <w:right w:w="15" w:type="dxa"/>
            </w:tcMar>
            <w:vAlign w:val="center"/>
          </w:tcPr>
          <w:p>
            <w:pPr>
              <w:widowControl/>
              <w:wordWrap w:val="0"/>
              <w:adjustRightInd w:val="0"/>
              <w:snapToGrid w:val="0"/>
              <w:spacing w:line="440" w:lineRule="exact"/>
              <w:jc w:val="center"/>
              <w:textAlignment w:val="center"/>
              <w:rPr>
                <w:rFonts w:ascii="宋体" w:hAnsi="宋体" w:cs="宋体"/>
                <w:b/>
                <w:bCs/>
                <w:szCs w:val="21"/>
              </w:rPr>
            </w:pPr>
            <w:r>
              <w:rPr>
                <w:rFonts w:hint="eastAsia" w:ascii="宋体" w:hAnsi="宋体" w:cs="宋体"/>
                <w:b/>
                <w:bCs/>
                <w:szCs w:val="21"/>
              </w:rPr>
              <w:t>4</w:t>
            </w:r>
          </w:p>
        </w:tc>
        <w:tc>
          <w:tcPr>
            <w:tcW w:w="1325" w:type="dxa"/>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物联网高级开发工程师认证培训</w:t>
            </w:r>
          </w:p>
        </w:tc>
        <w:tc>
          <w:tcPr>
            <w:tcW w:w="706" w:type="dxa"/>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1项</w:t>
            </w:r>
          </w:p>
        </w:tc>
        <w:tc>
          <w:tcPr>
            <w:tcW w:w="1819" w:type="dxa"/>
            <w:tcMar>
              <w:top w:w="15" w:type="dxa"/>
              <w:left w:w="15" w:type="dxa"/>
              <w:right w:w="15" w:type="dxa"/>
            </w:tcMar>
            <w:vAlign w:val="center"/>
          </w:tcPr>
          <w:p>
            <w:pPr>
              <w:jc w:val="center"/>
              <w:rPr>
                <w:rFonts w:ascii="宋体" w:hAnsi="宋体" w:cs="宋体"/>
                <w:kern w:val="0"/>
                <w:szCs w:val="21"/>
              </w:rPr>
            </w:pPr>
            <w:r>
              <w:rPr>
                <w:rFonts w:hint="eastAsia" w:ascii="宋体" w:hAnsi="宋体" w:cs="宋体"/>
                <w:szCs w:val="21"/>
              </w:rPr>
              <w:t>华为、百度、阿里云等同档次品牌</w:t>
            </w:r>
          </w:p>
        </w:tc>
        <w:tc>
          <w:tcPr>
            <w:tcW w:w="4768" w:type="dxa"/>
            <w:tcMar>
              <w:top w:w="15" w:type="dxa"/>
              <w:left w:w="15" w:type="dxa"/>
              <w:right w:w="15" w:type="dxa"/>
            </w:tcMar>
            <w:vAlign w:val="center"/>
          </w:tcPr>
          <w:p>
            <w:pPr>
              <w:rPr>
                <w:rFonts w:ascii="宋体" w:hAnsi="宋体"/>
                <w:sz w:val="18"/>
                <w:szCs w:val="18"/>
              </w:rPr>
            </w:pPr>
            <w:r>
              <w:rPr>
                <w:rFonts w:hint="eastAsia" w:ascii="宋体" w:hAnsi="宋体"/>
                <w:sz w:val="18"/>
                <w:szCs w:val="18"/>
              </w:rPr>
              <w:t>1、须提供与物联网高级开发工程师认证培训课程匹配的师资培训服务；</w:t>
            </w:r>
            <w:r>
              <w:rPr>
                <w:rFonts w:hint="eastAsia" w:ascii="宋体" w:hAnsi="宋体"/>
                <w:sz w:val="18"/>
                <w:szCs w:val="18"/>
              </w:rPr>
              <w:br w:type="textWrapping"/>
            </w:r>
            <w:r>
              <w:rPr>
                <w:rFonts w:hint="eastAsia" w:ascii="宋体" w:hAnsi="宋体"/>
                <w:sz w:val="18"/>
                <w:szCs w:val="18"/>
              </w:rPr>
              <w:t>★2、为保障师资培训质量，厂商必须有相应的培训中心作为支持，供货时供应商需提供原厂培训中心授权函；</w:t>
            </w:r>
            <w:r>
              <w:rPr>
                <w:rFonts w:hint="eastAsia" w:ascii="宋体" w:hAnsi="宋体"/>
                <w:sz w:val="18"/>
                <w:szCs w:val="18"/>
              </w:rPr>
              <w:br w:type="textWrapping"/>
            </w:r>
            <w:r>
              <w:rPr>
                <w:rFonts w:hint="eastAsia" w:ascii="宋体" w:hAnsi="宋体"/>
                <w:sz w:val="18"/>
                <w:szCs w:val="18"/>
              </w:rPr>
              <w:t>★3、该认证培训课程须在国际认证考试中心Prometric或VUE可查；</w:t>
            </w:r>
            <w:r>
              <w:rPr>
                <w:rFonts w:hint="eastAsia" w:ascii="宋体" w:hAnsi="宋体"/>
                <w:sz w:val="18"/>
                <w:szCs w:val="18"/>
              </w:rPr>
              <w:br w:type="textWrapping"/>
            </w:r>
            <w:r>
              <w:rPr>
                <w:rFonts w:hint="eastAsia" w:ascii="宋体" w:hAnsi="宋体"/>
                <w:sz w:val="18"/>
                <w:szCs w:val="18"/>
              </w:rPr>
              <w:t>4、该认证培训服务费用须包含教材、培训、考证等；</w:t>
            </w:r>
          </w:p>
          <w:p>
            <w:pPr>
              <w:rPr>
                <w:rFonts w:ascii="宋体" w:hAnsi="宋体"/>
                <w:sz w:val="18"/>
                <w:szCs w:val="18"/>
              </w:rPr>
            </w:pPr>
            <w:r>
              <w:rPr>
                <w:rFonts w:hint="eastAsia" w:ascii="宋体" w:hAnsi="宋体"/>
                <w:sz w:val="18"/>
                <w:szCs w:val="18"/>
              </w:rPr>
              <w:t>★5</w:t>
            </w:r>
            <w:r>
              <w:rPr>
                <w:rFonts w:hint="eastAsia" w:ascii="宋体" w:hAnsi="宋体" w:cs="宋体"/>
                <w:sz w:val="18"/>
                <w:szCs w:val="18"/>
                <w:lang w:bidi="ar"/>
              </w:rPr>
              <w:t>、</w:t>
            </w:r>
            <w:r>
              <w:rPr>
                <w:rFonts w:hint="eastAsia" w:ascii="宋体" w:hAnsi="宋体"/>
                <w:sz w:val="18"/>
                <w:szCs w:val="18"/>
                <w:lang w:val="en-US" w:eastAsia="zh-CN"/>
              </w:rPr>
              <w:t>该服务必须为采购人提供2名物联网高级开发工程师认证培训，时效期为2年</w:t>
            </w:r>
            <w:r>
              <w:rPr>
                <w:rFonts w:hint="eastAsia" w:ascii="宋体" w:hAnsi="宋体" w:cs="宋体"/>
                <w:sz w:val="18"/>
                <w:szCs w:val="18"/>
                <w:lang w:bidi="ar"/>
              </w:rPr>
              <w:t>；</w:t>
            </w:r>
            <w:r>
              <w:rPr>
                <w:rFonts w:hint="eastAsia" w:ascii="宋体" w:hAnsi="宋体"/>
                <w:sz w:val="18"/>
                <w:szCs w:val="18"/>
              </w:rPr>
              <w:br w:type="textWrapping"/>
            </w:r>
            <w:r>
              <w:rPr>
                <w:rFonts w:ascii="宋体" w:hAnsi="宋体"/>
                <w:sz w:val="18"/>
                <w:szCs w:val="18"/>
              </w:rPr>
              <w:t>6</w:t>
            </w:r>
            <w:r>
              <w:rPr>
                <w:rFonts w:hint="eastAsia" w:ascii="宋体" w:hAnsi="宋体"/>
                <w:sz w:val="18"/>
                <w:szCs w:val="18"/>
              </w:rPr>
              <w:t>、该认证培训课程内容包含：物联网网关原理与实战：开发实验、智慧物流开发实验；物联网操作系统原理与实战：物联网操作系统概述、物联网操作系统基础架构及代码、智慧农业开发实验、智慧农业扩展开发实验；物联网平台原理与实战：物联网平台关键特性、IoT联接管理平台、物联网概述、IoT联接管理平台开发实验、物联网平台端到端开发；物联网通信技术原理与实战：MQTT协议技术原理、NB-IoT标准及解决方案介绍、NB-IoT模组调测实验、物联网常用模组AT指令、CoAP协议技术原理、NB-IoT芯片与模组介绍；</w:t>
            </w:r>
          </w:p>
          <w:p>
            <w:pPr>
              <w:rPr>
                <w:rFonts w:ascii="宋体" w:hAnsi="宋体" w:cs="宋体"/>
                <w:szCs w:val="21"/>
              </w:rPr>
            </w:pPr>
          </w:p>
        </w:tc>
        <w:tc>
          <w:tcPr>
            <w:tcW w:w="1610" w:type="dxa"/>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35000.00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1" w:type="dxa"/>
            <w:tcMar>
              <w:top w:w="15" w:type="dxa"/>
              <w:left w:w="15" w:type="dxa"/>
              <w:right w:w="15" w:type="dxa"/>
            </w:tcMar>
            <w:vAlign w:val="center"/>
          </w:tcPr>
          <w:p>
            <w:pPr>
              <w:widowControl/>
              <w:wordWrap w:val="0"/>
              <w:adjustRightInd w:val="0"/>
              <w:snapToGrid w:val="0"/>
              <w:spacing w:line="440" w:lineRule="exact"/>
              <w:jc w:val="center"/>
              <w:textAlignment w:val="center"/>
              <w:rPr>
                <w:rFonts w:ascii="宋体" w:hAnsi="宋体" w:cs="宋体"/>
                <w:b/>
                <w:bCs/>
                <w:szCs w:val="21"/>
              </w:rPr>
            </w:pPr>
            <w:r>
              <w:rPr>
                <w:rFonts w:hint="eastAsia" w:ascii="宋体" w:hAnsi="宋体" w:cs="宋体"/>
                <w:b/>
                <w:bCs/>
                <w:szCs w:val="21"/>
              </w:rPr>
              <w:t>5</w:t>
            </w:r>
          </w:p>
        </w:tc>
        <w:tc>
          <w:tcPr>
            <w:tcW w:w="1325" w:type="dxa"/>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大数据高级开发工程师认证培训</w:t>
            </w:r>
          </w:p>
        </w:tc>
        <w:tc>
          <w:tcPr>
            <w:tcW w:w="706" w:type="dxa"/>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1项</w:t>
            </w:r>
          </w:p>
        </w:tc>
        <w:tc>
          <w:tcPr>
            <w:tcW w:w="1819" w:type="dxa"/>
            <w:tcMar>
              <w:top w:w="15" w:type="dxa"/>
              <w:left w:w="15" w:type="dxa"/>
              <w:right w:w="15" w:type="dxa"/>
            </w:tcMar>
            <w:vAlign w:val="center"/>
          </w:tcPr>
          <w:p>
            <w:pPr>
              <w:jc w:val="center"/>
              <w:rPr>
                <w:rFonts w:ascii="宋体" w:hAnsi="宋体" w:cs="宋体"/>
                <w:kern w:val="0"/>
                <w:szCs w:val="21"/>
              </w:rPr>
            </w:pPr>
            <w:r>
              <w:rPr>
                <w:rFonts w:hint="eastAsia" w:ascii="宋体" w:hAnsi="宋体" w:cs="宋体"/>
                <w:szCs w:val="21"/>
              </w:rPr>
              <w:t>华为、百度、阿里云等同档次品牌</w:t>
            </w:r>
          </w:p>
        </w:tc>
        <w:tc>
          <w:tcPr>
            <w:tcW w:w="4768" w:type="dxa"/>
            <w:tcMar>
              <w:top w:w="15" w:type="dxa"/>
              <w:left w:w="15" w:type="dxa"/>
              <w:right w:w="15" w:type="dxa"/>
            </w:tcMar>
            <w:vAlign w:val="center"/>
          </w:tcPr>
          <w:p>
            <w:pPr>
              <w:rPr>
                <w:rFonts w:ascii="宋体" w:hAnsi="宋体"/>
                <w:sz w:val="18"/>
                <w:szCs w:val="18"/>
              </w:rPr>
            </w:pPr>
            <w:r>
              <w:rPr>
                <w:rFonts w:hint="eastAsia" w:ascii="宋体" w:hAnsi="宋体"/>
                <w:sz w:val="18"/>
                <w:szCs w:val="18"/>
              </w:rPr>
              <w:t>1、须提供与大数据高级开发工程师认证培训课程匹配的师资培训服务；</w:t>
            </w:r>
            <w:r>
              <w:rPr>
                <w:rFonts w:hint="eastAsia" w:ascii="宋体" w:hAnsi="宋体"/>
                <w:sz w:val="18"/>
                <w:szCs w:val="18"/>
              </w:rPr>
              <w:br w:type="textWrapping"/>
            </w:r>
            <w:r>
              <w:rPr>
                <w:rFonts w:hint="eastAsia" w:ascii="宋体" w:hAnsi="宋体"/>
                <w:sz w:val="18"/>
                <w:szCs w:val="18"/>
              </w:rPr>
              <w:t>★2、为保障师资培训质量，厂商必须有相应的培训中心作为支持，供货时供应商需提供原厂培训中心授权函；</w:t>
            </w:r>
            <w:r>
              <w:rPr>
                <w:rFonts w:hint="eastAsia" w:ascii="宋体" w:hAnsi="宋体"/>
                <w:sz w:val="18"/>
                <w:szCs w:val="18"/>
              </w:rPr>
              <w:br w:type="textWrapping"/>
            </w:r>
            <w:r>
              <w:rPr>
                <w:rFonts w:hint="eastAsia" w:ascii="宋体" w:hAnsi="宋体"/>
                <w:sz w:val="18"/>
                <w:szCs w:val="18"/>
              </w:rPr>
              <w:t>★3、该认证培训课程须在国际认证考试中心Prometric或VUE可查；</w:t>
            </w:r>
          </w:p>
          <w:p>
            <w:pPr>
              <w:rPr>
                <w:rFonts w:ascii="宋体" w:hAnsi="宋体"/>
                <w:sz w:val="18"/>
                <w:szCs w:val="18"/>
              </w:rPr>
            </w:pPr>
            <w:r>
              <w:rPr>
                <w:rFonts w:hint="eastAsia" w:ascii="宋体" w:hAnsi="宋体"/>
                <w:sz w:val="18"/>
                <w:szCs w:val="18"/>
              </w:rPr>
              <w:t>4、该认证培训服务费用须包含教材、培训、考证等；</w:t>
            </w:r>
          </w:p>
          <w:p>
            <w:pPr>
              <w:rPr>
                <w:rFonts w:ascii="宋体" w:hAnsi="宋体" w:cs="宋体"/>
                <w:szCs w:val="21"/>
              </w:rPr>
            </w:pPr>
            <w:r>
              <w:rPr>
                <w:rFonts w:hint="eastAsia" w:ascii="宋体" w:hAnsi="宋体"/>
                <w:sz w:val="18"/>
                <w:szCs w:val="18"/>
              </w:rPr>
              <w:t>★5</w:t>
            </w:r>
            <w:r>
              <w:rPr>
                <w:rFonts w:hint="eastAsia" w:ascii="宋体" w:hAnsi="宋体" w:cs="宋体"/>
                <w:sz w:val="18"/>
                <w:szCs w:val="18"/>
                <w:lang w:bidi="ar"/>
              </w:rPr>
              <w:t>、</w:t>
            </w:r>
            <w:r>
              <w:rPr>
                <w:rFonts w:hint="eastAsia" w:ascii="宋体" w:hAnsi="宋体"/>
                <w:sz w:val="18"/>
                <w:szCs w:val="18"/>
                <w:lang w:val="en-US" w:eastAsia="zh-CN"/>
              </w:rPr>
              <w:t>该服务必须为采购人提供2名大数据高级开发工程师认证培训，时效期为2年</w:t>
            </w:r>
            <w:r>
              <w:rPr>
                <w:rFonts w:hint="eastAsia" w:ascii="宋体" w:hAnsi="宋体" w:cs="宋体"/>
                <w:sz w:val="18"/>
                <w:szCs w:val="18"/>
                <w:lang w:bidi="ar"/>
              </w:rPr>
              <w:t>；</w:t>
            </w:r>
            <w:r>
              <w:rPr>
                <w:rFonts w:hint="eastAsia" w:ascii="宋体" w:hAnsi="宋体"/>
                <w:sz w:val="18"/>
                <w:szCs w:val="18"/>
              </w:rPr>
              <w:br w:type="textWrapping"/>
            </w:r>
            <w:r>
              <w:rPr>
                <w:rFonts w:ascii="宋体" w:hAnsi="宋体"/>
                <w:sz w:val="18"/>
                <w:szCs w:val="18"/>
              </w:rPr>
              <w:t>6</w:t>
            </w:r>
            <w:r>
              <w:rPr>
                <w:rFonts w:hint="eastAsia" w:ascii="宋体" w:hAnsi="宋体"/>
                <w:sz w:val="18"/>
                <w:szCs w:val="18"/>
              </w:rPr>
              <w:t>、该认证培训课程内容包含：大数据主流技术、大数据场景化解决方案、大数据应用开发；离线批处理组件的介绍、技术原理、参数属性、重要配置等；大数据离线处理场景化解决方案理论、实战案例教学；大数据实时检索场景化解决方案理论、实验教学；大数据实时流计算场景化解决方案理论、实验教学；大数据融合数仓场景化解决方案理论、实验教学；</w:t>
            </w:r>
          </w:p>
        </w:tc>
        <w:tc>
          <w:tcPr>
            <w:tcW w:w="1610" w:type="dxa"/>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1" w:type="dxa"/>
            <w:tcMar>
              <w:top w:w="15" w:type="dxa"/>
              <w:left w:w="15" w:type="dxa"/>
              <w:right w:w="15" w:type="dxa"/>
            </w:tcMar>
            <w:vAlign w:val="center"/>
          </w:tcPr>
          <w:p>
            <w:pPr>
              <w:widowControl/>
              <w:wordWrap w:val="0"/>
              <w:adjustRightInd w:val="0"/>
              <w:snapToGrid w:val="0"/>
              <w:spacing w:line="440" w:lineRule="exact"/>
              <w:jc w:val="center"/>
              <w:textAlignment w:val="center"/>
              <w:rPr>
                <w:rFonts w:ascii="宋体" w:hAnsi="宋体" w:cs="宋体"/>
                <w:b/>
                <w:bCs/>
                <w:szCs w:val="21"/>
              </w:rPr>
            </w:pPr>
            <w:r>
              <w:rPr>
                <w:rFonts w:hint="eastAsia" w:ascii="宋体" w:hAnsi="宋体" w:cs="宋体"/>
                <w:b/>
                <w:bCs/>
                <w:szCs w:val="21"/>
              </w:rPr>
              <w:t>6</w:t>
            </w:r>
          </w:p>
        </w:tc>
        <w:tc>
          <w:tcPr>
            <w:tcW w:w="1325" w:type="dxa"/>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企业讲师认证考试券</w:t>
            </w:r>
          </w:p>
        </w:tc>
        <w:tc>
          <w:tcPr>
            <w:tcW w:w="706" w:type="dxa"/>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1项</w:t>
            </w:r>
          </w:p>
        </w:tc>
        <w:tc>
          <w:tcPr>
            <w:tcW w:w="1819" w:type="dxa"/>
            <w:tcMar>
              <w:top w:w="15" w:type="dxa"/>
              <w:left w:w="15" w:type="dxa"/>
              <w:right w:w="15" w:type="dxa"/>
            </w:tcMar>
            <w:vAlign w:val="center"/>
          </w:tcPr>
          <w:p>
            <w:pPr>
              <w:jc w:val="center"/>
              <w:rPr>
                <w:rFonts w:ascii="宋体" w:hAnsi="宋体" w:cs="宋体"/>
                <w:kern w:val="0"/>
                <w:szCs w:val="21"/>
              </w:rPr>
            </w:pPr>
            <w:r>
              <w:rPr>
                <w:rFonts w:hint="eastAsia" w:ascii="宋体" w:hAnsi="宋体" w:cs="宋体"/>
                <w:szCs w:val="21"/>
              </w:rPr>
              <w:t>华为、百度、阿里云等同档次品牌</w:t>
            </w:r>
          </w:p>
        </w:tc>
        <w:tc>
          <w:tcPr>
            <w:tcW w:w="4768" w:type="dxa"/>
            <w:tcMar>
              <w:top w:w="15" w:type="dxa"/>
              <w:left w:w="15" w:type="dxa"/>
              <w:right w:w="15" w:type="dxa"/>
            </w:tcMar>
            <w:vAlign w:val="center"/>
          </w:tcPr>
          <w:p>
            <w:pPr>
              <w:rPr>
                <w:rFonts w:ascii="宋体" w:hAnsi="宋体"/>
                <w:sz w:val="18"/>
                <w:szCs w:val="18"/>
              </w:rPr>
            </w:pPr>
            <w:r>
              <w:rPr>
                <w:rFonts w:hint="eastAsia" w:ascii="宋体" w:hAnsi="宋体"/>
                <w:sz w:val="18"/>
                <w:szCs w:val="18"/>
              </w:rPr>
              <w:t>1、企业讲师认证考试券须具备对应技术方向的企业职业证书，</w:t>
            </w:r>
            <w:r>
              <w:rPr>
                <w:rFonts w:hint="eastAsia" w:ascii="宋体" w:hAnsi="宋体"/>
                <w:color w:val="auto"/>
                <w:sz w:val="18"/>
                <w:szCs w:val="18"/>
              </w:rPr>
              <w:t>需提供相关复印件并加盖公章；</w:t>
            </w:r>
          </w:p>
          <w:p>
            <w:pPr>
              <w:rPr>
                <w:rFonts w:ascii="宋体" w:hAnsi="宋体"/>
                <w:sz w:val="18"/>
                <w:szCs w:val="18"/>
              </w:rPr>
            </w:pPr>
            <w:r>
              <w:rPr>
                <w:rFonts w:ascii="宋体" w:hAnsi="宋体"/>
                <w:sz w:val="18"/>
                <w:szCs w:val="18"/>
              </w:rPr>
              <w:t>2</w:t>
            </w:r>
            <w:r>
              <w:rPr>
                <w:rFonts w:hint="eastAsia" w:ascii="宋体" w:hAnsi="宋体"/>
                <w:sz w:val="18"/>
                <w:szCs w:val="18"/>
              </w:rPr>
              <w:t>、企业讲师认证对应的职业证书认证培训课程须在国际认证考试中心Prometric或VUE可查；</w:t>
            </w:r>
          </w:p>
          <w:p>
            <w:pPr>
              <w:rPr>
                <w:rFonts w:ascii="宋体" w:hAnsi="宋体"/>
                <w:sz w:val="18"/>
                <w:szCs w:val="18"/>
              </w:rPr>
            </w:pPr>
            <w:r>
              <w:rPr>
                <w:rFonts w:ascii="宋体" w:hAnsi="宋体"/>
                <w:sz w:val="18"/>
                <w:szCs w:val="18"/>
              </w:rPr>
              <w:t>3</w:t>
            </w:r>
            <w:r>
              <w:rPr>
                <w:rFonts w:hint="eastAsia" w:ascii="宋体" w:hAnsi="宋体"/>
                <w:sz w:val="18"/>
                <w:szCs w:val="18"/>
              </w:rPr>
              <w:t>、企业讲师认证考试券包含实验考试和技术面试考试；</w:t>
            </w:r>
          </w:p>
          <w:p>
            <w:pPr>
              <w:rPr>
                <w:rFonts w:ascii="宋体" w:hAnsi="宋体" w:cs="宋体"/>
                <w:szCs w:val="21"/>
              </w:rPr>
            </w:pPr>
            <w:r>
              <w:rPr>
                <w:rFonts w:hint="eastAsia" w:ascii="宋体" w:hAnsi="宋体"/>
                <w:b/>
                <w:bCs/>
                <w:sz w:val="18"/>
                <w:szCs w:val="18"/>
              </w:rPr>
              <w:t>★</w:t>
            </w:r>
            <w:r>
              <w:rPr>
                <w:rFonts w:ascii="宋体" w:hAnsi="宋体"/>
                <w:sz w:val="18"/>
                <w:szCs w:val="18"/>
              </w:rPr>
              <w:t>4</w:t>
            </w:r>
            <w:r>
              <w:rPr>
                <w:rFonts w:hint="eastAsia" w:ascii="宋体" w:hAnsi="宋体"/>
                <w:sz w:val="18"/>
                <w:szCs w:val="18"/>
              </w:rPr>
              <w:t>.包含6张考试券。</w:t>
            </w:r>
          </w:p>
        </w:tc>
        <w:tc>
          <w:tcPr>
            <w:tcW w:w="1610" w:type="dxa"/>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48000.00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1" w:type="dxa"/>
            <w:tcMar>
              <w:top w:w="15" w:type="dxa"/>
              <w:left w:w="15" w:type="dxa"/>
              <w:right w:w="15" w:type="dxa"/>
            </w:tcMar>
            <w:vAlign w:val="center"/>
          </w:tcPr>
          <w:p>
            <w:pPr>
              <w:widowControl/>
              <w:wordWrap w:val="0"/>
              <w:adjustRightInd w:val="0"/>
              <w:snapToGrid w:val="0"/>
              <w:spacing w:line="440" w:lineRule="exact"/>
              <w:jc w:val="center"/>
              <w:textAlignment w:val="center"/>
              <w:rPr>
                <w:rFonts w:ascii="宋体" w:hAnsi="宋体" w:cs="宋体"/>
                <w:b/>
                <w:bCs/>
                <w:szCs w:val="21"/>
              </w:rPr>
            </w:pPr>
            <w:r>
              <w:rPr>
                <w:rFonts w:hint="eastAsia" w:ascii="宋体" w:hAnsi="宋体" w:cs="宋体"/>
                <w:b/>
                <w:bCs/>
                <w:szCs w:val="21"/>
              </w:rPr>
              <w:t>7</w:t>
            </w:r>
          </w:p>
        </w:tc>
        <w:tc>
          <w:tcPr>
            <w:tcW w:w="1325" w:type="dxa"/>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AI开发者套件</w:t>
            </w:r>
          </w:p>
        </w:tc>
        <w:tc>
          <w:tcPr>
            <w:tcW w:w="706" w:type="dxa"/>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25套</w:t>
            </w:r>
          </w:p>
        </w:tc>
        <w:tc>
          <w:tcPr>
            <w:tcW w:w="1819" w:type="dxa"/>
            <w:tcMar>
              <w:top w:w="15" w:type="dxa"/>
              <w:left w:w="15" w:type="dxa"/>
              <w:right w:w="15" w:type="dxa"/>
            </w:tcMar>
            <w:vAlign w:val="center"/>
          </w:tcPr>
          <w:p>
            <w:pPr>
              <w:jc w:val="center"/>
              <w:rPr>
                <w:rFonts w:ascii="宋体" w:hAnsi="宋体" w:cs="宋体"/>
                <w:kern w:val="0"/>
                <w:szCs w:val="21"/>
              </w:rPr>
            </w:pPr>
            <w:r>
              <w:rPr>
                <w:rFonts w:hint="eastAsia" w:ascii="宋体" w:hAnsi="宋体" w:cs="宋体"/>
                <w:szCs w:val="21"/>
              </w:rPr>
              <w:t>华为、百度、阿里云等同档次品牌</w:t>
            </w:r>
          </w:p>
        </w:tc>
        <w:tc>
          <w:tcPr>
            <w:tcW w:w="4768" w:type="dxa"/>
            <w:tcMar>
              <w:top w:w="15" w:type="dxa"/>
              <w:left w:w="15" w:type="dxa"/>
              <w:right w:w="15" w:type="dxa"/>
            </w:tcMar>
            <w:vAlign w:val="center"/>
          </w:tcPr>
          <w:p>
            <w:pPr>
              <w:rPr>
                <w:rFonts w:hint="eastAsia" w:ascii="宋体" w:hAnsi="宋体"/>
                <w:sz w:val="18"/>
                <w:szCs w:val="18"/>
                <w:lang w:val="en-US" w:eastAsia="zh-CN"/>
              </w:rPr>
            </w:pPr>
            <w:r>
              <w:rPr>
                <w:rFonts w:hint="eastAsia" w:ascii="宋体" w:hAnsi="宋体"/>
                <w:sz w:val="18"/>
                <w:szCs w:val="18"/>
                <w:lang w:val="en-US" w:eastAsia="zh-CN"/>
              </w:rPr>
              <w:t>★1、配置AI芯片：Ascend310（主频1.5G，16TOPS INT8）或同档位处理芯片；</w:t>
            </w:r>
          </w:p>
          <w:p>
            <w:pPr>
              <w:rPr>
                <w:rFonts w:ascii="宋体" w:hAnsi="宋体"/>
                <w:bCs/>
                <w:sz w:val="18"/>
                <w:szCs w:val="18"/>
              </w:rPr>
            </w:pPr>
            <w:r>
              <w:rPr>
                <w:rFonts w:hint="eastAsia" w:ascii="宋体" w:hAnsi="宋体"/>
                <w:sz w:val="18"/>
                <w:szCs w:val="18"/>
                <w:lang w:val="en-US" w:eastAsia="zh-CN"/>
              </w:rPr>
              <w:t>★2、配置内存：4GB，DDR4 3200Mbps，位宽32Bit，非ECC；</w:t>
            </w:r>
            <w:r>
              <w:rPr>
                <w:rFonts w:hint="eastAsia" w:ascii="宋体" w:hAnsi="宋体"/>
                <w:bCs/>
                <w:sz w:val="18"/>
                <w:szCs w:val="18"/>
              </w:rPr>
              <w:t>3、配置 1 个 Micro SD 卡，支持 SD3.0；</w:t>
            </w:r>
          </w:p>
          <w:p>
            <w:pPr>
              <w:rPr>
                <w:rFonts w:ascii="宋体" w:hAnsi="宋体"/>
                <w:bCs/>
                <w:sz w:val="18"/>
                <w:szCs w:val="18"/>
              </w:rPr>
            </w:pPr>
            <w:r>
              <w:rPr>
                <w:rFonts w:hint="eastAsia" w:ascii="宋体" w:hAnsi="宋体"/>
                <w:bCs/>
                <w:sz w:val="18"/>
                <w:szCs w:val="18"/>
              </w:rPr>
              <w:t xml:space="preserve">4、配置 1 个 USB3.0 Type C 接口； </w:t>
            </w:r>
          </w:p>
          <w:p>
            <w:pPr>
              <w:rPr>
                <w:rFonts w:ascii="宋体" w:hAnsi="宋体"/>
                <w:bCs/>
                <w:sz w:val="18"/>
                <w:szCs w:val="18"/>
              </w:rPr>
            </w:pPr>
            <w:r>
              <w:rPr>
                <w:rFonts w:hint="eastAsia" w:ascii="宋体" w:hAnsi="宋体"/>
                <w:bCs/>
                <w:sz w:val="18"/>
                <w:szCs w:val="18"/>
              </w:rPr>
              <w:t>★5、AI 算力：提供不低于 8TFLOPS FP16（16 TOPS INT8）芯片内置 2 个 AI core，可实现不低于 16TOPS（INT8） 的计算能力；支持12路高清视频解码，1路高清视频编码；</w:t>
            </w:r>
          </w:p>
          <w:p>
            <w:pPr>
              <w:rPr>
                <w:rFonts w:ascii="宋体" w:hAnsi="宋体"/>
                <w:bCs/>
                <w:sz w:val="18"/>
                <w:szCs w:val="18"/>
              </w:rPr>
            </w:pPr>
            <w:r>
              <w:rPr>
                <w:rFonts w:hint="eastAsia" w:ascii="宋体" w:hAnsi="宋体"/>
                <w:bCs/>
                <w:sz w:val="18"/>
                <w:szCs w:val="18"/>
              </w:rPr>
              <w:t>6、配置：集成 Atlas 200 AI 加速模块、图像/音频接口芯片；</w:t>
            </w:r>
          </w:p>
          <w:p>
            <w:pPr>
              <w:rPr>
                <w:rFonts w:ascii="宋体" w:hAnsi="宋体"/>
                <w:bCs/>
                <w:sz w:val="18"/>
                <w:szCs w:val="18"/>
              </w:rPr>
            </w:pPr>
            <w:r>
              <w:rPr>
                <w:rFonts w:hint="eastAsia" w:ascii="宋体" w:hAnsi="宋体"/>
                <w:bCs/>
                <w:sz w:val="18"/>
                <w:szCs w:val="18"/>
              </w:rPr>
              <w:t>7、支持两路 Camera 输入；</w:t>
            </w:r>
          </w:p>
          <w:p>
            <w:pPr>
              <w:rPr>
                <w:rFonts w:ascii="宋体" w:hAnsi="宋体"/>
                <w:bCs/>
                <w:sz w:val="18"/>
                <w:szCs w:val="18"/>
              </w:rPr>
            </w:pPr>
            <w:r>
              <w:rPr>
                <w:rFonts w:hint="eastAsia" w:ascii="宋体" w:hAnsi="宋体"/>
                <w:bCs/>
                <w:sz w:val="18"/>
                <w:szCs w:val="18"/>
              </w:rPr>
              <w:t xml:space="preserve">8、配置 1000M 以太网对外提供高速网络连接； </w:t>
            </w:r>
          </w:p>
          <w:p>
            <w:pPr>
              <w:rPr>
                <w:rFonts w:ascii="宋体" w:hAnsi="宋体"/>
                <w:bCs/>
                <w:sz w:val="18"/>
                <w:szCs w:val="18"/>
              </w:rPr>
            </w:pPr>
            <w:r>
              <w:rPr>
                <w:rFonts w:hint="eastAsia" w:ascii="宋体" w:hAnsi="宋体"/>
                <w:bCs/>
                <w:sz w:val="18"/>
                <w:szCs w:val="18"/>
              </w:rPr>
              <w:t>9、支持图像识别、视频处理、推理计算及机器学习等领域设计的高性能。可用于智能监控、机器人、无人机、视频服务器等场景；</w:t>
            </w:r>
          </w:p>
          <w:p>
            <w:pPr>
              <w:rPr>
                <w:rFonts w:ascii="宋体" w:hAnsi="宋体" w:cs="宋体"/>
                <w:szCs w:val="21"/>
              </w:rPr>
            </w:pPr>
            <w:r>
              <w:rPr>
                <w:rFonts w:hint="eastAsia" w:ascii="宋体" w:hAnsi="宋体"/>
                <w:bCs/>
                <w:sz w:val="18"/>
                <w:szCs w:val="18"/>
              </w:rPr>
              <w:t>10、支持在线升级，方便日常维护；</w:t>
            </w:r>
          </w:p>
        </w:tc>
        <w:tc>
          <w:tcPr>
            <w:tcW w:w="1610" w:type="dxa"/>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150000.00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1" w:type="dxa"/>
            <w:tcMar>
              <w:top w:w="15" w:type="dxa"/>
              <w:left w:w="15" w:type="dxa"/>
              <w:right w:w="15" w:type="dxa"/>
            </w:tcMar>
            <w:vAlign w:val="center"/>
          </w:tcPr>
          <w:p>
            <w:pPr>
              <w:widowControl/>
              <w:wordWrap w:val="0"/>
              <w:adjustRightInd w:val="0"/>
              <w:snapToGrid w:val="0"/>
              <w:spacing w:line="440" w:lineRule="exact"/>
              <w:jc w:val="center"/>
              <w:textAlignment w:val="center"/>
              <w:rPr>
                <w:rFonts w:ascii="宋体" w:hAnsi="宋体" w:cs="宋体"/>
                <w:b/>
                <w:bCs/>
                <w:szCs w:val="21"/>
              </w:rPr>
            </w:pPr>
            <w:r>
              <w:rPr>
                <w:rFonts w:hint="eastAsia" w:ascii="宋体" w:hAnsi="宋体" w:cs="宋体"/>
                <w:b/>
                <w:bCs/>
                <w:szCs w:val="21"/>
              </w:rPr>
              <w:t>8</w:t>
            </w:r>
          </w:p>
        </w:tc>
        <w:tc>
          <w:tcPr>
            <w:tcW w:w="1325" w:type="dxa"/>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AI开发者套件配件</w:t>
            </w:r>
          </w:p>
        </w:tc>
        <w:tc>
          <w:tcPr>
            <w:tcW w:w="706" w:type="dxa"/>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25套</w:t>
            </w:r>
          </w:p>
        </w:tc>
        <w:tc>
          <w:tcPr>
            <w:tcW w:w="1819" w:type="dxa"/>
            <w:tcMar>
              <w:top w:w="15" w:type="dxa"/>
              <w:left w:w="15" w:type="dxa"/>
              <w:right w:w="15" w:type="dxa"/>
            </w:tcMar>
            <w:vAlign w:val="center"/>
          </w:tcPr>
          <w:p>
            <w:pPr>
              <w:jc w:val="center"/>
              <w:rPr>
                <w:rFonts w:ascii="宋体" w:hAnsi="宋体" w:cs="宋体"/>
                <w:kern w:val="0"/>
                <w:szCs w:val="21"/>
              </w:rPr>
            </w:pPr>
            <w:r>
              <w:rPr>
                <w:rFonts w:hint="eastAsia" w:ascii="宋体" w:hAnsi="宋体" w:cs="宋体"/>
                <w:szCs w:val="21"/>
              </w:rPr>
              <w:t>华为、百度、阿里云等同档次品牌</w:t>
            </w:r>
          </w:p>
        </w:tc>
        <w:tc>
          <w:tcPr>
            <w:tcW w:w="4768" w:type="dxa"/>
            <w:tcMar>
              <w:top w:w="15" w:type="dxa"/>
              <w:left w:w="15" w:type="dxa"/>
              <w:right w:w="15" w:type="dxa"/>
            </w:tcMar>
            <w:vAlign w:val="center"/>
          </w:tcPr>
          <w:p>
            <w:pPr>
              <w:rPr>
                <w:rFonts w:ascii="宋体" w:hAnsi="宋体" w:cs="宋体"/>
                <w:szCs w:val="21"/>
              </w:rPr>
            </w:pPr>
            <w:r>
              <w:rPr>
                <w:rFonts w:hint="eastAsia" w:ascii="宋体" w:hAnsi="宋体"/>
                <w:sz w:val="18"/>
                <w:szCs w:val="18"/>
              </w:rPr>
              <w:t>1、定焦镜头；</w:t>
            </w:r>
            <w:r>
              <w:rPr>
                <w:rFonts w:hint="eastAsia" w:ascii="宋体" w:hAnsi="宋体"/>
                <w:sz w:val="18"/>
                <w:szCs w:val="18"/>
              </w:rPr>
              <w:br w:type="textWrapping"/>
            </w:r>
            <w:r>
              <w:rPr>
                <w:rFonts w:hint="eastAsia" w:ascii="宋体" w:hAnsi="宋体"/>
                <w:sz w:val="18"/>
                <w:szCs w:val="18"/>
              </w:rPr>
              <w:t>2、800万像素传感扩展板；</w:t>
            </w:r>
            <w:r>
              <w:rPr>
                <w:rFonts w:hint="eastAsia" w:ascii="宋体" w:hAnsi="宋体"/>
                <w:sz w:val="18"/>
                <w:szCs w:val="18"/>
              </w:rPr>
              <w:br w:type="textWrapping"/>
            </w:r>
            <w:r>
              <w:rPr>
                <w:rFonts w:hint="eastAsia" w:ascii="宋体" w:hAnsi="宋体"/>
                <w:sz w:val="18"/>
                <w:szCs w:val="18"/>
              </w:rPr>
              <w:t>3、3280*2464像素静态图片；</w:t>
            </w:r>
            <w:r>
              <w:rPr>
                <w:rFonts w:hint="eastAsia" w:ascii="宋体" w:hAnsi="宋体"/>
                <w:sz w:val="18"/>
                <w:szCs w:val="18"/>
              </w:rPr>
              <w:br w:type="textWrapping"/>
            </w:r>
            <w:r>
              <w:rPr>
                <w:rFonts w:hint="eastAsia" w:ascii="宋体" w:hAnsi="宋体"/>
                <w:sz w:val="18"/>
                <w:szCs w:val="18"/>
              </w:rPr>
              <w:t>4、支持1080P30，720P60and640*480P60/90摄像头功能；</w:t>
            </w:r>
            <w:r>
              <w:rPr>
                <w:rFonts w:hint="eastAsia" w:ascii="宋体" w:hAnsi="宋体"/>
                <w:sz w:val="18"/>
                <w:szCs w:val="18"/>
              </w:rPr>
              <w:br w:type="textWrapping"/>
            </w:r>
            <w:r>
              <w:rPr>
                <w:rFonts w:hint="eastAsia" w:ascii="宋体" w:hAnsi="宋体"/>
                <w:sz w:val="18"/>
                <w:szCs w:val="18"/>
              </w:rPr>
              <w:t>5、可使用CSI接口；</w:t>
            </w:r>
            <w:r>
              <w:rPr>
                <w:rFonts w:hint="eastAsia" w:ascii="宋体" w:hAnsi="宋体"/>
                <w:sz w:val="18"/>
                <w:szCs w:val="18"/>
              </w:rPr>
              <w:br w:type="textWrapping"/>
            </w:r>
            <w:r>
              <w:rPr>
                <w:rFonts w:hint="eastAsia" w:ascii="宋体" w:hAnsi="宋体"/>
                <w:sz w:val="18"/>
                <w:szCs w:val="18"/>
              </w:rPr>
              <w:t>6、配置Zero W Raspberry pi zero专用排线；</w:t>
            </w:r>
            <w:r>
              <w:rPr>
                <w:rFonts w:hint="eastAsia" w:ascii="宋体" w:hAnsi="宋体"/>
                <w:sz w:val="18"/>
                <w:szCs w:val="18"/>
              </w:rPr>
              <w:br w:type="textWrapping"/>
            </w:r>
            <w:r>
              <w:rPr>
                <w:rFonts w:hint="eastAsia" w:ascii="宋体" w:hAnsi="宋体"/>
                <w:sz w:val="18"/>
                <w:szCs w:val="18"/>
              </w:rPr>
              <w:t>7、配置32G MicroSD 读速98MB/s 存储卡；</w:t>
            </w:r>
            <w:r>
              <w:rPr>
                <w:rFonts w:hint="eastAsia" w:ascii="宋体" w:hAnsi="宋体"/>
                <w:sz w:val="18"/>
                <w:szCs w:val="18"/>
              </w:rPr>
              <w:br w:type="textWrapping"/>
            </w:r>
            <w:r>
              <w:rPr>
                <w:rFonts w:hint="eastAsia" w:ascii="宋体" w:hAnsi="宋体"/>
                <w:sz w:val="18"/>
                <w:szCs w:val="18"/>
              </w:rPr>
              <w:t>8、配置Type-C数据线；</w:t>
            </w:r>
          </w:p>
        </w:tc>
        <w:tc>
          <w:tcPr>
            <w:tcW w:w="1610" w:type="dxa"/>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12500.00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1" w:type="dxa"/>
            <w:tcMar>
              <w:top w:w="15" w:type="dxa"/>
              <w:left w:w="15" w:type="dxa"/>
              <w:right w:w="15" w:type="dxa"/>
            </w:tcMar>
            <w:vAlign w:val="center"/>
          </w:tcPr>
          <w:p>
            <w:pPr>
              <w:widowControl/>
              <w:wordWrap w:val="0"/>
              <w:adjustRightInd w:val="0"/>
              <w:snapToGrid w:val="0"/>
              <w:spacing w:line="440" w:lineRule="exact"/>
              <w:jc w:val="center"/>
              <w:textAlignment w:val="center"/>
              <w:rPr>
                <w:rFonts w:ascii="宋体" w:hAnsi="宋体" w:cs="宋体"/>
                <w:b/>
                <w:bCs/>
                <w:szCs w:val="21"/>
              </w:rPr>
            </w:pPr>
            <w:r>
              <w:rPr>
                <w:rFonts w:hint="eastAsia" w:ascii="宋体" w:hAnsi="宋体" w:cs="宋体"/>
                <w:b/>
                <w:bCs/>
                <w:szCs w:val="21"/>
              </w:rPr>
              <w:t>9</w:t>
            </w:r>
          </w:p>
        </w:tc>
        <w:tc>
          <w:tcPr>
            <w:tcW w:w="1325" w:type="dxa"/>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多模态AI开发套件</w:t>
            </w:r>
          </w:p>
        </w:tc>
        <w:tc>
          <w:tcPr>
            <w:tcW w:w="706" w:type="dxa"/>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25套</w:t>
            </w:r>
          </w:p>
        </w:tc>
        <w:tc>
          <w:tcPr>
            <w:tcW w:w="1819" w:type="dxa"/>
            <w:tcMar>
              <w:top w:w="15" w:type="dxa"/>
              <w:left w:w="15" w:type="dxa"/>
              <w:right w:w="15" w:type="dxa"/>
            </w:tcMar>
            <w:vAlign w:val="center"/>
          </w:tcPr>
          <w:p>
            <w:pPr>
              <w:jc w:val="center"/>
              <w:rPr>
                <w:rFonts w:ascii="宋体" w:hAnsi="宋体" w:cs="宋体"/>
                <w:kern w:val="0"/>
                <w:szCs w:val="21"/>
              </w:rPr>
            </w:pPr>
            <w:r>
              <w:rPr>
                <w:rFonts w:hint="eastAsia" w:ascii="宋体" w:hAnsi="宋体" w:cs="宋体"/>
                <w:szCs w:val="21"/>
              </w:rPr>
              <w:t>华为、百度、阿里云等同档次品牌</w:t>
            </w:r>
          </w:p>
        </w:tc>
        <w:tc>
          <w:tcPr>
            <w:tcW w:w="4768" w:type="dxa"/>
            <w:tcMar>
              <w:top w:w="15" w:type="dxa"/>
              <w:left w:w="15" w:type="dxa"/>
              <w:right w:w="15" w:type="dxa"/>
            </w:tcMar>
            <w:vAlign w:val="center"/>
          </w:tcPr>
          <w:p>
            <w:pPr>
              <w:rPr>
                <w:rFonts w:hint="default" w:ascii="宋体" w:hAnsi="宋体"/>
                <w:sz w:val="18"/>
                <w:szCs w:val="18"/>
                <w:lang w:val="en-US" w:eastAsia="zh-CN"/>
              </w:rPr>
            </w:pPr>
            <w:r>
              <w:rPr>
                <w:rFonts w:hint="eastAsia" w:ascii="宋体" w:hAnsi="宋体"/>
                <w:sz w:val="18"/>
                <w:szCs w:val="18"/>
                <w:lang w:val="en-US" w:eastAsia="zh-CN"/>
              </w:rPr>
              <w:t>★1、配置CPU:Hi3559A（6核，1.5G主频，处理器内存：4G，DDR4，,32bit，2133）或者同等级别的处理器</w:t>
            </w:r>
          </w:p>
          <w:p>
            <w:pPr>
              <w:rPr>
                <w:rFonts w:hint="eastAsia" w:ascii="宋体" w:hAnsi="宋体"/>
                <w:sz w:val="18"/>
                <w:szCs w:val="18"/>
                <w:lang w:val="en-US" w:eastAsia="zh-CN"/>
              </w:rPr>
            </w:pPr>
            <w:r>
              <w:rPr>
                <w:rFonts w:hint="eastAsia" w:ascii="宋体" w:hAnsi="宋体"/>
                <w:sz w:val="18"/>
                <w:szCs w:val="18"/>
                <w:lang w:val="en-US" w:eastAsia="zh-CN"/>
              </w:rPr>
              <w:t>★2、配置AI芯片：Ascend310（16TOPS INT8）或同档位处理芯片</w:t>
            </w:r>
          </w:p>
          <w:p>
            <w:pPr>
              <w:rPr>
                <w:rFonts w:ascii="宋体" w:hAnsi="宋体" w:cs="宋体"/>
                <w:szCs w:val="21"/>
              </w:rPr>
            </w:pPr>
            <w:r>
              <w:rPr>
                <w:rFonts w:hint="eastAsia" w:ascii="宋体" w:hAnsi="宋体"/>
                <w:sz w:val="18"/>
                <w:szCs w:val="18"/>
                <w:lang w:val="en-US" w:eastAsia="zh-CN"/>
              </w:rPr>
              <w:t>★3、配置内存：8GB，DDR4 3200Mbps，位宽64Bit，非ECC</w:t>
            </w:r>
            <w:r>
              <w:rPr>
                <w:rFonts w:hint="eastAsia" w:ascii="宋体" w:hAnsi="宋体"/>
                <w:sz w:val="18"/>
                <w:szCs w:val="18"/>
              </w:rPr>
              <w:br w:type="textWrapping"/>
            </w:r>
            <w:r>
              <w:rPr>
                <w:rFonts w:ascii="宋体" w:hAnsi="宋体"/>
                <w:sz w:val="18"/>
                <w:szCs w:val="18"/>
              </w:rPr>
              <w:t>4</w:t>
            </w:r>
            <w:r>
              <w:rPr>
                <w:rFonts w:hint="eastAsia" w:ascii="宋体" w:hAnsi="宋体"/>
                <w:sz w:val="18"/>
                <w:szCs w:val="18"/>
              </w:rPr>
              <w:t>、配置 1 个 Micro SD 卡，支持 SD3.0；</w:t>
            </w:r>
            <w:r>
              <w:rPr>
                <w:rFonts w:hint="eastAsia" w:ascii="宋体" w:hAnsi="宋体"/>
                <w:sz w:val="18"/>
                <w:szCs w:val="18"/>
              </w:rPr>
              <w:br w:type="textWrapping"/>
            </w:r>
            <w:r>
              <w:rPr>
                <w:rFonts w:ascii="宋体" w:hAnsi="宋体"/>
                <w:sz w:val="18"/>
                <w:szCs w:val="18"/>
              </w:rPr>
              <w:t>5</w:t>
            </w:r>
            <w:r>
              <w:rPr>
                <w:rFonts w:hint="eastAsia" w:ascii="宋体" w:hAnsi="宋体"/>
                <w:sz w:val="18"/>
                <w:szCs w:val="18"/>
              </w:rPr>
              <w:t xml:space="preserve">、配置 </w:t>
            </w:r>
            <w:r>
              <w:rPr>
                <w:rFonts w:ascii="宋体" w:hAnsi="宋体"/>
                <w:sz w:val="18"/>
                <w:szCs w:val="18"/>
              </w:rPr>
              <w:t>2</w:t>
            </w:r>
            <w:r>
              <w:rPr>
                <w:rFonts w:hint="eastAsia" w:ascii="宋体" w:hAnsi="宋体"/>
                <w:sz w:val="18"/>
                <w:szCs w:val="18"/>
              </w:rPr>
              <w:t xml:space="preserve">个 USB 接口，支持USB3.0； </w:t>
            </w:r>
            <w:r>
              <w:rPr>
                <w:rFonts w:hint="eastAsia" w:ascii="宋体" w:hAnsi="宋体"/>
                <w:sz w:val="18"/>
                <w:szCs w:val="18"/>
              </w:rPr>
              <w:br w:type="textWrapping"/>
            </w:r>
            <w:r>
              <w:rPr>
                <w:rFonts w:ascii="宋体" w:hAnsi="宋体"/>
                <w:sz w:val="18"/>
                <w:szCs w:val="18"/>
              </w:rPr>
              <w:t>6</w:t>
            </w:r>
            <w:r>
              <w:rPr>
                <w:rFonts w:hint="eastAsia" w:ascii="宋体" w:hAnsi="宋体"/>
                <w:sz w:val="18"/>
                <w:szCs w:val="18"/>
              </w:rPr>
              <w:t>、配置1个GE网口；</w:t>
            </w:r>
            <w:r>
              <w:rPr>
                <w:rFonts w:hint="eastAsia" w:ascii="宋体" w:hAnsi="宋体"/>
                <w:sz w:val="18"/>
                <w:szCs w:val="18"/>
              </w:rPr>
              <w:br w:type="textWrapping"/>
            </w:r>
            <w:r>
              <w:rPr>
                <w:rFonts w:ascii="宋体" w:hAnsi="宋体"/>
                <w:sz w:val="18"/>
                <w:szCs w:val="18"/>
              </w:rPr>
              <w:t>7</w:t>
            </w:r>
            <w:r>
              <w:rPr>
                <w:rFonts w:hint="eastAsia" w:ascii="宋体" w:hAnsi="宋体"/>
                <w:sz w:val="18"/>
                <w:szCs w:val="18"/>
              </w:rPr>
              <w:t>、配置1个HDMI口；</w:t>
            </w:r>
            <w:r>
              <w:rPr>
                <w:rFonts w:hint="eastAsia" w:ascii="宋体" w:hAnsi="宋体"/>
                <w:sz w:val="18"/>
                <w:szCs w:val="18"/>
              </w:rPr>
              <w:br w:type="textWrapping"/>
            </w:r>
            <w:r>
              <w:rPr>
                <w:rFonts w:ascii="宋体" w:hAnsi="宋体"/>
                <w:sz w:val="18"/>
                <w:szCs w:val="18"/>
              </w:rPr>
              <w:t>8</w:t>
            </w:r>
            <w:r>
              <w:rPr>
                <w:rFonts w:hint="eastAsia" w:ascii="宋体" w:hAnsi="宋体"/>
                <w:sz w:val="18"/>
                <w:szCs w:val="18"/>
              </w:rPr>
              <w:t>、支持WiFi链接；</w:t>
            </w:r>
            <w:r>
              <w:rPr>
                <w:rFonts w:hint="eastAsia" w:ascii="宋体" w:hAnsi="宋体"/>
                <w:sz w:val="18"/>
                <w:szCs w:val="18"/>
              </w:rPr>
              <w:br w:type="textWrapping"/>
            </w:r>
            <w:r>
              <w:rPr>
                <w:rFonts w:ascii="宋体" w:hAnsi="宋体"/>
                <w:sz w:val="18"/>
                <w:szCs w:val="18"/>
              </w:rPr>
              <w:t>9</w:t>
            </w:r>
            <w:r>
              <w:rPr>
                <w:rFonts w:hint="eastAsia" w:ascii="宋体" w:hAnsi="宋体"/>
                <w:sz w:val="18"/>
                <w:szCs w:val="18"/>
              </w:rPr>
              <w:t>、配置1个3.5mm音频接头，2个MIC；</w:t>
            </w:r>
            <w:r>
              <w:rPr>
                <w:rFonts w:hint="eastAsia" w:ascii="宋体" w:hAnsi="宋体"/>
                <w:sz w:val="18"/>
                <w:szCs w:val="18"/>
              </w:rPr>
              <w:br w:type="textWrapping"/>
            </w:r>
            <w:r>
              <w:rPr>
                <w:rFonts w:ascii="宋体" w:hAnsi="宋体"/>
                <w:sz w:val="18"/>
                <w:szCs w:val="18"/>
              </w:rPr>
              <w:t>10</w:t>
            </w:r>
            <w:r>
              <w:rPr>
                <w:rFonts w:hint="eastAsia" w:ascii="宋体" w:hAnsi="宋体"/>
                <w:sz w:val="18"/>
                <w:szCs w:val="18"/>
              </w:rPr>
              <w:t>、配置摄像头：分辨率1080P；</w:t>
            </w:r>
            <w:r>
              <w:rPr>
                <w:rFonts w:hint="eastAsia" w:ascii="宋体" w:hAnsi="宋体"/>
                <w:sz w:val="18"/>
                <w:szCs w:val="18"/>
              </w:rPr>
              <w:br w:type="textWrapping"/>
            </w:r>
            <w:r>
              <w:rPr>
                <w:rFonts w:hint="eastAsia" w:ascii="宋体" w:hAnsi="宋体"/>
                <w:sz w:val="18"/>
                <w:szCs w:val="18"/>
              </w:rPr>
              <w:t>1</w:t>
            </w:r>
            <w:r>
              <w:rPr>
                <w:rFonts w:ascii="宋体" w:hAnsi="宋体"/>
                <w:sz w:val="18"/>
                <w:szCs w:val="18"/>
              </w:rPr>
              <w:t>1</w:t>
            </w:r>
            <w:r>
              <w:rPr>
                <w:rFonts w:hint="eastAsia" w:ascii="宋体" w:hAnsi="宋体"/>
                <w:sz w:val="18"/>
                <w:szCs w:val="18"/>
              </w:rPr>
              <w:t>、功耗≤</w:t>
            </w:r>
            <w:r>
              <w:rPr>
                <w:rFonts w:ascii="宋体" w:hAnsi="宋体"/>
                <w:sz w:val="18"/>
                <w:szCs w:val="18"/>
              </w:rPr>
              <w:t>36</w:t>
            </w:r>
            <w:r>
              <w:rPr>
                <w:rFonts w:hint="eastAsia" w:ascii="宋体" w:hAnsi="宋体"/>
                <w:sz w:val="18"/>
                <w:szCs w:val="18"/>
              </w:rPr>
              <w:t>W；</w:t>
            </w:r>
            <w:r>
              <w:rPr>
                <w:rFonts w:hint="eastAsia" w:ascii="宋体" w:hAnsi="宋体"/>
                <w:sz w:val="18"/>
                <w:szCs w:val="18"/>
              </w:rPr>
              <w:br w:type="textWrapping"/>
            </w:r>
            <w:r>
              <w:rPr>
                <w:rFonts w:hint="eastAsia" w:ascii="宋体" w:hAnsi="宋体"/>
                <w:sz w:val="18"/>
                <w:szCs w:val="18"/>
              </w:rPr>
              <w:t>1</w:t>
            </w:r>
            <w:r>
              <w:rPr>
                <w:rFonts w:ascii="宋体" w:hAnsi="宋体"/>
                <w:sz w:val="18"/>
                <w:szCs w:val="18"/>
              </w:rPr>
              <w:t>2</w:t>
            </w:r>
            <w:r>
              <w:rPr>
                <w:rFonts w:hint="eastAsia" w:ascii="宋体" w:hAnsi="宋体"/>
                <w:sz w:val="18"/>
                <w:szCs w:val="18"/>
              </w:rPr>
              <w:t>、供电≥12V；</w:t>
            </w:r>
            <w:r>
              <w:rPr>
                <w:rFonts w:hint="eastAsia" w:ascii="宋体" w:hAnsi="宋体"/>
                <w:sz w:val="18"/>
                <w:szCs w:val="18"/>
              </w:rPr>
              <w:br w:type="textWrapping"/>
            </w:r>
            <w:r>
              <w:rPr>
                <w:rFonts w:hint="eastAsia" w:ascii="宋体" w:hAnsi="宋体"/>
                <w:sz w:val="18"/>
                <w:szCs w:val="18"/>
              </w:rPr>
              <w:t>1</w:t>
            </w:r>
            <w:r>
              <w:rPr>
                <w:rFonts w:ascii="宋体" w:hAnsi="宋体"/>
                <w:sz w:val="18"/>
                <w:szCs w:val="18"/>
              </w:rPr>
              <w:t>3</w:t>
            </w:r>
            <w:r>
              <w:rPr>
                <w:rFonts w:hint="eastAsia" w:ascii="宋体" w:hAnsi="宋体"/>
                <w:sz w:val="18"/>
                <w:szCs w:val="18"/>
              </w:rPr>
              <w:t>、工作温度：0~4</w:t>
            </w:r>
            <w:r>
              <w:rPr>
                <w:rFonts w:ascii="宋体" w:hAnsi="宋体"/>
                <w:sz w:val="18"/>
                <w:szCs w:val="18"/>
              </w:rPr>
              <w:t>0</w:t>
            </w:r>
            <w:r>
              <w:rPr>
                <w:rFonts w:hint="eastAsia" w:ascii="宋体" w:hAnsi="宋体"/>
                <w:sz w:val="18"/>
                <w:szCs w:val="18"/>
              </w:rPr>
              <w:t>℃；</w:t>
            </w:r>
            <w:r>
              <w:rPr>
                <w:rFonts w:hint="eastAsia" w:ascii="宋体" w:hAnsi="宋体"/>
                <w:sz w:val="18"/>
                <w:szCs w:val="18"/>
              </w:rPr>
              <w:br w:type="textWrapping"/>
            </w:r>
            <w:r>
              <w:rPr>
                <w:rFonts w:hint="eastAsia" w:ascii="宋体" w:hAnsi="宋体"/>
                <w:sz w:val="18"/>
                <w:szCs w:val="18"/>
              </w:rPr>
              <w:t>1</w:t>
            </w:r>
            <w:r>
              <w:rPr>
                <w:rFonts w:ascii="宋体" w:hAnsi="宋体"/>
                <w:sz w:val="18"/>
                <w:szCs w:val="18"/>
              </w:rPr>
              <w:t>4</w:t>
            </w:r>
            <w:r>
              <w:rPr>
                <w:rFonts w:hint="eastAsia" w:ascii="宋体" w:hAnsi="宋体"/>
                <w:sz w:val="18"/>
                <w:szCs w:val="18"/>
              </w:rPr>
              <w:t>、尺寸约：155*110*55.5mm；</w:t>
            </w:r>
            <w:r>
              <w:rPr>
                <w:rFonts w:hint="eastAsia" w:ascii="宋体" w:hAnsi="宋体"/>
                <w:sz w:val="18"/>
                <w:szCs w:val="18"/>
              </w:rPr>
              <w:br w:type="textWrapping"/>
            </w:r>
            <w:r>
              <w:rPr>
                <w:rFonts w:hint="eastAsia" w:ascii="宋体" w:hAnsi="宋体"/>
                <w:sz w:val="18"/>
                <w:szCs w:val="18"/>
              </w:rPr>
              <w:t>1</w:t>
            </w:r>
            <w:r>
              <w:rPr>
                <w:rFonts w:ascii="宋体" w:hAnsi="宋体"/>
                <w:sz w:val="18"/>
                <w:szCs w:val="18"/>
              </w:rPr>
              <w:t>5</w:t>
            </w:r>
            <w:r>
              <w:rPr>
                <w:rFonts w:hint="eastAsia" w:ascii="宋体" w:hAnsi="宋体"/>
                <w:sz w:val="18"/>
                <w:szCs w:val="18"/>
              </w:rPr>
              <w:t>、为教学、科研及实训提供端云协同能力，提供简单易用的开发框架、开箱即用的开发环境、丰富的AI技能市场和云上管理平台，对接多种端侧计算设备，支持音频和视频AI应用开发、在线部署、海量设备管理，投标时提供官方产品文档或者截图证明。</w:t>
            </w:r>
            <w:r>
              <w:rPr>
                <w:rFonts w:hint="eastAsia" w:ascii="宋体" w:hAnsi="宋体"/>
                <w:sz w:val="18"/>
                <w:szCs w:val="18"/>
              </w:rPr>
              <w:br w:type="textWrapping"/>
            </w:r>
            <w:r>
              <w:rPr>
                <w:rFonts w:hint="eastAsia" w:ascii="宋体" w:hAnsi="宋体"/>
                <w:sz w:val="18"/>
                <w:szCs w:val="18"/>
              </w:rPr>
              <w:t>1</w:t>
            </w:r>
            <w:r>
              <w:rPr>
                <w:rFonts w:ascii="宋体" w:hAnsi="宋体"/>
                <w:sz w:val="18"/>
                <w:szCs w:val="18"/>
              </w:rPr>
              <w:t>6</w:t>
            </w:r>
            <w:r>
              <w:rPr>
                <w:rFonts w:hint="eastAsia" w:ascii="宋体" w:hAnsi="宋体"/>
                <w:sz w:val="18"/>
                <w:szCs w:val="18"/>
              </w:rPr>
              <w:t>、支持图像、视频、语音等多种数据分析与推理计算；</w:t>
            </w:r>
          </w:p>
        </w:tc>
        <w:tc>
          <w:tcPr>
            <w:tcW w:w="1610" w:type="dxa"/>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1" w:type="dxa"/>
            <w:tcMar>
              <w:top w:w="15" w:type="dxa"/>
              <w:left w:w="15" w:type="dxa"/>
              <w:right w:w="15" w:type="dxa"/>
            </w:tcMar>
            <w:vAlign w:val="center"/>
          </w:tcPr>
          <w:p>
            <w:pPr>
              <w:widowControl/>
              <w:wordWrap w:val="0"/>
              <w:adjustRightInd w:val="0"/>
              <w:snapToGrid w:val="0"/>
              <w:spacing w:line="440" w:lineRule="exact"/>
              <w:jc w:val="center"/>
              <w:textAlignment w:val="center"/>
              <w:rPr>
                <w:rFonts w:ascii="宋体" w:hAnsi="宋体" w:cs="宋体"/>
                <w:b/>
                <w:bCs/>
                <w:szCs w:val="21"/>
              </w:rPr>
            </w:pPr>
            <w:r>
              <w:rPr>
                <w:rFonts w:hint="eastAsia" w:ascii="宋体" w:hAnsi="宋体" w:cs="宋体"/>
                <w:b/>
                <w:bCs/>
                <w:szCs w:val="21"/>
              </w:rPr>
              <w:t>10</w:t>
            </w:r>
          </w:p>
        </w:tc>
        <w:tc>
          <w:tcPr>
            <w:tcW w:w="1325" w:type="dxa"/>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台式电脑</w:t>
            </w:r>
          </w:p>
        </w:tc>
        <w:tc>
          <w:tcPr>
            <w:tcW w:w="706" w:type="dxa"/>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19台</w:t>
            </w:r>
          </w:p>
        </w:tc>
        <w:tc>
          <w:tcPr>
            <w:tcW w:w="1819" w:type="dxa"/>
            <w:tcMar>
              <w:top w:w="15" w:type="dxa"/>
              <w:left w:w="15" w:type="dxa"/>
              <w:right w:w="15" w:type="dxa"/>
            </w:tcMar>
            <w:vAlign w:val="center"/>
          </w:tcPr>
          <w:p>
            <w:pPr>
              <w:jc w:val="center"/>
              <w:rPr>
                <w:rFonts w:ascii="宋体" w:hAnsi="宋体" w:cs="宋体"/>
                <w:kern w:val="0"/>
                <w:szCs w:val="21"/>
              </w:rPr>
            </w:pPr>
            <w:r>
              <w:rPr>
                <w:rFonts w:hint="eastAsia" w:ascii="宋体" w:hAnsi="宋体" w:cs="宋体"/>
                <w:szCs w:val="21"/>
              </w:rPr>
              <w:t>联想、戴尔、惠普等同档次品牌</w:t>
            </w:r>
          </w:p>
        </w:tc>
        <w:tc>
          <w:tcPr>
            <w:tcW w:w="4768" w:type="dxa"/>
            <w:tcMar>
              <w:top w:w="15" w:type="dxa"/>
              <w:left w:w="15" w:type="dxa"/>
              <w:right w:w="15" w:type="dxa"/>
            </w:tcMar>
            <w:vAlign w:val="center"/>
          </w:tcPr>
          <w:p>
            <w:pPr>
              <w:rPr>
                <w:rFonts w:ascii="宋体" w:hAnsi="宋体"/>
                <w:sz w:val="18"/>
                <w:szCs w:val="18"/>
              </w:rPr>
            </w:pPr>
            <w:r>
              <w:rPr>
                <w:rFonts w:hint="eastAsia" w:ascii="宋体" w:hAnsi="宋体"/>
                <w:sz w:val="18"/>
                <w:szCs w:val="18"/>
              </w:rPr>
              <w:t>★1、处理器：不低于因特尔酷睿i5-9500系列处理器, 六核处理器、主频3.0HZ、缓存8MB以上；；</w:t>
            </w:r>
          </w:p>
          <w:p>
            <w:pPr>
              <w:rPr>
                <w:rFonts w:ascii="宋体" w:hAnsi="宋体"/>
                <w:sz w:val="18"/>
                <w:szCs w:val="18"/>
              </w:rPr>
            </w:pPr>
            <w:r>
              <w:rPr>
                <w:rFonts w:hint="eastAsia" w:ascii="宋体" w:hAnsi="宋体"/>
                <w:sz w:val="18"/>
                <w:szCs w:val="18"/>
              </w:rPr>
              <w:t>2、主板：Intel B365系列及以上芯片组；</w:t>
            </w:r>
          </w:p>
          <w:p>
            <w:pPr>
              <w:rPr>
                <w:rFonts w:ascii="宋体" w:hAnsi="宋体"/>
                <w:sz w:val="18"/>
                <w:szCs w:val="18"/>
              </w:rPr>
            </w:pPr>
            <w:r>
              <w:rPr>
                <w:rFonts w:hint="eastAsia" w:ascii="宋体" w:hAnsi="宋体"/>
                <w:sz w:val="18"/>
                <w:szCs w:val="18"/>
              </w:rPr>
              <w:t>★3、内存：16G DDR4 2400MHz内存，预留内存空位支持后期升级，最大内存容量32G；</w:t>
            </w:r>
          </w:p>
          <w:p>
            <w:pPr>
              <w:rPr>
                <w:rFonts w:ascii="宋体" w:hAnsi="宋体"/>
                <w:sz w:val="18"/>
                <w:szCs w:val="18"/>
              </w:rPr>
            </w:pPr>
            <w:r>
              <w:rPr>
                <w:rFonts w:hint="eastAsia" w:ascii="宋体" w:hAnsi="宋体"/>
                <w:sz w:val="18"/>
                <w:szCs w:val="18"/>
              </w:rPr>
              <w:t>4、显卡：不低于GT730 2G GDDR5 64位（输出接口：VGA+HDMI）；</w:t>
            </w:r>
          </w:p>
          <w:p>
            <w:pPr>
              <w:rPr>
                <w:rFonts w:ascii="宋体" w:hAnsi="宋体"/>
                <w:sz w:val="18"/>
                <w:szCs w:val="18"/>
              </w:rPr>
            </w:pPr>
            <w:r>
              <w:rPr>
                <w:rFonts w:hint="eastAsia" w:ascii="宋体" w:hAnsi="宋体"/>
                <w:sz w:val="18"/>
                <w:szCs w:val="18"/>
              </w:rPr>
              <w:t>5、声卡：集成声卡，支持5.1声道（提供前2后2共4个声频接口）；</w:t>
            </w:r>
          </w:p>
          <w:p>
            <w:pPr>
              <w:rPr>
                <w:rFonts w:ascii="宋体" w:hAnsi="宋体"/>
                <w:sz w:val="18"/>
                <w:szCs w:val="18"/>
              </w:rPr>
            </w:pPr>
            <w:r>
              <w:rPr>
                <w:rFonts w:hint="eastAsia" w:ascii="宋体" w:hAnsi="宋体"/>
                <w:sz w:val="18"/>
                <w:szCs w:val="18"/>
              </w:rPr>
              <w:t>6、硬盘：1000G  SATA3 7200rpm 硬盘，预留有空余接口位置，支持后期升级；</w:t>
            </w:r>
          </w:p>
          <w:p>
            <w:pPr>
              <w:rPr>
                <w:rFonts w:ascii="宋体" w:hAnsi="宋体"/>
                <w:sz w:val="18"/>
                <w:szCs w:val="18"/>
              </w:rPr>
            </w:pPr>
            <w:r>
              <w:rPr>
                <w:rFonts w:hint="eastAsia" w:ascii="宋体" w:hAnsi="宋体"/>
                <w:sz w:val="18"/>
                <w:szCs w:val="18"/>
              </w:rPr>
              <w:t>7、网卡：集成10/100/1000M以太网卡；</w:t>
            </w:r>
          </w:p>
          <w:p>
            <w:pPr>
              <w:rPr>
                <w:rFonts w:ascii="宋体" w:hAnsi="宋体"/>
                <w:sz w:val="18"/>
                <w:szCs w:val="18"/>
              </w:rPr>
            </w:pPr>
            <w:r>
              <w:rPr>
                <w:rFonts w:hint="eastAsia" w:ascii="宋体" w:hAnsi="宋体"/>
                <w:sz w:val="18"/>
                <w:szCs w:val="18"/>
              </w:rPr>
              <w:t>8、扩展槽: 1个PCI-E*16，2个PCI-E*1，1个PCI；</w:t>
            </w:r>
            <w:r>
              <w:rPr>
                <w:rFonts w:ascii="宋体" w:hAnsi="宋体"/>
                <w:sz w:val="18"/>
                <w:szCs w:val="18"/>
              </w:rPr>
              <w:t xml:space="preserve"> </w:t>
            </w:r>
          </w:p>
          <w:p>
            <w:pPr>
              <w:rPr>
                <w:rFonts w:ascii="宋体" w:hAnsi="宋体"/>
                <w:sz w:val="18"/>
                <w:szCs w:val="18"/>
              </w:rPr>
            </w:pPr>
            <w:r>
              <w:rPr>
                <w:rFonts w:hint="eastAsia" w:ascii="宋体" w:hAnsi="宋体"/>
                <w:sz w:val="18"/>
                <w:szCs w:val="18"/>
              </w:rPr>
              <w:t>★9、显示器: 不低于19.5寸WLED显示器，分辨率不低于1600*900，屏幕比例16：9，亮度250，对比度1000:1，响应时间5ms，VGA 接口，自带低蓝光护眼功能，可实现物理按键切换蓝光模式或者正常模式；</w:t>
            </w:r>
          </w:p>
          <w:p>
            <w:pPr>
              <w:rPr>
                <w:rFonts w:ascii="宋体" w:hAnsi="宋体"/>
                <w:sz w:val="18"/>
                <w:szCs w:val="18"/>
              </w:rPr>
            </w:pPr>
            <w:r>
              <w:rPr>
                <w:rFonts w:hint="eastAsia" w:ascii="宋体" w:hAnsi="宋体"/>
                <w:sz w:val="18"/>
                <w:szCs w:val="18"/>
              </w:rPr>
              <w:t>10、键盘、鼠标：防水抗菌键盘、抗菌鼠标；</w:t>
            </w:r>
          </w:p>
          <w:p>
            <w:pPr>
              <w:rPr>
                <w:rFonts w:ascii="宋体" w:hAnsi="宋体"/>
                <w:sz w:val="18"/>
                <w:szCs w:val="18"/>
              </w:rPr>
            </w:pPr>
            <w:r>
              <w:rPr>
                <w:rFonts w:hint="eastAsia" w:ascii="宋体" w:hAnsi="宋体"/>
                <w:sz w:val="18"/>
                <w:szCs w:val="18"/>
              </w:rPr>
              <w:t>11、接口10个USB接口（机箱6个USB3.1接口前置，其中包含前置2个USB3.1 Gen2，要求前置USB3.1接口分离放置，互不干涉）、PS/2接口、VGA接口，可选多合一读卡器；</w:t>
            </w:r>
          </w:p>
          <w:p>
            <w:pPr>
              <w:rPr>
                <w:rFonts w:ascii="宋体" w:hAnsi="宋体"/>
                <w:sz w:val="18"/>
                <w:szCs w:val="18"/>
              </w:rPr>
            </w:pPr>
            <w:r>
              <w:rPr>
                <w:rFonts w:hint="eastAsia" w:ascii="宋体" w:hAnsi="宋体"/>
                <w:sz w:val="18"/>
                <w:szCs w:val="18"/>
              </w:rPr>
              <w:t>12、机箱：标准MATX立式机箱，顶置电源开关键，机箱体积15L ，内置不高于180W节能电源，可适应电源输入电压90V至245V恶劣供电；</w:t>
            </w:r>
          </w:p>
          <w:p>
            <w:pPr>
              <w:rPr>
                <w:rFonts w:ascii="宋体" w:hAnsi="宋体"/>
                <w:sz w:val="18"/>
                <w:szCs w:val="18"/>
              </w:rPr>
            </w:pPr>
            <w:r>
              <w:rPr>
                <w:rFonts w:hint="eastAsia" w:ascii="宋体" w:hAnsi="宋体"/>
                <w:sz w:val="18"/>
                <w:szCs w:val="18"/>
              </w:rPr>
              <w:t>★13、保障兼容性主机需配套教学云部署应用管理软件，具备网络同传及硬盘保护等功能：</w:t>
            </w:r>
          </w:p>
          <w:p>
            <w:pPr>
              <w:ind w:firstLine="180" w:firstLineChars="100"/>
              <w:rPr>
                <w:rFonts w:ascii="宋体" w:hAnsi="宋体"/>
                <w:sz w:val="18"/>
                <w:szCs w:val="18"/>
              </w:rPr>
            </w:pPr>
            <w:r>
              <w:rPr>
                <w:rFonts w:hint="eastAsia" w:ascii="宋体" w:hAnsi="宋体"/>
                <w:sz w:val="18"/>
                <w:szCs w:val="18"/>
              </w:rPr>
              <w:t>（1）通过ADS虚拟化实现所有的计算机终端集中统一管理；</w:t>
            </w:r>
          </w:p>
          <w:p>
            <w:pPr>
              <w:ind w:firstLine="180" w:firstLineChars="100"/>
              <w:rPr>
                <w:rFonts w:ascii="宋体" w:hAnsi="宋体"/>
                <w:sz w:val="18"/>
                <w:szCs w:val="18"/>
              </w:rPr>
            </w:pPr>
            <w:r>
              <w:rPr>
                <w:rFonts w:hint="eastAsia" w:ascii="宋体" w:hAnsi="宋体"/>
                <w:sz w:val="18"/>
                <w:szCs w:val="18"/>
              </w:rPr>
              <w:t>（2）不管客户端是关机或开机状态，系统都可以统一给所有客户端进行软件安装、删除等维护工作，并能不影响已经开机的客户端的正常使用，客户端开机或重启后就能使用新装软件和系统；</w:t>
            </w:r>
          </w:p>
          <w:p>
            <w:pPr>
              <w:ind w:firstLine="180" w:firstLineChars="100"/>
              <w:rPr>
                <w:rFonts w:ascii="宋体" w:hAnsi="宋体"/>
                <w:sz w:val="18"/>
                <w:szCs w:val="18"/>
              </w:rPr>
            </w:pPr>
            <w:r>
              <w:rPr>
                <w:rFonts w:hint="eastAsia" w:ascii="宋体" w:hAnsi="宋体"/>
                <w:sz w:val="18"/>
                <w:szCs w:val="18"/>
              </w:rPr>
              <w:t>（3）镜像库中的分区镜像可由任何系统调用，支持同一分区镜像供多个系统使用，达到分区共享目的，无论系统镜像如何变化，数据镜像可保持一致；</w:t>
            </w:r>
          </w:p>
          <w:p>
            <w:pPr>
              <w:ind w:firstLine="180" w:firstLineChars="100"/>
              <w:rPr>
                <w:rFonts w:ascii="宋体" w:hAnsi="宋体"/>
                <w:sz w:val="18"/>
                <w:szCs w:val="18"/>
              </w:rPr>
            </w:pPr>
            <w:r>
              <w:rPr>
                <w:rFonts w:hint="eastAsia" w:ascii="宋体" w:hAnsi="宋体"/>
                <w:sz w:val="18"/>
                <w:szCs w:val="18"/>
              </w:rPr>
              <w:t>（4）服务端以扇区流的方式，将创建的虚拟硬盘模板真实的部署到客户端，实现与系统无关性，多个系统只需要一次部署就完成；</w:t>
            </w:r>
          </w:p>
          <w:p>
            <w:pPr>
              <w:ind w:firstLine="180" w:firstLineChars="100"/>
              <w:rPr>
                <w:rFonts w:ascii="宋体" w:hAnsi="宋体"/>
                <w:sz w:val="18"/>
                <w:szCs w:val="18"/>
              </w:rPr>
            </w:pPr>
            <w:r>
              <w:rPr>
                <w:rFonts w:hint="eastAsia" w:ascii="宋体" w:hAnsi="宋体"/>
                <w:sz w:val="18"/>
                <w:szCs w:val="18"/>
              </w:rPr>
              <w:t>（5）客户端不需要对硬盘进行任何的操作，不需要分区和预装软件，连上服务端即可使用；</w:t>
            </w:r>
          </w:p>
          <w:p>
            <w:pPr>
              <w:ind w:firstLine="180" w:firstLineChars="100"/>
              <w:rPr>
                <w:rFonts w:ascii="宋体" w:hAnsi="宋体"/>
                <w:sz w:val="18"/>
                <w:szCs w:val="18"/>
              </w:rPr>
            </w:pPr>
            <w:r>
              <w:rPr>
                <w:rFonts w:hint="eastAsia" w:ascii="宋体" w:hAnsi="宋体"/>
                <w:sz w:val="18"/>
                <w:szCs w:val="18"/>
              </w:rPr>
              <w:t>（6）客户端不依赖网络和服务端可自我还原，支持分区每次、每天、每周、每月、手动等多种还原方式；</w:t>
            </w:r>
          </w:p>
          <w:p>
            <w:pPr>
              <w:ind w:firstLine="180" w:firstLineChars="1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）客户端启动界面提供管理接口，断网的情况下，管理员也可以更新系统和应用软件。</w:t>
            </w:r>
          </w:p>
          <w:p>
            <w:pPr>
              <w:rPr>
                <w:rFonts w:ascii="宋体" w:hAnsi="宋体"/>
                <w:sz w:val="18"/>
                <w:szCs w:val="18"/>
              </w:rPr>
            </w:pPr>
            <w:r>
              <w:rPr>
                <w:rFonts w:hint="eastAsia" w:ascii="宋体" w:hAnsi="宋体"/>
                <w:sz w:val="18"/>
                <w:szCs w:val="18"/>
              </w:rPr>
              <w:t>14、系统：预装</w:t>
            </w:r>
            <w:r>
              <w:rPr>
                <w:rFonts w:ascii="宋体" w:hAnsi="宋体"/>
                <w:sz w:val="18"/>
                <w:szCs w:val="18"/>
              </w:rPr>
              <w:t>Windows10</w:t>
            </w:r>
            <w:r>
              <w:rPr>
                <w:rFonts w:hint="eastAsia" w:ascii="宋体" w:hAnsi="宋体"/>
                <w:sz w:val="18"/>
                <w:szCs w:val="18"/>
              </w:rPr>
              <w:t>正版操作系统，自带系统备份；</w:t>
            </w:r>
          </w:p>
          <w:p>
            <w:pPr>
              <w:rPr>
                <w:rFonts w:ascii="宋体" w:hAnsi="宋体" w:cs="宋体"/>
                <w:szCs w:val="21"/>
              </w:rPr>
            </w:pPr>
            <w:r>
              <w:rPr>
                <w:rFonts w:hint="eastAsia" w:ascii="宋体" w:hAnsi="宋体"/>
                <w:sz w:val="18"/>
                <w:szCs w:val="18"/>
              </w:rPr>
              <w:t>★15、产品认证：投标时提供CCC认证复印件，节能认证复印件</w:t>
            </w:r>
          </w:p>
        </w:tc>
        <w:tc>
          <w:tcPr>
            <w:tcW w:w="1610" w:type="dxa"/>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123500.00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1" w:type="dxa"/>
            <w:tcMar>
              <w:top w:w="15" w:type="dxa"/>
              <w:left w:w="15" w:type="dxa"/>
              <w:right w:w="15" w:type="dxa"/>
            </w:tcMar>
            <w:vAlign w:val="center"/>
          </w:tcPr>
          <w:p>
            <w:pPr>
              <w:widowControl/>
              <w:wordWrap w:val="0"/>
              <w:adjustRightInd w:val="0"/>
              <w:snapToGrid w:val="0"/>
              <w:spacing w:line="440" w:lineRule="exact"/>
              <w:jc w:val="center"/>
              <w:textAlignment w:val="center"/>
              <w:rPr>
                <w:rFonts w:ascii="宋体" w:hAnsi="宋体" w:cs="宋体"/>
                <w:b/>
                <w:bCs/>
                <w:szCs w:val="21"/>
              </w:rPr>
            </w:pPr>
            <w:r>
              <w:rPr>
                <w:rFonts w:hint="eastAsia" w:ascii="宋体" w:hAnsi="宋体" w:cs="宋体"/>
                <w:b/>
                <w:bCs/>
                <w:szCs w:val="21"/>
              </w:rPr>
              <w:t>11</w:t>
            </w:r>
          </w:p>
        </w:tc>
        <w:tc>
          <w:tcPr>
            <w:tcW w:w="1325" w:type="dxa"/>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交换机</w:t>
            </w:r>
          </w:p>
        </w:tc>
        <w:tc>
          <w:tcPr>
            <w:tcW w:w="706" w:type="dxa"/>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2台</w:t>
            </w:r>
          </w:p>
        </w:tc>
        <w:tc>
          <w:tcPr>
            <w:tcW w:w="1819" w:type="dxa"/>
            <w:tcMar>
              <w:top w:w="15" w:type="dxa"/>
              <w:left w:w="15" w:type="dxa"/>
              <w:right w:w="15" w:type="dxa"/>
            </w:tcMar>
            <w:vAlign w:val="center"/>
          </w:tcPr>
          <w:p>
            <w:pPr>
              <w:rPr>
                <w:rFonts w:ascii="宋体" w:hAnsi="宋体" w:cs="宋体"/>
                <w:kern w:val="0"/>
                <w:szCs w:val="21"/>
              </w:rPr>
            </w:pPr>
            <w:r>
              <w:rPr>
                <w:rFonts w:hint="eastAsia" w:ascii="宋体" w:hAnsi="宋体" w:cs="宋体"/>
                <w:szCs w:val="21"/>
              </w:rPr>
              <w:t>中兴、锐捷、华为等同档次品牌</w:t>
            </w:r>
          </w:p>
        </w:tc>
        <w:tc>
          <w:tcPr>
            <w:tcW w:w="4768" w:type="dxa"/>
            <w:tcMar>
              <w:top w:w="15" w:type="dxa"/>
              <w:left w:w="15" w:type="dxa"/>
              <w:right w:w="15" w:type="dxa"/>
            </w:tcMar>
            <w:vAlign w:val="center"/>
          </w:tcPr>
          <w:p>
            <w:pPr>
              <w:rPr>
                <w:rFonts w:ascii="宋体" w:hAnsi="宋体"/>
                <w:sz w:val="18"/>
                <w:szCs w:val="18"/>
              </w:rPr>
            </w:pPr>
            <w:r>
              <w:rPr>
                <w:rFonts w:hint="eastAsia" w:ascii="宋体" w:hAnsi="宋体"/>
                <w:sz w:val="18"/>
                <w:szCs w:val="18"/>
              </w:rPr>
              <w:t>1、交换容量≥336Gbps</w:t>
            </w:r>
          </w:p>
          <w:p>
            <w:pPr>
              <w:rPr>
                <w:rFonts w:ascii="宋体" w:hAnsi="宋体"/>
                <w:sz w:val="18"/>
                <w:szCs w:val="18"/>
              </w:rPr>
            </w:pPr>
            <w:r>
              <w:rPr>
                <w:rFonts w:hint="eastAsia" w:ascii="宋体" w:hAnsi="宋体"/>
                <w:sz w:val="18"/>
                <w:szCs w:val="18"/>
              </w:rPr>
              <w:t>2、转发性能≥96Mpps</w:t>
            </w:r>
          </w:p>
          <w:p>
            <w:pPr>
              <w:rPr>
                <w:rFonts w:ascii="宋体" w:hAnsi="宋体"/>
                <w:sz w:val="18"/>
                <w:szCs w:val="18"/>
              </w:rPr>
            </w:pPr>
            <w:r>
              <w:rPr>
                <w:rFonts w:hint="eastAsia" w:ascii="宋体" w:hAnsi="宋体"/>
                <w:sz w:val="18"/>
                <w:szCs w:val="18"/>
              </w:rPr>
              <w:t>3、为了提高设备可靠性，支持双电源冗余，可视为内置电源与RPS冗余</w:t>
            </w:r>
          </w:p>
          <w:p>
            <w:pPr>
              <w:rPr>
                <w:rFonts w:ascii="宋体" w:hAnsi="宋体"/>
                <w:sz w:val="18"/>
                <w:szCs w:val="18"/>
              </w:rPr>
            </w:pPr>
            <w:r>
              <w:rPr>
                <w:rFonts w:hint="eastAsia" w:ascii="宋体" w:hAnsi="宋体"/>
                <w:sz w:val="18"/>
                <w:szCs w:val="18"/>
              </w:rPr>
              <w:t>4、16个10/100/1000Base-T以太网端口，4个千兆SFP</w:t>
            </w:r>
          </w:p>
          <w:p>
            <w:pPr>
              <w:rPr>
                <w:rFonts w:ascii="宋体" w:hAnsi="宋体"/>
                <w:sz w:val="18"/>
                <w:szCs w:val="18"/>
              </w:rPr>
            </w:pPr>
            <w:r>
              <w:rPr>
                <w:rFonts w:hint="eastAsia" w:ascii="宋体" w:hAnsi="宋体"/>
                <w:sz w:val="18"/>
                <w:szCs w:val="18"/>
              </w:rPr>
              <w:t>5、支持console口，管理网口和U盘开局并都位于设备前面板，便于维护</w:t>
            </w:r>
          </w:p>
          <w:p>
            <w:pPr>
              <w:rPr>
                <w:rFonts w:ascii="宋体" w:hAnsi="宋体"/>
                <w:sz w:val="18"/>
                <w:szCs w:val="18"/>
              </w:rPr>
            </w:pPr>
            <w:r>
              <w:rPr>
                <w:rFonts w:hint="eastAsia" w:ascii="宋体" w:hAnsi="宋体"/>
                <w:sz w:val="18"/>
                <w:szCs w:val="18"/>
              </w:rPr>
              <w:t>6、MAC地址规格≥16K</w:t>
            </w:r>
          </w:p>
          <w:p>
            <w:pPr>
              <w:rPr>
                <w:rFonts w:ascii="宋体" w:hAnsi="宋体"/>
                <w:sz w:val="18"/>
                <w:szCs w:val="18"/>
              </w:rPr>
            </w:pPr>
            <w:r>
              <w:rPr>
                <w:rFonts w:hint="eastAsia" w:ascii="宋体" w:hAnsi="宋体"/>
                <w:sz w:val="18"/>
                <w:szCs w:val="18"/>
              </w:rPr>
              <w:t xml:space="preserve">7、支持ARP表项规格≥4K </w:t>
            </w:r>
          </w:p>
          <w:p>
            <w:pPr>
              <w:rPr>
                <w:rFonts w:ascii="宋体" w:hAnsi="宋体"/>
                <w:sz w:val="18"/>
                <w:szCs w:val="18"/>
              </w:rPr>
            </w:pPr>
            <w:r>
              <w:rPr>
                <w:rFonts w:hint="eastAsia" w:ascii="宋体" w:hAnsi="宋体"/>
                <w:sz w:val="18"/>
                <w:szCs w:val="18"/>
              </w:rPr>
              <w:t xml:space="preserve">8、支持1:1和N:1 VLAN Mapping功能支持静态路由、RIPv1/2、RIPng、OSPF、OSPFv3、9、ISIS、ISISv6、BGP、BGP4+ ,支持Ipv4路由表≥8K，Ipv6路由表≥2K </w:t>
            </w:r>
          </w:p>
          <w:p>
            <w:pPr>
              <w:rPr>
                <w:rFonts w:ascii="宋体" w:hAnsi="宋体"/>
                <w:sz w:val="18"/>
                <w:szCs w:val="18"/>
              </w:rPr>
            </w:pPr>
            <w:r>
              <w:rPr>
                <w:rFonts w:hint="eastAsia" w:ascii="宋体" w:hAnsi="宋体"/>
                <w:sz w:val="18"/>
                <w:szCs w:val="18"/>
              </w:rPr>
              <w:t>10、支持IPv4/IPv6双协议栈，支持6to4、ISATAP、手动配置tunnel</w:t>
            </w:r>
          </w:p>
          <w:p>
            <w:pPr>
              <w:rPr>
                <w:rFonts w:ascii="宋体" w:hAnsi="宋体"/>
                <w:sz w:val="18"/>
                <w:szCs w:val="18"/>
              </w:rPr>
            </w:pPr>
            <w:r>
              <w:rPr>
                <w:rFonts w:hint="eastAsia" w:ascii="宋体" w:hAnsi="宋体"/>
                <w:sz w:val="18"/>
                <w:szCs w:val="18"/>
              </w:rPr>
              <w:t>11、支持DHCPv4/v6 client/relay/server/snooping</w:t>
            </w:r>
          </w:p>
          <w:p>
            <w:pPr>
              <w:rPr>
                <w:rFonts w:ascii="宋体" w:hAnsi="宋体"/>
                <w:sz w:val="18"/>
                <w:szCs w:val="18"/>
              </w:rPr>
            </w:pPr>
            <w:r>
              <w:rPr>
                <w:rFonts w:hint="eastAsia" w:ascii="宋体" w:hAnsi="宋体"/>
                <w:sz w:val="18"/>
                <w:szCs w:val="18"/>
              </w:rPr>
              <w:t>12、支持三层组播功能</w:t>
            </w:r>
          </w:p>
          <w:p>
            <w:pPr>
              <w:rPr>
                <w:rFonts w:ascii="宋体" w:hAnsi="宋体"/>
                <w:sz w:val="18"/>
                <w:szCs w:val="18"/>
              </w:rPr>
            </w:pPr>
            <w:r>
              <w:rPr>
                <w:rFonts w:hint="eastAsia" w:ascii="宋体" w:hAnsi="宋体"/>
                <w:sz w:val="18"/>
                <w:szCs w:val="18"/>
              </w:rPr>
              <w:t>13、支持 PIM DM、PIM SM、PIM SSM</w:t>
            </w:r>
          </w:p>
          <w:p>
            <w:pPr>
              <w:rPr>
                <w:rFonts w:ascii="宋体" w:hAnsi="宋体"/>
                <w:sz w:val="18"/>
                <w:szCs w:val="18"/>
              </w:rPr>
            </w:pPr>
            <w:r>
              <w:rPr>
                <w:rFonts w:hint="eastAsia" w:ascii="宋体" w:hAnsi="宋体"/>
                <w:sz w:val="18"/>
                <w:szCs w:val="18"/>
              </w:rPr>
              <w:t>14、支持dot1X、MAC认证和Portal认证</w:t>
            </w:r>
          </w:p>
          <w:p>
            <w:pPr>
              <w:rPr>
                <w:rFonts w:ascii="宋体" w:hAnsi="宋体"/>
                <w:sz w:val="18"/>
                <w:szCs w:val="18"/>
              </w:rPr>
            </w:pPr>
            <w:r>
              <w:rPr>
                <w:rFonts w:hint="eastAsia" w:ascii="宋体" w:hAnsi="宋体"/>
                <w:sz w:val="18"/>
                <w:szCs w:val="18"/>
              </w:rPr>
              <w:t>15、支持端口隔离、端口安全、Sticky MAC</w:t>
            </w:r>
          </w:p>
          <w:p>
            <w:pPr>
              <w:rPr>
                <w:rFonts w:ascii="宋体" w:hAnsi="宋体"/>
                <w:sz w:val="18"/>
                <w:szCs w:val="18"/>
              </w:rPr>
            </w:pPr>
            <w:r>
              <w:rPr>
                <w:rFonts w:hint="eastAsia" w:ascii="宋体" w:hAnsi="宋体"/>
                <w:sz w:val="18"/>
                <w:szCs w:val="18"/>
              </w:rPr>
              <w:t>16、支持DHCPv6 snooping、ND snooping、SAVI、MFF，支持CPU保护功能</w:t>
            </w:r>
          </w:p>
          <w:p>
            <w:pPr>
              <w:rPr>
                <w:rFonts w:ascii="宋体" w:hAnsi="宋体"/>
                <w:sz w:val="18"/>
                <w:szCs w:val="18"/>
              </w:rPr>
            </w:pPr>
            <w:r>
              <w:rPr>
                <w:rFonts w:hint="eastAsia" w:ascii="宋体" w:hAnsi="宋体"/>
                <w:sz w:val="18"/>
                <w:szCs w:val="18"/>
              </w:rPr>
              <w:t>17、支持G.8032开放环或SEP、REP半环协议,可与其他厂商设备混合组网，要求倒换时间≤50ms。</w:t>
            </w:r>
          </w:p>
          <w:p>
            <w:pPr>
              <w:rPr>
                <w:rFonts w:ascii="宋体" w:hAnsi="宋体"/>
                <w:sz w:val="18"/>
                <w:szCs w:val="18"/>
              </w:rPr>
            </w:pPr>
            <w:r>
              <w:rPr>
                <w:rFonts w:hint="eastAsia" w:ascii="宋体" w:hAnsi="宋体"/>
                <w:sz w:val="18"/>
                <w:szCs w:val="18"/>
              </w:rPr>
              <w:t>18、支持堆叠，主机堆叠数不小于9台</w:t>
            </w:r>
          </w:p>
          <w:p>
            <w:pPr>
              <w:rPr>
                <w:rFonts w:ascii="宋体" w:hAnsi="宋体"/>
                <w:sz w:val="18"/>
                <w:szCs w:val="18"/>
              </w:rPr>
            </w:pPr>
            <w:r>
              <w:rPr>
                <w:rFonts w:hint="eastAsia" w:ascii="宋体" w:hAnsi="宋体"/>
                <w:sz w:val="18"/>
                <w:szCs w:val="18"/>
              </w:rPr>
              <w:t>19、支持纵向虚拟化，作为纵向子节点零配置即插即用，支持SNMP v1/v2/v3、Telnet、RMON、SSHv2；</w:t>
            </w:r>
          </w:p>
          <w:p>
            <w:pPr>
              <w:rPr>
                <w:rFonts w:ascii="宋体" w:hAnsi="宋体"/>
                <w:sz w:val="18"/>
                <w:szCs w:val="18"/>
              </w:rPr>
            </w:pPr>
            <w:r>
              <w:rPr>
                <w:rFonts w:hint="eastAsia" w:ascii="宋体" w:hAnsi="宋体"/>
                <w:sz w:val="18"/>
                <w:szCs w:val="18"/>
              </w:rPr>
              <w:t>20、支持通过命令行、Web、中文图形化配置软件等方式进行配置和管理；</w:t>
            </w:r>
          </w:p>
          <w:p>
            <w:pPr>
              <w:rPr>
                <w:rFonts w:ascii="宋体" w:hAnsi="宋体"/>
                <w:sz w:val="18"/>
                <w:szCs w:val="18"/>
              </w:rPr>
            </w:pPr>
            <w:r>
              <w:rPr>
                <w:rFonts w:hint="eastAsia" w:ascii="宋体" w:hAnsi="宋体"/>
                <w:sz w:val="18"/>
                <w:szCs w:val="18"/>
              </w:rPr>
              <w:t>21、支持集群管理；</w:t>
            </w:r>
          </w:p>
          <w:p>
            <w:pPr>
              <w:rPr>
                <w:rFonts w:ascii="宋体" w:hAnsi="宋体"/>
                <w:sz w:val="18"/>
                <w:szCs w:val="18"/>
              </w:rPr>
            </w:pPr>
            <w:r>
              <w:rPr>
                <w:rFonts w:hint="eastAsia" w:ascii="宋体" w:hAnsi="宋体"/>
                <w:sz w:val="18"/>
                <w:szCs w:val="18"/>
              </w:rPr>
              <w:t>22、支持基于IPv6的管理；</w:t>
            </w:r>
          </w:p>
          <w:p>
            <w:pPr>
              <w:rPr>
                <w:rFonts w:ascii="宋体" w:hAnsi="宋体" w:cs="宋体"/>
                <w:szCs w:val="21"/>
              </w:rPr>
            </w:pPr>
            <w:r>
              <w:rPr>
                <w:rFonts w:hint="eastAsia" w:ascii="宋体" w:hAnsi="宋体"/>
                <w:sz w:val="18"/>
                <w:szCs w:val="18"/>
              </w:rPr>
              <w:t>23、支持带外管理以太网口；</w:t>
            </w:r>
          </w:p>
        </w:tc>
        <w:tc>
          <w:tcPr>
            <w:tcW w:w="1610" w:type="dxa"/>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1" w:type="dxa"/>
            <w:tcMar>
              <w:top w:w="15" w:type="dxa"/>
              <w:left w:w="15" w:type="dxa"/>
              <w:right w:w="15" w:type="dxa"/>
            </w:tcMar>
            <w:vAlign w:val="center"/>
          </w:tcPr>
          <w:p>
            <w:pPr>
              <w:widowControl/>
              <w:wordWrap w:val="0"/>
              <w:adjustRightInd w:val="0"/>
              <w:snapToGrid w:val="0"/>
              <w:spacing w:line="440" w:lineRule="exact"/>
              <w:jc w:val="center"/>
              <w:textAlignment w:val="center"/>
              <w:rPr>
                <w:rFonts w:ascii="宋体" w:hAnsi="宋体" w:cs="宋体"/>
                <w:b/>
                <w:bCs/>
                <w:szCs w:val="21"/>
              </w:rPr>
            </w:pPr>
            <w:r>
              <w:rPr>
                <w:rFonts w:hint="eastAsia" w:ascii="宋体" w:hAnsi="宋体" w:cs="宋体"/>
                <w:b/>
                <w:bCs/>
                <w:szCs w:val="21"/>
              </w:rPr>
              <w:t>12</w:t>
            </w:r>
          </w:p>
        </w:tc>
        <w:tc>
          <w:tcPr>
            <w:tcW w:w="1325" w:type="dxa"/>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氛围装饰</w:t>
            </w:r>
          </w:p>
        </w:tc>
        <w:tc>
          <w:tcPr>
            <w:tcW w:w="706" w:type="dxa"/>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1项</w:t>
            </w:r>
          </w:p>
        </w:tc>
        <w:tc>
          <w:tcPr>
            <w:tcW w:w="1819" w:type="dxa"/>
            <w:tcMar>
              <w:top w:w="15" w:type="dxa"/>
              <w:left w:w="15" w:type="dxa"/>
              <w:right w:w="15" w:type="dxa"/>
            </w:tcMar>
            <w:vAlign w:val="center"/>
          </w:tcPr>
          <w:p>
            <w:pPr>
              <w:jc w:val="center"/>
              <w:rPr>
                <w:rFonts w:ascii="宋体" w:hAnsi="宋体" w:cs="宋体"/>
                <w:kern w:val="0"/>
                <w:szCs w:val="21"/>
              </w:rPr>
            </w:pPr>
            <w:r>
              <w:rPr>
                <w:rFonts w:hint="eastAsia" w:ascii="宋体" w:hAnsi="宋体" w:cs="宋体"/>
                <w:szCs w:val="21"/>
              </w:rPr>
              <w:t>定制</w:t>
            </w:r>
          </w:p>
        </w:tc>
        <w:tc>
          <w:tcPr>
            <w:tcW w:w="4768" w:type="dxa"/>
            <w:tcMar>
              <w:top w:w="15" w:type="dxa"/>
              <w:left w:w="15" w:type="dxa"/>
              <w:right w:w="15" w:type="dxa"/>
            </w:tcMar>
            <w:vAlign w:val="center"/>
          </w:tcPr>
          <w:p>
            <w:pPr>
              <w:rPr>
                <w:rFonts w:ascii="宋体" w:hAnsi="宋体"/>
                <w:sz w:val="18"/>
                <w:szCs w:val="18"/>
                <w:u w:val="single"/>
              </w:rPr>
            </w:pPr>
            <w:r>
              <w:rPr>
                <w:rFonts w:hint="eastAsia" w:ascii="宋体" w:hAnsi="宋体"/>
                <w:sz w:val="18"/>
                <w:szCs w:val="18"/>
              </w:rPr>
              <w:t>1、2间AI实训室统一主体色彩格栅吊顶改造；</w:t>
            </w:r>
            <w:r>
              <w:rPr>
                <w:rFonts w:hint="eastAsia" w:ascii="宋体" w:hAnsi="宋体"/>
                <w:sz w:val="18"/>
                <w:szCs w:val="18"/>
              </w:rPr>
              <w:br w:type="textWrapping"/>
            </w:r>
            <w:r>
              <w:rPr>
                <w:rFonts w:hint="eastAsia" w:ascii="宋体" w:hAnsi="宋体"/>
                <w:sz w:val="18"/>
                <w:szCs w:val="18"/>
              </w:rPr>
              <w:t>2、2间AI实训室统一四周墙面新包裹造型埃特板做底板，轻钢龙骨固定；</w:t>
            </w:r>
            <w:r>
              <w:rPr>
                <w:rFonts w:hint="eastAsia" w:ascii="宋体" w:hAnsi="宋体"/>
                <w:sz w:val="18"/>
                <w:szCs w:val="18"/>
              </w:rPr>
              <w:br w:type="textWrapping"/>
            </w:r>
            <w:r>
              <w:rPr>
                <w:rFonts w:hint="eastAsia" w:ascii="宋体" w:hAnsi="宋体"/>
                <w:sz w:val="18"/>
                <w:szCs w:val="18"/>
              </w:rPr>
              <w:t>3、2间AI实训室统一四周墙面设置九厘板和石膏板打底的新的文化宣传框；</w:t>
            </w:r>
            <w:r>
              <w:rPr>
                <w:rFonts w:hint="eastAsia" w:ascii="宋体" w:hAnsi="宋体"/>
                <w:sz w:val="18"/>
                <w:szCs w:val="18"/>
              </w:rPr>
              <w:br w:type="textWrapping"/>
            </w:r>
            <w:r>
              <w:rPr>
                <w:rFonts w:hint="eastAsia" w:ascii="宋体" w:hAnsi="宋体"/>
                <w:sz w:val="18"/>
                <w:szCs w:val="18"/>
              </w:rPr>
              <w:t>4、实训室背部造型置物架；</w:t>
            </w:r>
            <w:r>
              <w:rPr>
                <w:rFonts w:hint="eastAsia" w:ascii="宋体" w:hAnsi="宋体"/>
                <w:sz w:val="18"/>
                <w:szCs w:val="18"/>
              </w:rPr>
              <w:br w:type="textWrapping"/>
            </w:r>
            <w:r>
              <w:rPr>
                <w:rFonts w:hint="eastAsia" w:ascii="宋体" w:hAnsi="宋体"/>
                <w:sz w:val="18"/>
                <w:szCs w:val="18"/>
              </w:rPr>
              <w:t>5、必要的logo射灯。</w:t>
            </w:r>
          </w:p>
          <w:p>
            <w:pPr>
              <w:rPr>
                <w:rFonts w:ascii="宋体" w:hAnsi="宋体"/>
                <w:sz w:val="18"/>
                <w:szCs w:val="18"/>
              </w:rPr>
            </w:pPr>
            <w:r>
              <w:rPr>
                <w:rFonts w:hint="eastAsia" w:ascii="宋体" w:hAnsi="宋体"/>
                <w:sz w:val="18"/>
                <w:szCs w:val="18"/>
              </w:rPr>
              <w:t>6、铁艺玄关带装饰绿植隔断；</w:t>
            </w:r>
            <w:r>
              <w:rPr>
                <w:rFonts w:hint="eastAsia" w:ascii="宋体" w:hAnsi="宋体"/>
                <w:sz w:val="18"/>
                <w:szCs w:val="18"/>
              </w:rPr>
              <w:br w:type="textWrapping"/>
            </w:r>
            <w:r>
              <w:rPr>
                <w:rFonts w:ascii="宋体" w:hAnsi="宋体"/>
                <w:sz w:val="18"/>
                <w:szCs w:val="18"/>
              </w:rPr>
              <w:t>7</w:t>
            </w:r>
            <w:r>
              <w:rPr>
                <w:rFonts w:hint="eastAsia" w:ascii="宋体" w:hAnsi="宋体"/>
                <w:sz w:val="18"/>
                <w:szCs w:val="18"/>
              </w:rPr>
              <w:t>、钢化玻璃门改造。</w:t>
            </w:r>
          </w:p>
          <w:p>
            <w:pPr>
              <w:rPr>
                <w:rFonts w:ascii="宋体" w:hAnsi="宋体" w:cs="宋体"/>
                <w:szCs w:val="21"/>
              </w:rPr>
            </w:pPr>
            <w:r>
              <w:rPr>
                <w:rFonts w:hint="eastAsia" w:ascii="宋体" w:hAnsi="宋体"/>
                <w:sz w:val="18"/>
                <w:szCs w:val="18"/>
              </w:rPr>
              <w:t>★</w:t>
            </w:r>
            <w:r>
              <w:rPr>
                <w:rFonts w:ascii="宋体" w:hAnsi="宋体"/>
                <w:sz w:val="18"/>
                <w:szCs w:val="18"/>
              </w:rPr>
              <w:t>8</w:t>
            </w:r>
            <w:r>
              <w:rPr>
                <w:rFonts w:hint="eastAsia" w:ascii="宋体" w:hAnsi="宋体"/>
                <w:sz w:val="18"/>
                <w:szCs w:val="18"/>
              </w:rPr>
              <w:t>、装修的方案、设计图、使用的材料的材质和规格须经采购方审核通过后方可实施。</w:t>
            </w:r>
          </w:p>
        </w:tc>
        <w:tc>
          <w:tcPr>
            <w:tcW w:w="1610" w:type="dxa"/>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21" w:type="dxa"/>
            <w:tcMar>
              <w:top w:w="15" w:type="dxa"/>
              <w:left w:w="15" w:type="dxa"/>
              <w:right w:w="15" w:type="dxa"/>
            </w:tcMar>
            <w:vAlign w:val="center"/>
          </w:tcPr>
          <w:p>
            <w:pPr>
              <w:widowControl/>
              <w:wordWrap w:val="0"/>
              <w:adjustRightInd w:val="0"/>
              <w:snapToGrid w:val="0"/>
              <w:spacing w:line="440" w:lineRule="exact"/>
              <w:jc w:val="center"/>
              <w:textAlignment w:val="center"/>
              <w:rPr>
                <w:rFonts w:ascii="宋体" w:hAnsi="宋体" w:cs="宋体"/>
                <w:b/>
                <w:bCs/>
                <w:szCs w:val="21"/>
              </w:rPr>
            </w:pPr>
            <w:r>
              <w:rPr>
                <w:rFonts w:hint="eastAsia" w:ascii="宋体" w:hAnsi="宋体" w:cs="宋体"/>
                <w:b/>
                <w:bCs/>
                <w:szCs w:val="21"/>
              </w:rPr>
              <w:t>13</w:t>
            </w:r>
          </w:p>
        </w:tc>
        <w:tc>
          <w:tcPr>
            <w:tcW w:w="1325" w:type="dxa"/>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技术服务</w:t>
            </w:r>
          </w:p>
        </w:tc>
        <w:tc>
          <w:tcPr>
            <w:tcW w:w="706" w:type="dxa"/>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1项</w:t>
            </w:r>
          </w:p>
        </w:tc>
        <w:tc>
          <w:tcPr>
            <w:tcW w:w="1819" w:type="dxa"/>
            <w:tcMar>
              <w:top w:w="15" w:type="dxa"/>
              <w:left w:w="15" w:type="dxa"/>
              <w:right w:w="15" w:type="dxa"/>
            </w:tcMar>
            <w:vAlign w:val="center"/>
          </w:tcPr>
          <w:p>
            <w:pPr>
              <w:jc w:val="center"/>
              <w:rPr>
                <w:rFonts w:ascii="宋体" w:hAnsi="宋体" w:cs="宋体"/>
                <w:kern w:val="0"/>
                <w:szCs w:val="21"/>
              </w:rPr>
            </w:pPr>
            <w:r>
              <w:rPr>
                <w:rFonts w:hint="eastAsia" w:ascii="宋体" w:hAnsi="宋体" w:cs="宋体"/>
                <w:szCs w:val="21"/>
              </w:rPr>
              <w:t>定制</w:t>
            </w:r>
          </w:p>
        </w:tc>
        <w:tc>
          <w:tcPr>
            <w:tcW w:w="4768" w:type="dxa"/>
            <w:tcMar>
              <w:top w:w="15" w:type="dxa"/>
              <w:left w:w="15" w:type="dxa"/>
              <w:right w:w="15" w:type="dxa"/>
            </w:tcMar>
            <w:vAlign w:val="center"/>
          </w:tcPr>
          <w:p>
            <w:pPr>
              <w:rPr>
                <w:rFonts w:ascii="宋体" w:hAnsi="宋体"/>
                <w:sz w:val="18"/>
                <w:szCs w:val="18"/>
              </w:rPr>
            </w:pPr>
            <w:r>
              <w:rPr>
                <w:rFonts w:hint="eastAsia" w:ascii="宋体" w:hAnsi="宋体"/>
                <w:sz w:val="18"/>
                <w:szCs w:val="18"/>
              </w:rPr>
              <w:t>1、系统集成，四周墙面设置新的文化宣传UV；</w:t>
            </w:r>
            <w:r>
              <w:rPr>
                <w:rFonts w:hint="eastAsia" w:ascii="宋体" w:hAnsi="宋体"/>
                <w:sz w:val="18"/>
                <w:szCs w:val="18"/>
              </w:rPr>
              <w:br w:type="textWrapping"/>
            </w:r>
            <w:r>
              <w:rPr>
                <w:rFonts w:ascii="宋体" w:hAnsi="宋体"/>
                <w:sz w:val="18"/>
                <w:szCs w:val="18"/>
              </w:rPr>
              <w:t>2</w:t>
            </w:r>
            <w:r>
              <w:rPr>
                <w:rFonts w:hint="eastAsia" w:ascii="宋体" w:hAnsi="宋体"/>
                <w:sz w:val="18"/>
                <w:szCs w:val="18"/>
              </w:rPr>
              <w:t>、50位氛围桌椅</w:t>
            </w:r>
          </w:p>
          <w:p>
            <w:pPr>
              <w:rPr>
                <w:rFonts w:ascii="宋体" w:hAnsi="宋体" w:cs="宋体"/>
                <w:szCs w:val="21"/>
              </w:rPr>
            </w:pPr>
            <w:r>
              <w:rPr>
                <w:rFonts w:hint="eastAsia" w:ascii="宋体" w:hAnsi="宋体"/>
                <w:sz w:val="18"/>
                <w:szCs w:val="18"/>
              </w:rPr>
              <w:t>★</w:t>
            </w:r>
            <w:r>
              <w:rPr>
                <w:rFonts w:ascii="宋体" w:hAnsi="宋体"/>
                <w:sz w:val="18"/>
                <w:szCs w:val="18"/>
              </w:rPr>
              <w:t>3</w:t>
            </w:r>
            <w:r>
              <w:rPr>
                <w:rFonts w:hint="eastAsia" w:ascii="宋体" w:hAnsi="宋体"/>
                <w:sz w:val="18"/>
                <w:szCs w:val="18"/>
              </w:rPr>
              <w:t>、技术服务的方案、设计图、使用的材料的材质和规格须经采购方审核通过后方可实施。</w:t>
            </w:r>
          </w:p>
        </w:tc>
        <w:tc>
          <w:tcPr>
            <w:tcW w:w="1610" w:type="dxa"/>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63000.00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2652" w:type="dxa"/>
            <w:gridSpan w:val="3"/>
            <w:tcMar>
              <w:top w:w="15" w:type="dxa"/>
              <w:left w:w="15" w:type="dxa"/>
              <w:right w:w="15" w:type="dxa"/>
            </w:tcMar>
            <w:vAlign w:val="center"/>
          </w:tcPr>
          <w:p>
            <w:pPr>
              <w:widowControl/>
              <w:topLinePunct/>
              <w:spacing w:line="440" w:lineRule="exact"/>
              <w:jc w:val="center"/>
              <w:rPr>
                <w:rFonts w:ascii="宋体" w:hAnsi="宋体" w:cs="宋体"/>
                <w:szCs w:val="21"/>
              </w:rPr>
            </w:pPr>
            <w:r>
              <w:rPr>
                <w:rFonts w:hint="eastAsia" w:ascii="宋体" w:hAnsi="宋体" w:cs="宋体"/>
                <w:szCs w:val="21"/>
              </w:rPr>
              <w:t>本项目最高限价合计（元）</w:t>
            </w:r>
          </w:p>
        </w:tc>
        <w:tc>
          <w:tcPr>
            <w:tcW w:w="8197" w:type="dxa"/>
            <w:gridSpan w:val="3"/>
            <w:tcMar>
              <w:top w:w="15" w:type="dxa"/>
              <w:left w:w="15" w:type="dxa"/>
              <w:right w:w="15" w:type="dxa"/>
            </w:tcMar>
            <w:vAlign w:val="center"/>
          </w:tcPr>
          <w:p>
            <w:pPr>
              <w:widowControl/>
              <w:topLinePunct/>
              <w:spacing w:line="440" w:lineRule="exact"/>
              <w:jc w:val="left"/>
              <w:rPr>
                <w:rFonts w:ascii="宋体" w:hAnsi="宋体" w:cs="宋体"/>
                <w:szCs w:val="21"/>
              </w:rPr>
            </w:pPr>
            <w:r>
              <w:rPr>
                <w:rFonts w:hint="eastAsia" w:ascii="宋体" w:hAnsi="宋体" w:cs="宋体"/>
                <w:color w:val="000000" w:themeColor="text1"/>
                <w:szCs w:val="21"/>
              </w:rPr>
              <w:t>人民币壹佰伍拾万元整（1,500,000.00）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620" w:type="dxa"/>
            <w:tcMar>
              <w:top w:w="15" w:type="dxa"/>
              <w:left w:w="15" w:type="dxa"/>
              <w:right w:w="15" w:type="dxa"/>
            </w:tcMar>
            <w:vAlign w:val="center"/>
          </w:tcPr>
          <w:p>
            <w:pPr>
              <w:tabs>
                <w:tab w:val="left" w:pos="1440"/>
              </w:tabs>
              <w:topLinePunct/>
              <w:spacing w:line="440" w:lineRule="exact"/>
              <w:jc w:val="center"/>
              <w:rPr>
                <w:rFonts w:ascii="宋体" w:hAnsi="宋体" w:cs="宋体"/>
                <w:b/>
                <w:bCs/>
                <w:kern w:val="0"/>
                <w:szCs w:val="21"/>
              </w:rPr>
            </w:pPr>
            <w:r>
              <w:rPr>
                <w:rFonts w:hint="eastAsia" w:ascii="宋体" w:hAnsi="宋体" w:cs="宋体"/>
                <w:b/>
                <w:bCs/>
                <w:kern w:val="0"/>
                <w:szCs w:val="21"/>
              </w:rPr>
              <w:t>商</w:t>
            </w:r>
          </w:p>
          <w:p>
            <w:pPr>
              <w:tabs>
                <w:tab w:val="left" w:pos="1440"/>
              </w:tabs>
              <w:topLinePunct/>
              <w:spacing w:line="440" w:lineRule="exact"/>
              <w:jc w:val="center"/>
              <w:rPr>
                <w:rFonts w:ascii="宋体" w:hAnsi="宋体" w:cs="宋体"/>
                <w:b/>
                <w:bCs/>
                <w:kern w:val="0"/>
                <w:szCs w:val="21"/>
              </w:rPr>
            </w:pPr>
            <w:r>
              <w:rPr>
                <w:rFonts w:hint="eastAsia" w:ascii="宋体" w:hAnsi="宋体" w:cs="宋体"/>
                <w:b/>
                <w:bCs/>
                <w:kern w:val="0"/>
                <w:szCs w:val="21"/>
              </w:rPr>
              <w:t>务</w:t>
            </w:r>
          </w:p>
          <w:p>
            <w:pPr>
              <w:tabs>
                <w:tab w:val="left" w:pos="1440"/>
              </w:tabs>
              <w:topLinePunct/>
              <w:spacing w:line="440" w:lineRule="exact"/>
              <w:jc w:val="center"/>
              <w:rPr>
                <w:rFonts w:ascii="宋体" w:hAnsi="宋体" w:cs="宋体"/>
                <w:b/>
                <w:bCs/>
                <w:kern w:val="0"/>
                <w:szCs w:val="21"/>
              </w:rPr>
            </w:pPr>
            <w:r>
              <w:rPr>
                <w:rFonts w:hint="eastAsia" w:ascii="宋体" w:hAnsi="宋体" w:cs="宋体"/>
                <w:b/>
                <w:bCs/>
                <w:kern w:val="0"/>
                <w:szCs w:val="21"/>
              </w:rPr>
              <w:t>条</w:t>
            </w:r>
          </w:p>
          <w:p>
            <w:pPr>
              <w:widowControl/>
              <w:wordWrap w:val="0"/>
              <w:adjustRightInd w:val="0"/>
              <w:snapToGrid w:val="0"/>
              <w:spacing w:line="440" w:lineRule="exact"/>
              <w:jc w:val="center"/>
              <w:textAlignment w:val="center"/>
              <w:rPr>
                <w:rFonts w:ascii="宋体" w:hAnsi="宋体" w:cs="宋体"/>
                <w:szCs w:val="21"/>
              </w:rPr>
            </w:pPr>
            <w:r>
              <w:rPr>
                <w:rFonts w:hint="eastAsia" w:ascii="宋体" w:hAnsi="宋体" w:cs="宋体"/>
                <w:b/>
                <w:bCs/>
                <w:kern w:val="0"/>
                <w:szCs w:val="21"/>
              </w:rPr>
              <w:t>款</w:t>
            </w:r>
          </w:p>
        </w:tc>
        <w:tc>
          <w:tcPr>
            <w:tcW w:w="10229" w:type="dxa"/>
            <w:gridSpan w:val="5"/>
            <w:tcMar>
              <w:top w:w="15" w:type="dxa"/>
              <w:left w:w="15" w:type="dxa"/>
              <w:right w:w="15" w:type="dxa"/>
            </w:tcMar>
            <w:vAlign w:val="center"/>
          </w:tcPr>
          <w:p>
            <w:pPr>
              <w:tabs>
                <w:tab w:val="left" w:pos="1440"/>
              </w:tabs>
              <w:jc w:val="left"/>
              <w:rPr>
                <w:rFonts w:ascii="宋体" w:hAnsi="宋体" w:cs="宋体"/>
                <w:szCs w:val="21"/>
              </w:rPr>
            </w:pPr>
            <w:r>
              <w:rPr>
                <w:rFonts w:hint="eastAsia" w:ascii="宋体" w:hAnsi="宋体" w:cs="宋体"/>
                <w:szCs w:val="21"/>
              </w:rPr>
              <w:t>★1．合同签订期：自中标通知书发出之日起</w:t>
            </w:r>
            <w:r>
              <w:rPr>
                <w:rFonts w:hint="eastAsia" w:ascii="宋体" w:hAnsi="宋体" w:cs="宋体"/>
                <w:szCs w:val="21"/>
                <w:lang w:val="en-US" w:eastAsia="zh-CN"/>
              </w:rPr>
              <w:t xml:space="preserve">25 </w:t>
            </w:r>
            <w:r>
              <w:rPr>
                <w:rFonts w:hint="eastAsia" w:ascii="宋体" w:hAnsi="宋体" w:cs="宋体"/>
                <w:szCs w:val="21"/>
              </w:rPr>
              <w:t>日内；</w:t>
            </w:r>
          </w:p>
          <w:p>
            <w:pPr>
              <w:rPr>
                <w:rFonts w:ascii="宋体" w:hAnsi="宋体" w:cs="宋体"/>
                <w:szCs w:val="21"/>
              </w:rPr>
            </w:pPr>
            <w:r>
              <w:rPr>
                <w:rFonts w:hint="eastAsia" w:ascii="宋体" w:hAnsi="宋体" w:cs="宋体"/>
                <w:szCs w:val="21"/>
              </w:rPr>
              <w:t>★2．质保期：质量保证期3年(自交货并验收合格之日起计，若厂家免费质保期超过3年的，按厂家规定保修)；同时提供产品“三包”服务，其余按投标人提交的售后服务承诺书执行（自交货并验收合格之日起计）；</w:t>
            </w:r>
          </w:p>
          <w:p>
            <w:pPr>
              <w:rPr>
                <w:rFonts w:ascii="宋体" w:hAnsi="宋体" w:cs="宋体"/>
                <w:szCs w:val="21"/>
              </w:rPr>
            </w:pPr>
            <w:r>
              <w:rPr>
                <w:rFonts w:hint="eastAsia" w:ascii="宋体" w:hAnsi="宋体" w:cs="宋体"/>
                <w:szCs w:val="21"/>
              </w:rPr>
              <w:t>★3．售后技术服务要求：</w:t>
            </w:r>
          </w:p>
          <w:p>
            <w:pPr>
              <w:rPr>
                <w:rFonts w:ascii="宋体" w:hAnsi="宋体" w:cs="宋体"/>
                <w:szCs w:val="21"/>
              </w:rPr>
            </w:pPr>
            <w:r>
              <w:rPr>
                <w:rFonts w:hint="eastAsia" w:ascii="宋体" w:hAnsi="宋体" w:cs="宋体"/>
                <w:szCs w:val="21"/>
              </w:rPr>
              <w:t>1）故障响应时间：中标供应商接到故障通知后在 2 小时内到达采购人指定现场；对于故障处理，要求中标人在质保期内提供24小时免费维护服务，在接到故障通知后1小时内响应，立即作出详细的故障处理方案，并在2小时内到达现场进行维修，按国家及行业标准对故障进行及时处理；48小时无法排除故障时，投标人需提供相同型号备用设备，以保证正常使用；</w:t>
            </w:r>
          </w:p>
          <w:p>
            <w:pPr>
              <w:rPr>
                <w:rFonts w:ascii="宋体" w:hAnsi="宋体" w:cs="宋体"/>
                <w:szCs w:val="21"/>
              </w:rPr>
            </w:pPr>
            <w:r>
              <w:rPr>
                <w:rFonts w:hint="eastAsia" w:ascii="宋体" w:hAnsi="宋体" w:cs="宋体"/>
                <w:szCs w:val="21"/>
              </w:rPr>
              <w:t>2）免费送货上门、免费技术培训；</w:t>
            </w:r>
          </w:p>
          <w:p>
            <w:pPr>
              <w:rPr>
                <w:rFonts w:ascii="宋体" w:hAnsi="宋体" w:cs="宋体"/>
                <w:szCs w:val="21"/>
              </w:rPr>
            </w:pPr>
            <w:r>
              <w:rPr>
                <w:rFonts w:hint="eastAsia" w:ascii="宋体" w:hAnsi="宋体" w:cs="宋体"/>
                <w:szCs w:val="21"/>
              </w:rPr>
              <w:t>3）在质量保证期内设备非因人为及不可抗拒因素的原因而引起损坏或质量问题，中标供应商应免费予以技术服务、维修或设备更换，并承担相应费用和零部件的费用，因人为因素出现的故障不在免费保修范围内，中标供应商也要积极帮助采购人修理，并提供优惠价格的配件和服务。</w:t>
            </w:r>
          </w:p>
          <w:p>
            <w:pPr>
              <w:tabs>
                <w:tab w:val="left" w:pos="1440"/>
              </w:tabs>
              <w:spacing w:line="360" w:lineRule="atLeast"/>
              <w:jc w:val="left"/>
              <w:rPr>
                <w:rFonts w:ascii="宋体" w:hAnsi="宋体" w:cs="宋体"/>
                <w:b/>
                <w:bCs/>
                <w:szCs w:val="21"/>
              </w:rPr>
            </w:pPr>
            <w:r>
              <w:rPr>
                <w:rFonts w:hint="eastAsia" w:ascii="宋体" w:hAnsi="宋体" w:cs="宋体"/>
                <w:szCs w:val="21"/>
              </w:rPr>
              <w:t>4）</w:t>
            </w:r>
            <w:r>
              <w:rPr>
                <w:rFonts w:hint="eastAsia" w:ascii="宋体" w:hAnsi="宋体" w:cs="宋体"/>
                <w:b/>
                <w:bCs/>
                <w:szCs w:val="21"/>
              </w:rPr>
              <w:t>所包含ICT学院课程授权有效期为4年；</w:t>
            </w:r>
          </w:p>
          <w:p>
            <w:pPr>
              <w:tabs>
                <w:tab w:val="left" w:pos="1440"/>
              </w:tabs>
              <w:spacing w:line="360" w:lineRule="atLeast"/>
              <w:jc w:val="left"/>
              <w:rPr>
                <w:rFonts w:ascii="宋体" w:hAnsi="宋体" w:cs="宋体"/>
                <w:szCs w:val="21"/>
              </w:rPr>
            </w:pPr>
            <w:r>
              <w:rPr>
                <w:rFonts w:hint="eastAsia" w:ascii="宋体" w:hAnsi="宋体" w:cs="宋体"/>
                <w:szCs w:val="21"/>
              </w:rPr>
              <w:t>★4．交货时间及地点：合同签订后 30天内交货；地点：</w:t>
            </w:r>
            <w:r>
              <w:rPr>
                <w:rFonts w:hint="eastAsia" w:ascii="宋体" w:hAnsi="宋体" w:cs="宋体"/>
                <w:bCs/>
                <w:kern w:val="0"/>
                <w:szCs w:val="21"/>
              </w:rPr>
              <w:t>南宁市大学西路169号南宁职业技术学院</w:t>
            </w:r>
          </w:p>
          <w:p>
            <w:pPr>
              <w:rPr>
                <w:rFonts w:ascii="宋体" w:hAnsi="宋体" w:cs="宋体"/>
                <w:szCs w:val="21"/>
              </w:rPr>
            </w:pPr>
            <w:r>
              <w:rPr>
                <w:rFonts w:hint="eastAsia" w:ascii="宋体" w:hAnsi="宋体" w:cs="宋体"/>
                <w:szCs w:val="21"/>
              </w:rPr>
              <w:t>5．付款条件：本项目无预付款，供应商交货完毕并验收合格后，一次性支付合同款。</w:t>
            </w:r>
          </w:p>
          <w:p>
            <w:pPr>
              <w:rPr>
                <w:rFonts w:ascii="宋体" w:hAnsi="宋体" w:cs="宋体"/>
                <w:szCs w:val="21"/>
              </w:rPr>
            </w:pPr>
            <w:r>
              <w:rPr>
                <w:rFonts w:hint="eastAsia" w:ascii="宋体" w:hAnsi="宋体" w:cs="宋体"/>
                <w:szCs w:val="21"/>
              </w:rPr>
              <w:t>6．备品备件及耗材等要求：有稳定的备件供应渠道，并从设备厂商的中国公司及其分销商购置整机和备件补充，可以满足客户的设备在升级、扩充和保修服务配件及消耗品等多方面的需求。</w:t>
            </w:r>
          </w:p>
          <w:p>
            <w:pPr>
              <w:rPr>
                <w:rFonts w:ascii="宋体" w:hAnsi="宋体" w:cs="宋体"/>
                <w:szCs w:val="21"/>
              </w:rPr>
            </w:pPr>
            <w:r>
              <w:rPr>
                <w:rFonts w:hint="eastAsia" w:ascii="宋体" w:hAnsi="宋体" w:cs="宋体"/>
                <w:szCs w:val="21"/>
              </w:rPr>
              <w:t>★7．验收条件及标准：①中标人在签订合同前，向采购方提供以下产品（AI开发者套件、AI开发者套件配件、多模态AI开发套件）各一套进行初步验收，采购人对供货方所交货物依照采购文件上的技术规格要求和国家有关标准进行测试比对，以确认成交供应商提供的货物是否达到投标文件中所承诺的技术功能及国家有关标准，中标人未提供设备验收结果为达不到投标文件承诺的技术功能的，须按采购人要求提供合格设备并通过检测或演示方可正式供货，超过合同约定供货时间，则按成交供应商违约处理.</w:t>
            </w:r>
          </w:p>
          <w:p>
            <w:pPr>
              <w:rPr>
                <w:rFonts w:ascii="宋体" w:hAnsi="宋体" w:cs="宋体"/>
                <w:szCs w:val="21"/>
              </w:rPr>
            </w:pPr>
            <w:r>
              <w:rPr>
                <w:rFonts w:hint="eastAsia" w:ascii="宋体" w:hAnsi="宋体" w:cs="宋体"/>
                <w:szCs w:val="21"/>
              </w:rPr>
              <w:t>②中标供应商对采购单位所交货物必须依照招标文件上的技术规格实质要求和国家有关标准验收，进行现场测试比对，达到要求的方可验收。</w:t>
            </w:r>
          </w:p>
          <w:p>
            <w:pPr>
              <w:rPr>
                <w:rFonts w:ascii="宋体" w:hAnsi="宋体" w:cs="宋体"/>
                <w:szCs w:val="21"/>
              </w:rPr>
            </w:pPr>
            <w:r>
              <w:rPr>
                <w:rFonts w:hint="eastAsia" w:ascii="宋体" w:hAnsi="宋体" w:cs="宋体"/>
                <w:szCs w:val="21"/>
              </w:rPr>
              <w:t>8．验收方法及方案：</w:t>
            </w:r>
          </w:p>
          <w:p>
            <w:pPr>
              <w:rPr>
                <w:rFonts w:ascii="宋体" w:hAnsi="宋体" w:cs="宋体"/>
                <w:szCs w:val="21"/>
              </w:rPr>
            </w:pPr>
            <w:r>
              <w:rPr>
                <w:rFonts w:hint="eastAsia" w:ascii="宋体" w:hAnsi="宋体" w:cs="宋体"/>
                <w:szCs w:val="21"/>
              </w:rPr>
              <w:t>1）符合中华人民共和国国家安全质量标准、环保标准或行业标准。</w:t>
            </w:r>
          </w:p>
          <w:p>
            <w:pPr>
              <w:rPr>
                <w:rFonts w:ascii="宋体" w:hAnsi="宋体" w:cs="宋体"/>
                <w:szCs w:val="21"/>
              </w:rPr>
            </w:pPr>
            <w:r>
              <w:rPr>
                <w:rFonts w:hint="eastAsia" w:ascii="宋体" w:hAnsi="宋体" w:cs="宋体"/>
                <w:szCs w:val="21"/>
              </w:rPr>
              <w:t>2）符合采购文件和投标文件承诺中采购人认可的合理最佳配置、参数及各项要求。</w:t>
            </w:r>
          </w:p>
          <w:p>
            <w:pPr>
              <w:rPr>
                <w:rFonts w:ascii="宋体" w:hAnsi="宋体" w:cs="宋体"/>
                <w:szCs w:val="21"/>
              </w:rPr>
            </w:pPr>
            <w:r>
              <w:rPr>
                <w:rFonts w:hint="eastAsia" w:ascii="宋体" w:hAnsi="宋体" w:cs="宋体"/>
                <w:szCs w:val="21"/>
              </w:rPr>
              <w:t>3）货物符合国家官方合格标准。</w:t>
            </w:r>
          </w:p>
          <w:p>
            <w:pPr>
              <w:rPr>
                <w:rFonts w:ascii="宋体" w:hAnsi="宋体" w:cs="宋体"/>
                <w:szCs w:val="21"/>
              </w:rPr>
            </w:pPr>
            <w:r>
              <w:rPr>
                <w:rFonts w:hint="eastAsia" w:ascii="宋体" w:hAnsi="宋体" w:cs="宋体"/>
                <w:szCs w:val="21"/>
              </w:rPr>
              <w:t>4）中标供应商须确保货物为原制造商制造的全新产品，无污染，无侵权行为、表面无划损、无任何缺陷隐患，在中国境内可依常规安全合法使用。</w:t>
            </w:r>
          </w:p>
          <w:p>
            <w:pPr>
              <w:rPr>
                <w:rFonts w:ascii="宋体" w:hAnsi="宋体" w:cs="宋体"/>
                <w:szCs w:val="21"/>
              </w:rPr>
            </w:pPr>
            <w:r>
              <w:rPr>
                <w:rFonts w:hint="eastAsia" w:ascii="宋体" w:hAnsi="宋体" w:cs="宋体"/>
                <w:szCs w:val="21"/>
              </w:rPr>
              <w:t>5）采购人组成验收小组按国家有关规定、规范进行验收，必要时邀请相关的专业人员或机构参与验收。因货物质量问题发生争议时，由本地质量技术监督部门鉴定。</w:t>
            </w:r>
          </w:p>
          <w:p>
            <w:pPr>
              <w:rPr>
                <w:rFonts w:ascii="宋体" w:hAnsi="宋体" w:cs="宋体"/>
                <w:szCs w:val="21"/>
              </w:rPr>
            </w:pPr>
            <w:r>
              <w:rPr>
                <w:rFonts w:hint="eastAsia" w:ascii="宋体" w:hAnsi="宋体" w:cs="宋体"/>
                <w:szCs w:val="21"/>
              </w:rPr>
              <w:t>6）中标供应商必须依照采购文件的要求和响应文件的承诺，将设备、系统调试至正常运行的最佳状态。</w:t>
            </w:r>
          </w:p>
          <w:p>
            <w:pPr>
              <w:rPr>
                <w:rFonts w:ascii="宋体" w:hAnsi="宋体" w:cs="宋体"/>
                <w:szCs w:val="21"/>
              </w:rPr>
            </w:pPr>
            <w:r>
              <w:rPr>
                <w:rFonts w:hint="eastAsia" w:ascii="宋体" w:hAnsi="宋体" w:cs="宋体"/>
                <w:szCs w:val="21"/>
              </w:rPr>
              <w:t>★9．投标报价为采购人指定地点的现场交货价，包括：</w:t>
            </w:r>
          </w:p>
          <w:p>
            <w:pPr>
              <w:rPr>
                <w:rFonts w:ascii="宋体" w:hAnsi="宋体" w:cs="宋体"/>
                <w:szCs w:val="21"/>
              </w:rPr>
            </w:pPr>
            <w:r>
              <w:rPr>
                <w:rFonts w:hint="eastAsia" w:ascii="宋体" w:hAnsi="宋体" w:cs="宋体"/>
                <w:szCs w:val="21"/>
              </w:rPr>
              <w:t>1）货物的价格；</w:t>
            </w:r>
          </w:p>
          <w:p>
            <w:pPr>
              <w:rPr>
                <w:rFonts w:ascii="宋体" w:hAnsi="宋体" w:cs="宋体"/>
                <w:szCs w:val="21"/>
              </w:rPr>
            </w:pPr>
            <w:r>
              <w:rPr>
                <w:rFonts w:hint="eastAsia" w:ascii="宋体" w:hAnsi="宋体" w:cs="宋体"/>
                <w:szCs w:val="21"/>
              </w:rPr>
              <w:t>2）货物的标准附件、备品备件、专用工具的价格；</w:t>
            </w:r>
          </w:p>
          <w:p>
            <w:pPr>
              <w:rPr>
                <w:rFonts w:ascii="宋体" w:hAnsi="宋体" w:cs="宋体"/>
                <w:szCs w:val="21"/>
              </w:rPr>
            </w:pPr>
            <w:r>
              <w:rPr>
                <w:rFonts w:hint="eastAsia" w:ascii="宋体" w:hAnsi="宋体" w:cs="宋体"/>
                <w:szCs w:val="21"/>
              </w:rPr>
              <w:t>3）运输、装卸、调试、培训、技术支持、售后服务等费用；</w:t>
            </w:r>
          </w:p>
          <w:p>
            <w:pPr>
              <w:rPr>
                <w:rFonts w:ascii="宋体" w:hAnsi="宋体" w:cs="宋体"/>
                <w:szCs w:val="21"/>
              </w:rPr>
            </w:pPr>
            <w:r>
              <w:rPr>
                <w:rFonts w:hint="eastAsia" w:ascii="宋体" w:hAnsi="宋体" w:cs="宋体"/>
                <w:szCs w:val="21"/>
              </w:rPr>
              <w:t>4）必要的保险费用和各项税费；</w:t>
            </w:r>
          </w:p>
          <w:p>
            <w:pPr>
              <w:widowControl/>
              <w:wordWrap w:val="0"/>
              <w:adjustRightInd w:val="0"/>
              <w:snapToGrid w:val="0"/>
              <w:spacing w:line="440" w:lineRule="exact"/>
              <w:textAlignment w:val="center"/>
              <w:rPr>
                <w:rFonts w:hint="eastAsia" w:ascii="宋体" w:hAnsi="宋体" w:eastAsia="宋体" w:cs="宋体"/>
                <w:szCs w:val="21"/>
                <w:lang w:eastAsia="zh-CN"/>
              </w:rPr>
            </w:pPr>
            <w:r>
              <w:rPr>
                <w:rFonts w:hint="eastAsia" w:ascii="宋体" w:hAnsi="宋体" w:cs="宋体"/>
                <w:bCs/>
                <w:kern w:val="0"/>
                <w:szCs w:val="21"/>
              </w:rPr>
              <w:t>5）包括安装费用</w:t>
            </w:r>
            <w:r>
              <w:rPr>
                <w:rFonts w:hint="eastAsia" w:ascii="宋体" w:hAnsi="宋体" w:cs="宋体"/>
                <w:bCs/>
                <w:kern w:val="0"/>
                <w:szCs w:val="21"/>
                <w:lang w:eastAsia="zh-CN"/>
              </w:rPr>
              <w:t>。</w:t>
            </w:r>
          </w:p>
        </w:tc>
      </w:tr>
    </w:tbl>
    <w:p>
      <w:pPr>
        <w:pStyle w:val="15"/>
        <w:outlineLvl w:val="0"/>
        <w:rPr>
          <w:rFonts w:hAnsi="宋体" w:cs="宋体"/>
          <w:b/>
          <w:szCs w:val="21"/>
        </w:rPr>
      </w:pPr>
    </w:p>
    <w:p>
      <w:pPr>
        <w:pStyle w:val="15"/>
        <w:outlineLvl w:val="0"/>
        <w:rPr>
          <w:rFonts w:ascii="Times New Roman" w:hAnsi="Times New Roman"/>
          <w:b/>
          <w:sz w:val="36"/>
        </w:rPr>
      </w:pPr>
      <w:r>
        <w:rPr>
          <w:rFonts w:ascii="Times New Roman" w:hAnsi="Times New Roman"/>
          <w:b/>
          <w:sz w:val="36"/>
        </w:rPr>
        <w:br w:type="page"/>
      </w:r>
    </w:p>
    <w:p>
      <w:pPr>
        <w:pStyle w:val="15"/>
        <w:numPr>
          <w:ilvl w:val="0"/>
          <w:numId w:val="3"/>
        </w:numPr>
        <w:jc w:val="center"/>
        <w:outlineLvl w:val="0"/>
        <w:rPr>
          <w:rFonts w:ascii="Times New Roman" w:hAnsi="Times New Roman"/>
          <w:b/>
          <w:sz w:val="36"/>
        </w:rPr>
      </w:pPr>
      <w:bookmarkStart w:id="46" w:name="_Toc1654625"/>
      <w:r>
        <w:rPr>
          <w:rFonts w:hint="eastAsia" w:ascii="Times New Roman" w:hAnsi="Times New Roman"/>
          <w:b/>
          <w:sz w:val="36"/>
        </w:rPr>
        <w:t>评标方法</w:t>
      </w:r>
      <w:bookmarkEnd w:id="46"/>
    </w:p>
    <w:p>
      <w:pPr>
        <w:spacing w:line="360" w:lineRule="auto"/>
        <w:ind w:firstLine="4498" w:firstLineChars="1600"/>
        <w:rPr>
          <w:b/>
          <w:sz w:val="36"/>
        </w:rPr>
      </w:pPr>
      <w:r>
        <w:rPr>
          <w:rFonts w:hint="eastAsia"/>
          <w:b/>
          <w:sz w:val="28"/>
          <w:szCs w:val="28"/>
        </w:rPr>
        <w:t>综合评分法</w:t>
      </w:r>
    </w:p>
    <w:p>
      <w:pPr>
        <w:pStyle w:val="15"/>
        <w:spacing w:line="360" w:lineRule="auto"/>
        <w:ind w:firstLine="420" w:firstLineChars="200"/>
      </w:pPr>
      <w:r>
        <w:rPr>
          <w:rFonts w:hint="eastAsia"/>
        </w:rPr>
        <w:t>（一）评标委员会以招标文件为依据，对投标文件进行评审，对投标人的报价文件、技术文件和商务文件等三部分内容按百分制打分，其中价格45分；技术分37分；商务分18分。</w:t>
      </w:r>
    </w:p>
    <w:p>
      <w:pPr>
        <w:pStyle w:val="15"/>
        <w:spacing w:line="360" w:lineRule="auto"/>
        <w:ind w:firstLine="420" w:firstLineChars="200"/>
        <w:rPr>
          <w:rFonts w:hAnsi="宋体"/>
          <w:szCs w:val="21"/>
        </w:rPr>
      </w:pPr>
      <w:r>
        <w:rPr>
          <w:rFonts w:hint="eastAsia" w:hAnsi="宋体"/>
          <w:bCs/>
        </w:rPr>
        <w:t>（二）</w:t>
      </w:r>
      <w:r>
        <w:rPr>
          <w:rFonts w:hint="eastAsia" w:hAnsi="宋体"/>
          <w:bCs/>
          <w:szCs w:val="21"/>
        </w:rPr>
        <w:t>评分细则：</w:t>
      </w:r>
      <w:r>
        <w:rPr>
          <w:rFonts w:hint="eastAsia" w:hAnsi="宋体"/>
          <w:szCs w:val="21"/>
        </w:rPr>
        <w:t>（按四舍五入取至</w:t>
      </w:r>
      <w:r>
        <w:rPr>
          <w:rFonts w:hint="eastAsia"/>
        </w:rPr>
        <w:t>小数点后四位</w:t>
      </w:r>
      <w:r>
        <w:rPr>
          <w:rFonts w:hint="eastAsia" w:hAnsi="宋体"/>
          <w:szCs w:val="21"/>
        </w:rPr>
        <w:t>）</w:t>
      </w:r>
    </w:p>
    <w:p>
      <w:pPr>
        <w:pStyle w:val="15"/>
        <w:spacing w:line="360" w:lineRule="auto"/>
        <w:ind w:firstLine="422" w:firstLineChars="200"/>
        <w:rPr>
          <w:b/>
        </w:rPr>
      </w:pPr>
      <w:r>
        <w:rPr>
          <w:rFonts w:hint="eastAsia" w:hAnsi="宋体"/>
          <w:b/>
          <w:szCs w:val="21"/>
        </w:rPr>
        <w:t>1．价格分………………………………………………………………………………………</w:t>
      </w:r>
      <w:r>
        <w:rPr>
          <w:rFonts w:hint="eastAsia" w:hAnsi="宋体" w:cs="宋体"/>
          <w:b/>
          <w:szCs w:val="21"/>
        </w:rPr>
        <w:t>（满分</w:t>
      </w:r>
      <w:r>
        <w:rPr>
          <w:rFonts w:hint="eastAsia"/>
          <w:b/>
        </w:rPr>
        <w:t>45</w:t>
      </w:r>
      <w:r>
        <w:rPr>
          <w:rFonts w:hint="eastAsia" w:hAnsi="宋体"/>
          <w:b/>
          <w:szCs w:val="21"/>
        </w:rPr>
        <w:t>分）</w:t>
      </w:r>
    </w:p>
    <w:p>
      <w:pPr>
        <w:pStyle w:val="15"/>
        <w:spacing w:line="360" w:lineRule="auto"/>
        <w:ind w:firstLine="420" w:firstLineChars="200"/>
      </w:pPr>
      <w:r>
        <w:rPr>
          <w:rFonts w:hint="eastAsia"/>
        </w:rPr>
        <w:t>（1）对于非专门面向中小企业的项目，对小型和微型企业产品的价格给予</w:t>
      </w:r>
      <w:r>
        <w:rPr>
          <w:rFonts w:hint="eastAsia"/>
          <w:shd w:val="pct10" w:color="auto" w:fill="FFFFFF"/>
        </w:rPr>
        <w:t>10%</w:t>
      </w:r>
      <w:r>
        <w:rPr>
          <w:rFonts w:hint="eastAsia"/>
        </w:rPr>
        <w:t>的价格扣除，扣除后的价格为评标价，即评标价＝投标报价×（1-</w:t>
      </w:r>
      <w:r>
        <w:rPr>
          <w:rFonts w:hint="eastAsia"/>
          <w:shd w:val="pct10" w:color="auto" w:fill="FFFFFF"/>
        </w:rPr>
        <w:t>10%</w:t>
      </w:r>
      <w:r>
        <w:rPr>
          <w:rFonts w:hint="eastAsia"/>
        </w:rPr>
        <w:t>）；</w:t>
      </w:r>
      <w:r>
        <w:rPr>
          <w:rFonts w:hint="eastAsia" w:hAnsi="宋体"/>
          <w:bCs/>
        </w:rPr>
        <w:t>（以投标人按第五章“投标文件格式”要求提供的《投标报价表》和《</w:t>
      </w:r>
      <w:r>
        <w:rPr>
          <w:rFonts w:hint="eastAsia" w:hAnsi="宋体"/>
        </w:rPr>
        <w:t>中小企业声明函</w:t>
      </w:r>
      <w:r>
        <w:rPr>
          <w:rFonts w:hint="eastAsia" w:hAnsi="宋体"/>
          <w:bCs/>
        </w:rPr>
        <w:t>》为评分依据）</w:t>
      </w:r>
    </w:p>
    <w:p>
      <w:pPr>
        <w:pStyle w:val="15"/>
        <w:spacing w:line="360" w:lineRule="auto"/>
        <w:ind w:firstLine="420" w:firstLineChars="200"/>
        <w:rPr>
          <w:rFonts w:hAnsi="宋体"/>
          <w:bCs/>
        </w:rPr>
      </w:pPr>
      <w:r>
        <w:rPr>
          <w:rFonts w:hint="eastAsia"/>
        </w:rPr>
        <w:t>（2）对</w:t>
      </w:r>
      <w:r>
        <w:rPr>
          <w:rFonts w:hint="eastAsia" w:hAnsi="宋体"/>
        </w:rPr>
        <w:t>大中型企业和其他自然人、法人或者其他组织与小型、微型企业组成联合体，且联合体协议中约定小型、微型企业的协议合同金额占到联合体协议合同总金额30%以上的，给予</w:t>
      </w:r>
      <w:r>
        <w:rPr>
          <w:rFonts w:hint="eastAsia"/>
          <w:shd w:val="pct10" w:color="auto" w:fill="FFFFFF"/>
        </w:rPr>
        <w:t>2%</w:t>
      </w:r>
      <w:r>
        <w:rPr>
          <w:rFonts w:hint="eastAsia" w:hAnsi="宋体"/>
        </w:rPr>
        <w:t>的价格扣除，扣除后的价格为评标价，即评标价＝投标报价×（1-</w:t>
      </w:r>
      <w:r>
        <w:rPr>
          <w:rFonts w:hint="eastAsia"/>
          <w:shd w:val="pct10" w:color="auto" w:fill="FFFFFF"/>
        </w:rPr>
        <w:t>2%</w:t>
      </w:r>
      <w:r>
        <w:rPr>
          <w:rFonts w:hint="eastAsia" w:hAnsi="宋体"/>
        </w:rPr>
        <w:t>）；</w:t>
      </w:r>
      <w:r>
        <w:rPr>
          <w:rFonts w:hint="eastAsia" w:hAnsi="宋体"/>
          <w:bCs/>
        </w:rPr>
        <w:t>（以投标人按第五章“投标文件格式”要求提供的《投标报价表》、《中小企业声明函》和《联合体协议书》为评分依据）</w:t>
      </w:r>
    </w:p>
    <w:p>
      <w:pPr>
        <w:pStyle w:val="15"/>
        <w:spacing w:line="360" w:lineRule="auto"/>
        <w:ind w:firstLine="420" w:firstLineChars="200"/>
        <w:rPr>
          <w:rFonts w:hAnsi="宋体"/>
        </w:rPr>
      </w:pPr>
      <w:r>
        <w:rPr>
          <w:rFonts w:hint="eastAsia" w:hAnsi="宋体"/>
        </w:rPr>
        <w:t>（3）投标产品提供企业按《关于政府采购支持监狱企业发展有关问题的通知》(财库[2014]68号)认定为监狱企业的，在政府采购活动中，监狱企业视同小型、微型企业。（以投标人按第五章“投标文件格式”要求提供的《报价表》和由省级以上监狱管理局、戒毒管理局(含新疆生产建设兵团)出具的属于监狱企业的证明文件为评分依据。</w:t>
      </w:r>
    </w:p>
    <w:p>
      <w:pPr>
        <w:pStyle w:val="15"/>
        <w:spacing w:line="360" w:lineRule="auto"/>
        <w:ind w:firstLine="420" w:firstLineChars="200"/>
        <w:rPr>
          <w:rFonts w:hAnsi="宋体"/>
        </w:rPr>
      </w:pPr>
      <w:r>
        <w:rPr>
          <w:rFonts w:hint="eastAsia" w:hAnsi="宋体"/>
        </w:rPr>
        <w:t>（4）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并提交残疾人证及在本企业缴纳社保证明。（以投标人按第五章“投标文件格式”要求提供的《报价表》和《残疾人福利性单位声明函》为评分依据）</w:t>
      </w:r>
    </w:p>
    <w:p>
      <w:pPr>
        <w:pStyle w:val="15"/>
        <w:spacing w:line="360" w:lineRule="auto"/>
        <w:ind w:firstLine="420" w:firstLineChars="200"/>
      </w:pPr>
      <w:r>
        <w:rPr>
          <w:rFonts w:hint="eastAsia" w:hAnsi="宋体"/>
        </w:rPr>
        <w:t>（5）除上述情况外，评标价＝投标报价；</w:t>
      </w:r>
    </w:p>
    <w:p>
      <w:pPr>
        <w:pStyle w:val="15"/>
        <w:spacing w:line="360" w:lineRule="auto"/>
        <w:ind w:firstLine="420" w:firstLineChars="200"/>
      </w:pPr>
      <w:r>
        <w:rPr>
          <w:rFonts w:hint="eastAsia" w:hAnsi="宋体"/>
          <w:szCs w:val="21"/>
        </w:rPr>
        <w:t>（6）价格分计算公式：</w:t>
      </w:r>
    </w:p>
    <w:p>
      <w:pPr>
        <w:pStyle w:val="13"/>
        <w:spacing w:line="360" w:lineRule="auto"/>
        <w:ind w:firstLine="404" w:firstLineChars="200"/>
        <w:rPr>
          <w:rFonts w:hAnsi="宋体" w:eastAsia="Times New Roman"/>
          <w:sz w:val="21"/>
        </w:rPr>
      </w:pPr>
      <w:r>
        <w:rPr>
          <w:rFonts w:hint="eastAsia" w:hAnsi="宋体" w:eastAsia="Times New Roman"/>
          <w:sz w:val="21"/>
        </w:rPr>
        <w:t xml:space="preserve">               　　     投标人最低评标价金额</w:t>
      </w:r>
    </w:p>
    <w:p>
      <w:pPr>
        <w:pStyle w:val="13"/>
        <w:spacing w:line="360" w:lineRule="auto"/>
        <w:ind w:firstLine="344" w:firstLineChars="200"/>
        <w:rPr>
          <w:rFonts w:hAnsi="宋体" w:eastAsia="Times New Roman"/>
          <w:sz w:val="21"/>
        </w:rPr>
      </w:pPr>
      <w:r>
        <w:pict>
          <v:line id="直接连接符 1" o:spid="_x0000_s1027" o:spt="20" style="position:absolute;left:0pt;flip:y;margin-left:131.25pt;margin-top:8.2pt;height:0.15pt;width:128.85pt;z-index:25167564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">
            <v:path arrowok="t"/>
            <v:fill focussize="0,0"/>
            <v:stroke/>
            <v:imagedata o:title=""/>
            <o:lock v:ext="edit"/>
          </v:line>
        </w:pict>
      </w:r>
      <w:r>
        <w:rPr>
          <w:rFonts w:hint="eastAsia" w:hAnsi="宋体" w:eastAsia="Times New Roman"/>
          <w:sz w:val="21"/>
        </w:rPr>
        <w:t>某投标人价格分 =                                    ×　</w:t>
      </w:r>
      <w:r>
        <w:rPr>
          <w:rFonts w:hint="eastAsia" w:eastAsia="Times New Roman"/>
          <w:sz w:val="21"/>
        </w:rPr>
        <w:t>45</w:t>
      </w:r>
      <w:r>
        <w:rPr>
          <w:rFonts w:hint="eastAsia" w:hAnsi="宋体" w:eastAsia="Times New Roman"/>
          <w:bCs/>
          <w:sz w:val="21"/>
          <w:szCs w:val="21"/>
        </w:rPr>
        <w:t>分</w:t>
      </w:r>
    </w:p>
    <w:p>
      <w:pPr>
        <w:pStyle w:val="13"/>
        <w:spacing w:line="360" w:lineRule="auto"/>
        <w:ind w:firstLine="404" w:firstLineChars="200"/>
        <w:rPr>
          <w:rFonts w:hAnsi="宋体" w:eastAsia="Times New Roman"/>
          <w:sz w:val="21"/>
        </w:rPr>
      </w:pPr>
      <w:r>
        <w:rPr>
          <w:rFonts w:hint="eastAsia" w:hAnsi="宋体" w:eastAsia="Times New Roman"/>
          <w:sz w:val="21"/>
        </w:rPr>
        <w:t xml:space="preserve">                   　    某投标人评标价金额</w:t>
      </w:r>
    </w:p>
    <w:p>
      <w:pPr>
        <w:pStyle w:val="15"/>
        <w:spacing w:line="360" w:lineRule="auto"/>
        <w:ind w:firstLine="422" w:firstLineChars="200"/>
        <w:rPr>
          <w:b/>
        </w:rPr>
      </w:pPr>
      <w:r>
        <w:rPr>
          <w:rFonts w:hint="eastAsia" w:hAnsi="宋体"/>
          <w:b/>
          <w:szCs w:val="21"/>
        </w:rPr>
        <w:t>2．技术分…………………………………………………………………………………………</w:t>
      </w:r>
      <w:r>
        <w:rPr>
          <w:rFonts w:hint="eastAsia" w:hAnsi="宋体" w:cs="宋体"/>
          <w:b/>
          <w:szCs w:val="21"/>
        </w:rPr>
        <w:t>（满分</w:t>
      </w:r>
      <w:r>
        <w:rPr>
          <w:rFonts w:hint="eastAsia"/>
          <w:b/>
        </w:rPr>
        <w:t>37</w:t>
      </w:r>
      <w:r>
        <w:rPr>
          <w:rFonts w:hint="eastAsia" w:hAnsi="宋体"/>
          <w:b/>
          <w:szCs w:val="21"/>
        </w:rPr>
        <w:t>分）</w:t>
      </w:r>
    </w:p>
    <w:p>
      <w:pPr>
        <w:pStyle w:val="15"/>
        <w:spacing w:line="360" w:lineRule="auto"/>
        <w:ind w:firstLine="420" w:firstLineChars="200"/>
        <w:rPr>
          <w:rFonts w:hAnsi="宋体"/>
          <w:bCs/>
          <w:szCs w:val="21"/>
        </w:rPr>
      </w:pPr>
      <w:r>
        <w:rPr>
          <w:rFonts w:hint="eastAsia" w:hAnsi="宋体"/>
          <w:bCs/>
          <w:szCs w:val="21"/>
        </w:rPr>
        <w:t>（本项评分由评标委员会讨论进档，各评委独立进行打分；</w:t>
      </w:r>
      <w:r>
        <w:rPr>
          <w:rFonts w:hint="eastAsia" w:hAnsi="宋体"/>
          <w:szCs w:val="21"/>
        </w:rPr>
        <w:t>主要技术参数指</w:t>
      </w:r>
      <w:r>
        <w:rPr>
          <w:rFonts w:hint="eastAsia" w:hAnsi="宋体"/>
        </w:rPr>
        <w:t>货物需求一览表中标注★号的技术参数）</w:t>
      </w:r>
    </w:p>
    <w:p>
      <w:pPr>
        <w:pStyle w:val="15"/>
        <w:spacing w:line="360" w:lineRule="auto"/>
        <w:ind w:firstLine="420" w:firstLineChars="200"/>
        <w:rPr>
          <w:rFonts w:hAnsi="宋体" w:cs="宋体"/>
          <w:szCs w:val="21"/>
        </w:rPr>
      </w:pPr>
      <w:r>
        <w:rPr>
          <w:rFonts w:hint="eastAsia" w:hAnsi="宋体" w:cs="宋体"/>
          <w:szCs w:val="21"/>
        </w:rPr>
        <w:t>（1）设备性能及配置分……………………………………………………………………25分</w:t>
      </w:r>
    </w:p>
    <w:p>
      <w:pPr>
        <w:spacing w:line="360" w:lineRule="auto"/>
        <w:ind w:firstLine="420" w:firstLineChars="200"/>
        <w:rPr>
          <w:rFonts w:ascii="宋体" w:hAnsi="宋体" w:cs="宋体"/>
          <w:kern w:val="0"/>
          <w:szCs w:val="21"/>
        </w:rPr>
      </w:pPr>
      <w:r>
        <w:rPr>
          <w:rFonts w:hint="eastAsia" w:ascii="宋体" w:hAnsi="宋体" w:cs="宋体"/>
          <w:kern w:val="0"/>
          <w:szCs w:val="21"/>
        </w:rPr>
        <w:t>一档：技术参数满足采购文件要求的（满分5分）；</w:t>
      </w:r>
    </w:p>
    <w:p>
      <w:pPr>
        <w:spacing w:line="360" w:lineRule="auto"/>
        <w:ind w:firstLine="420" w:firstLineChars="200"/>
        <w:rPr>
          <w:rFonts w:ascii="宋体" w:hAnsi="宋体" w:cs="宋体"/>
          <w:kern w:val="0"/>
          <w:szCs w:val="21"/>
        </w:rPr>
      </w:pPr>
      <w:r>
        <w:rPr>
          <w:rFonts w:hint="eastAsia" w:ascii="宋体" w:hAnsi="宋体" w:cs="宋体"/>
          <w:kern w:val="0"/>
          <w:szCs w:val="21"/>
        </w:rPr>
        <w:t>二档：技术参数满足采购文件要求，且主要技术参数有1-4项（提供相关文件证明，证明资料包含并不仅限于官网截图，公开发售彩页，厂家证明等）优于采购文件要求的（满分10分）；</w:t>
      </w:r>
    </w:p>
    <w:p>
      <w:pPr>
        <w:spacing w:line="360" w:lineRule="auto"/>
        <w:ind w:firstLine="420" w:firstLineChars="200"/>
        <w:rPr>
          <w:rFonts w:ascii="宋体" w:hAnsi="宋体" w:cs="宋体"/>
          <w:kern w:val="0"/>
          <w:szCs w:val="21"/>
        </w:rPr>
      </w:pPr>
      <w:r>
        <w:rPr>
          <w:rFonts w:hint="eastAsia" w:ascii="宋体" w:hAnsi="宋体" w:cs="宋体"/>
          <w:kern w:val="0"/>
          <w:szCs w:val="21"/>
        </w:rPr>
        <w:t>三档：技术参数满足采购文件要求，且主要技术参数有5-8项（提供相关文件证明，证明资料包含并不仅限于官网截图，公开发售彩页，厂家证明等）优于采购文件要求的（满分15分）</w:t>
      </w:r>
    </w:p>
    <w:p>
      <w:pPr>
        <w:spacing w:line="360" w:lineRule="auto"/>
        <w:ind w:firstLine="420" w:firstLineChars="200"/>
        <w:rPr>
          <w:rFonts w:ascii="宋体" w:hAnsi="宋体" w:cs="宋体"/>
          <w:kern w:val="0"/>
          <w:szCs w:val="21"/>
        </w:rPr>
      </w:pPr>
      <w:r>
        <w:rPr>
          <w:rFonts w:hint="eastAsia" w:ascii="宋体" w:hAnsi="宋体" w:cs="宋体"/>
          <w:kern w:val="0"/>
          <w:szCs w:val="21"/>
        </w:rPr>
        <w:t>四档：技术参数满足采购文件要求，且主要技术参数有9项或以上（提供相关文件证明，证明资料包含并不仅限于官网截图，公开发售彩页，厂家证明等）优于采购文件要求的（满分25分）；</w:t>
      </w:r>
    </w:p>
    <w:p>
      <w:pPr>
        <w:pStyle w:val="15"/>
        <w:spacing w:line="360" w:lineRule="auto"/>
        <w:ind w:firstLine="420" w:firstLineChars="200"/>
        <w:rPr>
          <w:rFonts w:hAnsi="宋体" w:cs="宋体"/>
          <w:szCs w:val="21"/>
        </w:rPr>
      </w:pPr>
      <w:r>
        <w:rPr>
          <w:rFonts w:hint="eastAsia" w:hAnsi="宋体" w:cs="宋体"/>
          <w:szCs w:val="21"/>
        </w:rPr>
        <w:t xml:space="preserve">（2）设备安装实施方案分 ………………………………………………………… 6分   </w:t>
      </w:r>
    </w:p>
    <w:p>
      <w:pPr>
        <w:spacing w:line="360" w:lineRule="auto"/>
        <w:ind w:firstLine="539" w:firstLineChars="257"/>
        <w:rPr>
          <w:rFonts w:ascii="宋体" w:hAnsi="宋体" w:cs="宋体"/>
          <w:kern w:val="0"/>
          <w:szCs w:val="21"/>
        </w:rPr>
      </w:pPr>
      <w:r>
        <w:rPr>
          <w:rFonts w:hint="eastAsia" w:ascii="宋体" w:hAnsi="宋体" w:cs="宋体"/>
          <w:kern w:val="0"/>
          <w:szCs w:val="21"/>
        </w:rPr>
        <w:t>一档：安装调试方案、实施方案简单，项目实施人员、保证项目实施的技术力量和人力资源安排等措施一般（满分2分）；</w:t>
      </w:r>
    </w:p>
    <w:p>
      <w:pPr>
        <w:spacing w:line="360" w:lineRule="auto"/>
        <w:ind w:firstLine="539" w:firstLineChars="257"/>
        <w:rPr>
          <w:rFonts w:ascii="宋体" w:hAnsi="宋体" w:cs="宋体"/>
          <w:kern w:val="0"/>
          <w:szCs w:val="21"/>
        </w:rPr>
      </w:pPr>
      <w:r>
        <w:rPr>
          <w:rFonts w:hint="eastAsia" w:ascii="宋体" w:hAnsi="宋体" w:cs="宋体"/>
          <w:kern w:val="0"/>
          <w:szCs w:val="21"/>
        </w:rPr>
        <w:t>二档：安装调试方案、实施方案详实，</w:t>
      </w:r>
      <w:r>
        <w:rPr>
          <w:rFonts w:hint="eastAsia" w:ascii="宋体" w:hAnsi="宋体" w:cs="宋体"/>
          <w:bCs/>
          <w:szCs w:val="21"/>
        </w:rPr>
        <w:t>能提供</w:t>
      </w:r>
      <w:r>
        <w:rPr>
          <w:rFonts w:hint="eastAsia" w:ascii="宋体" w:hAnsi="宋体" w:cs="宋体"/>
          <w:szCs w:val="21"/>
        </w:rPr>
        <w:t>氛围装饰</w:t>
      </w:r>
      <w:r>
        <w:rPr>
          <w:rFonts w:hint="eastAsia" w:ascii="宋体" w:hAnsi="宋体" w:cs="宋体"/>
          <w:bCs/>
          <w:szCs w:val="21"/>
        </w:rPr>
        <w:t>方案渲染效果图，</w:t>
      </w:r>
      <w:r>
        <w:rPr>
          <w:rFonts w:hint="eastAsia" w:ascii="宋体" w:hAnsi="宋体" w:cs="宋体"/>
          <w:kern w:val="0"/>
          <w:szCs w:val="21"/>
        </w:rPr>
        <w:t>项目实施人员、保证项目实施的技术力量和人力资源安排等措施良好（满分4分）；</w:t>
      </w:r>
    </w:p>
    <w:p>
      <w:pPr>
        <w:pStyle w:val="15"/>
        <w:spacing w:line="360" w:lineRule="auto"/>
        <w:ind w:firstLine="420" w:firstLineChars="200"/>
        <w:rPr>
          <w:rFonts w:hAnsi="宋体" w:cs="宋体"/>
          <w:szCs w:val="21"/>
        </w:rPr>
      </w:pPr>
      <w:r>
        <w:rPr>
          <w:rFonts w:hint="eastAsia" w:hAnsi="宋体" w:cs="宋体"/>
          <w:szCs w:val="21"/>
        </w:rPr>
        <w:t>三档：安装调试方案、实施方案完整清晰，</w:t>
      </w:r>
      <w:r>
        <w:rPr>
          <w:rFonts w:hint="eastAsia" w:hAnsi="宋体" w:cs="宋体"/>
          <w:bCs/>
          <w:szCs w:val="21"/>
        </w:rPr>
        <w:t>能提供</w:t>
      </w:r>
      <w:r>
        <w:rPr>
          <w:rFonts w:hint="eastAsia" w:hAnsi="宋体" w:cs="宋体"/>
          <w:szCs w:val="21"/>
        </w:rPr>
        <w:t>氛围装饰</w:t>
      </w:r>
      <w:r>
        <w:rPr>
          <w:rFonts w:hint="eastAsia" w:hAnsi="宋体" w:cs="宋体"/>
          <w:bCs/>
          <w:szCs w:val="21"/>
        </w:rPr>
        <w:t>方案渲染效果图，</w:t>
      </w:r>
      <w:r>
        <w:rPr>
          <w:rFonts w:hint="eastAsia" w:hAnsi="宋体" w:cs="宋体"/>
          <w:szCs w:val="21"/>
        </w:rPr>
        <w:t>对用户需求理解透彻，项目实施计划完整明晰，项目管理组织机构及人员职能清晰可控，时间进度保证措施，风险管理，文明施工，项目实施人员、保证项目实施的技术力量和人力资源安排等措施（满分6分）</w:t>
      </w:r>
    </w:p>
    <w:p>
      <w:pPr>
        <w:pStyle w:val="15"/>
        <w:numPr>
          <w:ilvl w:val="0"/>
          <w:numId w:val="4"/>
        </w:numPr>
        <w:spacing w:line="360" w:lineRule="auto"/>
        <w:ind w:firstLine="420" w:firstLineChars="200"/>
        <w:rPr>
          <w:rFonts w:hAnsi="宋体" w:cs="宋体"/>
          <w:bCs/>
          <w:szCs w:val="21"/>
          <w:lang w:bidi="ar"/>
        </w:rPr>
      </w:pPr>
      <w:r>
        <w:rPr>
          <w:rFonts w:hint="eastAsia" w:hAnsi="宋体" w:cs="宋体"/>
          <w:bCs/>
          <w:szCs w:val="21"/>
          <w:lang w:bidi="ar"/>
        </w:rPr>
        <w:t>为保证系统兼容和稳定性，第1、2、3、4、5、6、7、8、9项货物为同一品牌的，得6分；</w:t>
      </w:r>
    </w:p>
    <w:p>
      <w:pPr>
        <w:pStyle w:val="15"/>
        <w:spacing w:line="360" w:lineRule="auto"/>
        <w:ind w:firstLine="422" w:firstLineChars="200"/>
        <w:rPr>
          <w:rFonts w:hAnsi="宋体" w:cs="宋体"/>
          <w:b/>
          <w:szCs w:val="21"/>
        </w:rPr>
      </w:pPr>
      <w:r>
        <w:rPr>
          <w:rFonts w:hint="eastAsia" w:hAnsi="宋体" w:cs="宋体"/>
          <w:b/>
          <w:szCs w:val="21"/>
        </w:rPr>
        <w:t>3．商务分……………………………………………………………………………………（满分18分）</w:t>
      </w:r>
    </w:p>
    <w:p>
      <w:pPr>
        <w:pStyle w:val="15"/>
        <w:spacing w:line="360" w:lineRule="auto"/>
        <w:ind w:left="-134" w:leftChars="-64" w:firstLine="527" w:firstLineChars="250"/>
        <w:rPr>
          <w:rFonts w:hAnsi="宋体" w:cs="宋体"/>
          <w:bCs/>
          <w:szCs w:val="21"/>
        </w:rPr>
      </w:pPr>
      <w:r>
        <w:rPr>
          <w:rFonts w:hint="eastAsia" w:hAnsi="宋体" w:cs="宋体"/>
          <w:b/>
          <w:szCs w:val="21"/>
        </w:rPr>
        <w:t>（1）</w:t>
      </w:r>
      <w:r>
        <w:rPr>
          <w:rFonts w:hint="eastAsia" w:hAnsi="宋体" w:cs="宋体"/>
          <w:bCs/>
          <w:szCs w:val="21"/>
        </w:rPr>
        <w:t>售后服务方案（满分12分）</w:t>
      </w:r>
    </w:p>
    <w:p>
      <w:pPr>
        <w:pStyle w:val="15"/>
        <w:spacing w:line="360" w:lineRule="auto"/>
        <w:ind w:firstLine="420" w:firstLineChars="200"/>
        <w:rPr>
          <w:rFonts w:hAnsi="宋体" w:cs="宋体"/>
          <w:bCs/>
          <w:szCs w:val="21"/>
        </w:rPr>
      </w:pPr>
      <w:r>
        <w:rPr>
          <w:rFonts w:hint="eastAsia" w:hAnsi="宋体" w:cs="宋体"/>
          <w:bCs/>
          <w:szCs w:val="21"/>
        </w:rPr>
        <w:t>一档：售后服务基本满足文件要求，如免费保修期限、到达故障现场时间、定期维护（注明时间）、免费技术培训方案、等方面能满足要求，至少拥有1名计算机技术范围专业运维人员（以提供职业资格证书复印件为准，原件备查）（满分4分）；</w:t>
      </w:r>
    </w:p>
    <w:p>
      <w:pPr>
        <w:pStyle w:val="15"/>
        <w:spacing w:line="360" w:lineRule="auto"/>
        <w:ind w:firstLine="420" w:firstLineChars="200"/>
        <w:rPr>
          <w:rFonts w:hAnsi="宋体" w:cs="宋体"/>
          <w:bCs/>
          <w:szCs w:val="21"/>
        </w:rPr>
      </w:pPr>
      <w:r>
        <w:rPr>
          <w:rFonts w:hint="eastAsia" w:hAnsi="宋体" w:cs="宋体"/>
          <w:bCs/>
          <w:szCs w:val="21"/>
        </w:rPr>
        <w:t>二档：售后服务完全满足文件要求，比较细致、合理、可行，保障响应措施较有力，服务经验较丰富；在广西设有直属运行维护机构（非委托第三方，须提供营业执照复印件），能提供7*24小时全天候技术服务热线支持；售后服务承诺书内容的完整性、可行性、免费保修期限、到达故障现场时间、故障出现解决方案、定期维护（注明时间）、免费技术培训方案、保修期外维修方案、其他优惠措施安装要求及方案等方面优秀，至少拥有2名计算机技术范围专业运维人员（以提供职业资格证书复印件为准，原件备查）（满分8分）；</w:t>
      </w:r>
    </w:p>
    <w:p>
      <w:pPr>
        <w:pStyle w:val="15"/>
        <w:spacing w:line="360" w:lineRule="auto"/>
        <w:ind w:firstLine="420" w:firstLineChars="200"/>
        <w:rPr>
          <w:rFonts w:hAnsi="宋体" w:cs="宋体"/>
          <w:bCs/>
          <w:szCs w:val="21"/>
        </w:rPr>
      </w:pPr>
      <w:r>
        <w:rPr>
          <w:rFonts w:hint="eastAsia" w:hAnsi="宋体" w:cs="宋体"/>
          <w:bCs/>
          <w:szCs w:val="21"/>
        </w:rPr>
        <w:t>三档：售后服务方案比较细致、合理、可行，保障响应措施较有力，服务经验较丰富；在广西设有直属运行维护机构（非委托第三方，须提供营业执照复印件），能提供7*24小时全天候技术服务热线支持；售后服务承诺书内容的完整性、可行性、免费保修期限、到达故障现场时间、故障出现解决方案、定期维护（注明时间）、免费技术培训方案、保修期外维修方案、其他优惠措施安装要求及方案等方面优秀；至少拥有3名以上计算机技术范围专业运维人员（以提供职业资格证书复印件为准，原件备查）。有针对本项目的备品备件库，提供备件库清单，提供同档次设备供用户使用；提供定期回访等（满分12分）。</w:t>
      </w:r>
    </w:p>
    <w:p>
      <w:pPr>
        <w:pStyle w:val="15"/>
        <w:spacing w:line="360" w:lineRule="auto"/>
        <w:ind w:firstLine="420" w:firstLineChars="200"/>
        <w:rPr>
          <w:rFonts w:hAnsi="宋体" w:cs="宋体"/>
          <w:bCs/>
          <w:szCs w:val="21"/>
        </w:rPr>
      </w:pPr>
      <w:r>
        <w:rPr>
          <w:rFonts w:hint="eastAsia" w:hAnsi="宋体" w:cs="宋体"/>
          <w:bCs/>
          <w:szCs w:val="21"/>
        </w:rPr>
        <w:t>注：投标人须提供维护</w:t>
      </w:r>
      <w:r>
        <w:rPr>
          <w:rFonts w:hint="eastAsia" w:hAnsi="宋体" w:cs="宋体"/>
          <w:szCs w:val="21"/>
        </w:rPr>
        <w:t>技术人员</w:t>
      </w:r>
      <w:r>
        <w:rPr>
          <w:rFonts w:hint="eastAsia" w:hAnsi="宋体" w:cs="宋体"/>
          <w:bCs/>
          <w:szCs w:val="21"/>
        </w:rPr>
        <w:t>缴纳社保证明材料的复印件。</w:t>
      </w:r>
    </w:p>
    <w:p>
      <w:pPr>
        <w:pStyle w:val="15"/>
        <w:spacing w:line="360" w:lineRule="auto"/>
        <w:ind w:left="420"/>
        <w:rPr>
          <w:rFonts w:hAnsi="宋体" w:cs="宋体"/>
          <w:szCs w:val="21"/>
        </w:rPr>
      </w:pPr>
      <w:r>
        <w:rPr>
          <w:rFonts w:hint="eastAsia" w:hAnsi="宋体" w:cs="宋体"/>
          <w:bCs/>
          <w:szCs w:val="21"/>
        </w:rPr>
        <w:t>（2）</w:t>
      </w:r>
      <w:r>
        <w:rPr>
          <w:rFonts w:hint="eastAsia" w:hAnsi="宋体" w:cs="宋体"/>
          <w:szCs w:val="21"/>
        </w:rPr>
        <w:t>投标产品提供国家节能产品认证证书、环保认证的</w:t>
      </w:r>
      <w:r>
        <w:rPr>
          <w:rFonts w:hint="eastAsia" w:hAnsi="宋体" w:cs="宋体"/>
          <w:bCs/>
          <w:szCs w:val="21"/>
        </w:rPr>
        <w:t>，得1分；</w:t>
      </w:r>
    </w:p>
    <w:p>
      <w:pPr>
        <w:pStyle w:val="15"/>
        <w:spacing w:line="360" w:lineRule="auto"/>
        <w:ind w:firstLine="420" w:firstLineChars="200"/>
        <w:rPr>
          <w:rFonts w:hAnsi="宋体" w:cs="宋体"/>
          <w:bCs/>
          <w:szCs w:val="21"/>
        </w:rPr>
      </w:pPr>
      <w:r>
        <w:rPr>
          <w:rFonts w:hint="eastAsia" w:hAnsi="宋体" w:cs="宋体"/>
          <w:bCs/>
          <w:szCs w:val="21"/>
        </w:rPr>
        <w:t>（3）</w:t>
      </w:r>
      <w:r>
        <w:rPr>
          <w:rFonts w:hint="eastAsia" w:hAnsi="宋体" w:cs="宋体"/>
          <w:szCs w:val="21"/>
        </w:rPr>
        <w:t>在同等质量和价格的条件下，</w:t>
      </w:r>
      <w:r>
        <w:rPr>
          <w:rFonts w:hint="eastAsia" w:hAnsi="宋体" w:cs="宋体"/>
          <w:bCs/>
          <w:szCs w:val="21"/>
        </w:rPr>
        <w:t>使用广西工业产品80%以上的</w:t>
      </w:r>
      <w:r>
        <w:rPr>
          <w:rFonts w:hint="eastAsia" w:hAnsi="宋体" w:cs="宋体"/>
          <w:szCs w:val="21"/>
        </w:rPr>
        <w:t>得1分。</w:t>
      </w:r>
    </w:p>
    <w:p>
      <w:pPr>
        <w:pStyle w:val="15"/>
        <w:spacing w:line="360" w:lineRule="auto"/>
        <w:ind w:left="400"/>
        <w:rPr>
          <w:rFonts w:hAnsi="宋体" w:cs="宋体"/>
          <w:bCs/>
          <w:szCs w:val="21"/>
        </w:rPr>
      </w:pPr>
      <w:r>
        <w:rPr>
          <w:rFonts w:hint="eastAsia" w:hAnsi="宋体" w:cs="宋体"/>
          <w:bCs/>
          <w:szCs w:val="21"/>
        </w:rPr>
        <w:t>（4）第1、2、7、8、9项产品，提供生产厂家针对本项目出具的售后服务承诺书原件的，每一个得0.8分，满分4分</w:t>
      </w:r>
    </w:p>
    <w:p>
      <w:pPr>
        <w:pStyle w:val="15"/>
        <w:spacing w:line="360" w:lineRule="auto"/>
        <w:ind w:firstLine="422" w:firstLineChars="200"/>
        <w:rPr>
          <w:rFonts w:hAnsi="宋体" w:cs="宋体"/>
          <w:bCs/>
          <w:szCs w:val="21"/>
        </w:rPr>
      </w:pPr>
      <w:r>
        <w:rPr>
          <w:rFonts w:hint="eastAsia" w:hAnsi="宋体" w:cs="宋体"/>
          <w:b/>
          <w:szCs w:val="21"/>
        </w:rPr>
        <w:t>4.诚信分</w:t>
      </w:r>
    </w:p>
    <w:p>
      <w:pPr>
        <w:pStyle w:val="12"/>
        <w:spacing w:line="400" w:lineRule="exact"/>
        <w:ind w:firstLine="420" w:firstLineChars="200"/>
        <w:rPr>
          <w:rFonts w:ascii="宋体" w:hAnsi="宋体" w:cs="宋体"/>
          <w:szCs w:val="21"/>
        </w:rPr>
      </w:pPr>
      <w:r>
        <w:rPr>
          <w:rFonts w:hint="eastAsia" w:ascii="宋体" w:hAnsi="宋体" w:cs="宋体"/>
          <w:szCs w:val="21"/>
        </w:rPr>
        <w:t>投标人在截标日前一年内在政府采购活动中存在违约违规情况的，每次扣除3分，最高扣6分。（投标人提供出具书面说明作为评分依据，格式自拟。如有违约违规书面认定材料的，须主动在投标文件中提供书面认定材料。投标人须对本项所承诺内容及提供的资料真实性负责，中标后由采购人进行核查，如核查后与承诺内容或所提供的证明材料不符的，按提供虚假材料处理）。</w:t>
      </w:r>
    </w:p>
    <w:p>
      <w:pPr>
        <w:spacing w:line="400" w:lineRule="exact"/>
        <w:ind w:firstLine="420" w:firstLineChars="200"/>
        <w:rPr>
          <w:rFonts w:ascii="宋体" w:hAnsi="宋体" w:cs="宋体"/>
          <w:szCs w:val="21"/>
        </w:rPr>
      </w:pPr>
      <w:r>
        <w:rPr>
          <w:rFonts w:hint="eastAsia" w:ascii="宋体" w:hAnsi="宋体" w:cs="宋体"/>
          <w:szCs w:val="21"/>
        </w:rPr>
        <w:t>（三）总得分=1 + 2 + 3 +4。</w:t>
      </w:r>
    </w:p>
    <w:p>
      <w:pPr>
        <w:tabs>
          <w:tab w:val="right" w:leader="dot" w:pos="9185"/>
        </w:tabs>
        <w:adjustRightInd w:val="0"/>
        <w:spacing w:line="400" w:lineRule="exact"/>
        <w:textAlignment w:val="baseline"/>
        <w:rPr>
          <w:rFonts w:ascii="宋体" w:hAnsi="宋体" w:cs="宋体"/>
          <w:b/>
          <w:bCs/>
          <w:kern w:val="0"/>
          <w:szCs w:val="21"/>
        </w:rPr>
      </w:pPr>
      <w:r>
        <w:rPr>
          <w:rFonts w:hint="eastAsia" w:ascii="宋体" w:hAnsi="宋体" w:cs="宋体"/>
          <w:b/>
          <w:bCs/>
          <w:kern w:val="0"/>
          <w:szCs w:val="21"/>
        </w:rPr>
        <w:t>三、中标候选供应商推荐原则</w:t>
      </w:r>
    </w:p>
    <w:p>
      <w:pPr>
        <w:tabs>
          <w:tab w:val="right" w:leader="dot" w:pos="9185"/>
        </w:tabs>
        <w:adjustRightInd w:val="0"/>
        <w:spacing w:line="400" w:lineRule="exact"/>
        <w:ind w:firstLine="411" w:firstLineChars="196"/>
        <w:textAlignment w:val="baseline"/>
        <w:rPr>
          <w:rFonts w:ascii="宋体" w:hAnsi="宋体" w:cs="宋体"/>
          <w:bCs/>
          <w:kern w:val="0"/>
          <w:szCs w:val="21"/>
        </w:rPr>
      </w:pPr>
      <w:r>
        <w:rPr>
          <w:rFonts w:hint="eastAsia" w:ascii="宋体" w:hAnsi="宋体" w:cs="宋体"/>
          <w:bCs/>
          <w:kern w:val="0"/>
          <w:szCs w:val="21"/>
        </w:rPr>
        <w:t>（一）评标委员会将根据得分由高到低排列次序（得分相同时，以投标报价由低到高顺序排列；得分且投标报价相同的并列，按技术指标优劣顺序排列）并推荐中标候选人。采购人应当确定评审委员会推荐排名第一的中标候选人为中标人。排名第一的中标候选人放弃中标、因不可抗力或者自身原因提出不能履行合同，或者被质疑成立后取消中标资格且合格供应商符合法定数量的，采购人可以确定排名第二的中标候选人为中标人。排名第二的中标候选人因前款规定的同样原因不能签订合同的，采购人可以确定排名第三的中标候选人为中标人，其余以此类推。采购人也可以决定重新采购。</w:t>
      </w:r>
    </w:p>
    <w:p>
      <w:pPr>
        <w:spacing w:line="400" w:lineRule="exact"/>
        <w:jc w:val="left"/>
        <w:rPr>
          <w:rFonts w:ascii="宋体" w:hAnsi="宋体" w:cs="宋体"/>
          <w:b/>
          <w:szCs w:val="21"/>
        </w:rPr>
      </w:pPr>
    </w:p>
    <w:p>
      <w:pPr>
        <w:pStyle w:val="15"/>
        <w:spacing w:line="360" w:lineRule="exact"/>
        <w:ind w:firstLine="422" w:firstLineChars="200"/>
        <w:rPr>
          <w:rFonts w:hAnsi="宋体" w:cs="宋体"/>
          <w:b/>
          <w:szCs w:val="21"/>
        </w:rPr>
      </w:pPr>
    </w:p>
    <w:p>
      <w:pPr>
        <w:pStyle w:val="9"/>
        <w:rPr>
          <w:rFonts w:ascii="宋体" w:hAnsi="宋体" w:cs="宋体"/>
          <w:b/>
          <w:szCs w:val="21"/>
        </w:rPr>
      </w:pPr>
    </w:p>
    <w:p>
      <w:pPr>
        <w:rPr>
          <w:rFonts w:ascii="宋体" w:hAnsi="宋体" w:cs="宋体"/>
          <w:b/>
          <w:szCs w:val="21"/>
        </w:rPr>
      </w:pPr>
    </w:p>
    <w:p>
      <w:pPr>
        <w:pStyle w:val="12"/>
        <w:rPr>
          <w:rFonts w:ascii="宋体" w:hAnsi="宋体" w:cs="宋体"/>
          <w:b/>
          <w:szCs w:val="21"/>
        </w:rPr>
      </w:pPr>
    </w:p>
    <w:p>
      <w:pPr>
        <w:pStyle w:val="12"/>
        <w:rPr>
          <w:rFonts w:ascii="宋体" w:hAnsi="宋体" w:cs="宋体"/>
          <w:b/>
          <w:szCs w:val="21"/>
        </w:rPr>
      </w:pPr>
    </w:p>
    <w:p>
      <w:pPr>
        <w:pStyle w:val="12"/>
        <w:rPr>
          <w:rFonts w:ascii="宋体" w:hAnsi="宋体" w:cs="宋体"/>
          <w:b/>
          <w:szCs w:val="21"/>
        </w:rPr>
      </w:pPr>
    </w:p>
    <w:p>
      <w:pPr>
        <w:pStyle w:val="12"/>
        <w:rPr>
          <w:rFonts w:ascii="宋体" w:hAnsi="宋体" w:cs="宋体"/>
          <w:b/>
          <w:szCs w:val="21"/>
        </w:rPr>
      </w:pPr>
    </w:p>
    <w:p>
      <w:pPr>
        <w:pStyle w:val="15"/>
        <w:spacing w:line="360" w:lineRule="exact"/>
        <w:ind w:firstLine="422" w:firstLineChars="200"/>
        <w:jc w:val="center"/>
        <w:rPr>
          <w:rFonts w:hAnsi="宋体" w:cs="宋体"/>
          <w:b/>
          <w:szCs w:val="21"/>
        </w:rPr>
      </w:pPr>
    </w:p>
    <w:p>
      <w:pPr>
        <w:pStyle w:val="9"/>
      </w:pPr>
    </w:p>
    <w:p>
      <w:pPr>
        <w:pStyle w:val="15"/>
        <w:spacing w:line="400" w:lineRule="exact"/>
        <w:rPr>
          <w:rFonts w:ascii="Times New Roman" w:hAnsi="Times New Roman"/>
          <w:b/>
          <w:sz w:val="36"/>
        </w:rPr>
      </w:pPr>
      <w:bookmarkStart w:id="47" w:name="_Toc1654626"/>
    </w:p>
    <w:p>
      <w:pPr>
        <w:pStyle w:val="15"/>
        <w:spacing w:line="400" w:lineRule="exact"/>
        <w:jc w:val="center"/>
        <w:rPr>
          <w:rFonts w:hAnsi="宋体"/>
          <w:b/>
          <w:sz w:val="36"/>
          <w:szCs w:val="36"/>
        </w:rPr>
      </w:pPr>
      <w:r>
        <w:rPr>
          <w:rFonts w:hint="eastAsia" w:ascii="Times New Roman" w:hAnsi="Times New Roman"/>
          <w:b/>
          <w:sz w:val="36"/>
        </w:rPr>
        <w:t>第四章 投标人须知</w:t>
      </w:r>
      <w:bookmarkEnd w:id="47"/>
    </w:p>
    <w:p>
      <w:pPr>
        <w:pStyle w:val="15"/>
        <w:spacing w:line="720" w:lineRule="auto"/>
        <w:jc w:val="center"/>
        <w:rPr>
          <w:rFonts w:ascii="Times New Roman" w:hAnsi="Times New Roman"/>
          <w:b/>
          <w:sz w:val="30"/>
          <w:szCs w:val="30"/>
        </w:rPr>
      </w:pPr>
      <w:r>
        <w:rPr>
          <w:rFonts w:hint="eastAsia" w:ascii="Times New Roman" w:hAnsi="Times New Roman"/>
          <w:b/>
          <w:sz w:val="30"/>
          <w:szCs w:val="30"/>
        </w:rPr>
        <w:t>投标人须知前附表</w:t>
      </w:r>
    </w:p>
    <w:tbl>
      <w:tblPr>
        <w:tblStyle w:val="27"/>
        <w:tblW w:w="958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2206"/>
        <w:gridCol w:w="6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15"/>
              <w:adjustRightInd w:val="0"/>
              <w:spacing w:line="360" w:lineRule="auto"/>
              <w:jc w:val="center"/>
              <w:rPr>
                <w:rFonts w:hAnsi="宋体"/>
                <w:b/>
                <w:szCs w:val="21"/>
              </w:rPr>
            </w:pPr>
            <w:r>
              <w:rPr>
                <w:rFonts w:hint="eastAsia" w:hAnsi="宋体"/>
                <w:b/>
                <w:szCs w:val="21"/>
              </w:rPr>
              <w:t>条款号</w:t>
            </w:r>
          </w:p>
        </w:tc>
        <w:tc>
          <w:tcPr>
            <w:tcW w:w="2206" w:type="dxa"/>
            <w:vAlign w:val="center"/>
          </w:tcPr>
          <w:p>
            <w:pPr>
              <w:pStyle w:val="15"/>
              <w:spacing w:line="360" w:lineRule="auto"/>
              <w:jc w:val="center"/>
              <w:rPr>
                <w:rFonts w:hAnsi="宋体"/>
                <w:b/>
                <w:szCs w:val="21"/>
              </w:rPr>
            </w:pPr>
            <w:r>
              <w:rPr>
                <w:rFonts w:hint="eastAsia" w:hAnsi="宋体"/>
                <w:b/>
                <w:szCs w:val="21"/>
              </w:rPr>
              <w:t>条款名称</w:t>
            </w:r>
          </w:p>
        </w:tc>
        <w:tc>
          <w:tcPr>
            <w:tcW w:w="6301" w:type="dxa"/>
          </w:tcPr>
          <w:p>
            <w:pPr>
              <w:pStyle w:val="15"/>
              <w:spacing w:line="360" w:lineRule="auto"/>
              <w:jc w:val="center"/>
              <w:rPr>
                <w:rFonts w:hAnsi="宋体"/>
                <w:b/>
                <w:szCs w:val="21"/>
              </w:rPr>
            </w:pPr>
            <w:r>
              <w:rPr>
                <w:rFonts w:hint="eastAsia" w:hAnsi="宋体"/>
                <w:b/>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15"/>
              <w:adjustRightInd w:val="0"/>
              <w:spacing w:line="360" w:lineRule="auto"/>
              <w:jc w:val="center"/>
              <w:rPr>
                <w:rFonts w:hAnsi="宋体"/>
                <w:szCs w:val="21"/>
              </w:rPr>
            </w:pPr>
            <w:r>
              <w:rPr>
                <w:rFonts w:hint="eastAsia" w:hAnsi="宋体"/>
                <w:szCs w:val="21"/>
              </w:rPr>
              <w:t>1.1</w:t>
            </w:r>
          </w:p>
        </w:tc>
        <w:tc>
          <w:tcPr>
            <w:tcW w:w="2206" w:type="dxa"/>
            <w:vAlign w:val="center"/>
          </w:tcPr>
          <w:p>
            <w:pPr>
              <w:pStyle w:val="15"/>
              <w:spacing w:line="360" w:lineRule="auto"/>
              <w:jc w:val="center"/>
              <w:rPr>
                <w:rFonts w:hAnsi="宋体"/>
                <w:szCs w:val="21"/>
              </w:rPr>
            </w:pPr>
            <w:r>
              <w:rPr>
                <w:rFonts w:hint="eastAsia" w:hAnsi="宋体"/>
                <w:szCs w:val="21"/>
              </w:rPr>
              <w:t>采购人</w:t>
            </w:r>
          </w:p>
        </w:tc>
        <w:tc>
          <w:tcPr>
            <w:tcW w:w="6301" w:type="dxa"/>
            <w:vAlign w:val="center"/>
          </w:tcPr>
          <w:p>
            <w:pPr>
              <w:pStyle w:val="15"/>
              <w:spacing w:line="360" w:lineRule="auto"/>
              <w:jc w:val="left"/>
              <w:rPr>
                <w:rFonts w:hAnsi="宋体"/>
                <w:szCs w:val="21"/>
              </w:rPr>
            </w:pPr>
            <w:r>
              <w:rPr>
                <w:rFonts w:hint="eastAsia" w:hAnsi="宋体"/>
                <w:szCs w:val="21"/>
              </w:rPr>
              <w:t>名称：南宁职业技术学院</w:t>
            </w:r>
          </w:p>
          <w:p>
            <w:pPr>
              <w:pStyle w:val="15"/>
              <w:spacing w:line="360" w:lineRule="auto"/>
              <w:jc w:val="left"/>
              <w:rPr>
                <w:rFonts w:hAnsi="宋体"/>
                <w:szCs w:val="21"/>
              </w:rPr>
            </w:pPr>
            <w:r>
              <w:rPr>
                <w:rFonts w:hint="eastAsia" w:hAnsi="宋体"/>
                <w:szCs w:val="21"/>
              </w:rPr>
              <w:t>地址：南宁市大学西路169号</w:t>
            </w:r>
          </w:p>
          <w:p>
            <w:pPr>
              <w:pStyle w:val="15"/>
              <w:spacing w:line="360" w:lineRule="auto"/>
              <w:jc w:val="left"/>
              <w:rPr>
                <w:rFonts w:hAnsi="宋体"/>
                <w:szCs w:val="21"/>
              </w:rPr>
            </w:pPr>
            <w:r>
              <w:rPr>
                <w:rFonts w:hint="eastAsia" w:hAnsi="宋体"/>
                <w:szCs w:val="21"/>
              </w:rPr>
              <w:t>联系人：</w:t>
            </w:r>
            <w:r>
              <w:rPr>
                <w:rFonts w:hint="eastAsia" w:asciiTheme="majorEastAsia" w:hAnsiTheme="majorEastAsia" w:eastAsiaTheme="majorEastAsia"/>
              </w:rPr>
              <w:t>莫老师</w:t>
            </w:r>
            <w:r>
              <w:rPr>
                <w:rFonts w:hint="eastAsia" w:hAnsi="宋体"/>
                <w:szCs w:val="21"/>
              </w:rPr>
              <w:t> </w:t>
            </w:r>
          </w:p>
          <w:p>
            <w:pPr>
              <w:pStyle w:val="15"/>
              <w:spacing w:line="360" w:lineRule="auto"/>
              <w:jc w:val="left"/>
              <w:rPr>
                <w:rFonts w:hAnsi="宋体"/>
                <w:szCs w:val="21"/>
              </w:rPr>
            </w:pPr>
            <w:r>
              <w:rPr>
                <w:rFonts w:hint="eastAsia" w:hAnsi="宋体"/>
                <w:szCs w:val="21"/>
              </w:rPr>
              <w:t>电话：</w:t>
            </w:r>
            <w:r>
              <w:rPr>
                <w:rFonts w:hint="eastAsia" w:asciiTheme="majorEastAsia" w:hAnsiTheme="majorEastAsia" w:eastAsiaTheme="majorEastAsia"/>
              </w:rPr>
              <w:t xml:space="preserve">0771-2029355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15"/>
              <w:adjustRightInd w:val="0"/>
              <w:spacing w:line="360" w:lineRule="auto"/>
              <w:jc w:val="center"/>
              <w:rPr>
                <w:rFonts w:hAnsi="宋体"/>
                <w:szCs w:val="21"/>
              </w:rPr>
            </w:pPr>
            <w:r>
              <w:rPr>
                <w:rFonts w:hint="eastAsia" w:hAnsi="宋体"/>
                <w:szCs w:val="21"/>
              </w:rPr>
              <w:t>1.2</w:t>
            </w:r>
          </w:p>
        </w:tc>
        <w:tc>
          <w:tcPr>
            <w:tcW w:w="2206" w:type="dxa"/>
            <w:vAlign w:val="center"/>
          </w:tcPr>
          <w:p>
            <w:pPr>
              <w:pStyle w:val="15"/>
              <w:spacing w:line="360" w:lineRule="auto"/>
              <w:jc w:val="center"/>
              <w:rPr>
                <w:rFonts w:hAnsi="宋体"/>
                <w:szCs w:val="21"/>
              </w:rPr>
            </w:pPr>
            <w:r>
              <w:rPr>
                <w:rFonts w:hint="eastAsia" w:hAnsi="宋体"/>
                <w:szCs w:val="21"/>
              </w:rPr>
              <w:t>采购代理机构</w:t>
            </w:r>
          </w:p>
        </w:tc>
        <w:tc>
          <w:tcPr>
            <w:tcW w:w="6301" w:type="dxa"/>
            <w:vAlign w:val="center"/>
          </w:tcPr>
          <w:p>
            <w:pPr>
              <w:pStyle w:val="15"/>
              <w:spacing w:line="400" w:lineRule="exact"/>
              <w:jc w:val="left"/>
              <w:rPr>
                <w:rFonts w:hAnsi="宋体"/>
                <w:szCs w:val="21"/>
              </w:rPr>
            </w:pPr>
            <w:r>
              <w:rPr>
                <w:rFonts w:hint="eastAsia" w:hAnsi="宋体"/>
                <w:szCs w:val="21"/>
              </w:rPr>
              <w:t>名称：广西恒基建设工程咨询有限公司</w:t>
            </w:r>
          </w:p>
          <w:p>
            <w:pPr>
              <w:pStyle w:val="15"/>
              <w:spacing w:line="400" w:lineRule="exact"/>
              <w:jc w:val="left"/>
              <w:rPr>
                <w:rFonts w:hAnsi="宋体"/>
                <w:szCs w:val="21"/>
              </w:rPr>
            </w:pPr>
            <w:r>
              <w:rPr>
                <w:rFonts w:hint="eastAsia" w:hAnsi="宋体"/>
                <w:szCs w:val="21"/>
              </w:rPr>
              <w:t>地址：南宁市青秀区云景路69号南宁市轨道交通运营控制中心B楼14层 </w:t>
            </w:r>
          </w:p>
          <w:p>
            <w:pPr>
              <w:pStyle w:val="15"/>
              <w:spacing w:line="400" w:lineRule="exact"/>
              <w:jc w:val="left"/>
              <w:rPr>
                <w:rFonts w:hAnsi="宋体"/>
                <w:szCs w:val="21"/>
              </w:rPr>
            </w:pPr>
            <w:r>
              <w:rPr>
                <w:rFonts w:hint="eastAsia" w:hAnsi="宋体"/>
                <w:szCs w:val="21"/>
              </w:rPr>
              <w:t>项目联系人：周仁</w:t>
            </w:r>
          </w:p>
          <w:p>
            <w:pPr>
              <w:pStyle w:val="15"/>
              <w:spacing w:line="400" w:lineRule="exact"/>
              <w:jc w:val="left"/>
              <w:rPr>
                <w:rFonts w:hAnsi="宋体"/>
                <w:szCs w:val="21"/>
              </w:rPr>
            </w:pPr>
            <w:r>
              <w:rPr>
                <w:rFonts w:hint="eastAsia" w:hAnsi="宋体"/>
                <w:szCs w:val="21"/>
              </w:rPr>
              <w:t xml:space="preserve">联系电话：0771-2756880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15"/>
              <w:adjustRightInd w:val="0"/>
              <w:spacing w:line="360" w:lineRule="auto"/>
              <w:jc w:val="center"/>
              <w:rPr>
                <w:rFonts w:hAnsi="宋体"/>
                <w:szCs w:val="21"/>
              </w:rPr>
            </w:pPr>
            <w:r>
              <w:rPr>
                <w:rFonts w:hint="eastAsia" w:hAnsi="宋体"/>
                <w:szCs w:val="21"/>
              </w:rPr>
              <w:t>1.3</w:t>
            </w:r>
          </w:p>
        </w:tc>
        <w:tc>
          <w:tcPr>
            <w:tcW w:w="2206" w:type="dxa"/>
            <w:vAlign w:val="center"/>
          </w:tcPr>
          <w:p>
            <w:pPr>
              <w:pStyle w:val="15"/>
              <w:spacing w:line="360" w:lineRule="auto"/>
              <w:jc w:val="center"/>
              <w:rPr>
                <w:rFonts w:hAnsi="宋体"/>
                <w:szCs w:val="21"/>
              </w:rPr>
            </w:pPr>
            <w:r>
              <w:rPr>
                <w:rFonts w:hint="eastAsia" w:hAnsi="宋体"/>
                <w:szCs w:val="21"/>
              </w:rPr>
              <w:t>项目名称</w:t>
            </w:r>
          </w:p>
        </w:tc>
        <w:tc>
          <w:tcPr>
            <w:tcW w:w="6301" w:type="dxa"/>
            <w:vAlign w:val="center"/>
          </w:tcPr>
          <w:p>
            <w:pPr>
              <w:pStyle w:val="15"/>
              <w:spacing w:line="400" w:lineRule="exact"/>
              <w:rPr>
                <w:rFonts w:hAnsi="宋体"/>
                <w:szCs w:val="21"/>
              </w:rPr>
            </w:pPr>
            <w:r>
              <w:rPr>
                <w:rFonts w:hint="eastAsia" w:hAnsi="宋体"/>
                <w:szCs w:val="21"/>
              </w:rPr>
              <w:t>南宁职业技术学院人工智能创新研发室建设项目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15"/>
              <w:adjustRightInd w:val="0"/>
              <w:spacing w:line="360" w:lineRule="auto"/>
              <w:jc w:val="center"/>
              <w:rPr>
                <w:rFonts w:hAnsi="宋体"/>
                <w:szCs w:val="21"/>
              </w:rPr>
            </w:pPr>
            <w:r>
              <w:rPr>
                <w:rFonts w:hint="eastAsia" w:hAnsi="宋体"/>
                <w:szCs w:val="21"/>
              </w:rPr>
              <w:t>1.4</w:t>
            </w:r>
          </w:p>
        </w:tc>
        <w:tc>
          <w:tcPr>
            <w:tcW w:w="2206" w:type="dxa"/>
            <w:vAlign w:val="center"/>
          </w:tcPr>
          <w:p>
            <w:pPr>
              <w:pStyle w:val="15"/>
              <w:spacing w:line="360" w:lineRule="auto"/>
              <w:jc w:val="center"/>
              <w:rPr>
                <w:rFonts w:hAnsi="宋体"/>
                <w:szCs w:val="21"/>
              </w:rPr>
            </w:pPr>
            <w:r>
              <w:rPr>
                <w:rFonts w:hint="eastAsia" w:hAnsi="宋体"/>
                <w:szCs w:val="21"/>
              </w:rPr>
              <w:t>项目编号</w:t>
            </w:r>
          </w:p>
        </w:tc>
        <w:tc>
          <w:tcPr>
            <w:tcW w:w="6301" w:type="dxa"/>
            <w:vAlign w:val="center"/>
          </w:tcPr>
          <w:p>
            <w:pPr>
              <w:pStyle w:val="15"/>
              <w:spacing w:line="360" w:lineRule="auto"/>
              <w:rPr>
                <w:rFonts w:hAnsi="宋体"/>
                <w:szCs w:val="21"/>
              </w:rPr>
            </w:pPr>
            <w:r>
              <w:rPr>
                <w:rFonts w:hint="eastAsia" w:hAnsi="宋体"/>
                <w:szCs w:val="21"/>
              </w:rPr>
              <w:t>NNZC2020-G1-00035-HJZB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vAlign w:val="center"/>
          </w:tcPr>
          <w:p>
            <w:pPr>
              <w:pStyle w:val="15"/>
              <w:adjustRightInd w:val="0"/>
              <w:spacing w:line="360" w:lineRule="auto"/>
              <w:jc w:val="center"/>
              <w:rPr>
                <w:rFonts w:hAnsi="宋体"/>
                <w:szCs w:val="21"/>
              </w:rPr>
            </w:pPr>
            <w:r>
              <w:rPr>
                <w:rFonts w:hint="eastAsia" w:hAnsi="宋体"/>
                <w:szCs w:val="21"/>
              </w:rPr>
              <w:t>1.5</w:t>
            </w:r>
          </w:p>
        </w:tc>
        <w:tc>
          <w:tcPr>
            <w:tcW w:w="2206" w:type="dxa"/>
            <w:vAlign w:val="center"/>
          </w:tcPr>
          <w:p>
            <w:pPr>
              <w:pStyle w:val="15"/>
              <w:spacing w:line="360" w:lineRule="exact"/>
              <w:jc w:val="center"/>
              <w:rPr>
                <w:szCs w:val="24"/>
              </w:rPr>
            </w:pPr>
            <w:r>
              <w:rPr>
                <w:szCs w:val="24"/>
              </w:rPr>
              <w:t>采购预算</w:t>
            </w:r>
          </w:p>
        </w:tc>
        <w:tc>
          <w:tcPr>
            <w:tcW w:w="6301" w:type="dxa"/>
            <w:vAlign w:val="center"/>
          </w:tcPr>
          <w:p>
            <w:pPr>
              <w:pStyle w:val="15"/>
              <w:spacing w:line="360" w:lineRule="exact"/>
              <w:rPr>
                <w:szCs w:val="24"/>
              </w:rPr>
            </w:pPr>
            <w:r>
              <w:rPr>
                <w:rFonts w:hint="eastAsia"/>
                <w:color w:val="000000" w:themeColor="text1"/>
                <w:szCs w:val="24"/>
              </w:rPr>
              <w:t>人民币壹佰伍拾万元整（¥15</w:t>
            </w:r>
            <w:r>
              <w:rPr>
                <w:color w:val="000000" w:themeColor="text1"/>
                <w:szCs w:val="24"/>
              </w:rPr>
              <w:t>00000.00</w:t>
            </w:r>
            <w:r>
              <w:rPr>
                <w:rFonts w:hint="eastAsia"/>
                <w:color w:val="000000" w:themeColor="text1"/>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79" w:type="dxa"/>
            <w:vAlign w:val="center"/>
          </w:tcPr>
          <w:p>
            <w:pPr>
              <w:pStyle w:val="15"/>
              <w:spacing w:line="360" w:lineRule="exact"/>
              <w:jc w:val="center"/>
              <w:rPr>
                <w:szCs w:val="24"/>
              </w:rPr>
            </w:pPr>
            <w:r>
              <w:rPr>
                <w:rFonts w:hint="eastAsia"/>
                <w:szCs w:val="24"/>
              </w:rPr>
              <w:t>1.7</w:t>
            </w:r>
          </w:p>
        </w:tc>
        <w:tc>
          <w:tcPr>
            <w:tcW w:w="2206" w:type="dxa"/>
            <w:vAlign w:val="center"/>
          </w:tcPr>
          <w:p>
            <w:pPr>
              <w:pStyle w:val="15"/>
              <w:spacing w:line="360" w:lineRule="exact"/>
              <w:jc w:val="center"/>
              <w:rPr>
                <w:szCs w:val="24"/>
              </w:rPr>
            </w:pPr>
            <w:r>
              <w:rPr>
                <w:rFonts w:hint="eastAsia" w:hAnsi="宋体"/>
                <w:szCs w:val="21"/>
              </w:rPr>
              <w:t>获取招标文件方式</w:t>
            </w:r>
          </w:p>
        </w:tc>
        <w:tc>
          <w:tcPr>
            <w:tcW w:w="6301" w:type="dxa"/>
            <w:vAlign w:val="center"/>
          </w:tcPr>
          <w:p>
            <w:pPr>
              <w:pStyle w:val="15"/>
              <w:rPr>
                <w:color w:val="000000" w:themeColor="text1"/>
                <w:szCs w:val="24"/>
              </w:rPr>
            </w:pPr>
            <w:r>
              <w:rPr>
                <w:rFonts w:hint="eastAsia"/>
                <w:color w:val="000000" w:themeColor="text1"/>
                <w:szCs w:val="24"/>
              </w:rPr>
              <w:t>时间：公告发布之日起至投标文件提交截止时间前</w:t>
            </w:r>
          </w:p>
          <w:p>
            <w:pPr>
              <w:pStyle w:val="15"/>
              <w:spacing w:line="360" w:lineRule="exact"/>
              <w:rPr>
                <w:color w:val="000000" w:themeColor="text1"/>
                <w:szCs w:val="24"/>
              </w:rPr>
            </w:pPr>
            <w:r>
              <w:rPr>
                <w:rFonts w:hint="eastAsia"/>
                <w:color w:val="000000" w:themeColor="text1"/>
                <w:szCs w:val="24"/>
              </w:rPr>
              <w:t>地点：南宁市公共资源交易平台（www.nnggzy.org.cn/gxnnzbw/）</w:t>
            </w:r>
          </w:p>
          <w:p>
            <w:pPr>
              <w:pStyle w:val="15"/>
              <w:spacing w:line="360" w:lineRule="exact"/>
              <w:rPr>
                <w:color w:val="000000" w:themeColor="text1"/>
                <w:szCs w:val="24"/>
              </w:rPr>
            </w:pPr>
            <w:r>
              <w:rPr>
                <w:rFonts w:hint="eastAsia"/>
                <w:color w:val="000000" w:themeColor="text1"/>
                <w:szCs w:val="24"/>
              </w:rPr>
              <w:t>方式：供应商在南宁市公共资源交易平台（www.nnggzy.org.cn/gxnnzbw/）对应公告页面免费下载获取招标文件。</w:t>
            </w:r>
          </w:p>
          <w:p>
            <w:pPr>
              <w:pStyle w:val="15"/>
              <w:spacing w:line="360" w:lineRule="exact"/>
              <w:rPr>
                <w:szCs w:val="24"/>
              </w:rPr>
            </w:pPr>
            <w:r>
              <w:rPr>
                <w:rFonts w:hint="eastAsia"/>
                <w:color w:val="000000" w:themeColor="text1"/>
                <w:szCs w:val="24"/>
              </w:rPr>
              <w:t>售价：0元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79" w:type="dxa"/>
            <w:vAlign w:val="center"/>
          </w:tcPr>
          <w:p>
            <w:pPr>
              <w:pStyle w:val="15"/>
              <w:spacing w:line="360" w:lineRule="exact"/>
              <w:jc w:val="center"/>
            </w:pPr>
            <w:r>
              <w:rPr>
                <w:b/>
              </w:rPr>
              <w:t>1.8</w:t>
            </w:r>
          </w:p>
        </w:tc>
        <w:tc>
          <w:tcPr>
            <w:tcW w:w="2206" w:type="dxa"/>
            <w:vAlign w:val="center"/>
          </w:tcPr>
          <w:p>
            <w:pPr>
              <w:pStyle w:val="15"/>
              <w:spacing w:line="360" w:lineRule="exact"/>
              <w:jc w:val="center"/>
              <w:rPr>
                <w:rFonts w:hAnsi="宋体"/>
                <w:szCs w:val="21"/>
              </w:rPr>
            </w:pPr>
            <w:r>
              <w:rPr>
                <w:rFonts w:hint="eastAsia" w:hAnsi="宋体"/>
                <w:b/>
                <w:bCs/>
              </w:rPr>
              <w:t>预留采购份额</w:t>
            </w:r>
          </w:p>
        </w:tc>
        <w:tc>
          <w:tcPr>
            <w:tcW w:w="6301" w:type="dxa"/>
            <w:vAlign w:val="center"/>
          </w:tcPr>
          <w:p>
            <w:pPr>
              <w:pStyle w:val="15"/>
              <w:spacing w:line="360" w:lineRule="exact"/>
              <w:ind w:left="599" w:hanging="599" w:hangingChars="284"/>
              <w:rPr>
                <w:szCs w:val="24"/>
              </w:rPr>
            </w:pPr>
            <w:r>
              <w:rPr>
                <w:rFonts w:hint="eastAsia"/>
                <w:b/>
                <w:bCs/>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15"/>
              <w:adjustRightInd w:val="0"/>
              <w:spacing w:line="360" w:lineRule="auto"/>
              <w:jc w:val="center"/>
              <w:rPr>
                <w:rFonts w:hAnsi="宋体"/>
                <w:szCs w:val="21"/>
              </w:rPr>
            </w:pPr>
            <w:r>
              <w:rPr>
                <w:rFonts w:hint="eastAsia" w:hAnsi="宋体"/>
                <w:szCs w:val="21"/>
              </w:rPr>
              <w:t>3.2</w:t>
            </w:r>
          </w:p>
        </w:tc>
        <w:tc>
          <w:tcPr>
            <w:tcW w:w="2206" w:type="dxa"/>
            <w:vAlign w:val="center"/>
          </w:tcPr>
          <w:p>
            <w:pPr>
              <w:pStyle w:val="15"/>
              <w:spacing w:line="360" w:lineRule="auto"/>
              <w:jc w:val="center"/>
              <w:rPr>
                <w:rFonts w:hAnsi="宋体"/>
                <w:szCs w:val="21"/>
              </w:rPr>
            </w:pPr>
            <w:r>
              <w:rPr>
                <w:rFonts w:hint="eastAsia" w:hAnsi="宋体"/>
                <w:bCs/>
                <w:szCs w:val="24"/>
              </w:rPr>
              <w:t>投标人应具备的特定条件</w:t>
            </w:r>
          </w:p>
        </w:tc>
        <w:tc>
          <w:tcPr>
            <w:tcW w:w="6301" w:type="dxa"/>
            <w:vAlign w:val="center"/>
          </w:tcPr>
          <w:p>
            <w:pPr>
              <w:snapToGrid w:val="0"/>
              <w:spacing w:line="360" w:lineRule="exact"/>
              <w:rPr>
                <w:spacing w:val="6"/>
                <w:szCs w:val="21"/>
              </w:rPr>
            </w:pPr>
            <w:r>
              <w:rPr>
                <w:rFonts w:hint="eastAsia"/>
                <w:spacing w:val="6"/>
                <w:szCs w:val="21"/>
              </w:rPr>
              <w:t>1.满足《中华人民共和国政府采购法》第二十二条规定；</w:t>
            </w:r>
          </w:p>
          <w:p>
            <w:pPr>
              <w:snapToGrid w:val="0"/>
              <w:spacing w:line="360" w:lineRule="exact"/>
              <w:rPr>
                <w:spacing w:val="6"/>
                <w:szCs w:val="21"/>
              </w:rPr>
            </w:pPr>
            <w:r>
              <w:rPr>
                <w:rFonts w:hint="eastAsia"/>
                <w:spacing w:val="6"/>
                <w:szCs w:val="21"/>
              </w:rPr>
              <w:t>2.落实政府采购政策需满足的资格要求：本项目非专门面向中小企业采购；</w:t>
            </w:r>
          </w:p>
          <w:p>
            <w:pPr>
              <w:snapToGrid w:val="0"/>
              <w:spacing w:line="360" w:lineRule="exact"/>
              <w:rPr>
                <w:spacing w:val="6"/>
                <w:szCs w:val="21"/>
              </w:rPr>
            </w:pPr>
            <w:r>
              <w:rPr>
                <w:rFonts w:hint="eastAsia"/>
                <w:spacing w:val="6"/>
                <w:szCs w:val="21"/>
              </w:rPr>
              <w:t>3.本项目的特定资格要求：无</w:t>
            </w:r>
          </w:p>
          <w:p>
            <w:pPr>
              <w:snapToGrid w:val="0"/>
              <w:spacing w:line="360" w:lineRule="exact"/>
              <w:rPr>
                <w:spacing w:val="6"/>
                <w:szCs w:val="21"/>
              </w:rPr>
            </w:pPr>
            <w:r>
              <w:rPr>
                <w:rFonts w:hint="eastAsia"/>
                <w:spacing w:val="6"/>
                <w:szCs w:val="21"/>
              </w:rPr>
              <w:t>4.供应商未被列入失信被执行人、重大税收违法案件当事人名单、政府采购严重违法失信行为记录名单；</w:t>
            </w:r>
          </w:p>
          <w:p>
            <w:pPr>
              <w:snapToGrid w:val="0"/>
              <w:spacing w:line="360" w:lineRule="exact"/>
              <w:rPr>
                <w:spacing w:val="6"/>
                <w:szCs w:val="21"/>
              </w:rPr>
            </w:pPr>
            <w:r>
              <w:rPr>
                <w:rFonts w:hint="eastAsia"/>
                <w:spacing w:val="6"/>
                <w:szCs w:val="21"/>
              </w:rPr>
              <w:t>5.具有国内法人资格，注册经营范围满足所招标内容的供应商；</w:t>
            </w:r>
          </w:p>
          <w:p>
            <w:pPr>
              <w:snapToGrid w:val="0"/>
              <w:spacing w:line="360" w:lineRule="exact"/>
              <w:rPr>
                <w:spacing w:val="6"/>
                <w:szCs w:val="21"/>
              </w:rPr>
            </w:pPr>
            <w:r>
              <w:rPr>
                <w:rFonts w:hint="eastAsia"/>
                <w:spacing w:val="6"/>
                <w:szCs w:val="21"/>
              </w:rPr>
              <w:t>6.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vAlign w:val="center"/>
          </w:tcPr>
          <w:p>
            <w:pPr>
              <w:pStyle w:val="15"/>
              <w:adjustRightInd w:val="0"/>
              <w:spacing w:line="360" w:lineRule="auto"/>
              <w:jc w:val="center"/>
              <w:rPr>
                <w:rFonts w:hAnsi="宋体"/>
                <w:szCs w:val="21"/>
              </w:rPr>
            </w:pPr>
            <w:r>
              <w:rPr>
                <w:rFonts w:hint="eastAsia" w:hAnsi="宋体"/>
                <w:szCs w:val="21"/>
              </w:rPr>
              <w:t>3.3</w:t>
            </w:r>
          </w:p>
        </w:tc>
        <w:tc>
          <w:tcPr>
            <w:tcW w:w="2206" w:type="dxa"/>
            <w:vAlign w:val="center"/>
          </w:tcPr>
          <w:p>
            <w:pPr>
              <w:pStyle w:val="15"/>
              <w:spacing w:line="360" w:lineRule="auto"/>
              <w:jc w:val="center"/>
              <w:rPr>
                <w:rFonts w:hAnsi="宋体"/>
                <w:szCs w:val="21"/>
              </w:rPr>
            </w:pPr>
            <w:r>
              <w:rPr>
                <w:rFonts w:hint="eastAsia" w:hAnsi="宋体"/>
                <w:szCs w:val="21"/>
              </w:rPr>
              <w:t>是否接受联合体投标</w:t>
            </w:r>
          </w:p>
        </w:tc>
        <w:tc>
          <w:tcPr>
            <w:tcW w:w="6301" w:type="dxa"/>
            <w:vAlign w:val="center"/>
          </w:tcPr>
          <w:p>
            <w:pPr>
              <w:pStyle w:val="15"/>
              <w:spacing w:line="360" w:lineRule="auto"/>
              <w:rPr>
                <w:rFonts w:hAnsi="宋体"/>
                <w:szCs w:val="21"/>
              </w:rPr>
            </w:pPr>
            <w:bookmarkStart w:id="48" w:name="CgwjmbEntity：sflhttb_0"/>
            <w:r>
              <w:rPr>
                <w:rFonts w:hint="eastAsia" w:hAnsi="宋体"/>
                <w:szCs w:val="21"/>
              </w:rPr>
              <w:t>不接受联合体投标</w:t>
            </w:r>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1079" w:type="dxa"/>
            <w:vMerge w:val="restart"/>
            <w:vAlign w:val="center"/>
          </w:tcPr>
          <w:p>
            <w:pPr>
              <w:pStyle w:val="15"/>
              <w:adjustRightInd w:val="0"/>
              <w:spacing w:line="360" w:lineRule="auto"/>
              <w:jc w:val="center"/>
              <w:rPr>
                <w:rFonts w:hAnsi="宋体"/>
                <w:szCs w:val="21"/>
              </w:rPr>
            </w:pPr>
            <w:r>
              <w:rPr>
                <w:rFonts w:hint="eastAsia" w:hAnsi="宋体"/>
                <w:szCs w:val="21"/>
              </w:rPr>
              <w:t>4.1</w:t>
            </w:r>
          </w:p>
        </w:tc>
        <w:tc>
          <w:tcPr>
            <w:tcW w:w="2206" w:type="dxa"/>
            <w:vAlign w:val="center"/>
          </w:tcPr>
          <w:p>
            <w:pPr>
              <w:pStyle w:val="15"/>
              <w:spacing w:line="360" w:lineRule="auto"/>
              <w:jc w:val="center"/>
              <w:rPr>
                <w:rFonts w:hAnsi="宋体"/>
                <w:szCs w:val="21"/>
                <w:highlight w:val="yellow"/>
              </w:rPr>
            </w:pPr>
            <w:r>
              <w:rPr>
                <w:rFonts w:hint="eastAsia" w:hAnsi="宋体"/>
                <w:szCs w:val="21"/>
              </w:rPr>
              <w:t>招标文件质疑提交</w:t>
            </w:r>
            <w:r>
              <w:rPr>
                <w:rFonts w:hint="eastAsia" w:cs="宋体"/>
                <w:kern w:val="0"/>
                <w:szCs w:val="21"/>
              </w:rPr>
              <w:t>的截止时间</w:t>
            </w:r>
          </w:p>
        </w:tc>
        <w:tc>
          <w:tcPr>
            <w:tcW w:w="6301" w:type="dxa"/>
            <w:vAlign w:val="center"/>
          </w:tcPr>
          <w:p>
            <w:pPr>
              <w:pStyle w:val="15"/>
              <w:spacing w:line="360" w:lineRule="auto"/>
              <w:rPr>
                <w:rFonts w:hAnsi="宋体"/>
                <w:szCs w:val="21"/>
                <w:highlight w:val="yellow"/>
              </w:rPr>
            </w:pPr>
            <w:r>
              <w:rPr>
                <w:rFonts w:hint="eastAsia" w:ascii="Arial" w:hAnsi="Arial" w:cs="Arial"/>
              </w:rPr>
              <w:t>招标文件发出之日起7个工作日内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1079" w:type="dxa"/>
            <w:vMerge w:val="continue"/>
            <w:vAlign w:val="center"/>
          </w:tcPr>
          <w:p>
            <w:pPr>
              <w:pStyle w:val="15"/>
              <w:adjustRightInd w:val="0"/>
              <w:spacing w:line="360" w:lineRule="auto"/>
              <w:jc w:val="center"/>
              <w:rPr>
                <w:rFonts w:hAnsi="宋体"/>
                <w:szCs w:val="21"/>
              </w:rPr>
            </w:pPr>
          </w:p>
        </w:tc>
        <w:tc>
          <w:tcPr>
            <w:tcW w:w="2206" w:type="dxa"/>
            <w:vAlign w:val="center"/>
          </w:tcPr>
          <w:p>
            <w:pPr>
              <w:pStyle w:val="15"/>
              <w:spacing w:line="360" w:lineRule="auto"/>
              <w:jc w:val="center"/>
              <w:rPr>
                <w:rFonts w:hAnsi="宋体"/>
                <w:szCs w:val="21"/>
              </w:rPr>
            </w:pPr>
            <w:r>
              <w:rPr>
                <w:rFonts w:hint="eastAsia" w:hAnsi="宋体"/>
                <w:szCs w:val="21"/>
              </w:rPr>
              <w:t>质疑提交地点、电话</w:t>
            </w:r>
          </w:p>
        </w:tc>
        <w:tc>
          <w:tcPr>
            <w:tcW w:w="6301" w:type="dxa"/>
            <w:vAlign w:val="center"/>
          </w:tcPr>
          <w:p>
            <w:pPr>
              <w:spacing w:line="360" w:lineRule="exact"/>
              <w:rPr>
                <w:rFonts w:hAnsi="宋体"/>
                <w:szCs w:val="21"/>
              </w:rPr>
            </w:pPr>
            <w:r>
              <w:rPr>
                <w:rFonts w:hint="eastAsia" w:hAnsi="宋体"/>
                <w:szCs w:val="21"/>
              </w:rPr>
              <w:t>1.接收质疑函的方式：以书面形式（原件）提交。</w:t>
            </w:r>
          </w:p>
          <w:p>
            <w:pPr>
              <w:spacing w:line="360" w:lineRule="exact"/>
              <w:rPr>
                <w:rFonts w:hAnsi="宋体"/>
                <w:szCs w:val="21"/>
              </w:rPr>
            </w:pPr>
            <w:r>
              <w:rPr>
                <w:rFonts w:hint="eastAsia" w:hAnsi="宋体"/>
                <w:szCs w:val="21"/>
              </w:rPr>
              <w:t>2.对资格审查的质疑，由采购人负责受理和答复。（地址：</w:t>
            </w:r>
            <w:r>
              <w:rPr>
                <w:rFonts w:hint="eastAsia" w:ascii="宋体" w:hAnsi="宋体"/>
                <w:szCs w:val="21"/>
              </w:rPr>
              <w:t>南宁市大学西路169号</w:t>
            </w:r>
            <w:r>
              <w:rPr>
                <w:rFonts w:hint="eastAsia" w:hAnsi="宋体"/>
                <w:szCs w:val="21"/>
              </w:rPr>
              <w:t>，质疑咨询电话：</w:t>
            </w:r>
            <w:r>
              <w:rPr>
                <w:rFonts w:hint="eastAsia" w:asciiTheme="majorEastAsia" w:hAnsiTheme="majorEastAsia" w:eastAsiaTheme="majorEastAsia"/>
              </w:rPr>
              <w:t xml:space="preserve">0771-2029355 </w:t>
            </w:r>
            <w:r>
              <w:rPr>
                <w:rFonts w:hint="eastAsia" w:hAnsi="宋体"/>
                <w:szCs w:val="21"/>
              </w:rPr>
              <w:t>）。</w:t>
            </w:r>
          </w:p>
          <w:p>
            <w:pPr>
              <w:pStyle w:val="15"/>
              <w:spacing w:line="360" w:lineRule="exact"/>
              <w:jc w:val="left"/>
              <w:rPr>
                <w:rFonts w:hAnsi="宋体"/>
                <w:szCs w:val="21"/>
              </w:rPr>
            </w:pPr>
            <w:r>
              <w:rPr>
                <w:rFonts w:hint="eastAsia" w:hAnsi="宋体"/>
                <w:szCs w:val="21"/>
              </w:rPr>
              <w:t>3.对资格审查以外的质疑，由广西恒基建设工程咨询有限公司（南宁市青秀区云景路69号南宁市轨道交通运营控制中心B楼14层）</w:t>
            </w:r>
          </w:p>
          <w:p>
            <w:pPr>
              <w:pStyle w:val="15"/>
              <w:jc w:val="left"/>
              <w:rPr>
                <w:rFonts w:hAnsi="宋体"/>
                <w:szCs w:val="21"/>
              </w:rPr>
            </w:pPr>
            <w:r>
              <w:rPr>
                <w:rFonts w:hint="eastAsia" w:hAnsi="宋体"/>
                <w:szCs w:val="21"/>
              </w:rPr>
              <w:t>质疑受理电话：0771-2756880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15"/>
              <w:adjustRightInd w:val="0"/>
              <w:spacing w:line="360" w:lineRule="auto"/>
              <w:jc w:val="center"/>
              <w:rPr>
                <w:rFonts w:hAnsi="宋体"/>
                <w:szCs w:val="21"/>
              </w:rPr>
            </w:pPr>
            <w:r>
              <w:rPr>
                <w:rFonts w:hint="eastAsia" w:hAnsi="宋体"/>
                <w:szCs w:val="21"/>
              </w:rPr>
              <w:t>7.1</w:t>
            </w:r>
          </w:p>
        </w:tc>
        <w:tc>
          <w:tcPr>
            <w:tcW w:w="2206" w:type="dxa"/>
            <w:vAlign w:val="center"/>
          </w:tcPr>
          <w:p>
            <w:pPr>
              <w:pStyle w:val="15"/>
              <w:spacing w:line="360" w:lineRule="auto"/>
              <w:jc w:val="center"/>
              <w:rPr>
                <w:rFonts w:hAnsi="宋体"/>
                <w:szCs w:val="21"/>
              </w:rPr>
            </w:pPr>
            <w:r>
              <w:rPr>
                <w:rFonts w:hint="eastAsia" w:cs="宋体"/>
                <w:kern w:val="0"/>
                <w:szCs w:val="21"/>
              </w:rPr>
              <w:t>投标人要求澄清的截止时间</w:t>
            </w:r>
          </w:p>
        </w:tc>
        <w:tc>
          <w:tcPr>
            <w:tcW w:w="6301" w:type="dxa"/>
            <w:vAlign w:val="center"/>
          </w:tcPr>
          <w:p>
            <w:pPr>
              <w:pStyle w:val="15"/>
              <w:spacing w:line="360" w:lineRule="auto"/>
              <w:rPr>
                <w:rFonts w:hAnsi="宋体"/>
                <w:szCs w:val="21"/>
              </w:rPr>
            </w:pPr>
            <w:r>
              <w:rPr>
                <w:rFonts w:hint="eastAsia" w:hAnsi="宋体"/>
                <w:szCs w:val="21"/>
              </w:rPr>
              <w:t>招标文件发布之日起</w:t>
            </w:r>
            <w:r>
              <w:rPr>
                <w:rFonts w:hAnsi="宋体"/>
                <w:szCs w:val="21"/>
              </w:rPr>
              <w:t>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15"/>
              <w:adjustRightInd w:val="0"/>
              <w:spacing w:line="360" w:lineRule="auto"/>
              <w:jc w:val="center"/>
              <w:rPr>
                <w:rFonts w:hAnsi="宋体"/>
                <w:szCs w:val="21"/>
              </w:rPr>
            </w:pPr>
            <w:r>
              <w:rPr>
                <w:rFonts w:hint="eastAsia" w:hAnsi="宋体"/>
                <w:szCs w:val="21"/>
              </w:rPr>
              <w:t>8.8</w:t>
            </w:r>
          </w:p>
        </w:tc>
        <w:tc>
          <w:tcPr>
            <w:tcW w:w="2206" w:type="dxa"/>
            <w:vAlign w:val="center"/>
          </w:tcPr>
          <w:p>
            <w:pPr>
              <w:pStyle w:val="15"/>
              <w:spacing w:line="360" w:lineRule="auto"/>
              <w:jc w:val="center"/>
              <w:rPr>
                <w:rFonts w:hAnsi="宋体"/>
                <w:szCs w:val="21"/>
              </w:rPr>
            </w:pPr>
            <w:r>
              <w:rPr>
                <w:rFonts w:hint="eastAsia" w:hAnsi="宋体"/>
                <w:szCs w:val="21"/>
              </w:rPr>
              <w:t>投标文件份数</w:t>
            </w:r>
          </w:p>
        </w:tc>
        <w:tc>
          <w:tcPr>
            <w:tcW w:w="6301" w:type="dxa"/>
            <w:vAlign w:val="center"/>
          </w:tcPr>
          <w:p>
            <w:pPr>
              <w:spacing w:line="360" w:lineRule="exact"/>
              <w:rPr>
                <w:rFonts w:ascii="宋体" w:hAnsi="Courier New"/>
                <w:szCs w:val="20"/>
              </w:rPr>
            </w:pPr>
            <w:r>
              <w:rPr>
                <w:rFonts w:hint="eastAsia" w:ascii="宋体" w:hAnsi="Courier New"/>
                <w:szCs w:val="20"/>
              </w:rPr>
              <w:t>报价文件：正本1份，副本</w:t>
            </w:r>
            <w:r>
              <w:rPr>
                <w:rFonts w:ascii="宋体" w:hAnsi="Courier New"/>
                <w:szCs w:val="20"/>
              </w:rPr>
              <w:t>4</w:t>
            </w:r>
            <w:r>
              <w:rPr>
                <w:rFonts w:hint="eastAsia" w:ascii="宋体" w:hAnsi="Courier New"/>
                <w:szCs w:val="20"/>
              </w:rPr>
              <w:t>份</w:t>
            </w:r>
          </w:p>
          <w:p>
            <w:pPr>
              <w:spacing w:line="360" w:lineRule="exact"/>
              <w:rPr>
                <w:rFonts w:ascii="宋体" w:hAnsi="Courier New"/>
                <w:szCs w:val="20"/>
              </w:rPr>
            </w:pPr>
            <w:r>
              <w:rPr>
                <w:rFonts w:hint="eastAsia" w:ascii="宋体" w:hAnsi="Courier New"/>
                <w:szCs w:val="20"/>
              </w:rPr>
              <w:t>资格文件：正本1份，副本4份</w:t>
            </w:r>
          </w:p>
          <w:p>
            <w:pPr>
              <w:spacing w:line="360" w:lineRule="exact"/>
              <w:rPr>
                <w:rFonts w:ascii="宋体" w:hAnsi="Courier New"/>
                <w:szCs w:val="20"/>
              </w:rPr>
            </w:pPr>
            <w:r>
              <w:rPr>
                <w:rFonts w:hint="eastAsia" w:ascii="宋体" w:hAnsi="Courier New"/>
                <w:szCs w:val="20"/>
              </w:rPr>
              <w:t>技术文件：正本1份，副本4份</w:t>
            </w:r>
          </w:p>
          <w:p>
            <w:pPr>
              <w:spacing w:line="360" w:lineRule="exact"/>
              <w:rPr>
                <w:rFonts w:ascii="宋体" w:hAnsi="Courier New"/>
                <w:szCs w:val="20"/>
              </w:rPr>
            </w:pPr>
            <w:r>
              <w:rPr>
                <w:rFonts w:hint="eastAsia" w:ascii="宋体" w:hAnsi="Courier New"/>
                <w:szCs w:val="20"/>
              </w:rPr>
              <w:t>商务文件：正本1份，副本4份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15"/>
              <w:adjustRightInd w:val="0"/>
              <w:spacing w:line="360" w:lineRule="auto"/>
              <w:jc w:val="center"/>
              <w:rPr>
                <w:rFonts w:hAnsi="宋体"/>
                <w:szCs w:val="21"/>
              </w:rPr>
            </w:pPr>
            <w:r>
              <w:rPr>
                <w:rFonts w:hint="eastAsia" w:hAnsi="宋体"/>
                <w:szCs w:val="21"/>
              </w:rPr>
              <w:t>11.4</w:t>
            </w:r>
          </w:p>
        </w:tc>
        <w:tc>
          <w:tcPr>
            <w:tcW w:w="2206" w:type="dxa"/>
            <w:vAlign w:val="center"/>
          </w:tcPr>
          <w:p>
            <w:pPr>
              <w:autoSpaceDE w:val="0"/>
              <w:autoSpaceDN w:val="0"/>
              <w:adjustRightInd w:val="0"/>
              <w:spacing w:line="360" w:lineRule="auto"/>
              <w:jc w:val="center"/>
              <w:rPr>
                <w:rFonts w:ascii="宋体" w:cs="宋体"/>
                <w:kern w:val="0"/>
                <w:sz w:val="20"/>
                <w:szCs w:val="20"/>
              </w:rPr>
            </w:pPr>
            <w:r>
              <w:rPr>
                <w:rFonts w:hint="eastAsia"/>
                <w:kern w:val="0"/>
              </w:rPr>
              <w:t>采购代理服务费</w:t>
            </w:r>
          </w:p>
        </w:tc>
        <w:tc>
          <w:tcPr>
            <w:tcW w:w="6301" w:type="dxa"/>
            <w:vAlign w:val="center"/>
          </w:tcPr>
          <w:p>
            <w:r>
              <w:rPr>
                <w:rFonts w:hint="eastAsia"/>
              </w:rPr>
              <w:t>本项目代理服务费参照国家发展计划委员会《招标代理服务费管理暂行办法》（计价格[2002]1980号）收费标准按货物类计取。由中标人在领取</w:t>
            </w:r>
            <w:r>
              <w:t>中标</w:t>
            </w:r>
            <w:r>
              <w:rPr>
                <w:rFonts w:hint="eastAsia"/>
              </w:rPr>
              <w:t>通知书时一次性支付代理服务费。</w:t>
            </w:r>
          </w:p>
          <w:p>
            <w:r>
              <w:rPr>
                <w:rFonts w:hint="eastAsia"/>
              </w:rPr>
              <w:t>代理服务费招标代理机构账户信息：</w:t>
            </w:r>
          </w:p>
          <w:p>
            <w:r>
              <w:rPr>
                <w:rFonts w:hint="eastAsia"/>
              </w:rPr>
              <w:t>开户名称：广西恒基建设工程咨询有限公司</w:t>
            </w:r>
          </w:p>
          <w:p>
            <w:r>
              <w:rPr>
                <w:rFonts w:hint="eastAsia"/>
              </w:rPr>
              <w:t>开户银行：中国建设银行南宁金湖广场支行</w:t>
            </w:r>
          </w:p>
          <w:p>
            <w:r>
              <w:rPr>
                <w:rFonts w:hint="eastAsia"/>
              </w:rPr>
              <w:t>账号：</w:t>
            </w:r>
            <w:r>
              <w:rPr>
                <w:rFonts w:hint="eastAsia" w:ascii="Times New Roman" w:hAnsi="Times New Roman" w:eastAsia="宋体" w:cs="Times New Roman"/>
              </w:rPr>
              <w:t xml:space="preserve">4500 1604 2660 5250 1984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15"/>
              <w:adjustRightInd w:val="0"/>
              <w:spacing w:line="360" w:lineRule="auto"/>
              <w:jc w:val="center"/>
              <w:rPr>
                <w:rFonts w:hAnsi="宋体"/>
                <w:szCs w:val="21"/>
              </w:rPr>
            </w:pPr>
            <w:r>
              <w:rPr>
                <w:rFonts w:hint="eastAsia" w:hAnsi="宋体"/>
                <w:szCs w:val="21"/>
              </w:rPr>
              <w:t>12.1</w:t>
            </w:r>
          </w:p>
        </w:tc>
        <w:tc>
          <w:tcPr>
            <w:tcW w:w="2206" w:type="dxa"/>
            <w:vAlign w:val="center"/>
          </w:tcPr>
          <w:p>
            <w:pPr>
              <w:pStyle w:val="15"/>
              <w:spacing w:line="360" w:lineRule="auto"/>
              <w:jc w:val="center"/>
              <w:rPr>
                <w:rFonts w:hAnsi="宋体"/>
                <w:szCs w:val="21"/>
              </w:rPr>
            </w:pPr>
            <w:r>
              <w:rPr>
                <w:rFonts w:hint="eastAsia" w:hAnsi="宋体"/>
                <w:szCs w:val="21"/>
              </w:rPr>
              <w:t>投标有效期</w:t>
            </w:r>
          </w:p>
        </w:tc>
        <w:tc>
          <w:tcPr>
            <w:tcW w:w="6301" w:type="dxa"/>
            <w:vAlign w:val="center"/>
          </w:tcPr>
          <w:p>
            <w:pPr>
              <w:pStyle w:val="15"/>
              <w:spacing w:line="360" w:lineRule="auto"/>
              <w:rPr>
                <w:rFonts w:hAnsi="宋体"/>
                <w:szCs w:val="21"/>
              </w:rPr>
            </w:pPr>
            <w:r>
              <w:rPr>
                <w:rFonts w:hint="eastAsia" w:hAnsi="宋体"/>
                <w:szCs w:val="21"/>
              </w:rPr>
              <w:t>自投标截止时间起90天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vAlign w:val="center"/>
          </w:tcPr>
          <w:p>
            <w:pPr>
              <w:pStyle w:val="15"/>
              <w:adjustRightInd w:val="0"/>
              <w:spacing w:line="360" w:lineRule="auto"/>
              <w:jc w:val="center"/>
              <w:rPr>
                <w:rFonts w:hAnsi="宋体"/>
                <w:szCs w:val="21"/>
              </w:rPr>
            </w:pPr>
            <w:r>
              <w:rPr>
                <w:rFonts w:hint="eastAsia" w:hAnsi="宋体"/>
                <w:szCs w:val="21"/>
              </w:rPr>
              <w:t>13.1</w:t>
            </w:r>
          </w:p>
        </w:tc>
        <w:tc>
          <w:tcPr>
            <w:tcW w:w="2206" w:type="dxa"/>
            <w:vAlign w:val="center"/>
          </w:tcPr>
          <w:p>
            <w:pPr>
              <w:pStyle w:val="15"/>
              <w:spacing w:line="360" w:lineRule="auto"/>
              <w:jc w:val="center"/>
              <w:rPr>
                <w:rFonts w:hAnsi="宋体"/>
                <w:szCs w:val="21"/>
              </w:rPr>
            </w:pPr>
            <w:r>
              <w:rPr>
                <w:rFonts w:hint="eastAsia" w:hAnsi="宋体"/>
                <w:szCs w:val="21"/>
              </w:rPr>
              <w:t>投标保证金</w:t>
            </w:r>
          </w:p>
        </w:tc>
        <w:tc>
          <w:tcPr>
            <w:tcW w:w="6301" w:type="dxa"/>
            <w:vAlign w:val="center"/>
          </w:tcPr>
          <w:p>
            <w:pPr>
              <w:pStyle w:val="15"/>
              <w:spacing w:line="360" w:lineRule="auto"/>
              <w:rPr>
                <w:rFonts w:hAnsi="宋体"/>
                <w:szCs w:val="21"/>
              </w:rPr>
            </w:pPr>
            <w:r>
              <w:rPr>
                <w:rFonts w:hint="eastAsia"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15"/>
              <w:adjustRightInd w:val="0"/>
              <w:spacing w:line="360" w:lineRule="auto"/>
              <w:jc w:val="center"/>
              <w:rPr>
                <w:rFonts w:hAnsi="宋体"/>
                <w:szCs w:val="21"/>
              </w:rPr>
            </w:pPr>
            <w:r>
              <w:rPr>
                <w:rFonts w:hint="eastAsia" w:hAnsi="宋体"/>
                <w:szCs w:val="21"/>
              </w:rPr>
              <w:t>14.2</w:t>
            </w:r>
          </w:p>
        </w:tc>
        <w:tc>
          <w:tcPr>
            <w:tcW w:w="2206" w:type="dxa"/>
            <w:vAlign w:val="center"/>
          </w:tcPr>
          <w:p>
            <w:pPr>
              <w:pStyle w:val="15"/>
              <w:spacing w:line="360" w:lineRule="auto"/>
              <w:jc w:val="center"/>
              <w:rPr>
                <w:rFonts w:hAnsi="宋体"/>
                <w:szCs w:val="21"/>
              </w:rPr>
            </w:pPr>
            <w:r>
              <w:rPr>
                <w:rFonts w:hint="eastAsia" w:hAnsi="宋体"/>
                <w:szCs w:val="21"/>
              </w:rPr>
              <w:t>投标截止时间（开标时间）</w:t>
            </w:r>
          </w:p>
        </w:tc>
        <w:tc>
          <w:tcPr>
            <w:tcW w:w="6301" w:type="dxa"/>
            <w:vAlign w:val="center"/>
          </w:tcPr>
          <w:p>
            <w:pPr>
              <w:pStyle w:val="15"/>
              <w:spacing w:line="360" w:lineRule="auto"/>
              <w:rPr>
                <w:rFonts w:hAnsi="宋体"/>
                <w:szCs w:val="21"/>
              </w:rPr>
            </w:pPr>
            <w:r>
              <w:rPr>
                <w:rFonts w:hint="eastAsia" w:ascii="Times New Roman" w:hAnsi="Times New Roman"/>
                <w:szCs w:val="24"/>
              </w:rPr>
              <w:t>与第一章公告的提交投标文件截止时间、开标时间一致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15"/>
              <w:adjustRightInd w:val="0"/>
              <w:spacing w:line="360" w:lineRule="auto"/>
              <w:jc w:val="center"/>
              <w:rPr>
                <w:rFonts w:hAnsi="宋体"/>
                <w:szCs w:val="21"/>
              </w:rPr>
            </w:pPr>
            <w:r>
              <w:rPr>
                <w:rFonts w:hint="eastAsia" w:hAnsi="宋体"/>
                <w:szCs w:val="21"/>
              </w:rPr>
              <w:t>14.4</w:t>
            </w:r>
          </w:p>
        </w:tc>
        <w:tc>
          <w:tcPr>
            <w:tcW w:w="2206" w:type="dxa"/>
            <w:vAlign w:val="center"/>
          </w:tcPr>
          <w:p>
            <w:pPr>
              <w:pStyle w:val="15"/>
              <w:spacing w:line="360" w:lineRule="auto"/>
              <w:jc w:val="center"/>
              <w:rPr>
                <w:rFonts w:hAnsi="宋体"/>
                <w:szCs w:val="21"/>
              </w:rPr>
            </w:pPr>
            <w:r>
              <w:rPr>
                <w:rFonts w:hint="eastAsia" w:hAnsi="宋体"/>
                <w:szCs w:val="21"/>
              </w:rPr>
              <w:t>递交投标文件地点</w:t>
            </w:r>
          </w:p>
        </w:tc>
        <w:tc>
          <w:tcPr>
            <w:tcW w:w="6301" w:type="dxa"/>
            <w:vAlign w:val="center"/>
          </w:tcPr>
          <w:p>
            <w:pPr>
              <w:spacing w:line="400" w:lineRule="exact"/>
              <w:rPr>
                <w:rFonts w:ascii="宋体" w:hAnsi="宋体" w:cs="宋体"/>
                <w:szCs w:val="21"/>
              </w:rPr>
            </w:pPr>
            <w:r>
              <w:rPr>
                <w:rFonts w:hint="eastAsia" w:ascii="宋体" w:hAnsi="宋体" w:cs="宋体"/>
              </w:rPr>
              <w:t>与第一章公告的投标地点一致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15"/>
              <w:adjustRightInd w:val="0"/>
              <w:spacing w:line="360" w:lineRule="auto"/>
              <w:jc w:val="center"/>
              <w:rPr>
                <w:rFonts w:hAnsi="宋体"/>
                <w:szCs w:val="21"/>
              </w:rPr>
            </w:pPr>
            <w:r>
              <w:rPr>
                <w:rFonts w:hint="eastAsia" w:hAnsi="宋体"/>
                <w:szCs w:val="21"/>
              </w:rPr>
              <w:t>14.5</w:t>
            </w:r>
          </w:p>
        </w:tc>
        <w:tc>
          <w:tcPr>
            <w:tcW w:w="2206" w:type="dxa"/>
            <w:vAlign w:val="center"/>
          </w:tcPr>
          <w:p>
            <w:pPr>
              <w:pStyle w:val="15"/>
              <w:jc w:val="center"/>
              <w:rPr>
                <w:rFonts w:hAnsi="宋体"/>
                <w:szCs w:val="21"/>
              </w:rPr>
            </w:pPr>
            <w:r>
              <w:rPr>
                <w:rFonts w:hint="eastAsia" w:hAnsi="宋体"/>
                <w:szCs w:val="21"/>
              </w:rPr>
              <w:t>递交投标样品截止时间</w:t>
            </w:r>
          </w:p>
        </w:tc>
        <w:tc>
          <w:tcPr>
            <w:tcW w:w="6301" w:type="dxa"/>
            <w:vAlign w:val="center"/>
          </w:tcPr>
          <w:p>
            <w:pPr>
              <w:pStyle w:val="15"/>
              <w:spacing w:line="360" w:lineRule="auto"/>
              <w:rPr>
                <w:rFonts w:hAnsi="宋体"/>
                <w:szCs w:val="21"/>
              </w:rPr>
            </w:pPr>
            <w:r>
              <w:rPr>
                <w:rFonts w:hint="eastAsia" w:hAnsi="宋体"/>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15"/>
              <w:adjustRightInd w:val="0"/>
              <w:spacing w:line="360" w:lineRule="auto"/>
              <w:jc w:val="center"/>
              <w:rPr>
                <w:rFonts w:hAnsi="宋体"/>
                <w:szCs w:val="21"/>
              </w:rPr>
            </w:pPr>
            <w:r>
              <w:rPr>
                <w:rFonts w:hint="eastAsia" w:hAnsi="宋体"/>
                <w:szCs w:val="21"/>
              </w:rPr>
              <w:t>14.6</w:t>
            </w:r>
          </w:p>
        </w:tc>
        <w:tc>
          <w:tcPr>
            <w:tcW w:w="2206" w:type="dxa"/>
            <w:vAlign w:val="center"/>
          </w:tcPr>
          <w:p>
            <w:pPr>
              <w:pStyle w:val="15"/>
              <w:spacing w:line="360" w:lineRule="auto"/>
              <w:jc w:val="center"/>
              <w:rPr>
                <w:rFonts w:hAnsi="宋体"/>
                <w:szCs w:val="21"/>
              </w:rPr>
            </w:pPr>
            <w:r>
              <w:rPr>
                <w:rFonts w:hint="eastAsia" w:hAnsi="宋体"/>
                <w:szCs w:val="21"/>
              </w:rPr>
              <w:t>递交投标样品地点</w:t>
            </w:r>
          </w:p>
        </w:tc>
        <w:tc>
          <w:tcPr>
            <w:tcW w:w="6301" w:type="dxa"/>
            <w:vAlign w:val="center"/>
          </w:tcPr>
          <w:p>
            <w:pPr>
              <w:pStyle w:val="15"/>
              <w:spacing w:line="360" w:lineRule="auto"/>
              <w:rPr>
                <w:rFonts w:hAnsi="宋体"/>
                <w:szCs w:val="21"/>
              </w:rPr>
            </w:pPr>
            <w:r>
              <w:rPr>
                <w:rFonts w:hint="eastAsia" w:hAnsi="宋体"/>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15"/>
              <w:adjustRightInd w:val="0"/>
              <w:spacing w:line="360" w:lineRule="auto"/>
              <w:jc w:val="center"/>
              <w:rPr>
                <w:rFonts w:hAnsi="宋体"/>
                <w:szCs w:val="21"/>
              </w:rPr>
            </w:pPr>
            <w:r>
              <w:rPr>
                <w:rFonts w:hint="eastAsia" w:hAnsi="宋体"/>
              </w:rPr>
              <w:t>14.7</w:t>
            </w:r>
          </w:p>
        </w:tc>
        <w:tc>
          <w:tcPr>
            <w:tcW w:w="2206" w:type="dxa"/>
            <w:vAlign w:val="center"/>
          </w:tcPr>
          <w:p>
            <w:pPr>
              <w:pStyle w:val="15"/>
              <w:spacing w:line="360" w:lineRule="auto"/>
              <w:jc w:val="center"/>
              <w:rPr>
                <w:rFonts w:hAnsi="宋体"/>
                <w:szCs w:val="21"/>
              </w:rPr>
            </w:pPr>
            <w:r>
              <w:rPr>
                <w:rFonts w:hint="eastAsia" w:hAnsi="宋体"/>
              </w:rPr>
              <w:t>其他要求</w:t>
            </w:r>
          </w:p>
        </w:tc>
        <w:tc>
          <w:tcPr>
            <w:tcW w:w="6301" w:type="dxa"/>
            <w:vAlign w:val="center"/>
          </w:tcPr>
          <w:p>
            <w:pPr>
              <w:pStyle w:val="15"/>
              <w:spacing w:line="360" w:lineRule="auto"/>
              <w:rPr>
                <w:rFonts w:hAnsi="宋体"/>
                <w:szCs w:val="24"/>
              </w:rPr>
            </w:pPr>
            <w:r>
              <w:rPr>
                <w:rFonts w:hint="eastAsia" w:hAnsi="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15"/>
              <w:adjustRightInd w:val="0"/>
              <w:spacing w:line="360" w:lineRule="auto"/>
              <w:jc w:val="center"/>
              <w:rPr>
                <w:rFonts w:hAnsi="宋体"/>
                <w:szCs w:val="21"/>
              </w:rPr>
            </w:pPr>
            <w:r>
              <w:rPr>
                <w:rFonts w:hint="eastAsia" w:hAnsi="宋体"/>
                <w:szCs w:val="21"/>
              </w:rPr>
              <w:t>15.1</w:t>
            </w:r>
          </w:p>
        </w:tc>
        <w:tc>
          <w:tcPr>
            <w:tcW w:w="2206" w:type="dxa"/>
            <w:vAlign w:val="center"/>
          </w:tcPr>
          <w:p>
            <w:pPr>
              <w:pStyle w:val="15"/>
              <w:spacing w:line="360" w:lineRule="auto"/>
              <w:jc w:val="center"/>
              <w:rPr>
                <w:rFonts w:hAnsi="宋体"/>
                <w:szCs w:val="21"/>
              </w:rPr>
            </w:pPr>
            <w:r>
              <w:rPr>
                <w:rFonts w:hint="eastAsia" w:hAnsi="宋体"/>
                <w:szCs w:val="21"/>
              </w:rPr>
              <w:t>开标地点</w:t>
            </w:r>
          </w:p>
        </w:tc>
        <w:tc>
          <w:tcPr>
            <w:tcW w:w="6301" w:type="dxa"/>
            <w:vAlign w:val="center"/>
          </w:tcPr>
          <w:p>
            <w:pPr>
              <w:pStyle w:val="15"/>
              <w:spacing w:line="360" w:lineRule="auto"/>
              <w:rPr>
                <w:rFonts w:hAnsi="宋体"/>
                <w:szCs w:val="21"/>
              </w:rPr>
            </w:pPr>
            <w:r>
              <w:rPr>
                <w:rFonts w:hint="eastAsia" w:hAnsi="宋体"/>
                <w:szCs w:val="21"/>
              </w:rPr>
              <w:t>南宁市良庆区玉洞大道33号南宁市市民中心B座9楼南宁市公共资源交易中心交易厅（详见9楼电子显示屏场地安排）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vAlign w:val="center"/>
          </w:tcPr>
          <w:p>
            <w:pPr>
              <w:pStyle w:val="15"/>
              <w:adjustRightInd w:val="0"/>
              <w:spacing w:line="360" w:lineRule="auto"/>
              <w:jc w:val="center"/>
              <w:rPr>
                <w:rFonts w:hAnsi="宋体"/>
                <w:szCs w:val="21"/>
              </w:rPr>
            </w:pPr>
            <w:r>
              <w:rPr>
                <w:rFonts w:hint="eastAsia" w:hAnsi="宋体"/>
                <w:szCs w:val="21"/>
              </w:rPr>
              <w:t>17.3</w:t>
            </w:r>
          </w:p>
        </w:tc>
        <w:tc>
          <w:tcPr>
            <w:tcW w:w="2206" w:type="dxa"/>
            <w:vAlign w:val="center"/>
          </w:tcPr>
          <w:p>
            <w:pPr>
              <w:pStyle w:val="15"/>
              <w:spacing w:line="360" w:lineRule="auto"/>
              <w:jc w:val="center"/>
              <w:rPr>
                <w:rFonts w:hAnsi="宋体"/>
                <w:szCs w:val="21"/>
              </w:rPr>
            </w:pPr>
            <w:r>
              <w:rPr>
                <w:rFonts w:hint="eastAsia" w:hAnsi="宋体"/>
                <w:szCs w:val="21"/>
              </w:rPr>
              <w:t>评标方法</w:t>
            </w:r>
          </w:p>
        </w:tc>
        <w:tc>
          <w:tcPr>
            <w:tcW w:w="6301" w:type="dxa"/>
            <w:vAlign w:val="center"/>
          </w:tcPr>
          <w:p>
            <w:pPr>
              <w:pStyle w:val="15"/>
              <w:spacing w:line="360" w:lineRule="auto"/>
              <w:rPr>
                <w:rFonts w:hAnsi="宋体"/>
                <w:szCs w:val="21"/>
              </w:rPr>
            </w:pPr>
            <w:r>
              <w:rPr>
                <w:rFonts w:hint="eastAsia" w:ascii="Times New Roman" w:hAnsi="Times New Roman"/>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79" w:type="dxa"/>
            <w:vAlign w:val="center"/>
          </w:tcPr>
          <w:p>
            <w:pPr>
              <w:pStyle w:val="15"/>
              <w:adjustRightInd w:val="0"/>
              <w:spacing w:line="360" w:lineRule="auto"/>
              <w:jc w:val="center"/>
              <w:rPr>
                <w:rFonts w:hAnsi="宋体"/>
                <w:szCs w:val="21"/>
              </w:rPr>
            </w:pPr>
            <w:r>
              <w:rPr>
                <w:rFonts w:hint="eastAsia" w:hAnsi="宋体"/>
                <w:szCs w:val="21"/>
              </w:rPr>
              <w:t>23.1</w:t>
            </w:r>
          </w:p>
        </w:tc>
        <w:tc>
          <w:tcPr>
            <w:tcW w:w="2206" w:type="dxa"/>
            <w:vAlign w:val="center"/>
          </w:tcPr>
          <w:p>
            <w:pPr>
              <w:pStyle w:val="15"/>
              <w:spacing w:line="360" w:lineRule="auto"/>
              <w:jc w:val="center"/>
              <w:rPr>
                <w:rFonts w:hAnsi="宋体"/>
                <w:szCs w:val="21"/>
              </w:rPr>
            </w:pPr>
            <w:r>
              <w:rPr>
                <w:rFonts w:hint="eastAsia" w:hAnsi="宋体"/>
                <w:szCs w:val="21"/>
              </w:rPr>
              <w:t>中标通知书的发放</w:t>
            </w:r>
          </w:p>
        </w:tc>
        <w:tc>
          <w:tcPr>
            <w:tcW w:w="6301" w:type="dxa"/>
            <w:vAlign w:val="center"/>
          </w:tcPr>
          <w:p>
            <w:pPr>
              <w:spacing w:line="360" w:lineRule="exact"/>
              <w:rPr>
                <w:rFonts w:ascii="宋体" w:hAnsi="Courier New"/>
                <w:szCs w:val="20"/>
              </w:rPr>
            </w:pPr>
            <w:r>
              <w:rPr>
                <w:rFonts w:hint="eastAsia" w:ascii="宋体" w:hAnsi="Courier New"/>
                <w:szCs w:val="20"/>
              </w:rPr>
              <w:t>采购代理机构在采购人确定中标供应商后两个工作日内在规定的政府采购信息发布媒体上发布中标结果公告，发布中标公告的同时由采购代理机构向中标人发出中标通知书。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vAlign w:val="center"/>
          </w:tcPr>
          <w:p>
            <w:pPr>
              <w:pStyle w:val="15"/>
              <w:adjustRightInd w:val="0"/>
              <w:spacing w:line="360" w:lineRule="auto"/>
              <w:jc w:val="center"/>
              <w:rPr>
                <w:rFonts w:hAnsi="宋体"/>
                <w:szCs w:val="21"/>
              </w:rPr>
            </w:pPr>
            <w:r>
              <w:rPr>
                <w:rFonts w:hint="eastAsia" w:hAnsi="宋体"/>
                <w:szCs w:val="21"/>
              </w:rPr>
              <w:t>27.1</w:t>
            </w:r>
          </w:p>
        </w:tc>
        <w:tc>
          <w:tcPr>
            <w:tcW w:w="2206" w:type="dxa"/>
            <w:vAlign w:val="center"/>
          </w:tcPr>
          <w:p>
            <w:pPr>
              <w:autoSpaceDE w:val="0"/>
              <w:autoSpaceDN w:val="0"/>
              <w:adjustRightInd w:val="0"/>
              <w:spacing w:line="360" w:lineRule="auto"/>
              <w:jc w:val="center"/>
              <w:rPr>
                <w:kern w:val="0"/>
              </w:rPr>
            </w:pPr>
            <w:r>
              <w:rPr>
                <w:rFonts w:hint="eastAsia"/>
                <w:kern w:val="0"/>
              </w:rPr>
              <w:t>需要补充的其他内容</w:t>
            </w:r>
          </w:p>
        </w:tc>
        <w:tc>
          <w:tcPr>
            <w:tcW w:w="6301" w:type="dxa"/>
            <w:vAlign w:val="center"/>
          </w:tcPr>
          <w:p>
            <w:pPr>
              <w:autoSpaceDE w:val="0"/>
              <w:autoSpaceDN w:val="0"/>
              <w:adjustRightInd w:val="0"/>
              <w:spacing w:line="360" w:lineRule="auto"/>
              <w:jc w:val="left"/>
              <w:rPr>
                <w:b/>
                <w:bCs/>
                <w:kern w:val="0"/>
              </w:rPr>
            </w:pPr>
            <w:r>
              <w:rPr>
                <w:rFonts w:hint="eastAsia"/>
                <w:b/>
                <w:bCs/>
                <w:kern w:val="0"/>
              </w:rPr>
              <w:t>1、为帮助中小微企业解决资金周转或融资困难问题，南宁市区政府采购试行政府采购信用融资制度，为中小企业参与政府采购活动提供金融服务。中标供应商可凭政府釆购合同申请政府采购信用融资，具体办理要求与办理方式，详见南宁市公共资源交易中心网‘政府采购信用融资’专栏。</w:t>
            </w:r>
          </w:p>
          <w:p>
            <w:pPr>
              <w:autoSpaceDE w:val="0"/>
              <w:autoSpaceDN w:val="0"/>
              <w:adjustRightInd w:val="0"/>
              <w:spacing w:line="360" w:lineRule="auto"/>
              <w:jc w:val="left"/>
              <w:rPr>
                <w:rFonts w:hAnsi="宋体"/>
                <w:szCs w:val="21"/>
              </w:rPr>
            </w:pPr>
            <w:r>
              <w:rPr>
                <w:rFonts w:hint="eastAsia"/>
                <w:b/>
                <w:bCs/>
                <w:kern w:val="0"/>
              </w:rPr>
              <w:t>2、为配合采购人进行政府采购项目执行和备案，未在政采云注册的供应商可在获取采购文件后登录政采云进行注册，如在操作过程中遇到问题或者需要技术支持，请致电政采云客服热线：400-881-7190。</w:t>
            </w:r>
          </w:p>
        </w:tc>
      </w:tr>
    </w:tbl>
    <w:p>
      <w:pPr>
        <w:pStyle w:val="15"/>
        <w:jc w:val="center"/>
        <w:outlineLvl w:val="1"/>
        <w:rPr>
          <w:rFonts w:hAnsi="宋体"/>
          <w:b/>
          <w:sz w:val="28"/>
          <w:szCs w:val="28"/>
        </w:rPr>
      </w:pPr>
      <w:r>
        <w:rPr>
          <w:rFonts w:hAnsi="宋体"/>
          <w:sz w:val="28"/>
          <w:szCs w:val="28"/>
        </w:rPr>
        <w:br w:type="page"/>
      </w:r>
      <w:bookmarkStart w:id="49" w:name="_Toc1654627"/>
      <w:r>
        <w:rPr>
          <w:rFonts w:hint="eastAsia" w:ascii="Times New Roman" w:hAnsi="Times New Roman"/>
          <w:b/>
          <w:sz w:val="30"/>
          <w:szCs w:val="30"/>
        </w:rPr>
        <w:t>一 总则</w:t>
      </w:r>
      <w:bookmarkEnd w:id="49"/>
    </w:p>
    <w:p>
      <w:pPr>
        <w:pStyle w:val="15"/>
        <w:spacing w:line="440" w:lineRule="exact"/>
        <w:ind w:left="242" w:hanging="242" w:hangingChars="101"/>
        <w:jc w:val="left"/>
        <w:rPr>
          <w:rFonts w:hAnsi="宋体"/>
          <w:bCs/>
          <w:sz w:val="24"/>
        </w:rPr>
      </w:pPr>
      <w:r>
        <w:rPr>
          <w:rFonts w:hint="eastAsia" w:hAnsi="宋体"/>
          <w:bCs/>
          <w:sz w:val="24"/>
        </w:rPr>
        <w:t>1. 项目概况</w:t>
      </w:r>
    </w:p>
    <w:p>
      <w:pPr>
        <w:pStyle w:val="15"/>
        <w:spacing w:line="440" w:lineRule="exact"/>
        <w:ind w:left="2" w:firstLine="358"/>
        <w:jc w:val="left"/>
        <w:rPr>
          <w:rFonts w:hAnsi="宋体"/>
          <w:bCs/>
        </w:rPr>
      </w:pPr>
      <w:r>
        <w:rPr>
          <w:rFonts w:hint="eastAsia" w:hAnsi="宋体"/>
          <w:bCs/>
        </w:rPr>
        <w:t>1.1  采购人：见投标人须知前附表。</w:t>
      </w:r>
    </w:p>
    <w:p>
      <w:pPr>
        <w:pStyle w:val="15"/>
        <w:spacing w:line="440" w:lineRule="exact"/>
        <w:ind w:left="2" w:firstLine="358"/>
        <w:jc w:val="left"/>
        <w:rPr>
          <w:rFonts w:ascii="文鼎CS楷体" w:eastAsia="文鼎CS楷体"/>
        </w:rPr>
      </w:pPr>
      <w:r>
        <w:rPr>
          <w:rFonts w:hint="eastAsia" w:hAnsi="宋体"/>
          <w:bCs/>
        </w:rPr>
        <w:t>1.2  采购代理机构：见投标人须知前附表。</w:t>
      </w:r>
    </w:p>
    <w:p>
      <w:pPr>
        <w:pStyle w:val="15"/>
        <w:spacing w:line="440" w:lineRule="exact"/>
        <w:ind w:left="2" w:firstLine="358"/>
        <w:jc w:val="left"/>
        <w:rPr>
          <w:rFonts w:ascii="文鼎CS楷体" w:eastAsia="文鼎CS楷体"/>
        </w:rPr>
      </w:pPr>
      <w:r>
        <w:rPr>
          <w:rFonts w:hint="eastAsia" w:ascii="文鼎CS楷体" w:eastAsia="文鼎CS楷体"/>
        </w:rPr>
        <w:t>1.3  项目名称：</w:t>
      </w:r>
      <w:r>
        <w:rPr>
          <w:rFonts w:hint="eastAsia" w:hAnsi="宋体"/>
          <w:bCs/>
        </w:rPr>
        <w:t>见投标人须知前附表。</w:t>
      </w:r>
    </w:p>
    <w:p>
      <w:pPr>
        <w:pStyle w:val="15"/>
        <w:spacing w:line="440" w:lineRule="exact"/>
        <w:ind w:left="2" w:firstLine="358"/>
        <w:jc w:val="left"/>
        <w:rPr>
          <w:rFonts w:hAnsi="宋体"/>
          <w:bCs/>
        </w:rPr>
      </w:pPr>
      <w:r>
        <w:rPr>
          <w:rFonts w:hint="eastAsia" w:ascii="文鼎CS楷体" w:eastAsia="文鼎CS楷体"/>
        </w:rPr>
        <w:t>1.4  项目编号：</w:t>
      </w:r>
      <w:r>
        <w:rPr>
          <w:rFonts w:hint="eastAsia" w:hAnsi="宋体"/>
          <w:bCs/>
        </w:rPr>
        <w:t>见投标人须知前附表。</w:t>
      </w:r>
    </w:p>
    <w:p>
      <w:pPr>
        <w:pStyle w:val="15"/>
        <w:spacing w:line="440" w:lineRule="exact"/>
        <w:ind w:left="2" w:firstLine="358"/>
        <w:jc w:val="left"/>
        <w:rPr>
          <w:rFonts w:hAnsi="宋体"/>
          <w:bCs/>
        </w:rPr>
      </w:pPr>
      <w:r>
        <w:rPr>
          <w:rFonts w:hint="eastAsia" w:hAnsi="宋体"/>
          <w:bCs/>
        </w:rPr>
        <w:t>1.5  采购预算：见投标人须知前附表。</w:t>
      </w:r>
    </w:p>
    <w:p>
      <w:pPr>
        <w:pStyle w:val="15"/>
        <w:spacing w:line="440" w:lineRule="exact"/>
        <w:ind w:left="2" w:firstLine="358"/>
        <w:jc w:val="left"/>
        <w:rPr>
          <w:rFonts w:hAnsi="宋体"/>
          <w:bCs/>
        </w:rPr>
      </w:pPr>
      <w:r>
        <w:rPr>
          <w:rFonts w:hint="eastAsia" w:hAnsi="宋体"/>
          <w:bCs/>
        </w:rPr>
        <w:t>1.6  资金来源：政府财政性资金</w:t>
      </w:r>
    </w:p>
    <w:p>
      <w:pPr>
        <w:pStyle w:val="15"/>
        <w:spacing w:line="440" w:lineRule="exact"/>
        <w:ind w:left="2" w:firstLine="358"/>
        <w:jc w:val="left"/>
        <w:rPr>
          <w:rFonts w:hAnsi="宋体"/>
          <w:bCs/>
        </w:rPr>
      </w:pPr>
      <w:r>
        <w:rPr>
          <w:rFonts w:hint="eastAsia" w:hAnsi="宋体"/>
          <w:bCs/>
        </w:rPr>
        <w:t xml:space="preserve">1.7  </w:t>
      </w:r>
      <w:r>
        <w:rPr>
          <w:rFonts w:hint="eastAsia" w:hAnsi="宋体"/>
          <w:szCs w:val="21"/>
        </w:rPr>
        <w:t>获取招标文件方式：</w:t>
      </w:r>
      <w:r>
        <w:rPr>
          <w:rFonts w:hint="eastAsia" w:hAnsi="宋体"/>
          <w:bCs/>
        </w:rPr>
        <w:t>见投标人须知前附表。</w:t>
      </w:r>
    </w:p>
    <w:p>
      <w:pPr>
        <w:pStyle w:val="15"/>
        <w:spacing w:line="440" w:lineRule="exact"/>
        <w:ind w:left="2" w:firstLine="358"/>
        <w:jc w:val="left"/>
        <w:rPr>
          <w:rFonts w:hAnsi="宋体"/>
          <w:bCs/>
        </w:rPr>
      </w:pPr>
      <w:r>
        <w:rPr>
          <w:rFonts w:hAnsi="宋体"/>
          <w:bCs/>
        </w:rPr>
        <w:t xml:space="preserve">1.8  </w:t>
      </w:r>
      <w:r>
        <w:rPr>
          <w:rFonts w:hint="eastAsia" w:hAnsi="宋体"/>
          <w:bCs/>
        </w:rPr>
        <w:t>预留采购份额：见投标人须知前附表。</w:t>
      </w:r>
    </w:p>
    <w:p>
      <w:pPr>
        <w:pStyle w:val="15"/>
        <w:spacing w:line="440" w:lineRule="exact"/>
        <w:jc w:val="left"/>
        <w:rPr>
          <w:rFonts w:hAnsi="宋体"/>
          <w:bCs/>
          <w:sz w:val="24"/>
        </w:rPr>
      </w:pPr>
      <w:r>
        <w:rPr>
          <w:rFonts w:hint="eastAsia" w:hAnsi="宋体"/>
          <w:bCs/>
          <w:sz w:val="24"/>
        </w:rPr>
        <w:t>2.  政府采购信息发布媒体：</w:t>
      </w:r>
    </w:p>
    <w:p>
      <w:pPr>
        <w:pStyle w:val="15"/>
        <w:spacing w:line="440" w:lineRule="exact"/>
        <w:ind w:firstLine="359" w:firstLineChars="171"/>
        <w:jc w:val="left"/>
        <w:rPr>
          <w:rFonts w:hAnsi="宋体"/>
          <w:bCs/>
        </w:rPr>
      </w:pPr>
      <w:r>
        <w:rPr>
          <w:rFonts w:hint="eastAsia" w:hAnsi="宋体"/>
          <w:bCs/>
        </w:rPr>
        <w:t>2.1  与本项目相关的政府采购业务信息（包括公开招标公告、中标公告及其更正事项等）将在以下媒体上发布：中国政府采购网（www.ccgp.gov.cn）、广西壮族自治区政府采购网(www.gxzfcg.gov.cn)、南宁市公共资源交易中心网（www.nnggzy.net）、南宁市政府采购网（http://zfcg.nanning.gov.cn/index.do）。</w:t>
      </w:r>
    </w:p>
    <w:p>
      <w:pPr>
        <w:pStyle w:val="15"/>
        <w:spacing w:line="440" w:lineRule="exact"/>
        <w:ind w:left="242" w:hanging="242" w:hangingChars="101"/>
        <w:jc w:val="left"/>
        <w:rPr>
          <w:rFonts w:hAnsi="宋体"/>
          <w:bCs/>
          <w:sz w:val="24"/>
        </w:rPr>
      </w:pPr>
      <w:r>
        <w:rPr>
          <w:rFonts w:hint="eastAsia" w:hAnsi="宋体"/>
          <w:bCs/>
          <w:sz w:val="24"/>
        </w:rPr>
        <w:t>3. 投标人资格要求：</w:t>
      </w:r>
    </w:p>
    <w:p>
      <w:pPr>
        <w:pStyle w:val="15"/>
        <w:spacing w:line="440" w:lineRule="exact"/>
        <w:ind w:firstLine="360"/>
        <w:rPr>
          <w:rFonts w:hAnsi="宋体"/>
          <w:bCs/>
        </w:rPr>
      </w:pPr>
      <w:r>
        <w:rPr>
          <w:rFonts w:hint="eastAsia" w:hAnsi="宋体"/>
          <w:bCs/>
        </w:rPr>
        <w:t>3.1  投标人未被列入失信被执行人、重大税收违法案件当事人名单、政府采购严重违法失信行为记录名单，且应符合《中华人民共和国政府采购法》第二十二条规定的下列投标人资格条件：</w:t>
      </w:r>
    </w:p>
    <w:p>
      <w:pPr>
        <w:pStyle w:val="15"/>
        <w:spacing w:line="440" w:lineRule="exact"/>
        <w:ind w:firstLine="720"/>
        <w:rPr>
          <w:rFonts w:hAnsi="宋体"/>
          <w:bCs/>
        </w:rPr>
      </w:pPr>
      <w:r>
        <w:rPr>
          <w:rFonts w:hint="eastAsia" w:hAnsi="宋体"/>
          <w:bCs/>
        </w:rPr>
        <w:t>（1）具有独立承担民事责任的能力；</w:t>
      </w:r>
    </w:p>
    <w:p>
      <w:pPr>
        <w:pStyle w:val="15"/>
        <w:spacing w:line="440" w:lineRule="exact"/>
        <w:ind w:firstLine="720"/>
        <w:rPr>
          <w:rFonts w:hAnsi="宋体"/>
          <w:bCs/>
        </w:rPr>
      </w:pPr>
      <w:r>
        <w:rPr>
          <w:rFonts w:hint="eastAsia" w:hAnsi="宋体"/>
          <w:bCs/>
        </w:rPr>
        <w:t>（2）具有良好的商业信誉和健全的财务会计制度；</w:t>
      </w:r>
    </w:p>
    <w:p>
      <w:pPr>
        <w:pStyle w:val="15"/>
        <w:spacing w:line="440" w:lineRule="exact"/>
        <w:ind w:firstLine="720"/>
        <w:rPr>
          <w:rFonts w:hAnsi="宋体"/>
          <w:bCs/>
        </w:rPr>
      </w:pPr>
      <w:r>
        <w:rPr>
          <w:rFonts w:hint="eastAsia" w:hAnsi="宋体"/>
          <w:bCs/>
        </w:rPr>
        <w:t>（3）具有履行合同所必需的设备和专业技术能力；</w:t>
      </w:r>
    </w:p>
    <w:p>
      <w:pPr>
        <w:pStyle w:val="15"/>
        <w:spacing w:line="440" w:lineRule="exact"/>
        <w:ind w:firstLine="720"/>
        <w:rPr>
          <w:rFonts w:hAnsi="宋体"/>
          <w:bCs/>
        </w:rPr>
      </w:pPr>
      <w:r>
        <w:rPr>
          <w:rFonts w:hint="eastAsia" w:hAnsi="宋体"/>
          <w:bCs/>
        </w:rPr>
        <w:t>（4）有依法缴纳税收和社会保障资金的良好记录；</w:t>
      </w:r>
    </w:p>
    <w:p>
      <w:pPr>
        <w:pStyle w:val="15"/>
        <w:spacing w:line="440" w:lineRule="exact"/>
        <w:ind w:firstLine="720"/>
        <w:rPr>
          <w:rFonts w:hAnsi="宋体"/>
          <w:bCs/>
        </w:rPr>
      </w:pPr>
      <w:r>
        <w:rPr>
          <w:rFonts w:hint="eastAsia" w:hAnsi="宋体"/>
          <w:bCs/>
        </w:rPr>
        <w:t>（5）参加政府采购活动前三年内，在经营活动中没有重大违法记录；</w:t>
      </w:r>
    </w:p>
    <w:p>
      <w:pPr>
        <w:pStyle w:val="15"/>
        <w:spacing w:line="440" w:lineRule="exact"/>
        <w:ind w:firstLine="720"/>
        <w:rPr>
          <w:rFonts w:hAnsi="宋体"/>
          <w:bCs/>
        </w:rPr>
      </w:pPr>
      <w:r>
        <w:rPr>
          <w:rFonts w:hint="eastAsia" w:hAnsi="宋体"/>
          <w:bCs/>
        </w:rPr>
        <w:t>（6）法律、行政法规规定的其他条件。</w:t>
      </w:r>
    </w:p>
    <w:p>
      <w:pPr>
        <w:pStyle w:val="15"/>
        <w:spacing w:line="440" w:lineRule="exact"/>
        <w:ind w:firstLine="360"/>
        <w:rPr>
          <w:rFonts w:hAnsi="宋体"/>
          <w:bCs/>
        </w:rPr>
      </w:pPr>
      <w:r>
        <w:rPr>
          <w:rFonts w:hint="eastAsia" w:hAnsi="宋体"/>
          <w:bCs/>
        </w:rPr>
        <w:t>3.2  针对本项目，投标人应具备的特定条件：见投标人须知前附表。</w:t>
      </w:r>
    </w:p>
    <w:p>
      <w:pPr>
        <w:pStyle w:val="15"/>
        <w:spacing w:line="440" w:lineRule="exact"/>
        <w:ind w:firstLine="360"/>
        <w:rPr>
          <w:rFonts w:hAnsi="宋体"/>
          <w:bCs/>
        </w:rPr>
      </w:pPr>
      <w:r>
        <w:rPr>
          <w:rFonts w:hint="eastAsia" w:hAnsi="宋体"/>
          <w:bCs/>
        </w:rPr>
        <w:t>3.3  投标人须知前附表规定接受联合体投标的，两个以上供应商可以组成一个投标联合体，以一个投标人的身份共同参加投标。以联合体形式参加投标的，联合体各方均应当符合本章第3.1项的要求，联合体各方中至少应当有一方符合本章第3.2项的要求；联合体各方应签订共同投标协议，明确联合体各方承担的工作和相应的责任，并将共同投标协议连同投标文件一并提交；由同一专业的单位组成的联合体，按照资质等级较低的单位确定资质等级。联合体各方不得再以自己名义单独或组成新的联合体参加同一项目同一分标投标,否则与之相关的投标文件作废；联合体的业绩和信誉按联合体主体方（或牵头方）计算。联合体投标人的名称应统一按“××××公司与××××公司的联合体”的规则填写；联合体各方均应在《联合体协议》的签章处签章（包括单位公章和法人签字或盖章），其他投标材料签章处可由联合体牵头方签章。</w:t>
      </w:r>
    </w:p>
    <w:p>
      <w:pPr>
        <w:pStyle w:val="15"/>
        <w:spacing w:line="440" w:lineRule="exact"/>
        <w:ind w:firstLine="360"/>
        <w:rPr>
          <w:rFonts w:hAnsi="宋体"/>
          <w:bCs/>
        </w:rPr>
      </w:pPr>
      <w:r>
        <w:rPr>
          <w:rFonts w:hint="eastAsia" w:hAnsi="宋体"/>
          <w:bCs/>
        </w:rPr>
        <w:t xml:space="preserve">3.4  </w:t>
      </w:r>
      <w:r>
        <w:rPr>
          <w:rFonts w:hint="eastAsia" w:hAnsi="宋体"/>
        </w:rPr>
        <w:t>投标人不得直接或间接地与为本次采购的项目内容进行设计、编制规范和其他文件的咨询公司、采购代理机构或其附属机构有任何关联。</w:t>
      </w:r>
    </w:p>
    <w:p>
      <w:pPr>
        <w:pStyle w:val="15"/>
        <w:spacing w:line="440" w:lineRule="exact"/>
        <w:ind w:left="242" w:hanging="242" w:hangingChars="101"/>
        <w:jc w:val="left"/>
        <w:rPr>
          <w:rFonts w:hAnsi="宋体"/>
          <w:bCs/>
          <w:sz w:val="24"/>
        </w:rPr>
      </w:pPr>
      <w:r>
        <w:rPr>
          <w:rFonts w:hint="eastAsia" w:hAnsi="宋体"/>
          <w:bCs/>
          <w:sz w:val="24"/>
        </w:rPr>
        <w:t>4. 质疑</w:t>
      </w:r>
    </w:p>
    <w:p>
      <w:pPr>
        <w:pStyle w:val="15"/>
        <w:spacing w:line="440" w:lineRule="exact"/>
        <w:ind w:left="2" w:firstLine="360"/>
        <w:jc w:val="left"/>
        <w:rPr>
          <w:rFonts w:hAnsi="宋体"/>
          <w:bCs/>
        </w:rPr>
      </w:pPr>
      <w:r>
        <w:rPr>
          <w:rFonts w:hint="eastAsia" w:hAnsi="宋体"/>
          <w:bCs/>
        </w:rPr>
        <w:t>4.1  投标人认为招标文件使自己的权益受到损害的，可以在知道或者应知其权益受到损害之日起7个工作日内以书面形式向采购人委托的采购代理机构质疑；质疑提交截止时间后，采购代理机构不再受理对招标文件的质疑。投标人认为采购过程和中标、成交结果使自己的权益受到损害的，可以在知道或者应知其权益受到损害之日起七个工作日内，以书面形式向采购人委托的采购代理机构质疑</w:t>
      </w:r>
      <w:r>
        <w:rPr>
          <w:rFonts w:hint="eastAsia" w:hAnsi="宋体"/>
        </w:rPr>
        <w:t>。（质疑受理单位、递交质疑地点详见投标人须知前附表）</w:t>
      </w:r>
    </w:p>
    <w:p>
      <w:pPr>
        <w:pStyle w:val="15"/>
        <w:spacing w:line="440" w:lineRule="exact"/>
        <w:ind w:left="2" w:firstLine="360"/>
        <w:jc w:val="left"/>
        <w:rPr>
          <w:rFonts w:hAnsi="宋体"/>
          <w:bCs/>
          <w:szCs w:val="21"/>
        </w:rPr>
      </w:pPr>
      <w:r>
        <w:rPr>
          <w:rFonts w:hint="eastAsia" w:hAnsi="宋体"/>
          <w:bCs/>
          <w:szCs w:val="21"/>
        </w:rPr>
        <w:t>4.2  供应商质疑实行实名制，其质疑应当有具体的质疑事项及事实根据，不得进行虚假、恶意质疑。</w:t>
      </w:r>
    </w:p>
    <w:p>
      <w:pPr>
        <w:pStyle w:val="15"/>
        <w:spacing w:line="440" w:lineRule="exact"/>
        <w:ind w:left="2" w:firstLine="360"/>
        <w:jc w:val="left"/>
        <w:rPr>
          <w:bCs/>
        </w:rPr>
      </w:pPr>
      <w:r>
        <w:rPr>
          <w:rFonts w:hint="eastAsia"/>
          <w:bCs/>
          <w:szCs w:val="21"/>
        </w:rPr>
        <w:t>4.3  供应商质疑时，应当提交质疑</w:t>
      </w:r>
      <w:r>
        <w:rPr>
          <w:rFonts w:hint="eastAsia"/>
          <w:bCs/>
        </w:rPr>
        <w:t>书原件，质疑书应当包括下列主要内容：</w:t>
      </w:r>
    </w:p>
    <w:p>
      <w:pPr>
        <w:pStyle w:val="15"/>
        <w:spacing w:line="440" w:lineRule="exact"/>
        <w:ind w:left="2" w:firstLine="718"/>
        <w:jc w:val="left"/>
        <w:rPr>
          <w:rFonts w:hAnsi="宋体"/>
        </w:rPr>
      </w:pPr>
      <w:r>
        <w:rPr>
          <w:rFonts w:hint="eastAsia"/>
        </w:rPr>
        <w:t>（1）</w:t>
      </w:r>
      <w:r>
        <w:rPr>
          <w:rFonts w:hint="eastAsia" w:hAnsi="宋体"/>
        </w:rPr>
        <w:t>供应商的姓名或者名称、地址、邮编、联系人及联系电话；</w:t>
      </w:r>
    </w:p>
    <w:p>
      <w:pPr>
        <w:pStyle w:val="15"/>
        <w:spacing w:line="440" w:lineRule="exact"/>
        <w:ind w:left="2" w:firstLine="718"/>
        <w:jc w:val="left"/>
        <w:rPr>
          <w:rFonts w:hAnsi="宋体"/>
        </w:rPr>
      </w:pPr>
      <w:r>
        <w:rPr>
          <w:rFonts w:hint="eastAsia" w:hAnsi="宋体"/>
        </w:rPr>
        <w:t>（2）质疑项目的名称、编号；</w:t>
      </w:r>
    </w:p>
    <w:p>
      <w:pPr>
        <w:pStyle w:val="15"/>
        <w:spacing w:line="440" w:lineRule="exact"/>
        <w:ind w:left="2" w:firstLine="718"/>
        <w:jc w:val="left"/>
        <w:rPr>
          <w:rFonts w:ascii="Arial" w:hAnsi="Arial" w:cs="Arial"/>
        </w:rPr>
      </w:pPr>
      <w:r>
        <w:rPr>
          <w:rFonts w:hint="eastAsia" w:hAnsi="宋体"/>
        </w:rPr>
        <w:t>（3）</w:t>
      </w:r>
      <w:r>
        <w:rPr>
          <w:rFonts w:ascii="Arial" w:hAnsi="Arial" w:cs="Arial"/>
        </w:rPr>
        <w:t>具体、明确的质疑事项和与质疑事项相关的请求</w:t>
      </w:r>
      <w:r>
        <w:rPr>
          <w:rFonts w:hint="eastAsia" w:ascii="Arial" w:hAnsi="Arial" w:cs="Arial"/>
        </w:rPr>
        <w:t>；</w:t>
      </w:r>
    </w:p>
    <w:p>
      <w:pPr>
        <w:pStyle w:val="15"/>
        <w:spacing w:line="440" w:lineRule="exact"/>
        <w:ind w:left="2" w:firstLine="718"/>
        <w:jc w:val="left"/>
        <w:rPr>
          <w:rFonts w:hAnsi="宋体"/>
        </w:rPr>
      </w:pPr>
      <w:r>
        <w:rPr>
          <w:rFonts w:hAnsi="宋体"/>
        </w:rPr>
        <w:t>（</w:t>
      </w:r>
      <w:r>
        <w:rPr>
          <w:rFonts w:hint="eastAsia" w:hAnsi="宋体"/>
        </w:rPr>
        <w:t>4</w:t>
      </w:r>
      <w:r>
        <w:rPr>
          <w:rFonts w:hAnsi="宋体"/>
        </w:rPr>
        <w:t>）事实依据</w:t>
      </w:r>
      <w:r>
        <w:rPr>
          <w:rFonts w:hint="eastAsia" w:hAnsi="宋体"/>
          <w:bCs/>
          <w:szCs w:val="21"/>
        </w:rPr>
        <w:t>（列明权益受到损害的事实和理由）</w:t>
      </w:r>
      <w:r>
        <w:rPr>
          <w:rFonts w:hAnsi="宋体"/>
        </w:rPr>
        <w:t>；</w:t>
      </w:r>
    </w:p>
    <w:p>
      <w:pPr>
        <w:pStyle w:val="15"/>
        <w:spacing w:line="440" w:lineRule="exact"/>
        <w:ind w:left="2" w:firstLine="718"/>
        <w:jc w:val="left"/>
        <w:rPr>
          <w:rFonts w:hAnsi="宋体"/>
        </w:rPr>
      </w:pPr>
      <w:r>
        <w:rPr>
          <w:rFonts w:hAnsi="宋体"/>
        </w:rPr>
        <w:t>（</w:t>
      </w:r>
      <w:r>
        <w:rPr>
          <w:rFonts w:hint="eastAsia" w:hAnsi="宋体"/>
        </w:rPr>
        <w:t>5</w:t>
      </w:r>
      <w:r>
        <w:rPr>
          <w:rFonts w:hAnsi="宋体"/>
        </w:rPr>
        <w:t>）必要的法律依据；</w:t>
      </w:r>
    </w:p>
    <w:p>
      <w:pPr>
        <w:pStyle w:val="15"/>
        <w:spacing w:line="440" w:lineRule="exact"/>
        <w:ind w:left="2" w:firstLine="718"/>
        <w:jc w:val="left"/>
        <w:rPr>
          <w:rFonts w:hAnsi="宋体"/>
        </w:rPr>
      </w:pPr>
      <w:r>
        <w:rPr>
          <w:rFonts w:hint="eastAsia" w:hAnsi="宋体"/>
        </w:rPr>
        <w:t>（6）提起质疑的日期；</w:t>
      </w:r>
    </w:p>
    <w:p>
      <w:pPr>
        <w:pStyle w:val="15"/>
        <w:spacing w:line="440" w:lineRule="exact"/>
        <w:ind w:left="2" w:firstLine="418"/>
        <w:jc w:val="left"/>
        <w:rPr>
          <w:rFonts w:hAnsi="宋体"/>
        </w:rPr>
      </w:pPr>
      <w:r>
        <w:rPr>
          <w:rFonts w:hint="eastAsia" w:hAnsi="宋体"/>
        </w:rPr>
        <w:t>（7）附件材料营业执照副本内页复印件（要求证件有效并清晰反映企业法人经营范围）；近期连续三个月依法缴纳税收证明材料（复印件，原件备查）；近期连续三个月在职职工依法缴纳社会保障资金证明材料（复印件，原件备查）。</w:t>
      </w:r>
    </w:p>
    <w:p>
      <w:pPr>
        <w:pStyle w:val="15"/>
        <w:spacing w:line="440" w:lineRule="exact"/>
        <w:ind w:firstLine="420" w:firstLineChars="200"/>
        <w:jc w:val="left"/>
        <w:rPr>
          <w:rFonts w:hAnsi="宋体"/>
        </w:rPr>
      </w:pPr>
      <w:r>
        <w:rPr>
          <w:rFonts w:hint="eastAsia" w:hAnsi="宋体"/>
        </w:rPr>
        <w:t>质疑书应当署名。供应商为自然人的，应当由本人签字；供应商为法人或者其他组织的，应当由法定代表人、主要负责人，或者其授权代表签字或者盖章，并加盖公章。</w:t>
      </w:r>
    </w:p>
    <w:p>
      <w:pPr>
        <w:pStyle w:val="15"/>
        <w:spacing w:line="440" w:lineRule="exact"/>
        <w:ind w:left="2" w:firstLine="360"/>
        <w:rPr>
          <w:rFonts w:hAnsi="宋体"/>
          <w:bCs/>
        </w:rPr>
      </w:pPr>
      <w:r>
        <w:rPr>
          <w:rFonts w:hint="eastAsia" w:hAnsi="宋体"/>
          <w:bCs/>
        </w:rPr>
        <w:t>4.4  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委托代理人身份证明复印件和近期三个月社保缴费证明复印件。</w:t>
      </w:r>
    </w:p>
    <w:p>
      <w:pPr>
        <w:pStyle w:val="15"/>
        <w:spacing w:line="440" w:lineRule="exact"/>
        <w:ind w:left="2" w:firstLine="360"/>
        <w:rPr>
          <w:rFonts w:hAnsi="宋体"/>
          <w:bCs/>
        </w:rPr>
      </w:pPr>
      <w:r>
        <w:rPr>
          <w:rFonts w:hint="eastAsia" w:hAnsi="宋体"/>
          <w:bCs/>
        </w:rPr>
        <w:t>4.5  质疑供应商提起质疑应当符合下列条件：</w:t>
      </w:r>
    </w:p>
    <w:p>
      <w:pPr>
        <w:spacing w:line="440" w:lineRule="exact"/>
        <w:ind w:firstLine="720"/>
        <w:rPr>
          <w:rFonts w:ascii="宋体" w:hAnsi="宋体"/>
        </w:rPr>
      </w:pPr>
      <w:r>
        <w:rPr>
          <w:rFonts w:hint="eastAsia" w:ascii="宋体" w:hAnsi="宋体"/>
        </w:rPr>
        <w:t>（1）质疑供应商是参与所质疑政府采购活动的供应商；</w:t>
      </w:r>
    </w:p>
    <w:p>
      <w:pPr>
        <w:spacing w:line="440" w:lineRule="exact"/>
        <w:ind w:firstLine="720"/>
        <w:rPr>
          <w:rFonts w:ascii="宋体" w:hAnsi="宋体"/>
        </w:rPr>
      </w:pPr>
      <w:r>
        <w:rPr>
          <w:rFonts w:hint="eastAsia" w:ascii="宋体" w:hAnsi="宋体"/>
        </w:rPr>
        <w:t>（2）质疑书内容符合本章第4.3项的规定；</w:t>
      </w:r>
    </w:p>
    <w:p>
      <w:pPr>
        <w:spacing w:line="440" w:lineRule="exact"/>
        <w:ind w:firstLine="720"/>
        <w:rPr>
          <w:rFonts w:ascii="宋体" w:hAnsi="宋体"/>
        </w:rPr>
      </w:pPr>
      <w:r>
        <w:rPr>
          <w:rFonts w:hint="eastAsia" w:ascii="宋体" w:hAnsi="宋体"/>
        </w:rPr>
        <w:t>（3）在质疑有效期限内提起质疑；</w:t>
      </w:r>
    </w:p>
    <w:p>
      <w:pPr>
        <w:spacing w:line="440" w:lineRule="exact"/>
        <w:ind w:firstLine="720"/>
        <w:rPr>
          <w:rFonts w:ascii="宋体" w:hAnsi="宋体"/>
        </w:rPr>
      </w:pPr>
      <w:r>
        <w:rPr>
          <w:rFonts w:hint="eastAsia" w:ascii="宋体" w:hAnsi="宋体"/>
        </w:rPr>
        <w:t>（4）属于所质疑的采购人或采购人委托的</w:t>
      </w:r>
      <w:r>
        <w:rPr>
          <w:rFonts w:hint="eastAsia" w:hAnsi="宋体"/>
        </w:rPr>
        <w:t>采购代理机构</w:t>
      </w:r>
      <w:r>
        <w:rPr>
          <w:rFonts w:hint="eastAsia" w:ascii="宋体" w:hAnsi="宋体"/>
        </w:rPr>
        <w:t>组织的采购活动；</w:t>
      </w:r>
    </w:p>
    <w:p>
      <w:pPr>
        <w:spacing w:line="440" w:lineRule="exact"/>
        <w:ind w:firstLine="720"/>
        <w:rPr>
          <w:rFonts w:ascii="宋体" w:hAnsi="宋体"/>
        </w:rPr>
      </w:pPr>
      <w:r>
        <w:rPr>
          <w:rFonts w:hint="eastAsia" w:ascii="宋体" w:hAnsi="宋体"/>
        </w:rPr>
        <w:t>（5）同一质疑事项未经采购人或采购人委托的</w:t>
      </w:r>
      <w:r>
        <w:rPr>
          <w:rFonts w:hint="eastAsia" w:hAnsi="宋体"/>
        </w:rPr>
        <w:t>采购代理机构</w:t>
      </w:r>
      <w:r>
        <w:rPr>
          <w:rFonts w:hint="eastAsia" w:ascii="宋体" w:hAnsi="宋体"/>
        </w:rPr>
        <w:t>质疑处理；</w:t>
      </w:r>
    </w:p>
    <w:p>
      <w:pPr>
        <w:spacing w:line="440" w:lineRule="exact"/>
        <w:ind w:firstLine="720"/>
        <w:rPr>
          <w:rFonts w:ascii="宋体" w:hAnsi="宋体"/>
        </w:rPr>
      </w:pPr>
      <w:r>
        <w:rPr>
          <w:rFonts w:hint="eastAsia" w:ascii="宋体" w:hAnsi="宋体"/>
        </w:rPr>
        <w:t>（6）供应商对同一采购程序环节的质疑应当在质疑有效期内一次性提出；</w:t>
      </w:r>
    </w:p>
    <w:p>
      <w:pPr>
        <w:spacing w:line="440" w:lineRule="exact"/>
        <w:ind w:firstLine="720"/>
        <w:rPr>
          <w:rFonts w:ascii="宋体" w:hAnsi="宋体"/>
        </w:rPr>
      </w:pPr>
      <w:r>
        <w:rPr>
          <w:rFonts w:hint="eastAsia" w:ascii="宋体" w:hAnsi="宋体"/>
        </w:rPr>
        <w:t>（7）供应商提交质疑应当提交必要的证明材料，证明材料应以合法手段取得；</w:t>
      </w:r>
    </w:p>
    <w:p>
      <w:pPr>
        <w:spacing w:line="440" w:lineRule="exact"/>
        <w:ind w:firstLine="720"/>
        <w:rPr>
          <w:rFonts w:ascii="宋体" w:hAnsi="宋体"/>
        </w:rPr>
      </w:pPr>
      <w:r>
        <w:rPr>
          <w:rFonts w:hint="eastAsia" w:ascii="宋体" w:hAnsi="宋体"/>
        </w:rPr>
        <w:t>（8）财政部门规定的其他条件。</w:t>
      </w:r>
    </w:p>
    <w:p>
      <w:pPr>
        <w:spacing w:line="440" w:lineRule="exact"/>
        <w:ind w:firstLine="360"/>
        <w:rPr>
          <w:rFonts w:ascii="宋体" w:hAnsi="宋体"/>
        </w:rPr>
      </w:pPr>
      <w:r>
        <w:rPr>
          <w:rFonts w:hint="eastAsia" w:ascii="宋体"/>
        </w:rPr>
        <w:t>4.6  采购</w:t>
      </w:r>
      <w:r>
        <w:rPr>
          <w:rFonts w:hint="eastAsia"/>
        </w:rPr>
        <w:t>人或采购人委托的</w:t>
      </w:r>
      <w:r>
        <w:rPr>
          <w:rFonts w:hint="eastAsia" w:hAnsi="宋体"/>
        </w:rPr>
        <w:t>采购代理机构</w:t>
      </w:r>
      <w:r>
        <w:rPr>
          <w:rFonts w:hint="eastAsia"/>
        </w:rPr>
        <w:t>自受理质疑之日起七个工作日内，对质疑事项作出答复，并以书面形式通知质疑供应商及其他有关供应商。</w:t>
      </w:r>
    </w:p>
    <w:p>
      <w:pPr>
        <w:pStyle w:val="15"/>
        <w:spacing w:line="440" w:lineRule="exact"/>
        <w:ind w:left="242" w:hanging="242" w:hangingChars="101"/>
        <w:jc w:val="left"/>
        <w:rPr>
          <w:rFonts w:hAnsi="宋体"/>
          <w:bCs/>
          <w:sz w:val="24"/>
        </w:rPr>
      </w:pPr>
      <w:r>
        <w:rPr>
          <w:rFonts w:hint="eastAsia" w:hAnsi="宋体"/>
          <w:bCs/>
          <w:sz w:val="24"/>
        </w:rPr>
        <w:t>5.  投诉</w:t>
      </w:r>
    </w:p>
    <w:p>
      <w:pPr>
        <w:pStyle w:val="15"/>
        <w:spacing w:line="440" w:lineRule="exact"/>
        <w:ind w:left="2" w:firstLine="357" w:firstLineChars="170"/>
        <w:jc w:val="left"/>
        <w:rPr>
          <w:rFonts w:hAnsi="宋体"/>
          <w:bCs/>
        </w:rPr>
      </w:pPr>
      <w:r>
        <w:rPr>
          <w:rFonts w:hint="eastAsia" w:hAnsi="宋体"/>
          <w:bCs/>
        </w:rPr>
        <w:t>5.1  供应商认为招标文件、采购过程、中标和成交结果使自己的合法权益受到损害的，应当首先依法向采购人或采购人委托的</w:t>
      </w:r>
      <w:r>
        <w:rPr>
          <w:rFonts w:hint="eastAsia" w:hAnsi="宋体"/>
        </w:rPr>
        <w:t>采购代理机构</w:t>
      </w:r>
      <w:r>
        <w:rPr>
          <w:rFonts w:hint="eastAsia" w:hAnsi="宋体"/>
          <w:bCs/>
        </w:rPr>
        <w:t>提出质疑。对采购人、</w:t>
      </w:r>
      <w:r>
        <w:rPr>
          <w:rFonts w:hint="eastAsia" w:hAnsi="宋体"/>
        </w:rPr>
        <w:t>采购代理机构</w:t>
      </w:r>
      <w:r>
        <w:rPr>
          <w:rFonts w:hint="eastAsia" w:hAnsi="宋体"/>
          <w:bCs/>
        </w:rPr>
        <w:t>的答复不满意，或者采购人、</w:t>
      </w:r>
      <w:r>
        <w:rPr>
          <w:rFonts w:hint="eastAsia" w:hAnsi="宋体"/>
        </w:rPr>
        <w:t>采购代理机构</w:t>
      </w:r>
      <w:r>
        <w:rPr>
          <w:rFonts w:hint="eastAsia" w:hAnsi="宋体"/>
          <w:bCs/>
        </w:rPr>
        <w:t>未在规定期限内做出答复的，供应商可以在答复期满后十五个工作日内向南宁市政府采购监督管理部门提起投诉。</w:t>
      </w:r>
    </w:p>
    <w:p>
      <w:pPr>
        <w:pStyle w:val="15"/>
        <w:spacing w:line="440" w:lineRule="exact"/>
        <w:ind w:left="2" w:firstLine="357" w:firstLineChars="170"/>
        <w:jc w:val="left"/>
      </w:pPr>
      <w:r>
        <w:rPr>
          <w:rFonts w:hint="eastAsia"/>
        </w:rPr>
        <w:t>5.2  投诉人投诉时，应当提交投诉书，并按照被投诉采购人、</w:t>
      </w:r>
      <w:r>
        <w:rPr>
          <w:rFonts w:hint="eastAsia" w:hAnsi="宋体"/>
        </w:rPr>
        <w:t>采购代理机构</w:t>
      </w:r>
      <w:r>
        <w:rPr>
          <w:rFonts w:hint="eastAsia"/>
        </w:rPr>
        <w:t>和与投诉事项有关的供应商数量提供投诉书的副本。投诉书</w:t>
      </w:r>
      <w:r>
        <w:rPr>
          <w:rFonts w:hint="eastAsia"/>
          <w:szCs w:val="21"/>
        </w:rPr>
        <w:t>应当包括下列主要内容</w:t>
      </w:r>
      <w:r>
        <w:rPr>
          <w:rFonts w:hint="eastAsia"/>
        </w:rPr>
        <w:t>（如材料中有外文资料应同时附上对应的中文译本）</w:t>
      </w:r>
      <w:r>
        <w:rPr>
          <w:rFonts w:hint="eastAsia"/>
          <w:szCs w:val="21"/>
        </w:rPr>
        <w:t>：</w:t>
      </w:r>
    </w:p>
    <w:p>
      <w:pPr>
        <w:pStyle w:val="15"/>
        <w:spacing w:line="440" w:lineRule="exact"/>
        <w:ind w:firstLine="420" w:firstLineChars="200"/>
        <w:jc w:val="left"/>
        <w:rPr>
          <w:rFonts w:hAnsi="宋体"/>
        </w:rPr>
      </w:pPr>
      <w:r>
        <w:rPr>
          <w:rFonts w:hint="eastAsia" w:hAnsi="宋体"/>
        </w:rPr>
        <w:t>（1）投诉人和被投诉人的姓名或者名称、通讯地址、邮编、联系人及联系电话；</w:t>
      </w:r>
    </w:p>
    <w:p>
      <w:pPr>
        <w:pStyle w:val="15"/>
        <w:spacing w:line="440" w:lineRule="exact"/>
        <w:ind w:firstLine="420" w:firstLineChars="200"/>
        <w:jc w:val="left"/>
        <w:rPr>
          <w:rFonts w:hAnsi="宋体"/>
        </w:rPr>
      </w:pPr>
      <w:r>
        <w:rPr>
          <w:rFonts w:hint="eastAsia" w:hAnsi="宋体"/>
        </w:rPr>
        <w:t>（2）质疑和质疑答复情况说明及相关证明材料；</w:t>
      </w:r>
    </w:p>
    <w:p>
      <w:pPr>
        <w:pStyle w:val="15"/>
        <w:spacing w:line="440" w:lineRule="exact"/>
        <w:ind w:firstLine="420" w:firstLineChars="200"/>
        <w:jc w:val="left"/>
        <w:rPr>
          <w:rFonts w:hAnsi="宋体"/>
        </w:rPr>
      </w:pPr>
      <w:r>
        <w:rPr>
          <w:rFonts w:hint="eastAsia" w:hAnsi="宋体"/>
        </w:rPr>
        <w:t>（3）具体、明确的投诉事项和与投诉事项相关的投诉请求；</w:t>
      </w:r>
    </w:p>
    <w:p>
      <w:pPr>
        <w:pStyle w:val="15"/>
        <w:spacing w:line="440" w:lineRule="exact"/>
        <w:ind w:firstLine="420" w:firstLineChars="200"/>
        <w:jc w:val="left"/>
        <w:rPr>
          <w:rFonts w:hAnsi="宋体"/>
        </w:rPr>
      </w:pPr>
      <w:r>
        <w:rPr>
          <w:rFonts w:hint="eastAsia" w:hAnsi="宋体"/>
        </w:rPr>
        <w:t>（4）事实依据；</w:t>
      </w:r>
    </w:p>
    <w:p>
      <w:pPr>
        <w:pStyle w:val="15"/>
        <w:spacing w:line="440" w:lineRule="exact"/>
        <w:ind w:firstLine="420" w:firstLineChars="200"/>
        <w:jc w:val="left"/>
        <w:rPr>
          <w:rFonts w:hAnsi="宋体"/>
        </w:rPr>
      </w:pPr>
      <w:r>
        <w:rPr>
          <w:rFonts w:hint="eastAsia" w:hAnsi="宋体"/>
        </w:rPr>
        <w:t>（5）法律依据；</w:t>
      </w:r>
    </w:p>
    <w:p>
      <w:pPr>
        <w:pStyle w:val="15"/>
        <w:spacing w:line="440" w:lineRule="exact"/>
        <w:ind w:firstLine="420" w:firstLineChars="200"/>
        <w:jc w:val="left"/>
      </w:pPr>
      <w:r>
        <w:rPr>
          <w:rFonts w:hint="eastAsia" w:hAnsi="宋体"/>
        </w:rPr>
        <w:t>（6）提起投诉的日期。</w:t>
      </w:r>
    </w:p>
    <w:p>
      <w:pPr>
        <w:pStyle w:val="15"/>
        <w:spacing w:line="440" w:lineRule="exact"/>
        <w:rPr>
          <w:rFonts w:hAnsi="宋体"/>
        </w:rPr>
      </w:pPr>
      <w:r>
        <w:rPr>
          <w:rFonts w:hint="eastAsia" w:hAnsi="宋体"/>
        </w:rPr>
        <w:t>投诉人为自然人的，应当由本人签字；投诉人为法人或者其他组织的，应当由法定代表人、主要负责人，或者其授权代表签字或者盖章，并加盖公章。</w:t>
      </w:r>
    </w:p>
    <w:p>
      <w:pPr>
        <w:pStyle w:val="15"/>
        <w:spacing w:line="440" w:lineRule="exact"/>
        <w:ind w:firstLine="359" w:firstLineChars="171"/>
      </w:pPr>
      <w:r>
        <w:rPr>
          <w:rFonts w:hint="eastAsia"/>
        </w:rPr>
        <w:t>5.3  投诉人可以委托代理人办理投诉事务。代理人办理投诉事务时，除提交投诉书外，还应当提交投诉人的授权委托书，授权委托书应当载明委托代理的具体权限和事项。</w:t>
      </w:r>
    </w:p>
    <w:p>
      <w:pPr>
        <w:pStyle w:val="15"/>
        <w:spacing w:line="440" w:lineRule="exact"/>
        <w:ind w:firstLine="359" w:firstLineChars="171"/>
        <w:rPr>
          <w:rFonts w:hAnsi="宋体"/>
        </w:rPr>
      </w:pPr>
      <w:r>
        <w:rPr>
          <w:rFonts w:hint="eastAsia"/>
        </w:rPr>
        <w:t>5.4  投诉人提起投诉应当符合下列条件：</w:t>
      </w:r>
    </w:p>
    <w:p>
      <w:pPr>
        <w:spacing w:line="440" w:lineRule="exact"/>
        <w:ind w:firstLine="720"/>
        <w:rPr>
          <w:rFonts w:ascii="宋体" w:hAnsi="宋体"/>
        </w:rPr>
      </w:pPr>
      <w:r>
        <w:rPr>
          <w:rFonts w:hint="eastAsia" w:ascii="宋体" w:hAnsi="宋体"/>
        </w:rPr>
        <w:t>（1）投诉人是参与所投诉政府采购活动的供应商；</w:t>
      </w:r>
    </w:p>
    <w:p>
      <w:pPr>
        <w:spacing w:line="440" w:lineRule="exact"/>
        <w:ind w:firstLine="720"/>
        <w:rPr>
          <w:rFonts w:ascii="宋体" w:hAnsi="宋体"/>
        </w:rPr>
      </w:pPr>
      <w:r>
        <w:rPr>
          <w:rFonts w:hint="eastAsia" w:ascii="宋体" w:hAnsi="宋体"/>
        </w:rPr>
        <w:t>（2）提起投诉前已依法进行质疑；</w:t>
      </w:r>
    </w:p>
    <w:p>
      <w:pPr>
        <w:spacing w:line="440" w:lineRule="exact"/>
        <w:ind w:firstLine="720"/>
        <w:rPr>
          <w:rFonts w:ascii="宋体" w:hAnsi="宋体"/>
        </w:rPr>
      </w:pPr>
      <w:r>
        <w:rPr>
          <w:rFonts w:hint="eastAsia" w:ascii="宋体" w:hAnsi="宋体"/>
        </w:rPr>
        <w:t>（3）投诉书内容符合本章第5.2项的规定；</w:t>
      </w:r>
    </w:p>
    <w:p>
      <w:pPr>
        <w:spacing w:line="440" w:lineRule="exact"/>
        <w:ind w:firstLine="720"/>
        <w:rPr>
          <w:rFonts w:ascii="宋体" w:hAnsi="宋体"/>
        </w:rPr>
      </w:pPr>
      <w:r>
        <w:rPr>
          <w:rFonts w:hint="eastAsia" w:ascii="宋体" w:hAnsi="宋体"/>
        </w:rPr>
        <w:t>（4）在投诉有效期限内提起投诉；</w:t>
      </w:r>
    </w:p>
    <w:p>
      <w:pPr>
        <w:spacing w:line="440" w:lineRule="exact"/>
        <w:ind w:firstLine="720"/>
        <w:rPr>
          <w:rFonts w:ascii="宋体" w:hAnsi="宋体"/>
        </w:rPr>
      </w:pPr>
      <w:r>
        <w:rPr>
          <w:rFonts w:hint="eastAsia" w:ascii="宋体" w:hAnsi="宋体"/>
        </w:rPr>
        <w:t>（5）属于南宁市政府采购监督管理部门管辖；</w:t>
      </w:r>
    </w:p>
    <w:p>
      <w:pPr>
        <w:spacing w:line="440" w:lineRule="exact"/>
        <w:ind w:firstLine="720"/>
        <w:rPr>
          <w:rFonts w:ascii="宋体" w:hAnsi="宋体"/>
        </w:rPr>
      </w:pPr>
      <w:r>
        <w:rPr>
          <w:rFonts w:hint="eastAsia" w:ascii="宋体" w:hAnsi="宋体"/>
        </w:rPr>
        <w:t>（6）同一投诉事项未经</w:t>
      </w:r>
      <w:r>
        <w:rPr>
          <w:rFonts w:hint="eastAsia" w:ascii="宋体" w:hAnsi="宋体"/>
          <w:bCs/>
        </w:rPr>
        <w:t>南宁市政府采购监督管理部门</w:t>
      </w:r>
      <w:r>
        <w:rPr>
          <w:rFonts w:hint="eastAsia" w:ascii="宋体" w:hAnsi="宋体"/>
        </w:rPr>
        <w:t>投诉处理；</w:t>
      </w:r>
    </w:p>
    <w:p>
      <w:pPr>
        <w:spacing w:line="440" w:lineRule="exact"/>
        <w:ind w:firstLine="720"/>
        <w:rPr>
          <w:rFonts w:ascii="宋体"/>
        </w:rPr>
      </w:pPr>
      <w:r>
        <w:rPr>
          <w:rFonts w:hint="eastAsia" w:ascii="宋体"/>
        </w:rPr>
        <w:t>（7）国务院财政部门规定的其他条件。</w:t>
      </w:r>
    </w:p>
    <w:p>
      <w:pPr>
        <w:spacing w:line="440" w:lineRule="exact"/>
        <w:ind w:firstLine="360"/>
        <w:rPr>
          <w:rFonts w:ascii="宋体"/>
        </w:rPr>
      </w:pPr>
      <w:r>
        <w:rPr>
          <w:rFonts w:hint="eastAsia" w:ascii="宋体"/>
        </w:rPr>
        <w:t>5.5  南宁市政府采购监督管理部门</w:t>
      </w:r>
      <w:r>
        <w:rPr>
          <w:rFonts w:hint="eastAsia"/>
        </w:rPr>
        <w:t>自受理投诉之日起三十个工作日内，对投诉事项作出处理决定，并以书面形式通知投诉人、被投诉人及其他与投诉处理结果有利害关系的政府采购当</w:t>
      </w:r>
      <w:r>
        <w:rPr>
          <w:rFonts w:hint="eastAsia" w:ascii="宋体"/>
        </w:rPr>
        <w:t>事人。</w:t>
      </w:r>
    </w:p>
    <w:p>
      <w:pPr>
        <w:spacing w:line="440" w:lineRule="exact"/>
        <w:ind w:firstLine="360"/>
        <w:rPr>
          <w:rFonts w:ascii="宋体"/>
        </w:rPr>
      </w:pPr>
      <w:r>
        <w:rPr>
          <w:rFonts w:hint="eastAsia" w:ascii="宋体"/>
        </w:rPr>
        <w:t>5.6  南宁市政府采购监督管理部门在处理投诉事项期间，可以视具体情况暂停采购活动。</w:t>
      </w:r>
    </w:p>
    <w:p>
      <w:pPr>
        <w:pStyle w:val="15"/>
        <w:spacing w:line="440" w:lineRule="exact"/>
        <w:rPr>
          <w:rFonts w:hAnsi="宋体"/>
          <w:bCs/>
        </w:rPr>
      </w:pPr>
    </w:p>
    <w:p>
      <w:pPr>
        <w:pStyle w:val="15"/>
        <w:jc w:val="center"/>
        <w:outlineLvl w:val="1"/>
        <w:rPr>
          <w:rFonts w:ascii="Times New Roman" w:hAnsi="Times New Roman"/>
          <w:b/>
          <w:sz w:val="30"/>
          <w:szCs w:val="30"/>
        </w:rPr>
      </w:pPr>
      <w:bookmarkStart w:id="50" w:name="_Toc1654628"/>
      <w:r>
        <w:rPr>
          <w:rFonts w:hint="eastAsia" w:ascii="Times New Roman" w:hAnsi="Times New Roman"/>
          <w:b/>
          <w:sz w:val="30"/>
          <w:szCs w:val="30"/>
        </w:rPr>
        <w:t>二 公开招标文件</w:t>
      </w:r>
      <w:bookmarkEnd w:id="50"/>
    </w:p>
    <w:p>
      <w:pPr>
        <w:pStyle w:val="15"/>
        <w:spacing w:line="440" w:lineRule="exact"/>
        <w:rPr>
          <w:rFonts w:hAnsi="宋体"/>
          <w:bCs/>
        </w:rPr>
      </w:pPr>
      <w:r>
        <w:rPr>
          <w:rFonts w:hint="eastAsia" w:hAnsi="宋体"/>
          <w:bCs/>
          <w:sz w:val="24"/>
        </w:rPr>
        <w:t>6.  公开招标文件的组成</w:t>
      </w:r>
    </w:p>
    <w:p>
      <w:pPr>
        <w:pStyle w:val="15"/>
        <w:spacing w:line="440" w:lineRule="exact"/>
        <w:ind w:firstLine="359" w:firstLineChars="171"/>
        <w:rPr>
          <w:rFonts w:hAnsi="宋体"/>
        </w:rPr>
      </w:pPr>
      <w:r>
        <w:rPr>
          <w:rFonts w:hint="eastAsia" w:hAnsi="宋体"/>
        </w:rPr>
        <w:t>6.1  本</w:t>
      </w:r>
      <w:r>
        <w:rPr>
          <w:rFonts w:hint="eastAsia" w:hAnsi="宋体"/>
          <w:bCs/>
        </w:rPr>
        <w:t>公开招标</w:t>
      </w:r>
      <w:r>
        <w:rPr>
          <w:rFonts w:hint="eastAsia" w:hAnsi="宋体"/>
        </w:rPr>
        <w:t>文件包括七个章节，各章的内容如下：</w:t>
      </w:r>
    </w:p>
    <w:p>
      <w:pPr>
        <w:pStyle w:val="15"/>
        <w:spacing w:line="440" w:lineRule="exact"/>
        <w:ind w:firstLine="718" w:firstLineChars="342"/>
        <w:rPr>
          <w:rFonts w:hAnsi="宋体"/>
        </w:rPr>
      </w:pPr>
      <w:r>
        <w:rPr>
          <w:rFonts w:hint="eastAsia" w:hAnsi="宋体"/>
        </w:rPr>
        <w:t>第一章招标公告</w:t>
      </w:r>
    </w:p>
    <w:p>
      <w:pPr>
        <w:pStyle w:val="15"/>
        <w:spacing w:line="440" w:lineRule="exact"/>
        <w:ind w:firstLine="718" w:firstLineChars="342"/>
        <w:rPr>
          <w:rFonts w:hAnsi="宋体"/>
        </w:rPr>
      </w:pPr>
      <w:r>
        <w:rPr>
          <w:rFonts w:hint="eastAsia" w:hAnsi="宋体"/>
        </w:rPr>
        <w:t>第二章货物需求一览表</w:t>
      </w:r>
    </w:p>
    <w:p>
      <w:pPr>
        <w:pStyle w:val="15"/>
        <w:spacing w:line="440" w:lineRule="exact"/>
        <w:ind w:firstLine="718" w:firstLineChars="342"/>
        <w:rPr>
          <w:rFonts w:hAnsi="宋体"/>
        </w:rPr>
      </w:pPr>
      <w:r>
        <w:rPr>
          <w:rFonts w:hint="eastAsia" w:hAnsi="宋体"/>
        </w:rPr>
        <w:t>第三章评标方法</w:t>
      </w:r>
    </w:p>
    <w:p>
      <w:pPr>
        <w:pStyle w:val="15"/>
        <w:spacing w:line="440" w:lineRule="exact"/>
        <w:ind w:firstLine="718" w:firstLineChars="342"/>
        <w:rPr>
          <w:rFonts w:hAnsi="宋体"/>
        </w:rPr>
      </w:pPr>
      <w:r>
        <w:rPr>
          <w:rFonts w:hint="eastAsia" w:hAnsi="宋体"/>
        </w:rPr>
        <w:t>第四章投标人须知</w:t>
      </w:r>
    </w:p>
    <w:p>
      <w:pPr>
        <w:pStyle w:val="15"/>
        <w:spacing w:line="440" w:lineRule="exact"/>
        <w:ind w:firstLine="718" w:firstLineChars="342"/>
        <w:rPr>
          <w:rFonts w:hAnsi="宋体"/>
        </w:rPr>
      </w:pPr>
      <w:r>
        <w:rPr>
          <w:rFonts w:hint="eastAsia" w:hAnsi="宋体"/>
        </w:rPr>
        <w:t>第五章投标文件格式</w:t>
      </w:r>
    </w:p>
    <w:p>
      <w:pPr>
        <w:pStyle w:val="15"/>
        <w:spacing w:line="440" w:lineRule="exact"/>
        <w:ind w:firstLine="718" w:firstLineChars="342"/>
        <w:rPr>
          <w:rFonts w:hAnsi="宋体"/>
        </w:rPr>
      </w:pPr>
      <w:r>
        <w:rPr>
          <w:rFonts w:hint="eastAsia" w:hAnsi="宋体"/>
        </w:rPr>
        <w:t>第六章合同条款及格式</w:t>
      </w:r>
    </w:p>
    <w:p>
      <w:pPr>
        <w:pStyle w:val="15"/>
        <w:spacing w:line="440" w:lineRule="exact"/>
        <w:ind w:firstLine="718" w:firstLineChars="342"/>
        <w:rPr>
          <w:rFonts w:hAnsi="宋体"/>
        </w:rPr>
      </w:pPr>
      <w:r>
        <w:rPr>
          <w:rFonts w:hint="eastAsia" w:hAnsi="宋体"/>
        </w:rPr>
        <w:t>第七章质疑材料格式</w:t>
      </w:r>
    </w:p>
    <w:p>
      <w:pPr>
        <w:pStyle w:val="15"/>
        <w:spacing w:line="440" w:lineRule="exact"/>
        <w:rPr>
          <w:rFonts w:hAnsi="宋体"/>
        </w:rPr>
      </w:pPr>
    </w:p>
    <w:p>
      <w:pPr>
        <w:pStyle w:val="15"/>
        <w:spacing w:line="440" w:lineRule="exact"/>
        <w:ind w:firstLine="359" w:firstLineChars="171"/>
        <w:rPr>
          <w:rFonts w:hAnsi="宋体"/>
        </w:rPr>
      </w:pPr>
      <w:r>
        <w:rPr>
          <w:rFonts w:hint="eastAsia" w:hAnsi="宋体"/>
        </w:rPr>
        <w:t>6.2根据本章第7.1项的规定对公开招标文件所做的澄清、修改，构成招标文件的组成部分。当公开招标文件与招标文件的澄清和修改就同一内容的表述不一致时，以最后发出的书面文件为准。</w:t>
      </w:r>
    </w:p>
    <w:p>
      <w:pPr>
        <w:pStyle w:val="15"/>
        <w:spacing w:line="440" w:lineRule="exact"/>
        <w:rPr>
          <w:rFonts w:hAnsi="宋体"/>
          <w:bCs/>
          <w:sz w:val="24"/>
        </w:rPr>
      </w:pPr>
      <w:r>
        <w:rPr>
          <w:rFonts w:hint="eastAsia" w:hAnsi="宋体"/>
          <w:bCs/>
          <w:sz w:val="24"/>
        </w:rPr>
        <w:t>7.  招标文件的澄清和修改</w:t>
      </w:r>
    </w:p>
    <w:p>
      <w:pPr>
        <w:pStyle w:val="15"/>
        <w:spacing w:after="165" w:line="440" w:lineRule="exact"/>
        <w:ind w:left="2" w:firstLine="480"/>
        <w:rPr>
          <w:rFonts w:hAnsi="宋体"/>
        </w:rPr>
      </w:pPr>
      <w:r>
        <w:rPr>
          <w:rFonts w:hint="eastAsia" w:hAnsi="宋体"/>
        </w:rPr>
        <w:t>7.1  投标人应认真审阅本公开招标文件，如有疑问，或发现其中有误或有要求不合理的，应在投标人须知前附表规定的</w:t>
      </w:r>
      <w:r>
        <w:rPr>
          <w:rFonts w:hint="eastAsia" w:cs="宋体"/>
          <w:kern w:val="0"/>
          <w:szCs w:val="21"/>
        </w:rPr>
        <w:t>投标人要求澄清的截止时间</w:t>
      </w:r>
      <w:r>
        <w:rPr>
          <w:rFonts w:hint="eastAsia" w:hAnsi="宋体"/>
        </w:rPr>
        <w:t>前以书面形式要求采购人或采购代理机构对招标文件予以澄清；否则，由此产生的后果由投标人自行负责。</w:t>
      </w:r>
    </w:p>
    <w:p>
      <w:pPr>
        <w:pStyle w:val="15"/>
        <w:spacing w:after="165" w:line="440" w:lineRule="exact"/>
        <w:ind w:left="2" w:firstLine="480"/>
        <w:rPr>
          <w:rFonts w:hAnsi="宋体"/>
        </w:rPr>
      </w:pPr>
      <w:r>
        <w:rPr>
          <w:rFonts w:hint="eastAsia" w:hAnsi="宋体"/>
        </w:rPr>
        <w:t>7.2  采购人或采购代理机构必须在投标截止时间十五日前，答复投标人要求澄清的问题，并将不包含问题来源的澄清通知</w:t>
      </w:r>
      <w:r>
        <w:rPr>
          <w:rFonts w:hint="eastAsia"/>
        </w:rPr>
        <w:t>在</w:t>
      </w:r>
      <w:r>
        <w:rPr>
          <w:rFonts w:hint="eastAsia" w:cs="宋体"/>
          <w:kern w:val="0"/>
          <w:szCs w:val="21"/>
        </w:rPr>
        <w:t>本章第2.1项规定的政府采购信息发布媒体上</w:t>
      </w:r>
      <w:r>
        <w:rPr>
          <w:rFonts w:hint="eastAsia"/>
        </w:rPr>
        <w:t>发布更正公告</w:t>
      </w:r>
      <w:r>
        <w:rPr>
          <w:rFonts w:hint="eastAsia" w:hAnsi="宋体"/>
        </w:rPr>
        <w:t>，除书面澄清以外的其他澄清方式及澄清内容均无效</w:t>
      </w:r>
      <w:r>
        <w:rPr>
          <w:rFonts w:hint="eastAsia"/>
        </w:rPr>
        <w:t>。如果澄清发出的时间距投标截止时间不足十五日，则相应延长投标截止时间。</w:t>
      </w:r>
    </w:p>
    <w:p>
      <w:pPr>
        <w:pStyle w:val="15"/>
        <w:spacing w:after="165" w:line="440" w:lineRule="exact"/>
        <w:ind w:left="2" w:firstLine="480"/>
      </w:pPr>
      <w:r>
        <w:rPr>
          <w:rFonts w:hint="eastAsia" w:hAnsi="宋体"/>
        </w:rPr>
        <w:t>7.3  采购人或采购代理机构</w:t>
      </w:r>
      <w:r>
        <w:rPr>
          <w:rFonts w:hint="eastAsia"/>
        </w:rPr>
        <w:t>对已发出的招标文件进行必要修改的，应在投标截止时间十五日前，在</w:t>
      </w:r>
      <w:r>
        <w:rPr>
          <w:rFonts w:hint="eastAsia" w:cs="宋体"/>
          <w:kern w:val="0"/>
          <w:szCs w:val="21"/>
        </w:rPr>
        <w:t>本章第2.1项规定的政府采购信息发布媒体上</w:t>
      </w:r>
      <w:r>
        <w:rPr>
          <w:rFonts w:hint="eastAsia"/>
        </w:rPr>
        <w:t>发布更正公告。如果修改招标文件的时间距投标截止时间不足十五日，则相应延长投标截止时间。</w:t>
      </w:r>
    </w:p>
    <w:p>
      <w:pPr>
        <w:pStyle w:val="15"/>
        <w:spacing w:line="440" w:lineRule="exact"/>
        <w:ind w:left="2" w:firstLine="360"/>
      </w:pPr>
      <w:r>
        <w:rPr>
          <w:rFonts w:hint="eastAsia" w:hAnsi="宋体"/>
        </w:rPr>
        <w:t xml:space="preserve">7.4  </w:t>
      </w:r>
      <w:r>
        <w:rPr>
          <w:rFonts w:hint="eastAsia"/>
        </w:rPr>
        <w:t>采购人和采购代理机构可以视采购具体情况，延长投标截止时间和开标时间，但至少应当在投标截止时间三日前，将变更时间通知在</w:t>
      </w:r>
      <w:r>
        <w:rPr>
          <w:rFonts w:hint="eastAsia" w:cs="宋体"/>
          <w:kern w:val="0"/>
          <w:szCs w:val="21"/>
        </w:rPr>
        <w:t>本章第2.1项规定的政府采购信息发布媒体上</w:t>
      </w:r>
      <w:r>
        <w:rPr>
          <w:rFonts w:hint="eastAsia"/>
        </w:rPr>
        <w:t>发布更正公告。</w:t>
      </w:r>
    </w:p>
    <w:p>
      <w:pPr>
        <w:pStyle w:val="15"/>
        <w:jc w:val="center"/>
        <w:outlineLvl w:val="1"/>
        <w:rPr>
          <w:rFonts w:ascii="Times New Roman" w:hAnsi="Times New Roman"/>
          <w:b/>
          <w:sz w:val="30"/>
          <w:szCs w:val="30"/>
        </w:rPr>
      </w:pPr>
      <w:bookmarkStart w:id="51" w:name="_Toc1654629"/>
      <w:r>
        <w:rPr>
          <w:rFonts w:hint="eastAsia" w:ascii="Times New Roman" w:hAnsi="Times New Roman"/>
          <w:b/>
          <w:sz w:val="30"/>
          <w:szCs w:val="30"/>
        </w:rPr>
        <w:t>三 投标文件</w:t>
      </w:r>
      <w:bookmarkEnd w:id="51"/>
    </w:p>
    <w:p>
      <w:pPr>
        <w:pStyle w:val="15"/>
        <w:spacing w:line="440" w:lineRule="exact"/>
        <w:rPr>
          <w:rFonts w:hAnsi="宋体"/>
          <w:bCs/>
          <w:sz w:val="24"/>
        </w:rPr>
      </w:pPr>
      <w:r>
        <w:rPr>
          <w:rFonts w:hint="eastAsia" w:hAnsi="宋体"/>
          <w:bCs/>
          <w:sz w:val="24"/>
        </w:rPr>
        <w:t>8.  投标文件的编制</w:t>
      </w:r>
    </w:p>
    <w:p>
      <w:pPr>
        <w:pStyle w:val="15"/>
        <w:spacing w:line="440" w:lineRule="exact"/>
        <w:ind w:left="2" w:firstLine="360"/>
        <w:rPr>
          <w:rFonts w:hAnsi="宋体"/>
        </w:rPr>
      </w:pPr>
      <w:r>
        <w:rPr>
          <w:rFonts w:hint="eastAsia" w:hAnsi="宋体"/>
        </w:rPr>
        <w:t>8.1  投标人应仔细阅读招标文件，在充分了解招标的内容、技术参数要求和商务条款以及实质性要求和条件后，编写投标文件。</w:t>
      </w:r>
    </w:p>
    <w:p>
      <w:pPr>
        <w:pStyle w:val="15"/>
        <w:spacing w:line="440" w:lineRule="exact"/>
        <w:ind w:left="2" w:firstLine="360"/>
        <w:rPr>
          <w:rFonts w:hAnsi="宋体"/>
        </w:rPr>
      </w:pPr>
      <w:r>
        <w:rPr>
          <w:rFonts w:hint="eastAsia" w:hAnsi="宋体"/>
        </w:rPr>
        <w:t>8.2  对招标文件的实质性要求和条件作出响应是指投标人必须对招标文件中标注为实质性要求和条件的技术参数要求、商务条款及其它内容</w:t>
      </w:r>
      <w:r>
        <w:rPr>
          <w:rFonts w:hint="eastAsia"/>
          <w:b/>
        </w:rPr>
        <w:t>作出满足或者优于原要求和条件的承诺</w:t>
      </w:r>
      <w:r>
        <w:rPr>
          <w:rFonts w:hint="eastAsia"/>
        </w:rPr>
        <w:t>。</w:t>
      </w:r>
    </w:p>
    <w:p>
      <w:pPr>
        <w:pStyle w:val="15"/>
        <w:spacing w:line="440" w:lineRule="exact"/>
        <w:ind w:left="2" w:firstLine="360"/>
      </w:pPr>
      <w:r>
        <w:rPr>
          <w:rFonts w:hint="eastAsia" w:hAnsi="宋体"/>
        </w:rPr>
        <w:t xml:space="preserve">8.3  </w:t>
      </w:r>
      <w:r>
        <w:rPr>
          <w:rFonts w:hint="eastAsia"/>
        </w:rPr>
        <w:t>招标文件中标注★号的内容为实质性要求和条件。</w:t>
      </w:r>
    </w:p>
    <w:p>
      <w:pPr>
        <w:pStyle w:val="15"/>
        <w:spacing w:line="440" w:lineRule="exact"/>
        <w:ind w:left="2" w:firstLine="360"/>
        <w:rPr>
          <w:rFonts w:hAnsi="宋体"/>
        </w:rPr>
      </w:pPr>
      <w:r>
        <w:rPr>
          <w:rFonts w:hint="eastAsia" w:hAnsi="宋体"/>
        </w:rPr>
        <w:t>8.4  投标文件应用不褪色的材料书写或打印，保证其清楚、工整，相关材料的复印件应清晰可辨认。投标文件字迹潦草、表达不清、模糊无法辨认而导致非唯一理解是投标人的风险，很可能导致该投标无效。</w:t>
      </w:r>
    </w:p>
    <w:p>
      <w:pPr>
        <w:pStyle w:val="15"/>
        <w:spacing w:line="440" w:lineRule="exact"/>
        <w:ind w:left="2" w:firstLine="360"/>
        <w:rPr>
          <w:rFonts w:hAnsi="宋体"/>
        </w:rPr>
      </w:pPr>
      <w:r>
        <w:rPr>
          <w:rFonts w:hint="eastAsia" w:hAnsi="宋体"/>
        </w:rPr>
        <w:t>8.5  第五章“投标文件格式”中规定了投标文件格式的，应按相应格式要求编写。</w:t>
      </w:r>
    </w:p>
    <w:p>
      <w:pPr>
        <w:pStyle w:val="15"/>
        <w:spacing w:line="440" w:lineRule="exact"/>
        <w:ind w:left="2" w:firstLine="360"/>
        <w:rPr>
          <w:rFonts w:hAnsi="宋体"/>
        </w:rPr>
      </w:pPr>
      <w:r>
        <w:rPr>
          <w:rFonts w:hint="eastAsia" w:hAnsi="宋体"/>
        </w:rPr>
        <w:t>8.6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15"/>
        <w:spacing w:line="440" w:lineRule="exact"/>
        <w:ind w:left="2" w:firstLine="360"/>
      </w:pPr>
      <w:r>
        <w:rPr>
          <w:rFonts w:hint="eastAsia" w:hAnsi="宋体"/>
        </w:rPr>
        <w:t xml:space="preserve">8.7  </w:t>
      </w:r>
      <w:r>
        <w:rPr>
          <w:rFonts w:hint="eastAsia"/>
        </w:rPr>
        <w:t>投标文件应编制目录，且页码清晰准确。</w:t>
      </w:r>
    </w:p>
    <w:p>
      <w:pPr>
        <w:pStyle w:val="15"/>
        <w:spacing w:line="440" w:lineRule="exact"/>
        <w:ind w:left="2" w:firstLine="360"/>
      </w:pPr>
      <w:r>
        <w:rPr>
          <w:rFonts w:hint="eastAsia" w:hAnsi="宋体"/>
        </w:rPr>
        <w:t>8.8  投标文件的</w:t>
      </w:r>
      <w:r>
        <w:rPr>
          <w:rFonts w:hint="eastAsia"/>
        </w:rPr>
        <w:t>正本和副本应分别装订成册，封面上应清楚地标记“正本”或“副本”字样，并标明项目名称、项目编号、投标人名称等内容。副本可以采用正本的复印件，当副本和正本不一致时，以正本为准。投标人应准备报价文件、资格文件、技术文件和商务文件正本各一份，副本份数见投标人须知前附表。</w:t>
      </w:r>
    </w:p>
    <w:p>
      <w:pPr>
        <w:pStyle w:val="15"/>
        <w:spacing w:line="440" w:lineRule="exact"/>
        <w:rPr>
          <w:rFonts w:hAnsi="宋体"/>
          <w:bCs/>
          <w:sz w:val="24"/>
        </w:rPr>
      </w:pPr>
      <w:r>
        <w:rPr>
          <w:rFonts w:hint="eastAsia" w:hAnsi="宋体"/>
          <w:bCs/>
          <w:sz w:val="24"/>
        </w:rPr>
        <w:t>9.  投标语言文字及计量单位</w:t>
      </w:r>
    </w:p>
    <w:p>
      <w:pPr>
        <w:pStyle w:val="15"/>
        <w:spacing w:line="440" w:lineRule="exact"/>
        <w:ind w:firstLine="360"/>
        <w:rPr>
          <w:rFonts w:hAnsi="宋体"/>
        </w:rPr>
      </w:pPr>
      <w:r>
        <w:rPr>
          <w:rFonts w:hint="eastAsia" w:hAnsi="宋体"/>
        </w:rPr>
        <w:t>9.1  投标人的投标文件以及投标人与采购人、采购代理机构就有关投标的所有往来函电统一使用中文（特别规定除外）。</w:t>
      </w:r>
    </w:p>
    <w:p>
      <w:pPr>
        <w:pStyle w:val="15"/>
        <w:spacing w:line="440" w:lineRule="exact"/>
        <w:ind w:firstLine="360"/>
        <w:rPr>
          <w:rFonts w:hAnsi="宋体"/>
        </w:rPr>
      </w:pPr>
      <w:r>
        <w:rPr>
          <w:rFonts w:hint="eastAsia" w:hAnsi="宋体"/>
        </w:rPr>
        <w:t>9.2  对不同文字文本投标文件的解释发生异议的，以中文文本为准。</w:t>
      </w:r>
    </w:p>
    <w:p>
      <w:pPr>
        <w:pStyle w:val="15"/>
        <w:spacing w:line="440" w:lineRule="exact"/>
        <w:ind w:firstLine="360"/>
        <w:rPr>
          <w:rFonts w:hAnsi="宋体"/>
        </w:rPr>
      </w:pPr>
      <w:r>
        <w:rPr>
          <w:rFonts w:hint="eastAsia" w:hAnsi="宋体"/>
        </w:rPr>
        <w:t>9.3  投标文件使用的计量单位除招标文件中有特殊规定外，一律使用中华人民共和国法定计量单位。</w:t>
      </w:r>
    </w:p>
    <w:p>
      <w:pPr>
        <w:pStyle w:val="15"/>
        <w:spacing w:line="440" w:lineRule="exact"/>
        <w:rPr>
          <w:rFonts w:hAnsi="宋体"/>
          <w:bCs/>
          <w:sz w:val="24"/>
        </w:rPr>
      </w:pPr>
      <w:r>
        <w:rPr>
          <w:rFonts w:hint="eastAsia" w:hAnsi="宋体"/>
          <w:bCs/>
          <w:sz w:val="24"/>
        </w:rPr>
        <w:t>10.  投标文件的组成</w:t>
      </w:r>
    </w:p>
    <w:p>
      <w:pPr>
        <w:pStyle w:val="15"/>
        <w:spacing w:line="440" w:lineRule="exact"/>
        <w:ind w:firstLine="360"/>
        <w:rPr>
          <w:rFonts w:hAnsi="宋体"/>
        </w:rPr>
      </w:pPr>
      <w:r>
        <w:rPr>
          <w:rFonts w:hint="eastAsia" w:hAnsi="宋体"/>
        </w:rPr>
        <w:t>10.1  投标人需编制的投标文件包括报价文件、资格文件、技术文件和商务文件四部分，投标人应按下列说明编写和提交。应递交的有关文件如未特别注明为原件的，可提交复印件。</w:t>
      </w:r>
    </w:p>
    <w:p>
      <w:pPr>
        <w:pStyle w:val="15"/>
        <w:spacing w:line="440" w:lineRule="exact"/>
        <w:ind w:firstLine="360"/>
        <w:rPr>
          <w:rFonts w:hAnsi="宋体"/>
        </w:rPr>
      </w:pPr>
      <w:r>
        <w:rPr>
          <w:rFonts w:hint="eastAsia" w:hAnsi="宋体"/>
        </w:rPr>
        <w:t>10.1.1  报价文件组成要求，包括：</w:t>
      </w:r>
    </w:p>
    <w:p>
      <w:pPr>
        <w:pStyle w:val="15"/>
        <w:spacing w:line="440" w:lineRule="exact"/>
        <w:ind w:firstLine="720"/>
        <w:rPr>
          <w:rFonts w:hAnsi="宋体"/>
          <w:szCs w:val="21"/>
        </w:rPr>
      </w:pPr>
      <w:r>
        <w:rPr>
          <w:rFonts w:hint="eastAsia" w:hAnsi="宋体"/>
          <w:szCs w:val="21"/>
        </w:rPr>
        <w:t>（1）投标函：按第五章“投标文件格式”提供的“投标函（格式）”的要求填写；</w:t>
      </w:r>
    </w:p>
    <w:p>
      <w:pPr>
        <w:pStyle w:val="15"/>
        <w:spacing w:line="440" w:lineRule="exact"/>
        <w:ind w:firstLine="720"/>
        <w:rPr>
          <w:rFonts w:hAnsi="宋体"/>
          <w:szCs w:val="21"/>
        </w:rPr>
      </w:pPr>
      <w:r>
        <w:rPr>
          <w:rFonts w:hint="eastAsia" w:hAnsi="宋体"/>
          <w:szCs w:val="21"/>
        </w:rPr>
        <w:t>（2）投标报价表：按第五章“投标文件格式”提供的“投标报价表（格式）”的要求填写。</w:t>
      </w:r>
    </w:p>
    <w:p>
      <w:pPr>
        <w:pStyle w:val="15"/>
        <w:spacing w:line="440" w:lineRule="exact"/>
        <w:ind w:firstLine="720"/>
        <w:rPr>
          <w:rFonts w:hAnsi="宋体"/>
          <w:szCs w:val="21"/>
        </w:rPr>
      </w:pPr>
      <w:r>
        <w:rPr>
          <w:rFonts w:hint="eastAsia" w:hAnsi="宋体"/>
          <w:szCs w:val="21"/>
        </w:rPr>
        <w:t>（3）中小企业声明函、监狱企业的证明文件、残疾人福利性单位声明函：按第五章“投标文件格式”提供的“中小企业声明函（格式）、残疾人福利性单位声明函”的要求填写。</w:t>
      </w:r>
    </w:p>
    <w:p>
      <w:pPr>
        <w:pStyle w:val="15"/>
        <w:spacing w:line="440" w:lineRule="exact"/>
        <w:ind w:firstLine="720"/>
        <w:rPr>
          <w:rFonts w:hAnsi="宋体"/>
          <w:szCs w:val="21"/>
        </w:rPr>
      </w:pPr>
      <w:r>
        <w:rPr>
          <w:rFonts w:hint="eastAsia" w:hAnsi="宋体"/>
          <w:szCs w:val="21"/>
        </w:rPr>
        <w:t>（4）广西工业产品声明函：按第五章“投标文件格式”提供的“广西工业产品声明函（格式）”的要求填写。</w:t>
      </w:r>
    </w:p>
    <w:p>
      <w:pPr>
        <w:pStyle w:val="15"/>
        <w:spacing w:line="440" w:lineRule="exact"/>
        <w:ind w:firstLine="720"/>
        <w:rPr>
          <w:rFonts w:hAnsi="宋体"/>
          <w:szCs w:val="21"/>
        </w:rPr>
      </w:pPr>
      <w:r>
        <w:rPr>
          <w:rFonts w:hint="eastAsia" w:hAnsi="宋体"/>
          <w:b/>
          <w:szCs w:val="21"/>
        </w:rPr>
        <w:t>其中，报价文件组成要求的第（</w:t>
      </w:r>
      <w:r>
        <w:rPr>
          <w:rFonts w:hAnsi="宋体"/>
          <w:b/>
          <w:szCs w:val="21"/>
        </w:rPr>
        <w:t>1</w:t>
      </w:r>
      <w:r>
        <w:rPr>
          <w:rFonts w:hint="eastAsia" w:hAnsi="宋体"/>
          <w:b/>
          <w:szCs w:val="21"/>
        </w:rPr>
        <w:t>）～（</w:t>
      </w:r>
      <w:r>
        <w:rPr>
          <w:rFonts w:hAnsi="宋体"/>
          <w:b/>
          <w:szCs w:val="21"/>
        </w:rPr>
        <w:t>2</w:t>
      </w:r>
      <w:r>
        <w:rPr>
          <w:rFonts w:hint="eastAsia" w:hAnsi="宋体"/>
          <w:b/>
          <w:szCs w:val="21"/>
        </w:rPr>
        <w:t>）项必须提交；第（</w:t>
      </w:r>
      <w:r>
        <w:rPr>
          <w:rFonts w:hAnsi="宋体"/>
          <w:b/>
          <w:szCs w:val="21"/>
        </w:rPr>
        <w:t>3</w:t>
      </w:r>
      <w:r>
        <w:rPr>
          <w:rFonts w:hint="eastAsia" w:hAnsi="宋体"/>
          <w:b/>
          <w:szCs w:val="21"/>
        </w:rPr>
        <w:t>）（4）项如有请提交。</w:t>
      </w:r>
    </w:p>
    <w:p>
      <w:pPr>
        <w:pStyle w:val="15"/>
        <w:spacing w:line="440" w:lineRule="exact"/>
        <w:ind w:firstLine="360"/>
        <w:rPr>
          <w:rFonts w:hAnsi="宋体"/>
        </w:rPr>
      </w:pPr>
      <w:r>
        <w:rPr>
          <w:rFonts w:hint="eastAsia" w:hAnsi="宋体"/>
        </w:rPr>
        <w:t>10.1.2  资格文件组成要求，包括：</w:t>
      </w:r>
    </w:p>
    <w:p>
      <w:pPr>
        <w:pStyle w:val="15"/>
        <w:spacing w:line="440" w:lineRule="exact"/>
        <w:ind w:firstLine="720"/>
        <w:rPr>
          <w:rFonts w:hAnsi="宋体"/>
          <w:kern w:val="0"/>
          <w:szCs w:val="22"/>
        </w:rPr>
      </w:pPr>
      <w:r>
        <w:rPr>
          <w:rFonts w:hint="eastAsia" w:hAnsi="宋体"/>
        </w:rPr>
        <w:t>（1）资格声明函。按第五章“投标文件格式”提供的“资格声明函（格式）”的要求填写。对列入失信被执行人、重大税收违法案件当事人名单、政府采购严重违法失信行为记录名单的投标人，将被拒绝参与本项目政府采购活动。</w:t>
      </w:r>
      <w:r>
        <w:rPr>
          <w:rFonts w:hint="eastAsia" w:hAnsi="宋体"/>
          <w:b/>
          <w:bCs/>
          <w:kern w:val="0"/>
          <w:szCs w:val="22"/>
        </w:rPr>
        <w:t>（注：采购人或采购代理机构在对投标人资格审查时进行信用查询，查询结果与投标文件不一致时，以采购人或采购代理机构查询结果为准。）</w:t>
      </w:r>
    </w:p>
    <w:p>
      <w:pPr>
        <w:pStyle w:val="15"/>
        <w:spacing w:line="440" w:lineRule="exact"/>
        <w:ind w:firstLine="720"/>
        <w:rPr>
          <w:rFonts w:hAnsi="宋体"/>
        </w:rPr>
      </w:pPr>
      <w:r>
        <w:rPr>
          <w:rFonts w:hint="eastAsia" w:hAnsi="宋体"/>
        </w:rPr>
        <w:t>（2）根据本章第3.2项规定的投标人应具备的特定条件提供，包括含统一社会信用代码的营业执照（或事业单位法人证书）复印件（</w:t>
      </w:r>
      <w:r>
        <w:rPr>
          <w:rFonts w:hint="eastAsia"/>
        </w:rPr>
        <w:t>投标人如为企业的，</w:t>
      </w:r>
      <w:r>
        <w:rPr>
          <w:rFonts w:hint="eastAsia" w:hAnsi="宋体"/>
        </w:rPr>
        <w:t>要求证件有效并清晰反映企业法人）和投标人资格的其他证明文件复印件；</w:t>
      </w:r>
    </w:p>
    <w:p>
      <w:pPr>
        <w:widowControl/>
        <w:spacing w:line="360" w:lineRule="auto"/>
        <w:ind w:firstLine="735" w:firstLineChars="350"/>
        <w:jc w:val="left"/>
        <w:rPr>
          <w:rFonts w:hAnsi="宋体"/>
        </w:rPr>
      </w:pPr>
      <w:r>
        <w:rPr>
          <w:rFonts w:hint="eastAsia" w:hAnsi="宋体"/>
        </w:rPr>
        <w:t>（3）法定代表人身份证复印件：如使用第二代身份证应提交正、反面复印件，如法定代表人非中国国籍应提交护照复印件，要求证件有效并与营业执照</w:t>
      </w:r>
      <w:r>
        <w:rPr>
          <w:rFonts w:hint="eastAsia"/>
        </w:rPr>
        <w:t>或事业单位法人证</w:t>
      </w:r>
      <w:r>
        <w:rPr>
          <w:rFonts w:hint="eastAsia" w:hAnsi="宋体"/>
        </w:rPr>
        <w:t>中的法定代表人相符；</w:t>
      </w:r>
    </w:p>
    <w:p>
      <w:pPr>
        <w:widowControl/>
        <w:spacing w:line="360" w:lineRule="auto"/>
        <w:ind w:firstLine="735" w:firstLineChars="350"/>
        <w:jc w:val="left"/>
      </w:pPr>
      <w:r>
        <w:rPr>
          <w:rFonts w:hint="eastAsia" w:hAnsi="宋体"/>
        </w:rPr>
        <w:t>（4）</w:t>
      </w:r>
      <w:r>
        <w:rPr>
          <w:rFonts w:hint="eastAsia"/>
        </w:rPr>
        <w:t>投标人2020年最近一个季度或近期连续三个月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税务部门出具的《依法纳税或依法免税证明》（复印件，格式自拟，原件备查），《依法纳税或依法免税证明》原件一年内保持有效；</w:t>
      </w:r>
    </w:p>
    <w:p>
      <w:pPr>
        <w:pStyle w:val="15"/>
        <w:spacing w:line="440" w:lineRule="exact"/>
        <w:ind w:firstLine="720"/>
        <w:rPr>
          <w:rFonts w:hAnsi="宋体"/>
        </w:rPr>
      </w:pPr>
      <w:r>
        <w:rPr>
          <w:rFonts w:hint="eastAsia" w:hAnsi="宋体"/>
        </w:rPr>
        <w:t>（5）</w:t>
      </w:r>
      <w:r>
        <w:rPr>
          <w:rFonts w:hint="eastAsia" w:hAnsi="宋体"/>
          <w:szCs w:val="21"/>
        </w:rPr>
        <w:t>投标人2020年最近一个季度或近期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原件备查）</w:t>
      </w:r>
      <w:r>
        <w:rPr>
          <w:rFonts w:hint="eastAsia" w:hAnsi="宋体"/>
        </w:rPr>
        <w:t>；</w:t>
      </w:r>
    </w:p>
    <w:p>
      <w:pPr>
        <w:pStyle w:val="15"/>
        <w:spacing w:line="440" w:lineRule="exact"/>
        <w:ind w:firstLine="720"/>
        <w:rPr>
          <w:rFonts w:hAnsi="宋体"/>
        </w:rPr>
      </w:pPr>
      <w:r>
        <w:rPr>
          <w:rFonts w:hint="eastAsia" w:hAnsi="宋体"/>
        </w:rPr>
        <w:t>（6）财务会计报表复印件：投标人2019年度财务报表复印件【①如无经会计师事务所审计的财务报告，则需提交本公司出具的财务报表；②新近成立的公司可根据其成立的时间提交财务报表；③自行提供财务报表的，账务报表至少包含资产负债表、利润表、现金流量表，未按要求提供材料的，</w:t>
      </w:r>
      <w:r>
        <w:rPr>
          <w:rFonts w:hint="eastAsia" w:hAnsi="宋体"/>
          <w:lang w:eastAsia="zh-CN"/>
        </w:rPr>
        <w:t>评标委员会</w:t>
      </w:r>
      <w:r>
        <w:rPr>
          <w:rFonts w:hint="eastAsia" w:hAnsi="宋体"/>
        </w:rPr>
        <w:t>将取消其</w:t>
      </w:r>
      <w:r>
        <w:rPr>
          <w:rFonts w:hint="eastAsia" w:hAnsi="宋体"/>
          <w:lang w:eastAsia="zh-CN"/>
        </w:rPr>
        <w:t>投</w:t>
      </w:r>
      <w:r>
        <w:rPr>
          <w:rFonts w:hint="eastAsia" w:hAnsi="宋体"/>
        </w:rPr>
        <w:t>标资格】，或投标人其基本开户银行出具的资信证明（复印件）。</w:t>
      </w:r>
    </w:p>
    <w:p>
      <w:pPr>
        <w:pStyle w:val="15"/>
        <w:spacing w:line="440" w:lineRule="exact"/>
        <w:ind w:firstLine="720"/>
        <w:rPr>
          <w:rFonts w:hAnsi="宋体"/>
        </w:rPr>
      </w:pPr>
      <w:r>
        <w:rPr>
          <w:rFonts w:hint="eastAsia" w:hAnsi="宋体"/>
          <w:b/>
        </w:rPr>
        <w:t>其中，资格文件组成要求的第（</w:t>
      </w:r>
      <w:r>
        <w:rPr>
          <w:rFonts w:hAnsi="宋体"/>
          <w:b/>
        </w:rPr>
        <w:t>1</w:t>
      </w:r>
      <w:r>
        <w:rPr>
          <w:rFonts w:hint="eastAsia" w:hAnsi="宋体"/>
          <w:b/>
        </w:rPr>
        <w:t>）～（6）项必须提交。</w:t>
      </w:r>
    </w:p>
    <w:p>
      <w:pPr>
        <w:pStyle w:val="15"/>
        <w:spacing w:line="440" w:lineRule="exact"/>
        <w:ind w:firstLine="360"/>
        <w:rPr>
          <w:rFonts w:hAnsi="宋体"/>
          <w:b/>
          <w:bCs/>
        </w:rPr>
      </w:pPr>
      <w:r>
        <w:rPr>
          <w:rFonts w:hint="eastAsia" w:hAnsi="宋体"/>
        </w:rPr>
        <w:t>10.1.3  技术文件组成要求，包括：</w:t>
      </w:r>
    </w:p>
    <w:p>
      <w:pPr>
        <w:pStyle w:val="15"/>
        <w:spacing w:line="440" w:lineRule="exact"/>
        <w:ind w:firstLine="420" w:firstLineChars="200"/>
        <w:rPr>
          <w:rFonts w:hAnsi="宋体"/>
          <w:b/>
          <w:bCs/>
        </w:rPr>
      </w:pPr>
      <w:r>
        <w:rPr>
          <w:rFonts w:hint="eastAsia" w:hAnsi="宋体"/>
        </w:rPr>
        <w:t>（1）投标产品技术资料表：按第五章“投标文件格式”提供的“投标产品技术资料表（格式）”的要求填写；</w:t>
      </w:r>
    </w:p>
    <w:p>
      <w:pPr>
        <w:pStyle w:val="15"/>
        <w:spacing w:line="440" w:lineRule="exact"/>
        <w:ind w:firstLine="420"/>
        <w:rPr>
          <w:rFonts w:hAnsi="宋体"/>
          <w:b/>
          <w:bCs/>
        </w:rPr>
      </w:pPr>
      <w:r>
        <w:rPr>
          <w:rFonts w:hint="eastAsia" w:hAnsi="宋体"/>
        </w:rPr>
        <w:t>（2）其它：针对本项目所投标货物的主要技术指标、参数及性能的详细说明，相关的图纸、图片，产品有效检测和鉴定证明，环保产品认证证书复印件，等等。</w:t>
      </w:r>
    </w:p>
    <w:p>
      <w:pPr>
        <w:pStyle w:val="15"/>
        <w:spacing w:line="440" w:lineRule="exact"/>
        <w:ind w:firstLine="413" w:firstLineChars="196"/>
        <w:rPr>
          <w:rFonts w:hAnsi="宋体"/>
          <w:b/>
        </w:rPr>
      </w:pPr>
      <w:r>
        <w:rPr>
          <w:rFonts w:hint="eastAsia" w:hAnsi="宋体"/>
          <w:b/>
        </w:rPr>
        <w:t>技术文件中的第（1）项必须提交；技术文件中的第（2）项在第二章“货物需求一览表”中有要求提交的则必须提交，未要求的则如有请提交。</w:t>
      </w:r>
    </w:p>
    <w:p>
      <w:pPr>
        <w:pStyle w:val="15"/>
        <w:spacing w:line="440" w:lineRule="exact"/>
        <w:ind w:firstLine="360"/>
        <w:rPr>
          <w:rFonts w:hAnsi="宋体"/>
        </w:rPr>
      </w:pPr>
      <w:r>
        <w:rPr>
          <w:rFonts w:hint="eastAsia" w:hAnsi="宋体"/>
        </w:rPr>
        <w:t>10.1.4  商务文件组成要求，包括：</w:t>
      </w:r>
    </w:p>
    <w:p>
      <w:pPr>
        <w:pStyle w:val="15"/>
        <w:spacing w:line="440" w:lineRule="exact"/>
        <w:ind w:firstLine="420" w:firstLineChars="200"/>
        <w:rPr>
          <w:rFonts w:hAnsi="宋体"/>
        </w:rPr>
      </w:pPr>
      <w:r>
        <w:rPr>
          <w:rFonts w:hint="eastAsia" w:hAnsi="宋体"/>
        </w:rPr>
        <w:t>（1）售后服务承诺书：按第五章“投标文件格式”提供的“售后服务承诺书（格式）”的要求填写；</w:t>
      </w:r>
    </w:p>
    <w:p>
      <w:pPr>
        <w:pStyle w:val="15"/>
        <w:spacing w:line="440" w:lineRule="exact"/>
        <w:ind w:firstLine="420" w:firstLineChars="200"/>
        <w:rPr>
          <w:rFonts w:hAnsi="宋体"/>
        </w:rPr>
      </w:pPr>
      <w:r>
        <w:rPr>
          <w:rFonts w:hint="eastAsia" w:hAnsi="宋体"/>
        </w:rPr>
        <w:t>（2）商务条款偏离表：按第五章“投标文件格式”提供的“商务条款偏离表（格式）”的要求填写；</w:t>
      </w:r>
    </w:p>
    <w:p>
      <w:pPr>
        <w:pStyle w:val="15"/>
        <w:spacing w:line="440" w:lineRule="exact"/>
        <w:ind w:firstLine="420" w:firstLineChars="200"/>
        <w:rPr>
          <w:rFonts w:hAnsi="宋体"/>
        </w:rPr>
      </w:pPr>
      <w:r>
        <w:rPr>
          <w:rFonts w:hint="eastAsia" w:hAnsi="宋体"/>
        </w:rPr>
        <w:t>（3）法定代表人授权委托书：按第五章“投标文件格式”提供的“法定代表人授权委托书（格式）”的要求填写；</w:t>
      </w:r>
    </w:p>
    <w:p>
      <w:pPr>
        <w:pStyle w:val="15"/>
        <w:spacing w:line="440" w:lineRule="exact"/>
        <w:ind w:firstLine="420" w:firstLineChars="200"/>
        <w:rPr>
          <w:rFonts w:hAnsi="宋体"/>
          <w:szCs w:val="21"/>
        </w:rPr>
      </w:pPr>
      <w:r>
        <w:rPr>
          <w:rFonts w:hint="eastAsia"/>
        </w:rPr>
        <w:t>（4）委托代理人身份证复印件和社保缴费凭证复印件：如使用第二代身份证应提交正、反面复印件，如委托代理人非中国国籍应提交护照复印件，要求证件有效并与法定代表人授权委托书中的委托代理人相符；</w:t>
      </w:r>
      <w:r>
        <w:rPr>
          <w:rFonts w:hint="eastAsia" w:hAnsi="宋体"/>
          <w:szCs w:val="21"/>
        </w:rPr>
        <w:t>社保缴费凭证应清晰反映人员身份和缴费的信息；</w:t>
      </w:r>
    </w:p>
    <w:p>
      <w:pPr>
        <w:pStyle w:val="15"/>
        <w:spacing w:line="440" w:lineRule="exact"/>
        <w:ind w:firstLine="420" w:firstLineChars="200"/>
        <w:rPr>
          <w:rFonts w:hAnsi="宋体"/>
          <w:szCs w:val="21"/>
        </w:rPr>
      </w:pPr>
      <w:r>
        <w:rPr>
          <w:rFonts w:hint="eastAsia" w:hAnsi="宋体"/>
          <w:szCs w:val="21"/>
        </w:rPr>
        <w:t>（5）投标人直接控股、管理关系信息表，按第五章“投标文件格式”提供的“投标人直接控股、管理关系信息表（格式）”的要求填写；</w:t>
      </w:r>
    </w:p>
    <w:p>
      <w:pPr>
        <w:pStyle w:val="15"/>
        <w:spacing w:line="440" w:lineRule="exact"/>
        <w:ind w:firstLine="420" w:firstLineChars="200"/>
        <w:rPr>
          <w:rFonts w:hAnsi="宋体"/>
        </w:rPr>
      </w:pPr>
      <w:r>
        <w:rPr>
          <w:rFonts w:hint="eastAsia" w:hAnsi="宋体"/>
        </w:rPr>
        <w:t>（6）联合体协议书：按第五章“投标文件格式”提供的“联合体协议书（格式）”的要求填写，协议中应清晰载明联合体各方承担的工作和义务；</w:t>
      </w:r>
    </w:p>
    <w:p>
      <w:pPr>
        <w:pStyle w:val="15"/>
        <w:spacing w:line="440" w:lineRule="exact"/>
        <w:ind w:firstLine="420" w:firstLineChars="200"/>
        <w:rPr>
          <w:rFonts w:hAnsi="宋体"/>
        </w:rPr>
      </w:pPr>
      <w:r>
        <w:rPr>
          <w:rFonts w:hint="eastAsia" w:hAnsi="宋体"/>
        </w:rPr>
        <w:t>（7）其它：投标人通过国家或国际认证资格证书复印件、银行出具的投标人资信证明或信用等级证明复印件、投标人近三年同类货物的实际业绩证明（附中标通知书复印件或合同复印件）、投标产品近三年的质量获奖荣誉证书复印件、生产厂家的环保体系认证证书复印件、投标人近三年发生的诉讼及仲裁情况说明（附法院或仲裁机构作出的判决、裁决等有关法律文书复印件），等等。</w:t>
      </w:r>
    </w:p>
    <w:p>
      <w:pPr>
        <w:pStyle w:val="15"/>
        <w:spacing w:line="440" w:lineRule="exact"/>
        <w:rPr>
          <w:rFonts w:hAnsi="宋体"/>
        </w:rPr>
      </w:pPr>
      <w:r>
        <w:rPr>
          <w:rFonts w:hint="eastAsia" w:hAnsi="宋体"/>
          <w:b/>
        </w:rPr>
        <w:t>商务文件中的第（1）～（2）、（5）项必须提交；第（3）、（4）项在委托代理时必须提交；第（6）项在联合体投标时必须提交；第（7）项如有请提交。</w:t>
      </w:r>
    </w:p>
    <w:p>
      <w:pPr>
        <w:pStyle w:val="15"/>
        <w:spacing w:line="440" w:lineRule="exact"/>
        <w:ind w:firstLine="360"/>
        <w:rPr>
          <w:rFonts w:hAnsi="宋体"/>
        </w:rPr>
      </w:pPr>
      <w:r>
        <w:rPr>
          <w:rFonts w:hint="eastAsia" w:hAnsi="宋体"/>
        </w:rPr>
        <w:t>10.2  投标人应编制目录，按上述顺序将报价文件、资格文件、技术文件和商务文件</w:t>
      </w:r>
      <w:r>
        <w:rPr>
          <w:rFonts w:hint="eastAsia" w:hAnsi="宋体"/>
          <w:b/>
        </w:rPr>
        <w:t>分别单独装订成册</w:t>
      </w:r>
      <w:r>
        <w:rPr>
          <w:rFonts w:hint="eastAsia" w:hAnsi="宋体"/>
        </w:rPr>
        <w:t>。</w:t>
      </w:r>
      <w:r>
        <w:rPr>
          <w:rFonts w:hint="eastAsia" w:hAnsi="宋体"/>
          <w:b/>
        </w:rPr>
        <w:t>特别注意投标报价不得出现在技术文件和商务文件中。</w:t>
      </w:r>
    </w:p>
    <w:p>
      <w:pPr>
        <w:pStyle w:val="15"/>
        <w:spacing w:line="440" w:lineRule="exact"/>
        <w:rPr>
          <w:rFonts w:hAnsi="宋体"/>
          <w:bCs/>
          <w:sz w:val="24"/>
        </w:rPr>
      </w:pPr>
      <w:r>
        <w:rPr>
          <w:rFonts w:hint="eastAsia" w:hAnsi="宋体"/>
          <w:bCs/>
          <w:sz w:val="24"/>
        </w:rPr>
        <w:t>11.  投标报价</w:t>
      </w:r>
    </w:p>
    <w:p>
      <w:pPr>
        <w:pStyle w:val="15"/>
        <w:spacing w:line="440" w:lineRule="exact"/>
        <w:ind w:firstLine="360"/>
        <w:rPr>
          <w:rFonts w:hAnsi="宋体"/>
        </w:rPr>
      </w:pPr>
      <w:r>
        <w:rPr>
          <w:rFonts w:hint="eastAsia" w:hAnsi="宋体"/>
        </w:rPr>
        <w:t>11.1  投标人应以人民币报价。</w:t>
      </w:r>
    </w:p>
    <w:p>
      <w:pPr>
        <w:pStyle w:val="15"/>
        <w:spacing w:line="440" w:lineRule="exact"/>
        <w:ind w:firstLine="360"/>
        <w:rPr>
          <w:rFonts w:hAnsi="宋体"/>
        </w:rPr>
      </w:pPr>
      <w:r>
        <w:rPr>
          <w:rFonts w:hint="eastAsia" w:hAnsi="宋体"/>
        </w:rPr>
        <w:t>11.2  投标人须就第二章“货物需求一览表”中的</w:t>
      </w:r>
      <w:r>
        <w:rPr>
          <w:rFonts w:hint="eastAsia" w:hAnsi="宋体"/>
          <w:b/>
        </w:rPr>
        <w:t>所有内容报出完整且唯一报价，附带有条件的报价将不予接受。</w:t>
      </w:r>
    </w:p>
    <w:p>
      <w:pPr>
        <w:pStyle w:val="15"/>
        <w:spacing w:line="440" w:lineRule="exact"/>
        <w:ind w:firstLine="360"/>
      </w:pPr>
      <w:r>
        <w:rPr>
          <w:rFonts w:hint="eastAsia" w:hAnsi="宋体"/>
        </w:rPr>
        <w:t>11.3  投标报价为采购人指定地点的现场交货价，其组成部分详见第二章“货物需求一览表”。</w:t>
      </w:r>
      <w:r>
        <w:rPr>
          <w:rFonts w:hint="eastAsia"/>
        </w:rPr>
        <w:t>采购人</w:t>
      </w:r>
      <w:r>
        <w:t>不再</w:t>
      </w:r>
      <w:r>
        <w:rPr>
          <w:rFonts w:hint="eastAsia"/>
        </w:rPr>
        <w:t>向中标供应商</w:t>
      </w:r>
      <w:r>
        <w:t>支付</w:t>
      </w:r>
      <w:r>
        <w:rPr>
          <w:rFonts w:hint="eastAsia"/>
        </w:rPr>
        <w:t>其投标</w:t>
      </w:r>
      <w:r>
        <w:t>报价之外的任何费用。</w:t>
      </w:r>
    </w:p>
    <w:p>
      <w:pPr>
        <w:pStyle w:val="15"/>
        <w:spacing w:line="440" w:lineRule="exact"/>
        <w:ind w:firstLine="360"/>
      </w:pPr>
      <w:r>
        <w:rPr>
          <w:rFonts w:hint="eastAsia"/>
        </w:rPr>
        <w:t>11.4  本项目的采购代理服务费见投标人须知前附表。</w:t>
      </w:r>
    </w:p>
    <w:p>
      <w:pPr>
        <w:pStyle w:val="15"/>
        <w:spacing w:line="440" w:lineRule="exact"/>
        <w:ind w:firstLine="360"/>
      </w:pPr>
      <w:r>
        <w:rPr>
          <w:rFonts w:hint="eastAsia"/>
        </w:rPr>
        <w:t>11.5  不论投标结果如何，投标人均应自行承担与编制和递交投标文件有关的全部费用。</w:t>
      </w:r>
    </w:p>
    <w:p>
      <w:pPr>
        <w:pStyle w:val="15"/>
        <w:spacing w:line="440" w:lineRule="exact"/>
        <w:rPr>
          <w:rFonts w:hAnsi="宋体"/>
          <w:bCs/>
          <w:sz w:val="24"/>
        </w:rPr>
      </w:pPr>
      <w:r>
        <w:rPr>
          <w:rFonts w:hint="eastAsia" w:hAnsi="宋体"/>
          <w:bCs/>
          <w:sz w:val="24"/>
        </w:rPr>
        <w:t>12.  投标有效期</w:t>
      </w:r>
    </w:p>
    <w:p>
      <w:pPr>
        <w:pStyle w:val="15"/>
        <w:spacing w:line="440" w:lineRule="exact"/>
        <w:ind w:firstLine="360"/>
        <w:rPr>
          <w:rFonts w:hAnsi="宋体"/>
          <w:bCs/>
          <w:sz w:val="24"/>
        </w:rPr>
      </w:pPr>
      <w:r>
        <w:rPr>
          <w:rFonts w:hint="eastAsia" w:hAnsi="宋体"/>
        </w:rPr>
        <w:t>12.1  在投标人须知前附表规定的投标有效期内，投标人不得要求撤销或修改其投标文件。</w:t>
      </w:r>
    </w:p>
    <w:p>
      <w:pPr>
        <w:pStyle w:val="15"/>
        <w:spacing w:line="440" w:lineRule="exact"/>
        <w:ind w:firstLine="360"/>
        <w:rPr>
          <w:rFonts w:hAnsi="宋体"/>
        </w:rPr>
      </w:pPr>
      <w:r>
        <w:rPr>
          <w:rFonts w:hint="eastAsia" w:hAnsi="宋体"/>
        </w:rPr>
        <w:t>12.2  在特殊情况下，采购人或采购代理机构可与投标人协商延长投标有效期，这种要求与答复均应使用书面形式。投标人同意延长的，不得要求或被允许修改或撤销其投标文件；投标人拒绝延长的，其投标在超过原有效期后失效。</w:t>
      </w:r>
    </w:p>
    <w:p>
      <w:pPr>
        <w:pStyle w:val="15"/>
        <w:spacing w:line="440" w:lineRule="exact"/>
        <w:rPr>
          <w:rFonts w:hAnsi="宋体"/>
          <w:bCs/>
          <w:sz w:val="24"/>
        </w:rPr>
      </w:pPr>
      <w:r>
        <w:rPr>
          <w:rFonts w:hint="eastAsia" w:hAnsi="宋体"/>
          <w:bCs/>
          <w:sz w:val="24"/>
        </w:rPr>
        <w:t>13.  投标保证金</w:t>
      </w:r>
    </w:p>
    <w:p>
      <w:pPr>
        <w:pStyle w:val="15"/>
        <w:tabs>
          <w:tab w:val="left" w:pos="0"/>
        </w:tabs>
        <w:spacing w:line="440" w:lineRule="exact"/>
        <w:ind w:firstLine="359" w:firstLineChars="171"/>
        <w:rPr>
          <w:rFonts w:hAnsi="宋体"/>
        </w:rPr>
      </w:pPr>
      <w:r>
        <w:rPr>
          <w:rFonts w:hint="eastAsia" w:hAnsi="宋体"/>
        </w:rPr>
        <w:t>13.1根据南财采[2019]27号文的规定，本项目无需缴纳投标保证金。</w:t>
      </w:r>
    </w:p>
    <w:p>
      <w:pPr>
        <w:pStyle w:val="15"/>
        <w:spacing w:line="440" w:lineRule="exact"/>
        <w:jc w:val="center"/>
        <w:rPr>
          <w:rFonts w:hAnsi="宋体"/>
          <w:b/>
          <w:bCs/>
        </w:rPr>
      </w:pPr>
    </w:p>
    <w:p>
      <w:pPr>
        <w:pStyle w:val="15"/>
        <w:jc w:val="center"/>
        <w:outlineLvl w:val="1"/>
        <w:rPr>
          <w:rFonts w:ascii="Times New Roman" w:hAnsi="Times New Roman"/>
          <w:b/>
          <w:sz w:val="30"/>
          <w:szCs w:val="30"/>
        </w:rPr>
      </w:pPr>
      <w:bookmarkStart w:id="52" w:name="_Toc1654630"/>
      <w:r>
        <w:rPr>
          <w:rFonts w:hint="eastAsia" w:ascii="Times New Roman" w:hAnsi="Times New Roman"/>
          <w:b/>
          <w:sz w:val="30"/>
          <w:szCs w:val="30"/>
        </w:rPr>
        <w:t>四 投标</w:t>
      </w:r>
      <w:bookmarkEnd w:id="52"/>
    </w:p>
    <w:p>
      <w:pPr>
        <w:pStyle w:val="15"/>
        <w:spacing w:line="440" w:lineRule="exact"/>
        <w:rPr>
          <w:rFonts w:hAnsi="宋体"/>
          <w:bCs/>
          <w:sz w:val="24"/>
        </w:rPr>
      </w:pPr>
      <w:r>
        <w:rPr>
          <w:rFonts w:hint="eastAsia" w:hAnsi="宋体"/>
          <w:bCs/>
          <w:sz w:val="24"/>
        </w:rPr>
        <w:t>14.  投标文件的密封、递交、修改和撤回与投标样品的递交</w:t>
      </w:r>
    </w:p>
    <w:p>
      <w:pPr>
        <w:pStyle w:val="15"/>
        <w:spacing w:line="440" w:lineRule="exact"/>
        <w:ind w:firstLine="359" w:firstLineChars="171"/>
        <w:rPr>
          <w:rFonts w:hAnsi="宋体"/>
        </w:rPr>
      </w:pPr>
      <w:r>
        <w:rPr>
          <w:rFonts w:hint="eastAsia" w:hAnsi="宋体"/>
        </w:rPr>
        <w:t>14.1  投标人应将投标正、副本文件进行密封包装。</w:t>
      </w:r>
    </w:p>
    <w:p>
      <w:pPr>
        <w:pStyle w:val="15"/>
        <w:spacing w:line="440" w:lineRule="exact"/>
        <w:ind w:firstLine="359" w:firstLineChars="171"/>
        <w:rPr>
          <w:rFonts w:hAnsi="宋体"/>
        </w:rPr>
      </w:pPr>
      <w:r>
        <w:rPr>
          <w:rFonts w:hint="eastAsia" w:hAnsi="宋体"/>
        </w:rPr>
        <w:t>14.2  投标人投标截止时间：见投标人须知前附表。</w:t>
      </w:r>
    </w:p>
    <w:p>
      <w:pPr>
        <w:pStyle w:val="15"/>
        <w:spacing w:line="440" w:lineRule="exact"/>
        <w:ind w:firstLine="359" w:firstLineChars="171"/>
        <w:rPr>
          <w:rFonts w:hAnsi="宋体"/>
        </w:rPr>
      </w:pPr>
      <w:r>
        <w:rPr>
          <w:rFonts w:hint="eastAsia" w:hAnsi="宋体"/>
        </w:rPr>
        <w:t>14.3投标人在投标截止时间之前，可以对已提交的投标文件进行修改或撤回，并书面通知采购人；投标截止时间后，投标人不得撤回、修改投标文件。修改后重新递交的投标文件应当按本招标文件的要求签署、盖章和密封。</w:t>
      </w:r>
      <w:r>
        <w:rPr>
          <w:rFonts w:hint="eastAsia"/>
          <w:szCs w:val="21"/>
        </w:rPr>
        <w:t>逾期送达或者未按照招标文件要求密封的投标文件将被拒绝，由此造成投标文件被误投或提前拆封的风险由投标人承担。</w:t>
      </w:r>
    </w:p>
    <w:p>
      <w:pPr>
        <w:pStyle w:val="15"/>
        <w:spacing w:line="440" w:lineRule="exact"/>
        <w:ind w:firstLine="360"/>
        <w:rPr>
          <w:rFonts w:hAnsi="宋体"/>
        </w:rPr>
      </w:pPr>
      <w:r>
        <w:rPr>
          <w:rFonts w:hint="eastAsia" w:hAnsi="宋体"/>
        </w:rPr>
        <w:t>14.4  投标人递交投标文件地点：见投标人须知前附表。</w:t>
      </w:r>
    </w:p>
    <w:p>
      <w:pPr>
        <w:pStyle w:val="15"/>
        <w:spacing w:line="440" w:lineRule="exact"/>
        <w:ind w:firstLine="360"/>
        <w:rPr>
          <w:rFonts w:hAnsi="宋体"/>
        </w:rPr>
      </w:pPr>
      <w:r>
        <w:rPr>
          <w:rFonts w:hint="eastAsia" w:hAnsi="宋体"/>
        </w:rPr>
        <w:t>14.5  投标人递交投标样品截止时间：见投标人须知前附表。</w:t>
      </w:r>
    </w:p>
    <w:p>
      <w:pPr>
        <w:pStyle w:val="15"/>
        <w:spacing w:line="440" w:lineRule="exact"/>
        <w:ind w:firstLine="360"/>
        <w:rPr>
          <w:rFonts w:hAnsi="宋体"/>
        </w:rPr>
      </w:pPr>
      <w:r>
        <w:rPr>
          <w:rFonts w:hint="eastAsia" w:hAnsi="宋体"/>
        </w:rPr>
        <w:t>14.6  投标人递交投标样品地点：见投标人须知前附表。</w:t>
      </w:r>
    </w:p>
    <w:p>
      <w:pPr>
        <w:pStyle w:val="15"/>
        <w:spacing w:line="440" w:lineRule="exact"/>
        <w:ind w:firstLine="360"/>
        <w:rPr>
          <w:rFonts w:hAnsi="宋体"/>
        </w:rPr>
      </w:pPr>
      <w:r>
        <w:rPr>
          <w:rFonts w:hint="eastAsia" w:hAnsi="宋体"/>
        </w:rPr>
        <w:t>14.7 其他要求：无。</w:t>
      </w:r>
    </w:p>
    <w:p>
      <w:pPr>
        <w:pStyle w:val="15"/>
        <w:spacing w:line="440" w:lineRule="exact"/>
        <w:ind w:firstLine="360"/>
        <w:rPr>
          <w:rFonts w:hAnsi="宋体"/>
        </w:rPr>
      </w:pPr>
    </w:p>
    <w:p>
      <w:pPr>
        <w:pStyle w:val="15"/>
        <w:spacing w:line="440" w:lineRule="exact"/>
        <w:jc w:val="center"/>
        <w:rPr>
          <w:rFonts w:hAnsi="宋体"/>
        </w:rPr>
      </w:pPr>
    </w:p>
    <w:p>
      <w:pPr>
        <w:pStyle w:val="15"/>
        <w:jc w:val="center"/>
        <w:outlineLvl w:val="1"/>
        <w:rPr>
          <w:rFonts w:ascii="Times New Roman" w:hAnsi="Times New Roman"/>
          <w:b/>
          <w:sz w:val="30"/>
          <w:szCs w:val="30"/>
        </w:rPr>
      </w:pPr>
      <w:bookmarkStart w:id="53" w:name="_Toc1654631"/>
      <w:r>
        <w:rPr>
          <w:rFonts w:hint="eastAsia" w:ascii="Times New Roman" w:hAnsi="Times New Roman"/>
          <w:b/>
          <w:sz w:val="30"/>
          <w:szCs w:val="30"/>
        </w:rPr>
        <w:t>五 开标与评标</w:t>
      </w:r>
      <w:bookmarkEnd w:id="53"/>
    </w:p>
    <w:p>
      <w:pPr>
        <w:pStyle w:val="15"/>
        <w:spacing w:line="440" w:lineRule="exact"/>
        <w:rPr>
          <w:rFonts w:hAnsi="宋体"/>
          <w:bCs/>
          <w:sz w:val="24"/>
        </w:rPr>
      </w:pPr>
      <w:r>
        <w:rPr>
          <w:rFonts w:hint="eastAsia" w:hAnsi="宋体"/>
          <w:bCs/>
          <w:sz w:val="24"/>
        </w:rPr>
        <w:t>15.  开标</w:t>
      </w:r>
    </w:p>
    <w:p>
      <w:pPr>
        <w:pStyle w:val="15"/>
        <w:spacing w:line="440" w:lineRule="exact"/>
        <w:ind w:firstLine="420" w:firstLineChars="200"/>
        <w:rPr>
          <w:rFonts w:hAnsi="宋体"/>
          <w:bCs/>
          <w:szCs w:val="16"/>
        </w:rPr>
      </w:pPr>
      <w:r>
        <w:rPr>
          <w:rFonts w:hint="eastAsia" w:hAnsi="宋体"/>
          <w:bCs/>
          <w:szCs w:val="16"/>
        </w:rPr>
        <w:t>15.1  为做好疫情防控工作，避免开标会现场人员密集，本项目开标会过程中所有需要供应商签字确认的表格，取消签字流程，供应商不参加开标会。开标会现场，由招标代理机构项目负责人主持，采购人和南宁市公共资源交易中心工作人员进行现场全流程见证，完成开标会工作。</w:t>
      </w:r>
    </w:p>
    <w:p>
      <w:pPr>
        <w:pStyle w:val="15"/>
        <w:spacing w:line="440" w:lineRule="exact"/>
        <w:ind w:firstLine="420" w:firstLineChars="200"/>
        <w:rPr>
          <w:rFonts w:hAnsi="宋体"/>
          <w:bCs/>
          <w:szCs w:val="16"/>
        </w:rPr>
      </w:pPr>
      <w:r>
        <w:rPr>
          <w:rFonts w:hint="eastAsia" w:hAnsi="宋体"/>
          <w:bCs/>
          <w:szCs w:val="16"/>
        </w:rPr>
        <w:t>15.2  开标程序：</w:t>
      </w:r>
    </w:p>
    <w:p>
      <w:pPr>
        <w:pStyle w:val="15"/>
        <w:spacing w:line="440" w:lineRule="exact"/>
        <w:rPr>
          <w:rFonts w:hAnsi="宋体"/>
          <w:bCs/>
          <w:szCs w:val="16"/>
        </w:rPr>
      </w:pPr>
      <w:r>
        <w:rPr>
          <w:rFonts w:hint="eastAsia" w:hAnsi="宋体"/>
          <w:bCs/>
          <w:szCs w:val="16"/>
        </w:rPr>
        <w:t>截标后，采购代理机构工作人员在公共资源交易中心工作人员和采购人的见证下拆开投标文件包封，采购人对投标文件密封性和投标文件正副本数量进行签字确认。由采购代理机构根据投标人的投标报价情况填写开标记录表，交由评标委员会对投标人的报价、服务时限等内容进行签字确认。</w:t>
      </w:r>
    </w:p>
    <w:p>
      <w:pPr>
        <w:pStyle w:val="15"/>
        <w:spacing w:line="440" w:lineRule="exact"/>
        <w:rPr>
          <w:rFonts w:hAnsi="宋体"/>
          <w:bCs/>
          <w:sz w:val="24"/>
        </w:rPr>
      </w:pPr>
      <w:r>
        <w:rPr>
          <w:rFonts w:hint="eastAsia" w:hAnsi="宋体"/>
          <w:bCs/>
          <w:sz w:val="24"/>
        </w:rPr>
        <w:t>16.  资格审查</w:t>
      </w:r>
    </w:p>
    <w:p>
      <w:pPr>
        <w:pStyle w:val="15"/>
        <w:spacing w:line="440" w:lineRule="exact"/>
        <w:ind w:firstLine="422" w:firstLineChars="200"/>
        <w:rPr>
          <w:rFonts w:hAnsi="宋体"/>
          <w:bCs/>
        </w:rPr>
      </w:pPr>
      <w:r>
        <w:rPr>
          <w:rFonts w:hint="eastAsia" w:hAnsi="宋体"/>
          <w:b/>
          <w:bCs/>
        </w:rPr>
        <w:t>16.1 资格性审查：公开招标采购项目开标结束后，采购人负责对投标人的资格进行审查，以确定投标供应商是否具备投标资格。合格投标人不足3家的，不得评标</w:t>
      </w:r>
      <w:r>
        <w:rPr>
          <w:rFonts w:hint="eastAsia" w:hAnsi="宋体"/>
        </w:rPr>
        <w:t>。</w:t>
      </w:r>
    </w:p>
    <w:p>
      <w:pPr>
        <w:pStyle w:val="15"/>
        <w:spacing w:line="440" w:lineRule="exact"/>
        <w:rPr>
          <w:rFonts w:hAnsi="宋体"/>
          <w:bCs/>
          <w:sz w:val="24"/>
        </w:rPr>
      </w:pPr>
      <w:r>
        <w:rPr>
          <w:rFonts w:hint="eastAsia" w:hAnsi="宋体"/>
          <w:bCs/>
          <w:sz w:val="24"/>
        </w:rPr>
        <w:t>17.  评标</w:t>
      </w:r>
    </w:p>
    <w:p>
      <w:pPr>
        <w:pStyle w:val="15"/>
        <w:spacing w:line="440" w:lineRule="exact"/>
        <w:ind w:firstLine="360"/>
        <w:rPr>
          <w:rFonts w:hAnsi="宋体"/>
        </w:rPr>
      </w:pPr>
      <w:r>
        <w:rPr>
          <w:rFonts w:hint="eastAsia" w:hAnsi="宋体"/>
          <w:bCs/>
        </w:rPr>
        <w:t xml:space="preserve">17.1 </w:t>
      </w:r>
      <w:r>
        <w:rPr>
          <w:rFonts w:hint="eastAsia" w:hAnsi="宋体"/>
        </w:rPr>
        <w:t>评标委员会由采购人代表和评审专家组成</w:t>
      </w:r>
      <w:r>
        <w:rPr>
          <w:rFonts w:hint="eastAsia" w:hAnsi="宋体"/>
          <w:bCs/>
        </w:rPr>
        <w:t>。采购人或采购代理机构根据本项目的特点，从财政部门设立的政府采购评审专家库中，通过随机方式抽取专家，</w:t>
      </w:r>
      <w:r>
        <w:rPr>
          <w:rFonts w:hint="eastAsia" w:hAnsi="宋体"/>
        </w:rPr>
        <w:t>成员人数应当为5人以上单数，其中评审专家不得少于成员总数的三分之二。采购项目符合下列情形之一的，评标委员会成员人数应当为7人以上单数：1.采购预算金额在1000万元以上；2.技术复杂；3.社会影响较大。</w:t>
      </w:r>
    </w:p>
    <w:p>
      <w:pPr>
        <w:pStyle w:val="15"/>
        <w:spacing w:line="440" w:lineRule="exact"/>
        <w:ind w:firstLine="360"/>
        <w:rPr>
          <w:rFonts w:hAnsi="宋体"/>
        </w:rPr>
      </w:pPr>
      <w:r>
        <w:rPr>
          <w:rFonts w:hint="eastAsia"/>
        </w:rPr>
        <w:t>17.2  评标原则：评标活动遵循公平、公正、科学和择优的原则。</w:t>
      </w:r>
    </w:p>
    <w:p>
      <w:pPr>
        <w:pStyle w:val="15"/>
        <w:spacing w:line="440" w:lineRule="exact"/>
        <w:ind w:firstLine="360"/>
        <w:rPr>
          <w:rFonts w:hAnsi="宋体"/>
        </w:rPr>
      </w:pPr>
      <w:r>
        <w:rPr>
          <w:rFonts w:hint="eastAsia" w:hAnsi="宋体"/>
        </w:rPr>
        <w:t>17.3  评标方法：</w:t>
      </w:r>
      <w:r>
        <w:rPr>
          <w:rFonts w:hint="eastAsia"/>
        </w:rPr>
        <w:t>评标委员会按照</w:t>
      </w:r>
      <w:r>
        <w:rPr>
          <w:rFonts w:hint="eastAsia" w:hAnsi="宋体"/>
        </w:rPr>
        <w:t>投标人须知前附表和</w:t>
      </w:r>
      <w:r>
        <w:rPr>
          <w:rFonts w:hint="eastAsia"/>
        </w:rPr>
        <w:t>第三章“评标方法”规定的方法、评审因素和标准对投标文件进行评审。在评标中，不得改变第三章“评标办法”规定的方法、评审因素和标准；第三章“评标办法”没有规定的方法、评审因素和标准，不作为评标依据。</w:t>
      </w:r>
    </w:p>
    <w:p>
      <w:pPr>
        <w:pStyle w:val="15"/>
        <w:spacing w:line="440" w:lineRule="exact"/>
        <w:ind w:firstLine="360"/>
        <w:rPr>
          <w:rFonts w:hAnsi="宋体"/>
          <w:bCs/>
        </w:rPr>
      </w:pPr>
      <w:r>
        <w:rPr>
          <w:rFonts w:hint="eastAsia" w:hAnsi="宋体"/>
        </w:rPr>
        <w:t xml:space="preserve">17.4  </w:t>
      </w:r>
      <w:r>
        <w:rPr>
          <w:rFonts w:hint="eastAsia" w:hAnsi="宋体"/>
          <w:bCs/>
        </w:rPr>
        <w:t>评标程序：</w:t>
      </w:r>
    </w:p>
    <w:p>
      <w:pPr>
        <w:pStyle w:val="15"/>
        <w:spacing w:line="440" w:lineRule="exact"/>
        <w:ind w:firstLine="360"/>
        <w:rPr>
          <w:rFonts w:hAnsi="宋体"/>
          <w:bCs/>
        </w:rPr>
      </w:pPr>
      <w:r>
        <w:rPr>
          <w:rFonts w:hint="eastAsia" w:hAnsi="宋体"/>
          <w:bCs/>
        </w:rPr>
        <w:t>17.4.1  采购代理机构项目负责人宣读评标现场纪律要求，集中管理通讯工具，询问在场人员是否申请回避；</w:t>
      </w:r>
    </w:p>
    <w:p>
      <w:pPr>
        <w:pStyle w:val="15"/>
        <w:spacing w:line="440" w:lineRule="exact"/>
        <w:ind w:firstLine="360"/>
        <w:rPr>
          <w:rFonts w:hAnsi="宋体"/>
          <w:bCs/>
        </w:rPr>
      </w:pPr>
      <w:r>
        <w:rPr>
          <w:rFonts w:hint="eastAsia" w:hAnsi="宋体"/>
          <w:bCs/>
        </w:rPr>
        <w:t>17.4.2 采购代理机构项目负责人介绍项目概况及评标委员会组成情况（但不得发表影响评审的倾向性、歧视性言论），推选评标组长（原则上采购人不得担任评标组长）；</w:t>
      </w:r>
    </w:p>
    <w:p>
      <w:pPr>
        <w:pStyle w:val="15"/>
        <w:spacing w:line="440" w:lineRule="exact"/>
        <w:ind w:firstLine="360"/>
        <w:rPr>
          <w:rFonts w:hAnsi="宋体"/>
          <w:bCs/>
        </w:rPr>
      </w:pPr>
      <w:r>
        <w:rPr>
          <w:rFonts w:hint="eastAsia" w:hAnsi="宋体"/>
          <w:bCs/>
        </w:rPr>
        <w:t>17.4.3  评标委员会开展评标工作：</w:t>
      </w:r>
    </w:p>
    <w:p>
      <w:pPr>
        <w:pStyle w:val="15"/>
        <w:spacing w:line="440" w:lineRule="exact"/>
        <w:ind w:firstLine="360"/>
        <w:rPr>
          <w:rFonts w:hAnsi="宋体"/>
          <w:bCs/>
        </w:rPr>
      </w:pPr>
      <w:r>
        <w:rPr>
          <w:rFonts w:hint="eastAsia" w:hAnsi="宋体"/>
          <w:bCs/>
        </w:rPr>
        <w:t>17.4.3.1投标文件初审。</w:t>
      </w:r>
      <w:r>
        <w:rPr>
          <w:rFonts w:hint="eastAsia" w:hAnsi="宋体"/>
        </w:rPr>
        <w:t>符合性检查：依据招标文件的规定，从投标文件的有效性、完整性和对招标文件的响应程度进行审查，以确定是否对招标文件的实质性要求和条件作出响应。</w:t>
      </w:r>
    </w:p>
    <w:p>
      <w:pPr>
        <w:pStyle w:val="15"/>
        <w:spacing w:line="440" w:lineRule="exact"/>
        <w:ind w:firstLine="718" w:firstLineChars="342"/>
        <w:rPr>
          <w:rFonts w:hAnsi="宋体"/>
          <w:szCs w:val="22"/>
        </w:rPr>
      </w:pPr>
      <w:r>
        <w:rPr>
          <w:rFonts w:hint="eastAsia" w:hAnsi="宋体"/>
          <w:bCs/>
        </w:rPr>
        <w:t>（1）</w:t>
      </w:r>
      <w:r>
        <w:rPr>
          <w:rFonts w:hint="eastAsia" w:hAnsi="宋体"/>
        </w:rPr>
        <w:t>有</w:t>
      </w:r>
      <w:r>
        <w:rPr>
          <w:rFonts w:hint="eastAsia" w:hAnsi="宋体"/>
          <w:szCs w:val="22"/>
        </w:rPr>
        <w:t>下列情形之一的视为投标人相互串通投标，投标文件将被视为无效。</w:t>
      </w:r>
    </w:p>
    <w:p>
      <w:pPr>
        <w:widowControl/>
        <w:spacing w:line="440" w:lineRule="exact"/>
        <w:ind w:firstLine="640"/>
        <w:jc w:val="left"/>
        <w:rPr>
          <w:rFonts w:ascii="宋体" w:hAnsi="宋体"/>
          <w:szCs w:val="22"/>
        </w:rPr>
      </w:pPr>
      <w:r>
        <w:rPr>
          <w:rFonts w:hint="eastAsia" w:ascii="宋体" w:hAnsi="宋体"/>
        </w:rPr>
        <w:t>①不同投标人的投标文件由同一单位或者个人编制；</w:t>
      </w:r>
    </w:p>
    <w:p>
      <w:pPr>
        <w:widowControl/>
        <w:spacing w:line="440" w:lineRule="exact"/>
        <w:ind w:firstLine="640"/>
        <w:jc w:val="left"/>
        <w:rPr>
          <w:rFonts w:ascii="宋体" w:hAnsi="宋体"/>
        </w:rPr>
      </w:pPr>
      <w:r>
        <w:rPr>
          <w:rFonts w:hint="eastAsia" w:ascii="宋体" w:hAnsi="宋体"/>
        </w:rPr>
        <w:t>②不同投标人委托同一单位或者个人办理投标事宜；</w:t>
      </w:r>
    </w:p>
    <w:p>
      <w:pPr>
        <w:widowControl/>
        <w:spacing w:line="440" w:lineRule="exact"/>
        <w:ind w:firstLine="640"/>
        <w:jc w:val="left"/>
        <w:rPr>
          <w:rFonts w:ascii="宋体" w:hAnsi="宋体"/>
        </w:rPr>
      </w:pPr>
      <w:r>
        <w:rPr>
          <w:rFonts w:hint="eastAsia" w:ascii="宋体" w:hAnsi="宋体"/>
        </w:rPr>
        <w:t>③不同的投标人的投标文件载明的项目管理员为同一个人；</w:t>
      </w:r>
    </w:p>
    <w:p>
      <w:pPr>
        <w:widowControl/>
        <w:spacing w:line="440" w:lineRule="exact"/>
        <w:ind w:firstLine="640"/>
        <w:jc w:val="left"/>
        <w:rPr>
          <w:rFonts w:ascii="宋体" w:hAnsi="宋体"/>
        </w:rPr>
      </w:pPr>
      <w:r>
        <w:rPr>
          <w:rFonts w:hint="eastAsia" w:ascii="宋体" w:hAnsi="宋体"/>
        </w:rPr>
        <w:t>④不同投标人的投标文件异常一致或投标报价呈规律性差异；</w:t>
      </w:r>
    </w:p>
    <w:p>
      <w:pPr>
        <w:widowControl/>
        <w:spacing w:line="440" w:lineRule="exact"/>
        <w:ind w:firstLine="640"/>
        <w:jc w:val="left"/>
        <w:rPr>
          <w:rFonts w:ascii="宋体" w:hAnsi="宋体"/>
        </w:rPr>
      </w:pPr>
      <w:r>
        <w:rPr>
          <w:rFonts w:hint="eastAsia" w:ascii="宋体" w:hAnsi="宋体"/>
        </w:rPr>
        <w:t>⑤不同投标人的投标文件相互混装。</w:t>
      </w:r>
    </w:p>
    <w:p>
      <w:pPr>
        <w:widowControl/>
        <w:spacing w:line="440" w:lineRule="exact"/>
        <w:ind w:firstLine="640"/>
        <w:jc w:val="left"/>
        <w:rPr>
          <w:rFonts w:ascii="宋体" w:hAnsi="宋体"/>
        </w:rPr>
      </w:pPr>
      <w:r>
        <w:rPr>
          <w:rFonts w:hint="eastAsia" w:hAnsi="宋体"/>
          <w:bCs/>
        </w:rPr>
        <w:t>（2）</w:t>
      </w:r>
      <w:r>
        <w:rPr>
          <w:rFonts w:hint="eastAsia" w:ascii="宋体" w:hAnsi="宋体"/>
        </w:rPr>
        <w:t>关联供应商不得参加同一合同项下政府采购活动，否则投标文件将被视为无效</w:t>
      </w:r>
    </w:p>
    <w:p>
      <w:pPr>
        <w:widowControl/>
        <w:spacing w:line="440" w:lineRule="exact"/>
        <w:ind w:firstLine="640"/>
        <w:jc w:val="left"/>
        <w:rPr>
          <w:rFonts w:ascii="宋体" w:hAnsi="宋体"/>
        </w:rPr>
      </w:pPr>
      <w:r>
        <w:rPr>
          <w:rFonts w:hint="eastAsia" w:ascii="宋体" w:hAnsi="宋体"/>
        </w:rPr>
        <w:t>①单位负责人为同一人或者存在直接控股、管理关系的不同的供应商，不得参加同一合同项下的政府采购活动；</w:t>
      </w:r>
    </w:p>
    <w:p>
      <w:pPr>
        <w:widowControl/>
        <w:spacing w:line="440" w:lineRule="exact"/>
        <w:ind w:firstLine="640"/>
        <w:jc w:val="left"/>
        <w:rPr>
          <w:rFonts w:ascii="宋体" w:hAnsi="宋体"/>
        </w:rPr>
      </w:pPr>
      <w:r>
        <w:rPr>
          <w:rFonts w:hint="eastAsia" w:ascii="宋体" w:hAnsi="宋体"/>
        </w:rPr>
        <w:t>②生产厂商授权给供应商后自己不得参加同一合同项下的政府采购活动；生产厂商对同一品牌同一型号的货物，仅能委托一个代理商参加投标。</w:t>
      </w:r>
    </w:p>
    <w:p>
      <w:pPr>
        <w:pStyle w:val="15"/>
        <w:spacing w:line="440" w:lineRule="exact"/>
        <w:ind w:firstLine="420" w:firstLineChars="200"/>
        <w:rPr>
          <w:rFonts w:hAnsi="宋体"/>
        </w:rPr>
      </w:pPr>
      <w:r>
        <w:rPr>
          <w:rFonts w:hint="eastAsia" w:hAnsi="宋体"/>
        </w:rPr>
        <w:t>17.4.3.2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15"/>
        <w:spacing w:line="440" w:lineRule="exact"/>
        <w:ind w:firstLine="420" w:firstLineChars="200"/>
        <w:rPr>
          <w:rFonts w:hAnsi="宋体"/>
        </w:rPr>
      </w:pPr>
      <w:r>
        <w:rPr>
          <w:rFonts w:hint="eastAsia" w:hAnsi="宋体"/>
        </w:rPr>
        <w:t>17.4.3.3比较与评价。按招标文件中规定的评标方法和标准，对资格性检查和符合性检查合格的投标文件进行商务和技术评估，综合比较与评价。</w:t>
      </w:r>
    </w:p>
    <w:p>
      <w:pPr>
        <w:pStyle w:val="15"/>
        <w:spacing w:line="440" w:lineRule="exact"/>
        <w:ind w:firstLine="420"/>
        <w:rPr>
          <w:rFonts w:hAnsi="宋体"/>
          <w:bCs/>
        </w:rPr>
      </w:pPr>
      <w:r>
        <w:rPr>
          <w:rFonts w:hAnsi="宋体"/>
        </w:rPr>
        <w:t>17.4.3.4报价评审。评标委员会对投标人的报价文件进行评审。</w:t>
      </w:r>
      <w:r>
        <w:rPr>
          <w:rFonts w:hint="eastAsia" w:hAnsi="宋体"/>
          <w:bCs/>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440" w:lineRule="exact"/>
        <w:ind w:firstLine="420" w:firstLineChars="200"/>
        <w:jc w:val="left"/>
        <w:rPr>
          <w:rFonts w:ascii="宋体" w:hAnsi="宋体"/>
        </w:rPr>
      </w:pPr>
      <w:r>
        <w:rPr>
          <w:rFonts w:hint="eastAsia" w:ascii="宋体" w:hAnsi="宋体"/>
        </w:rPr>
        <w:t>17.4.3.5</w:t>
      </w:r>
      <w:r>
        <w:rPr>
          <w:rFonts w:hAnsi="宋体"/>
        </w:rPr>
        <w:t>编写评标报告</w:t>
      </w:r>
      <w:r>
        <w:rPr>
          <w:rFonts w:hint="eastAsia" w:hAnsi="宋体"/>
        </w:rPr>
        <w:t>，并确定中标供应商名单。</w:t>
      </w:r>
    </w:p>
    <w:p>
      <w:pPr>
        <w:pStyle w:val="15"/>
        <w:spacing w:line="440" w:lineRule="exact"/>
        <w:ind w:firstLine="360"/>
        <w:rPr>
          <w:rFonts w:hAnsi="宋体"/>
          <w:bCs/>
        </w:rPr>
      </w:pPr>
      <w:r>
        <w:rPr>
          <w:rFonts w:hint="eastAsia" w:hAnsi="宋体"/>
        </w:rPr>
        <w:t>17.4.4  整个现场评标过程中，采购代理机构应严格按照招标文件既定的程序组织评委评审，针对评委作出的评分、评标结论现场认真进行核对和复核，如有错漏，应及时请当事评委进行校正，按校正后的结果确定中标供应商</w:t>
      </w:r>
      <w:r>
        <w:rPr>
          <w:rFonts w:hAnsi="宋体"/>
        </w:rPr>
        <w:t>。</w:t>
      </w:r>
    </w:p>
    <w:p>
      <w:pPr>
        <w:pStyle w:val="15"/>
        <w:spacing w:line="440" w:lineRule="exact"/>
        <w:ind w:firstLine="359" w:firstLineChars="171"/>
        <w:rPr>
          <w:rFonts w:hAnsi="宋体"/>
        </w:rPr>
      </w:pPr>
      <w:r>
        <w:rPr>
          <w:rFonts w:hint="eastAsia" w:hAnsi="宋体"/>
        </w:rPr>
        <w:t>17.5  在确定中标供应商前，采购人或采购代理机构不得与投标供应商就投标价格、投标方案等实质性内容进行谈判。</w:t>
      </w:r>
    </w:p>
    <w:p>
      <w:pPr>
        <w:pStyle w:val="15"/>
        <w:spacing w:line="440" w:lineRule="exact"/>
        <w:ind w:firstLine="359" w:firstLineChars="171"/>
        <w:rPr>
          <w:rFonts w:hAnsi="宋体"/>
        </w:rPr>
      </w:pPr>
      <w:r>
        <w:rPr>
          <w:rFonts w:hint="eastAsia" w:hAnsi="宋体"/>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15"/>
        <w:spacing w:line="440" w:lineRule="exact"/>
        <w:rPr>
          <w:bCs/>
          <w:sz w:val="24"/>
        </w:rPr>
      </w:pPr>
      <w:r>
        <w:rPr>
          <w:rFonts w:hint="eastAsia"/>
          <w:bCs/>
          <w:sz w:val="24"/>
        </w:rPr>
        <w:t>18.  投标文件的修正</w:t>
      </w:r>
    </w:p>
    <w:p>
      <w:pPr>
        <w:pStyle w:val="15"/>
        <w:spacing w:line="440" w:lineRule="exact"/>
        <w:ind w:firstLine="420" w:firstLineChars="200"/>
        <w:rPr>
          <w:rFonts w:hAnsi="宋体"/>
        </w:rPr>
      </w:pPr>
      <w:r>
        <w:rPr>
          <w:rFonts w:hint="eastAsia" w:hAnsi="宋体"/>
        </w:rPr>
        <w:t>18.1  投标文件报价出现前后不一致的，修正的原则如下：</w:t>
      </w:r>
    </w:p>
    <w:p>
      <w:pPr>
        <w:pStyle w:val="15"/>
        <w:spacing w:line="440" w:lineRule="exact"/>
        <w:ind w:firstLine="420" w:firstLineChars="200"/>
        <w:rPr>
          <w:rFonts w:hAnsi="宋体"/>
        </w:rPr>
      </w:pPr>
      <w:r>
        <w:rPr>
          <w:rFonts w:hint="eastAsia" w:hAnsi="宋体"/>
        </w:rPr>
        <w:t>（1）投标文件中开标一览表（报价表）内容与投标文件中相应内容不一致的，以开标一览表（报价表）为准；</w:t>
      </w:r>
    </w:p>
    <w:p>
      <w:pPr>
        <w:pStyle w:val="15"/>
        <w:spacing w:line="440" w:lineRule="exact"/>
        <w:ind w:firstLine="420" w:firstLineChars="200"/>
        <w:rPr>
          <w:rFonts w:hAnsi="宋体"/>
        </w:rPr>
      </w:pPr>
      <w:r>
        <w:rPr>
          <w:rFonts w:hint="eastAsia" w:hAnsi="宋体"/>
        </w:rPr>
        <w:t>（2）大写金额和小写金额不一致的，以大写金额为准；</w:t>
      </w:r>
    </w:p>
    <w:p>
      <w:pPr>
        <w:pStyle w:val="15"/>
        <w:spacing w:line="440" w:lineRule="exact"/>
        <w:ind w:firstLine="525" w:firstLineChars="250"/>
        <w:rPr>
          <w:rFonts w:hAnsi="宋体"/>
        </w:rPr>
      </w:pPr>
      <w:r>
        <w:rPr>
          <w:rFonts w:hint="eastAsia" w:hAnsi="宋体"/>
        </w:rPr>
        <w:t>（3）单价金额小数点或者百分比有明显错位的，以开标一览表的总价为准，并修改单价；</w:t>
      </w:r>
    </w:p>
    <w:p>
      <w:pPr>
        <w:pStyle w:val="15"/>
        <w:spacing w:line="440" w:lineRule="exact"/>
        <w:ind w:firstLine="525" w:firstLineChars="250"/>
        <w:rPr>
          <w:rFonts w:hAnsi="宋体"/>
        </w:rPr>
      </w:pPr>
      <w:r>
        <w:rPr>
          <w:rFonts w:hint="eastAsia" w:hAnsi="宋体"/>
        </w:rPr>
        <w:t>（4）总价金额与按单价汇总金额不一致的，以单价金额计算结果为准。</w:t>
      </w:r>
    </w:p>
    <w:p>
      <w:pPr>
        <w:pStyle w:val="15"/>
        <w:spacing w:line="440" w:lineRule="exact"/>
        <w:ind w:firstLine="525" w:firstLineChars="250"/>
        <w:rPr>
          <w:rFonts w:hAnsi="宋体"/>
          <w:bCs/>
          <w:sz w:val="24"/>
        </w:rPr>
      </w:pPr>
      <w:r>
        <w:rPr>
          <w:rFonts w:hint="eastAsia" w:hAnsi="宋体"/>
        </w:rPr>
        <w:t>18.2同时出现两种以上不一致的，按照本条款规定的顺序修正。修正后的报价按照本章17.4.3.2的规定经投标人确认后产生约束力，投标人不确认的，其投标无效。</w:t>
      </w:r>
    </w:p>
    <w:p>
      <w:pPr>
        <w:pStyle w:val="15"/>
        <w:spacing w:line="440" w:lineRule="exact"/>
        <w:rPr>
          <w:rFonts w:hAnsi="宋体"/>
          <w:b/>
          <w:bCs/>
          <w:sz w:val="24"/>
        </w:rPr>
      </w:pPr>
      <w:r>
        <w:rPr>
          <w:rFonts w:hint="eastAsia" w:hAnsi="宋体"/>
          <w:b/>
          <w:bCs/>
          <w:sz w:val="24"/>
        </w:rPr>
        <w:t>19.  拒绝接收</w:t>
      </w:r>
    </w:p>
    <w:p>
      <w:pPr>
        <w:pStyle w:val="15"/>
        <w:spacing w:line="440" w:lineRule="exact"/>
        <w:ind w:firstLine="720"/>
        <w:rPr>
          <w:rFonts w:hAnsi="宋体"/>
        </w:rPr>
      </w:pPr>
      <w:r>
        <w:rPr>
          <w:rFonts w:hint="eastAsia"/>
        </w:rPr>
        <w:t xml:space="preserve">19.1  </w:t>
      </w:r>
      <w:r>
        <w:rPr>
          <w:rFonts w:hint="eastAsia" w:hAnsi="宋体"/>
        </w:rPr>
        <w:t>投标人</w:t>
      </w:r>
      <w:r>
        <w:rPr>
          <w:rFonts w:hint="eastAsia"/>
        </w:rPr>
        <w:t>未在本章第14.2项规定的时间之前将投标文件送达至本章第14.4项指定地点的</w:t>
      </w:r>
      <w:r>
        <w:rPr>
          <w:rFonts w:hint="eastAsia" w:hAnsi="宋体"/>
        </w:rPr>
        <w:t>，采购代理机构应当拒绝接收该投标人的投标文件。</w:t>
      </w:r>
    </w:p>
    <w:p>
      <w:pPr>
        <w:pStyle w:val="15"/>
        <w:spacing w:line="440" w:lineRule="exact"/>
        <w:ind w:firstLine="720"/>
        <w:rPr>
          <w:rFonts w:hAnsi="宋体"/>
        </w:rPr>
      </w:pPr>
      <w:r>
        <w:rPr>
          <w:rFonts w:hint="eastAsia"/>
        </w:rPr>
        <w:t xml:space="preserve">19.2  </w:t>
      </w:r>
      <w:r>
        <w:rPr>
          <w:rFonts w:hint="eastAsia" w:hAnsi="宋体"/>
        </w:rPr>
        <w:t>投标人</w:t>
      </w:r>
      <w:r>
        <w:rPr>
          <w:rFonts w:hint="eastAsia"/>
        </w:rPr>
        <w:t>未在本章第14.5项规定的</w:t>
      </w:r>
      <w:r>
        <w:rPr>
          <w:rFonts w:hint="eastAsia" w:hAnsi="宋体"/>
        </w:rPr>
        <w:t>时间</w:t>
      </w:r>
      <w:r>
        <w:rPr>
          <w:rFonts w:hint="eastAsia"/>
        </w:rPr>
        <w:t>之前将投标样品送达至本章第14.6项指定地点的</w:t>
      </w:r>
      <w:r>
        <w:rPr>
          <w:rFonts w:hint="eastAsia" w:hAnsi="宋体"/>
        </w:rPr>
        <w:t>，采购代理机构应当拒绝接收该投标人的投标样品。</w:t>
      </w:r>
    </w:p>
    <w:p>
      <w:pPr>
        <w:pStyle w:val="15"/>
        <w:spacing w:line="440" w:lineRule="exact"/>
        <w:rPr>
          <w:rFonts w:hAnsi="宋体"/>
          <w:b/>
          <w:bCs/>
          <w:sz w:val="24"/>
        </w:rPr>
      </w:pPr>
      <w:r>
        <w:rPr>
          <w:rFonts w:hint="eastAsia" w:hAnsi="宋体"/>
          <w:b/>
          <w:bCs/>
          <w:sz w:val="24"/>
        </w:rPr>
        <w:t>20.  无效投标</w:t>
      </w:r>
    </w:p>
    <w:p>
      <w:pPr>
        <w:pStyle w:val="15"/>
        <w:spacing w:line="440" w:lineRule="exact"/>
        <w:ind w:firstLine="361" w:firstLineChars="171"/>
        <w:rPr>
          <w:rFonts w:hAnsi="宋体"/>
        </w:rPr>
      </w:pPr>
      <w:r>
        <w:rPr>
          <w:rFonts w:hint="eastAsia" w:hAnsi="宋体"/>
          <w:b/>
          <w:bCs/>
        </w:rPr>
        <w:t>★</w:t>
      </w:r>
      <w:r>
        <w:rPr>
          <w:rFonts w:hint="eastAsia" w:hAnsi="宋体"/>
        </w:rPr>
        <w:t>20.1  属下列情形之一的，投标人的投标无效：</w:t>
      </w:r>
    </w:p>
    <w:p>
      <w:pPr>
        <w:pStyle w:val="15"/>
        <w:spacing w:line="440" w:lineRule="exact"/>
        <w:ind w:firstLine="718" w:firstLineChars="342"/>
        <w:rPr>
          <w:rFonts w:hAnsi="宋体"/>
        </w:rPr>
      </w:pPr>
      <w:r>
        <w:rPr>
          <w:rFonts w:hint="eastAsia" w:hAnsi="宋体"/>
        </w:rPr>
        <w:t>（1）投标人不具备本章第3项规定的投标人资格要求的；</w:t>
      </w:r>
    </w:p>
    <w:p>
      <w:pPr>
        <w:pStyle w:val="15"/>
        <w:spacing w:line="440" w:lineRule="exact"/>
        <w:ind w:firstLine="718" w:firstLineChars="342"/>
        <w:rPr>
          <w:rFonts w:hAnsi="宋体"/>
        </w:rPr>
      </w:pPr>
      <w:r>
        <w:rPr>
          <w:rFonts w:hint="eastAsia" w:hAnsi="宋体"/>
        </w:rPr>
        <w:t>（2）投标文件未按本章第8.8项的规定标识或未按规定的正、副本数量递交的；</w:t>
      </w:r>
    </w:p>
    <w:p>
      <w:pPr>
        <w:pStyle w:val="15"/>
        <w:spacing w:line="440" w:lineRule="exact"/>
        <w:ind w:firstLine="718" w:firstLineChars="342"/>
        <w:rPr>
          <w:rFonts w:hAnsi="宋体"/>
        </w:rPr>
      </w:pPr>
      <w:r>
        <w:rPr>
          <w:rFonts w:hint="eastAsia" w:hAnsi="宋体"/>
        </w:rPr>
        <w:t>（3）投标文件未按本章第10.1项的规定编写和提交的（包括缺少应提交的文件或格式不符合第五章“投标文件格式”的要求）；</w:t>
      </w:r>
    </w:p>
    <w:p>
      <w:pPr>
        <w:pStyle w:val="15"/>
        <w:spacing w:line="440" w:lineRule="exact"/>
        <w:ind w:firstLine="718" w:firstLineChars="342"/>
        <w:rPr>
          <w:rFonts w:hAnsi="宋体"/>
        </w:rPr>
      </w:pPr>
      <w:r>
        <w:rPr>
          <w:rFonts w:hint="eastAsia" w:hAnsi="宋体"/>
        </w:rPr>
        <w:t>（4）投标文件不符合本章第10.2项规定的；</w:t>
      </w:r>
    </w:p>
    <w:p>
      <w:pPr>
        <w:pStyle w:val="15"/>
        <w:spacing w:line="440" w:lineRule="exact"/>
        <w:ind w:firstLine="718" w:firstLineChars="342"/>
        <w:rPr>
          <w:rFonts w:hAnsi="宋体"/>
        </w:rPr>
      </w:pPr>
      <w:r>
        <w:rPr>
          <w:rFonts w:hint="eastAsia" w:hAnsi="宋体"/>
        </w:rPr>
        <w:t>（5）投标报价不符合本章第11项规定的或超过采购预算或最高限价的；</w:t>
      </w:r>
    </w:p>
    <w:p>
      <w:pPr>
        <w:pStyle w:val="15"/>
        <w:spacing w:line="440" w:lineRule="exact"/>
        <w:ind w:firstLine="718" w:firstLineChars="342"/>
        <w:rPr>
          <w:rFonts w:hAnsi="宋体"/>
        </w:rPr>
      </w:pPr>
      <w:r>
        <w:rPr>
          <w:rFonts w:hint="eastAsia" w:hAnsi="宋体"/>
        </w:rPr>
        <w:t>（6）投标文件不符合本章第14.1项规定的；</w:t>
      </w:r>
    </w:p>
    <w:p>
      <w:pPr>
        <w:pStyle w:val="15"/>
        <w:spacing w:line="440" w:lineRule="exact"/>
        <w:ind w:firstLine="718" w:firstLineChars="342"/>
        <w:rPr>
          <w:rFonts w:hAnsi="宋体"/>
        </w:rPr>
      </w:pPr>
      <w:r>
        <w:rPr>
          <w:rFonts w:hint="eastAsia" w:hAnsi="宋体"/>
        </w:rPr>
        <w:t>（7）投标人出现本章第17.4.3.1项所述的投标文件将被视为无效的情形的；</w:t>
      </w:r>
    </w:p>
    <w:p>
      <w:pPr>
        <w:pStyle w:val="15"/>
        <w:spacing w:line="440" w:lineRule="exact"/>
        <w:ind w:firstLine="718" w:firstLineChars="342"/>
        <w:rPr>
          <w:rFonts w:hAnsi="宋体"/>
        </w:rPr>
      </w:pPr>
      <w:r>
        <w:rPr>
          <w:rFonts w:hint="eastAsia" w:hAnsi="宋体"/>
        </w:rPr>
        <w:t>（8）投标人出现本章第18.2项所述情形的；</w:t>
      </w:r>
    </w:p>
    <w:p>
      <w:pPr>
        <w:pStyle w:val="15"/>
        <w:spacing w:line="440" w:lineRule="exact"/>
        <w:ind w:firstLine="718" w:firstLineChars="342"/>
        <w:rPr>
          <w:rFonts w:hAnsi="宋体"/>
        </w:rPr>
      </w:pPr>
      <w:r>
        <w:rPr>
          <w:rFonts w:hint="eastAsia" w:hAnsi="宋体"/>
        </w:rPr>
        <w:t>（9）投标文件未对招标文件提出的要求和条件作出实质性响应的；</w:t>
      </w:r>
    </w:p>
    <w:p>
      <w:pPr>
        <w:pStyle w:val="15"/>
        <w:spacing w:line="440" w:lineRule="exact"/>
        <w:ind w:firstLine="718" w:firstLineChars="342"/>
        <w:rPr>
          <w:rFonts w:hAnsi="宋体"/>
        </w:rPr>
      </w:pPr>
      <w:r>
        <w:rPr>
          <w:rFonts w:hint="eastAsia" w:hAnsi="宋体"/>
        </w:rPr>
        <w:t>（10）投标文件附有采购需求以外的条件使评标委员会认为不能接受的；</w:t>
      </w:r>
    </w:p>
    <w:p>
      <w:pPr>
        <w:pStyle w:val="15"/>
        <w:spacing w:line="440" w:lineRule="exact"/>
        <w:ind w:firstLine="718" w:firstLineChars="342"/>
        <w:rPr>
          <w:rFonts w:hAnsi="宋体"/>
        </w:rPr>
      </w:pPr>
      <w:r>
        <w:rPr>
          <w:rFonts w:hint="eastAsia" w:hAnsi="宋体"/>
        </w:rPr>
        <w:t>（11）投标人在投标过程中提供虚假材料的；</w:t>
      </w:r>
    </w:p>
    <w:p>
      <w:pPr>
        <w:pStyle w:val="15"/>
        <w:spacing w:line="440" w:lineRule="exact"/>
        <w:ind w:firstLine="718" w:firstLineChars="342"/>
        <w:rPr>
          <w:rFonts w:hAnsi="宋体"/>
        </w:rPr>
      </w:pPr>
      <w:r>
        <w:rPr>
          <w:rFonts w:hint="eastAsia" w:hAnsi="宋体"/>
        </w:rPr>
        <w:t>（12）投标文件含有违反国家法律、法规的内容。</w:t>
      </w:r>
    </w:p>
    <w:p>
      <w:pPr>
        <w:pStyle w:val="15"/>
        <w:spacing w:line="440" w:lineRule="exact"/>
        <w:ind w:firstLine="718" w:firstLineChars="342"/>
        <w:rPr>
          <w:rFonts w:hAnsi="宋体"/>
        </w:rPr>
      </w:pPr>
    </w:p>
    <w:p>
      <w:pPr>
        <w:pStyle w:val="15"/>
        <w:spacing w:line="440" w:lineRule="exact"/>
        <w:rPr>
          <w:rFonts w:hAnsi="宋体"/>
          <w:b/>
          <w:bCs/>
          <w:sz w:val="24"/>
        </w:rPr>
      </w:pPr>
      <w:r>
        <w:rPr>
          <w:rFonts w:hint="eastAsia" w:hAnsi="宋体"/>
          <w:b/>
          <w:bCs/>
          <w:sz w:val="24"/>
        </w:rPr>
        <w:t>21.  废标</w:t>
      </w:r>
    </w:p>
    <w:p>
      <w:pPr>
        <w:pStyle w:val="15"/>
        <w:spacing w:line="440" w:lineRule="exact"/>
        <w:ind w:firstLine="361" w:firstLineChars="171"/>
        <w:rPr>
          <w:rFonts w:hAnsi="宋体"/>
        </w:rPr>
      </w:pPr>
      <w:r>
        <w:rPr>
          <w:rFonts w:hint="eastAsia" w:hAnsi="宋体"/>
          <w:b/>
          <w:bCs/>
        </w:rPr>
        <w:t>★</w:t>
      </w:r>
      <w:r>
        <w:rPr>
          <w:rFonts w:hint="eastAsia" w:hAnsi="宋体"/>
        </w:rPr>
        <w:t>21.1  在招标过程中，出现下列情形之一的，予以废标：</w:t>
      </w:r>
    </w:p>
    <w:p>
      <w:pPr>
        <w:pStyle w:val="15"/>
        <w:spacing w:line="440" w:lineRule="exact"/>
        <w:ind w:firstLine="720"/>
        <w:rPr>
          <w:rFonts w:hAnsi="宋体"/>
        </w:rPr>
      </w:pPr>
      <w:r>
        <w:rPr>
          <w:rFonts w:hint="eastAsia" w:hAnsi="宋体"/>
        </w:rPr>
        <w:t>（1）符合专业条件的供应商或者对招标文件作实质响应的供应商不足三家的；</w:t>
      </w:r>
    </w:p>
    <w:p>
      <w:pPr>
        <w:pStyle w:val="15"/>
        <w:spacing w:line="440" w:lineRule="exact"/>
        <w:ind w:firstLine="420"/>
        <w:rPr>
          <w:rFonts w:hAnsi="宋体"/>
          <w:b/>
        </w:rPr>
      </w:pPr>
      <w:r>
        <w:rPr>
          <w:rFonts w:hint="eastAsia" w:hAnsi="宋体"/>
          <w:b/>
        </w:rPr>
        <w:t>有效投标供应商数量计算：</w:t>
      </w:r>
    </w:p>
    <w:p>
      <w:pPr>
        <w:pStyle w:val="15"/>
        <w:spacing w:line="440" w:lineRule="exact"/>
        <w:ind w:firstLine="420" w:firstLineChars="200"/>
        <w:jc w:val="left"/>
        <w:rPr>
          <w:rFonts w:hAnsi="宋体" w:cs="宋体"/>
        </w:rPr>
      </w:pPr>
      <w:r>
        <w:rPr>
          <w:rFonts w:hint="eastAsia" w:hAnsi="宋体" w:cs="宋体"/>
        </w:rPr>
        <w:t>①采用最低评标价法的采购项目，提供相同品牌产品的不同投标人参加同一合同项下投标的，以其中通过资格审查、符合性审查且报价最低的参加评标；报价相同的，由评标委员会采取随机抽取的方式确定一个参加评标的投标人，其他投标无效。</w:t>
      </w:r>
    </w:p>
    <w:p>
      <w:pPr>
        <w:pStyle w:val="15"/>
        <w:spacing w:line="440" w:lineRule="exact"/>
        <w:ind w:firstLine="420" w:firstLineChars="200"/>
        <w:jc w:val="left"/>
        <w:rPr>
          <w:rFonts w:hAnsi="宋体" w:cs="宋体"/>
        </w:rPr>
      </w:pPr>
      <w:r>
        <w:rPr>
          <w:rFonts w:hint="eastAsia" w:hAnsi="宋体" w:cs="宋体"/>
        </w:rPr>
        <w:t>②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的方式确定一个投标人获得中标人推荐资格，其他同品牌投标人不作为中标候选人。</w:t>
      </w:r>
    </w:p>
    <w:p>
      <w:pPr>
        <w:widowControl/>
        <w:spacing w:line="360" w:lineRule="atLeast"/>
        <w:ind w:firstLine="420" w:firstLineChars="200"/>
        <w:jc w:val="left"/>
        <w:rPr>
          <w:rFonts w:ascii="宋体" w:hAnsi="宋体" w:cs="宋体"/>
          <w:kern w:val="0"/>
          <w:szCs w:val="21"/>
        </w:rPr>
      </w:pPr>
      <w:r>
        <w:rPr>
          <w:rFonts w:hint="eastAsia" w:ascii="宋体" w:hAnsi="宋体" w:cs="宋体"/>
          <w:kern w:val="0"/>
          <w:szCs w:val="21"/>
        </w:rPr>
        <w:t>③非单一产品采购项目，采购人应当根据采购项目技术构成、产品价格比重等合理确定核心产品，并在招标文件中载明。多家投标人提供的核心产品品牌相同的，按上述规定处理。</w:t>
      </w:r>
    </w:p>
    <w:p>
      <w:pPr>
        <w:pStyle w:val="15"/>
        <w:spacing w:line="440" w:lineRule="exact"/>
        <w:ind w:firstLine="720"/>
        <w:rPr>
          <w:rFonts w:hAnsi="宋体"/>
          <w:bCs/>
          <w:sz w:val="24"/>
        </w:rPr>
      </w:pPr>
      <w:r>
        <w:rPr>
          <w:rFonts w:hint="eastAsia" w:hAnsi="宋体"/>
        </w:rPr>
        <w:t>（2）出现影响采购公正的违法、违规行为的；</w:t>
      </w:r>
    </w:p>
    <w:p>
      <w:pPr>
        <w:pStyle w:val="15"/>
        <w:spacing w:line="440" w:lineRule="exact"/>
        <w:ind w:firstLine="720"/>
        <w:rPr>
          <w:rFonts w:hAnsi="宋体"/>
        </w:rPr>
      </w:pPr>
      <w:r>
        <w:rPr>
          <w:rFonts w:hint="eastAsia" w:hAnsi="宋体"/>
        </w:rPr>
        <w:t>（3）投标人的报价均超过了采购预算，采购人不能支付的；</w:t>
      </w:r>
    </w:p>
    <w:p>
      <w:pPr>
        <w:pStyle w:val="15"/>
        <w:spacing w:line="440" w:lineRule="exact"/>
        <w:ind w:firstLine="720"/>
        <w:rPr>
          <w:rFonts w:hAnsi="宋体"/>
        </w:rPr>
      </w:pPr>
      <w:r>
        <w:rPr>
          <w:rFonts w:hint="eastAsia" w:hAnsi="宋体"/>
        </w:rPr>
        <w:t>（4）因重大变故，采购任务取消的。</w:t>
      </w:r>
    </w:p>
    <w:p>
      <w:pPr>
        <w:pStyle w:val="15"/>
        <w:spacing w:line="440" w:lineRule="exact"/>
        <w:ind w:firstLine="411" w:firstLineChars="196"/>
        <w:rPr>
          <w:rFonts w:hAnsi="宋体"/>
        </w:rPr>
      </w:pPr>
      <w:r>
        <w:rPr>
          <w:rFonts w:hint="eastAsia" w:hAnsi="宋体"/>
        </w:rPr>
        <w:t>21.2  废标后，采购代理机构将在本章第2.1项规定的政府采购信息发布媒体上公告废标理由，不再另行通知。</w:t>
      </w:r>
    </w:p>
    <w:p>
      <w:pPr>
        <w:pStyle w:val="15"/>
        <w:spacing w:line="440" w:lineRule="exact"/>
        <w:jc w:val="center"/>
        <w:rPr>
          <w:rFonts w:hAnsi="宋体"/>
          <w:b/>
          <w:bCs/>
        </w:rPr>
      </w:pPr>
    </w:p>
    <w:p>
      <w:pPr>
        <w:pStyle w:val="15"/>
        <w:jc w:val="center"/>
        <w:outlineLvl w:val="1"/>
        <w:rPr>
          <w:rFonts w:ascii="Times New Roman" w:hAnsi="Times New Roman"/>
          <w:b/>
          <w:sz w:val="30"/>
          <w:szCs w:val="30"/>
        </w:rPr>
      </w:pPr>
      <w:bookmarkStart w:id="54" w:name="_Toc1654632"/>
      <w:r>
        <w:rPr>
          <w:rFonts w:hint="eastAsia" w:ascii="Times New Roman" w:hAnsi="Times New Roman"/>
          <w:b/>
          <w:sz w:val="30"/>
          <w:szCs w:val="30"/>
        </w:rPr>
        <w:t>六 合同授予</w:t>
      </w:r>
      <w:bookmarkEnd w:id="54"/>
    </w:p>
    <w:p>
      <w:pPr>
        <w:pStyle w:val="15"/>
        <w:spacing w:line="440" w:lineRule="exact"/>
        <w:rPr>
          <w:rFonts w:hAnsi="宋体"/>
          <w:bCs/>
          <w:sz w:val="24"/>
        </w:rPr>
      </w:pPr>
      <w:r>
        <w:rPr>
          <w:rFonts w:hint="eastAsia" w:hAnsi="宋体"/>
          <w:bCs/>
          <w:sz w:val="24"/>
        </w:rPr>
        <w:t>22.  中标供应商的确定</w:t>
      </w:r>
    </w:p>
    <w:p>
      <w:pPr>
        <w:spacing w:line="440" w:lineRule="exact"/>
        <w:ind w:firstLine="420"/>
        <w:rPr>
          <w:rFonts w:ascii="宋体" w:hAnsi="宋体"/>
          <w:szCs w:val="20"/>
        </w:rPr>
      </w:pPr>
      <w:r>
        <w:rPr>
          <w:rFonts w:hint="eastAsia" w:ascii="宋体" w:hAnsi="宋体"/>
          <w:szCs w:val="20"/>
        </w:rPr>
        <w:t>22.1  评标委员会按第三章“评标方法”的规定</w:t>
      </w:r>
      <w:r>
        <w:rPr>
          <w:rFonts w:hint="eastAsia"/>
        </w:rPr>
        <w:t>排列中标候选供应商顺序，并依照</w:t>
      </w:r>
      <w:r>
        <w:rPr>
          <w:rFonts w:hint="eastAsia" w:hAnsi="宋体"/>
        </w:rPr>
        <w:t>次序确定中</w:t>
      </w:r>
      <w:r>
        <w:rPr>
          <w:rFonts w:hint="eastAsia"/>
        </w:rPr>
        <w:t>标供应商。</w:t>
      </w:r>
    </w:p>
    <w:p>
      <w:pPr>
        <w:pStyle w:val="15"/>
        <w:spacing w:line="440" w:lineRule="exact"/>
        <w:rPr>
          <w:rFonts w:hAnsi="宋体"/>
          <w:bCs/>
          <w:sz w:val="24"/>
        </w:rPr>
      </w:pPr>
      <w:r>
        <w:rPr>
          <w:rFonts w:hint="eastAsia" w:hAnsi="宋体"/>
          <w:bCs/>
          <w:sz w:val="24"/>
        </w:rPr>
        <w:t>23.  中标通知书</w:t>
      </w:r>
    </w:p>
    <w:p>
      <w:pPr>
        <w:pStyle w:val="15"/>
        <w:spacing w:line="440" w:lineRule="exact"/>
        <w:ind w:firstLine="360"/>
        <w:rPr>
          <w:rFonts w:cs="宋体"/>
          <w:kern w:val="0"/>
          <w:szCs w:val="21"/>
        </w:rPr>
      </w:pPr>
      <w:r>
        <w:rPr>
          <w:rFonts w:hint="eastAsia" w:hAnsi="宋体"/>
        </w:rPr>
        <w:t xml:space="preserve">23.1  </w:t>
      </w:r>
      <w:r>
        <w:rPr>
          <w:rFonts w:hint="eastAsia" w:cs="宋体"/>
          <w:kern w:val="0"/>
          <w:szCs w:val="21"/>
        </w:rPr>
        <w:t>评标结束后，在中标供应商确定之日起2个工作日内，由采购代理机构在本章第2.1项规定的政府采购信息发布媒体上发布中标结果公告（中标结果公告期限为1个工作日），同时向中标供应商发出中标通知书。</w:t>
      </w:r>
    </w:p>
    <w:p>
      <w:pPr>
        <w:pStyle w:val="15"/>
        <w:spacing w:line="440" w:lineRule="exact"/>
        <w:ind w:firstLine="360"/>
        <w:rPr>
          <w:rFonts w:cs="宋体"/>
          <w:kern w:val="0"/>
          <w:szCs w:val="21"/>
        </w:rPr>
      </w:pPr>
      <w:r>
        <w:rPr>
          <w:rFonts w:hint="eastAsia" w:cs="宋体"/>
          <w:kern w:val="0"/>
          <w:szCs w:val="21"/>
        </w:rPr>
        <w:t>23.2  中标通知书对采购人和中标供应商具有同等法律效力。中标通知书发出后，采购人改变中标结果，或者中标供应商放弃中标，应当承担相应的法律责任。</w:t>
      </w:r>
    </w:p>
    <w:p>
      <w:pPr>
        <w:pStyle w:val="15"/>
        <w:spacing w:line="440" w:lineRule="exact"/>
        <w:rPr>
          <w:rFonts w:hAnsi="宋体"/>
          <w:bCs/>
          <w:sz w:val="24"/>
        </w:rPr>
      </w:pPr>
      <w:r>
        <w:rPr>
          <w:rFonts w:hint="eastAsia" w:hAnsi="宋体"/>
          <w:bCs/>
          <w:sz w:val="24"/>
        </w:rPr>
        <w:t>24.  投标文件及投标样品的退回</w:t>
      </w:r>
    </w:p>
    <w:p>
      <w:pPr>
        <w:pStyle w:val="15"/>
        <w:spacing w:line="440" w:lineRule="exact"/>
        <w:ind w:firstLine="360"/>
        <w:rPr>
          <w:rFonts w:hAnsi="宋体"/>
        </w:rPr>
      </w:pPr>
      <w:r>
        <w:rPr>
          <w:rFonts w:hint="eastAsia" w:hAnsi="宋体"/>
        </w:rPr>
        <w:t>24.1  采购人及采购代理机构无义务向未中标供应商解释其未中标原因和退回投标文件。</w:t>
      </w:r>
    </w:p>
    <w:p>
      <w:pPr>
        <w:pStyle w:val="15"/>
        <w:spacing w:line="440" w:lineRule="exact"/>
        <w:ind w:firstLine="360"/>
        <w:rPr>
          <w:rFonts w:hAnsi="宋体"/>
        </w:rPr>
      </w:pPr>
      <w:r>
        <w:rPr>
          <w:rFonts w:hint="eastAsia"/>
        </w:rPr>
        <w:t>24.2  中标供应商的投标样品由采购人进行保管、封存，并作为履约验收的参考，验收后由采购人退回。未中标供应商的投标样品由供应商在中标结果公布后2个工作日内领回，否则按无主物品处理。</w:t>
      </w:r>
    </w:p>
    <w:p>
      <w:pPr>
        <w:pStyle w:val="15"/>
        <w:spacing w:line="440" w:lineRule="exact"/>
        <w:rPr>
          <w:rFonts w:hAnsi="宋体"/>
          <w:bCs/>
          <w:sz w:val="24"/>
        </w:rPr>
      </w:pPr>
      <w:r>
        <w:rPr>
          <w:rFonts w:hint="eastAsia" w:hAnsi="宋体"/>
          <w:bCs/>
          <w:sz w:val="24"/>
        </w:rPr>
        <w:t>25.   签订合同</w:t>
      </w:r>
    </w:p>
    <w:p>
      <w:pPr>
        <w:pStyle w:val="15"/>
        <w:spacing w:line="440" w:lineRule="exact"/>
        <w:ind w:firstLine="420" w:firstLineChars="200"/>
        <w:rPr>
          <w:rFonts w:hAnsi="宋体"/>
        </w:rPr>
      </w:pPr>
      <w:r>
        <w:rPr>
          <w:rFonts w:hint="eastAsia" w:hAnsi="宋体"/>
        </w:rPr>
        <w:t>25.1  采购人和中标供应商应当在第二章“货物需求一览表”中商务条款要求载明的合同签订期内，根据招标文件、中标供应商的投标文件及有关澄清承诺书的要求按第五章“合同条款及格式”订立书面合同。联合体投标的，联合体各方应当共同与采购人签订采购合同，均应在合同的签章处签章，就采购合同约定的事项对采购人承担连带责任。</w:t>
      </w:r>
    </w:p>
    <w:p>
      <w:pPr>
        <w:pStyle w:val="15"/>
        <w:spacing w:line="440" w:lineRule="exact"/>
        <w:ind w:firstLine="420" w:firstLineChars="200"/>
        <w:rPr>
          <w:rFonts w:hAnsi="宋体"/>
        </w:rPr>
      </w:pPr>
      <w:r>
        <w:rPr>
          <w:rFonts w:hint="eastAsia" w:hAnsi="宋体"/>
        </w:rPr>
        <w:t>25.2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15"/>
        <w:spacing w:line="440" w:lineRule="exact"/>
        <w:ind w:firstLine="420" w:firstLineChars="200"/>
        <w:rPr>
          <w:rFonts w:hAnsi="宋体"/>
        </w:rPr>
      </w:pPr>
      <w:r>
        <w:rPr>
          <w:rFonts w:hint="eastAsia" w:hAnsi="宋体"/>
        </w:rPr>
        <w:t>25.3政府采购合同自签订之日起2个工作日内，由采购人将政府采购合同在省级以上人民政府财政部门指定的媒体上公告，但政府采购合同中涉及国家秘密、商业秘密的内容除外。合同副本由采购代理机构按南宁市财政局的要求进行备案。</w:t>
      </w:r>
    </w:p>
    <w:p>
      <w:pPr>
        <w:pStyle w:val="15"/>
        <w:spacing w:line="440" w:lineRule="exact"/>
        <w:ind w:firstLine="420" w:firstLineChars="200"/>
        <w:rPr>
          <w:rFonts w:hAnsi="宋体"/>
        </w:rPr>
      </w:pPr>
      <w:r>
        <w:rPr>
          <w:rFonts w:hint="eastAsia" w:hAnsi="宋体"/>
        </w:rPr>
        <w:t>25.4  中标通知书发出后，中标人有以下情形的：</w:t>
      </w:r>
    </w:p>
    <w:p>
      <w:pPr>
        <w:pStyle w:val="15"/>
        <w:spacing w:line="440" w:lineRule="exact"/>
        <w:ind w:firstLine="420" w:firstLineChars="200"/>
        <w:rPr>
          <w:rFonts w:hAnsi="宋体"/>
        </w:rPr>
      </w:pPr>
      <w:r>
        <w:rPr>
          <w:rFonts w:hint="eastAsia" w:hAnsi="宋体"/>
        </w:rPr>
        <w:t>（1）中标人无正当理由不与采购人或者采购代理机构按规定的时间、地点签订合同的；</w:t>
      </w:r>
    </w:p>
    <w:p>
      <w:pPr>
        <w:pStyle w:val="15"/>
        <w:spacing w:line="440" w:lineRule="exact"/>
        <w:ind w:firstLine="420" w:firstLineChars="200"/>
        <w:rPr>
          <w:rFonts w:hAnsi="宋体"/>
        </w:rPr>
      </w:pPr>
      <w:r>
        <w:rPr>
          <w:rFonts w:hint="eastAsia" w:hAnsi="宋体"/>
        </w:rPr>
        <w:t>（2）中标后与采购人签订对招标文件和投标文件作了实质性修改的合同，或与采购人私下订立背离合同实质性内容的协议的；</w:t>
      </w:r>
    </w:p>
    <w:p>
      <w:pPr>
        <w:pStyle w:val="15"/>
        <w:spacing w:line="440" w:lineRule="exact"/>
        <w:ind w:firstLine="420" w:firstLineChars="200"/>
        <w:rPr>
          <w:rFonts w:hAnsi="宋体"/>
        </w:rPr>
      </w:pPr>
      <w:r>
        <w:rPr>
          <w:rFonts w:hint="eastAsia" w:hAnsi="宋体"/>
        </w:rPr>
        <w:t>（3）将中标项目转让给他人，或者在投标文件中未说明，且未经采购人或采购代理机构同意，将中标项目分包给他人的；</w:t>
      </w:r>
    </w:p>
    <w:p>
      <w:pPr>
        <w:pStyle w:val="15"/>
        <w:spacing w:line="440" w:lineRule="exact"/>
        <w:ind w:firstLine="420" w:firstLineChars="200"/>
        <w:rPr>
          <w:rFonts w:hAnsi="宋体"/>
        </w:rPr>
      </w:pPr>
      <w:r>
        <w:rPr>
          <w:rFonts w:hint="eastAsia" w:hAnsi="宋体"/>
        </w:rPr>
        <w:t>中标无效，采购人可追究中标供应商承担相应的法律责任。如中标人无正当理由拒签合同的，中标人给采购人造成损失的，采购人可追究中标人承担相应的法律责任。</w:t>
      </w:r>
    </w:p>
    <w:p>
      <w:pPr>
        <w:pStyle w:val="15"/>
        <w:spacing w:line="440" w:lineRule="exact"/>
        <w:ind w:firstLine="420" w:firstLineChars="200"/>
        <w:rPr>
          <w:rFonts w:hAnsi="宋体"/>
        </w:rPr>
      </w:pPr>
      <w:r>
        <w:rPr>
          <w:rFonts w:hint="eastAsia" w:hAnsi="宋体"/>
        </w:rPr>
        <w:t>25.5  采购人在签订合同之前有权要求中标供应商提供本项目必需的相关资料原件进行核查，中标供应商不得拒绝。如中标供应商拒绝提供，则自行承担由此产生的后果。</w:t>
      </w:r>
    </w:p>
    <w:p>
      <w:pPr>
        <w:pStyle w:val="15"/>
        <w:spacing w:line="440" w:lineRule="exact"/>
        <w:ind w:firstLine="420" w:firstLineChars="200"/>
        <w:rPr>
          <w:rFonts w:hAnsi="宋体"/>
        </w:rPr>
      </w:pPr>
      <w:r>
        <w:rPr>
          <w:rFonts w:hint="eastAsia" w:hAnsi="宋体"/>
        </w:rPr>
        <w:t>25.6  中标供应商因不可抗力或者自身原因不能履行政府采购合同的，如仍在投标有效期内，采购代理机构和采购人应及时报南宁市政府采购监督管理部门，经同意后，可以与排位在中标供应商之后第一位的中标候选供应商签订政府采购合同，以此类推。</w:t>
      </w:r>
    </w:p>
    <w:p>
      <w:pPr>
        <w:pStyle w:val="15"/>
        <w:spacing w:line="440" w:lineRule="exact"/>
        <w:ind w:firstLine="420" w:firstLineChars="200"/>
        <w:rPr>
          <w:rFonts w:hAnsi="宋体"/>
        </w:rPr>
      </w:pPr>
      <w:r>
        <w:rPr>
          <w:rFonts w:hint="eastAsia" w:hAnsi="宋体"/>
        </w:rPr>
        <w:t>25.7　采购人或中标供应商不得单方面向合同另一方提出任何招标文件没有约定的条件或不合理的要求，作为签订合同的条件，也不得协商另行订立背离招标文件和合同实质性内容的协议。</w:t>
      </w:r>
    </w:p>
    <w:p>
      <w:pPr>
        <w:pStyle w:val="15"/>
        <w:spacing w:line="440" w:lineRule="exact"/>
        <w:ind w:firstLine="420" w:firstLineChars="200"/>
        <w:rPr>
          <w:rFonts w:hAnsi="宋体"/>
        </w:rPr>
      </w:pPr>
      <w:r>
        <w:rPr>
          <w:rFonts w:hint="eastAsia" w:hAnsi="宋体"/>
        </w:rPr>
        <w:t>25.8　采购人需追加与合同标的相同的货物或者服务的，在不改变原合同条款且已报财政部门批准落实资金的前提下，可从原中标供应商处添购，所签订的补充添置合同的采购资金总额不超过原采购合同金额的10%。</w:t>
      </w:r>
    </w:p>
    <w:p>
      <w:pPr>
        <w:pStyle w:val="15"/>
        <w:spacing w:line="440" w:lineRule="exact"/>
        <w:ind w:firstLine="420" w:firstLineChars="200"/>
        <w:rPr>
          <w:rFonts w:hAnsi="宋体"/>
        </w:rPr>
      </w:pPr>
      <w:r>
        <w:rPr>
          <w:rFonts w:hint="eastAsia" w:hAnsi="宋体"/>
        </w:rPr>
        <w:t>25.9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15"/>
        <w:spacing w:line="440" w:lineRule="exact"/>
        <w:ind w:firstLine="420" w:firstLineChars="200"/>
        <w:rPr>
          <w:rFonts w:hAnsi="宋体"/>
        </w:rPr>
      </w:pPr>
      <w:r>
        <w:rPr>
          <w:rFonts w:hint="eastAsia" w:hAnsi="宋体"/>
        </w:rPr>
        <w:t>25.10　采购人或中标供应商在合同履行过程中存在违反政府采购合同行为的，权益受损当事人应当将有关违约的情况以及拟采取的措施，及时书面报告采购代理机构。</w:t>
      </w:r>
    </w:p>
    <w:p>
      <w:pPr>
        <w:pStyle w:val="15"/>
        <w:spacing w:line="440" w:lineRule="exact"/>
        <w:jc w:val="center"/>
        <w:rPr>
          <w:rFonts w:hAnsi="宋体"/>
        </w:rPr>
      </w:pPr>
    </w:p>
    <w:p>
      <w:pPr>
        <w:pStyle w:val="15"/>
        <w:jc w:val="center"/>
        <w:outlineLvl w:val="1"/>
        <w:rPr>
          <w:rFonts w:ascii="Times New Roman" w:hAnsi="Times New Roman"/>
          <w:b/>
          <w:sz w:val="30"/>
          <w:szCs w:val="30"/>
        </w:rPr>
      </w:pPr>
      <w:bookmarkStart w:id="55" w:name="_Toc1654633"/>
      <w:r>
        <w:rPr>
          <w:rFonts w:hint="eastAsia" w:ascii="Times New Roman" w:hAnsi="Times New Roman"/>
          <w:b/>
          <w:sz w:val="30"/>
          <w:szCs w:val="30"/>
        </w:rPr>
        <w:t>七其他事项</w:t>
      </w:r>
      <w:bookmarkEnd w:id="55"/>
    </w:p>
    <w:p>
      <w:pPr>
        <w:pStyle w:val="15"/>
        <w:spacing w:line="440" w:lineRule="exact"/>
        <w:rPr>
          <w:rFonts w:hAnsi="宋体"/>
          <w:bCs/>
          <w:sz w:val="24"/>
        </w:rPr>
      </w:pPr>
      <w:r>
        <w:rPr>
          <w:rFonts w:hint="eastAsia" w:hAnsi="宋体"/>
          <w:bCs/>
          <w:sz w:val="24"/>
        </w:rPr>
        <w:t>26.  解释权</w:t>
      </w:r>
    </w:p>
    <w:p>
      <w:pPr>
        <w:pStyle w:val="15"/>
        <w:spacing w:line="440" w:lineRule="exact"/>
        <w:ind w:firstLine="360"/>
        <w:jc w:val="left"/>
        <w:rPr>
          <w:rFonts w:hAnsi="宋体"/>
        </w:rPr>
      </w:pPr>
      <w:r>
        <w:rPr>
          <w:rFonts w:hint="eastAsia" w:hAnsi="宋体"/>
        </w:rPr>
        <w:t>26.1  本招标文件根据《中华人民共和国政府采购法》、《政府采购货物和服务招标投标管理办法》（财政部第87号令）及相关法律法规编制，解释权属采购代理机构。</w:t>
      </w:r>
    </w:p>
    <w:p>
      <w:pPr>
        <w:pStyle w:val="15"/>
        <w:spacing w:line="440" w:lineRule="exact"/>
        <w:jc w:val="left"/>
        <w:rPr>
          <w:rFonts w:hAnsi="宋体"/>
          <w:sz w:val="24"/>
        </w:rPr>
      </w:pPr>
      <w:r>
        <w:rPr>
          <w:rFonts w:hint="eastAsia" w:hAnsi="宋体"/>
          <w:sz w:val="24"/>
        </w:rPr>
        <w:t>27.  需要补充的其他内容</w:t>
      </w:r>
    </w:p>
    <w:p>
      <w:pPr>
        <w:pStyle w:val="15"/>
        <w:spacing w:line="440" w:lineRule="exact"/>
        <w:ind w:firstLine="360"/>
        <w:jc w:val="left"/>
        <w:rPr>
          <w:rFonts w:hAnsi="宋体"/>
        </w:rPr>
      </w:pPr>
      <w:r>
        <w:rPr>
          <w:rFonts w:hint="eastAsia" w:hAnsi="宋体"/>
        </w:rPr>
        <w:t>27.1  需要补充的其他内容：见投标人须知前附表。</w:t>
      </w:r>
    </w:p>
    <w:p>
      <w:pPr>
        <w:pStyle w:val="15"/>
        <w:jc w:val="center"/>
        <w:outlineLvl w:val="0"/>
        <w:rPr>
          <w:rFonts w:hAnsi="宋体"/>
        </w:rPr>
      </w:pPr>
      <w:r>
        <w:rPr>
          <w:rFonts w:hAnsi="宋体"/>
        </w:rPr>
        <w:br w:type="page"/>
      </w:r>
      <w:bookmarkStart w:id="56" w:name="_Toc1654634"/>
      <w:r>
        <w:rPr>
          <w:rFonts w:hint="eastAsia" w:ascii="Times New Roman" w:hAnsi="Times New Roman"/>
          <w:b/>
          <w:sz w:val="36"/>
        </w:rPr>
        <w:t>第五章投标文件格式</w:t>
      </w:r>
      <w:bookmarkEnd w:id="56"/>
      <w:bookmarkStart w:id="57" w:name="_Toc139967211"/>
      <w:bookmarkStart w:id="58" w:name="_Toc139966427"/>
    </w:p>
    <w:p>
      <w:pPr>
        <w:pStyle w:val="15"/>
        <w:spacing w:line="500" w:lineRule="exact"/>
        <w:rPr>
          <w:rFonts w:asciiTheme="majorEastAsia" w:hAnsiTheme="majorEastAsia" w:eastAsiaTheme="majorEastAsia"/>
          <w:b/>
          <w:bCs/>
        </w:rPr>
      </w:pPr>
      <w:r>
        <w:rPr>
          <w:rFonts w:hint="eastAsia" w:asciiTheme="majorEastAsia" w:hAnsiTheme="majorEastAsia" w:eastAsiaTheme="majorEastAsia"/>
          <w:b/>
          <w:bCs/>
        </w:rPr>
        <w:t>格式</w:t>
      </w:r>
      <w:r>
        <w:rPr>
          <w:rFonts w:asciiTheme="majorEastAsia" w:hAnsiTheme="majorEastAsia" w:eastAsiaTheme="majorEastAsia"/>
          <w:b/>
          <w:bCs/>
        </w:rPr>
        <w:t>1</w:t>
      </w:r>
      <w:r>
        <w:rPr>
          <w:rFonts w:hint="eastAsia" w:asciiTheme="majorEastAsia" w:hAnsiTheme="majorEastAsia" w:eastAsiaTheme="majorEastAsia"/>
          <w:b/>
          <w:bCs/>
        </w:rPr>
        <w:t>：</w:t>
      </w:r>
    </w:p>
    <w:p>
      <w:pPr>
        <w:pStyle w:val="15"/>
        <w:spacing w:line="500" w:lineRule="exact"/>
        <w:jc w:val="center"/>
        <w:rPr>
          <w:rFonts w:asciiTheme="majorEastAsia" w:hAnsiTheme="majorEastAsia" w:eastAsiaTheme="majorEastAsia"/>
          <w:b/>
          <w:bCs/>
          <w:sz w:val="30"/>
          <w:szCs w:val="30"/>
        </w:rPr>
      </w:pPr>
      <w:r>
        <w:rPr>
          <w:rFonts w:hint="eastAsia" w:asciiTheme="majorEastAsia" w:hAnsiTheme="majorEastAsia" w:eastAsiaTheme="majorEastAsia"/>
          <w:b/>
          <w:bCs/>
          <w:sz w:val="30"/>
          <w:szCs w:val="30"/>
        </w:rPr>
        <w:t>投标函（格式）</w:t>
      </w:r>
    </w:p>
    <w:p>
      <w:pPr>
        <w:pStyle w:val="15"/>
        <w:spacing w:line="500" w:lineRule="exact"/>
        <w:rPr>
          <w:rFonts w:asciiTheme="majorEastAsia" w:hAnsiTheme="majorEastAsia" w:eastAsiaTheme="majorEastAsia"/>
          <w:sz w:val="32"/>
          <w:szCs w:val="32"/>
        </w:rPr>
      </w:pPr>
    </w:p>
    <w:p>
      <w:pPr>
        <w:pStyle w:val="15"/>
        <w:spacing w:line="440" w:lineRule="exact"/>
        <w:ind w:firstLine="435"/>
        <w:rPr>
          <w:rFonts w:asciiTheme="majorEastAsia" w:hAnsiTheme="majorEastAsia" w:eastAsiaTheme="majorEastAsia"/>
          <w:sz w:val="24"/>
          <w:szCs w:val="24"/>
        </w:rPr>
      </w:pPr>
      <w:r>
        <w:rPr>
          <w:rFonts w:hint="eastAsia" w:asciiTheme="majorEastAsia" w:hAnsiTheme="majorEastAsia" w:eastAsiaTheme="majorEastAsia"/>
          <w:sz w:val="24"/>
          <w:szCs w:val="24"/>
        </w:rPr>
        <w:t>致：（采购代理机构名称）</w:t>
      </w:r>
    </w:p>
    <w:p>
      <w:pPr>
        <w:pStyle w:val="15"/>
        <w:spacing w:line="440" w:lineRule="exact"/>
        <w:ind w:firstLine="435"/>
        <w:rPr>
          <w:rFonts w:asciiTheme="majorEastAsia" w:hAnsiTheme="majorEastAsia" w:eastAsiaTheme="majorEastAsia"/>
          <w:sz w:val="24"/>
          <w:szCs w:val="24"/>
        </w:rPr>
      </w:pPr>
    </w:p>
    <w:p>
      <w:pPr>
        <w:pStyle w:val="15"/>
        <w:spacing w:line="440" w:lineRule="exact"/>
        <w:ind w:firstLine="482"/>
        <w:rPr>
          <w:rFonts w:asciiTheme="majorEastAsia" w:hAnsiTheme="majorEastAsia" w:eastAsiaTheme="majorEastAsia"/>
          <w:sz w:val="24"/>
          <w:szCs w:val="24"/>
        </w:rPr>
      </w:pPr>
      <w:r>
        <w:rPr>
          <w:rFonts w:hint="eastAsia" w:asciiTheme="majorEastAsia" w:hAnsiTheme="majorEastAsia" w:eastAsiaTheme="majorEastAsia"/>
          <w:sz w:val="24"/>
          <w:szCs w:val="24"/>
        </w:rPr>
        <w:t>我方已仔细阅读了贵方组织的</w:t>
      </w:r>
      <w:r>
        <w:rPr>
          <w:rFonts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u w:val="single"/>
        </w:rPr>
        <w:t>（项目名称）</w:t>
      </w:r>
      <w:r>
        <w:rPr>
          <w:rFonts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项目（项目编号：</w:t>
      </w:r>
      <w:r>
        <w:rPr>
          <w:rFonts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）的招标文件的全部内容，现正式递交下述文件参加贵方组织的本次政府采购活动：</w:t>
      </w:r>
      <w:r>
        <w:rPr>
          <w:rFonts w:asciiTheme="majorEastAsia" w:hAnsiTheme="majorEastAsia" w:eastAsiaTheme="majorEastAsia"/>
          <w:sz w:val="24"/>
          <w:szCs w:val="24"/>
        </w:rPr>
        <w:t xml:space="preserve"> </w:t>
      </w:r>
    </w:p>
    <w:p>
      <w:pPr>
        <w:pStyle w:val="15"/>
        <w:numPr>
          <w:ilvl w:val="0"/>
          <w:numId w:val="5"/>
        </w:numPr>
        <w:spacing w:line="440" w:lineRule="exact"/>
        <w:ind w:firstLine="482"/>
        <w:rPr>
          <w:rFonts w:asciiTheme="majorEastAsia" w:hAnsiTheme="majorEastAsia" w:eastAsiaTheme="majorEastAsia"/>
          <w:sz w:val="24"/>
          <w:szCs w:val="24"/>
        </w:rPr>
      </w:pPr>
      <w:r>
        <w:rPr>
          <w:rFonts w:hint="eastAsia" w:asciiTheme="majorEastAsia" w:hAnsiTheme="majorEastAsia" w:eastAsiaTheme="majorEastAsia"/>
          <w:sz w:val="24"/>
          <w:szCs w:val="24"/>
        </w:rPr>
        <w:t>报价文件正本一份，副本</w:t>
      </w:r>
      <w:r>
        <w:rPr>
          <w:rFonts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u w:val="single"/>
        </w:rPr>
        <w:t xml:space="preserve"> </w:t>
      </w:r>
      <w:r>
        <w:rPr>
          <w:rFonts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份（包含按投标人须知第</w:t>
      </w:r>
      <w:r>
        <w:rPr>
          <w:rFonts w:asciiTheme="majorEastAsia" w:hAnsiTheme="majorEastAsia" w:eastAsiaTheme="majorEastAsia"/>
          <w:sz w:val="24"/>
          <w:szCs w:val="24"/>
        </w:rPr>
        <w:t>10.1.1</w:t>
      </w:r>
      <w:r>
        <w:rPr>
          <w:rFonts w:hint="eastAsia" w:asciiTheme="majorEastAsia" w:hAnsiTheme="majorEastAsia" w:eastAsiaTheme="majorEastAsia"/>
          <w:sz w:val="24"/>
          <w:szCs w:val="24"/>
        </w:rPr>
        <w:t>项要求提交的全部文件）；</w:t>
      </w:r>
    </w:p>
    <w:p>
      <w:pPr>
        <w:pStyle w:val="15"/>
        <w:numPr>
          <w:ilvl w:val="0"/>
          <w:numId w:val="5"/>
        </w:numPr>
        <w:spacing w:line="440" w:lineRule="exact"/>
        <w:ind w:firstLine="482"/>
        <w:rPr>
          <w:rFonts w:asciiTheme="majorEastAsia" w:hAnsiTheme="majorEastAsia" w:eastAsiaTheme="majorEastAsia"/>
          <w:sz w:val="24"/>
          <w:szCs w:val="24"/>
        </w:rPr>
      </w:pPr>
      <w:r>
        <w:rPr>
          <w:rFonts w:hint="eastAsia" w:asciiTheme="majorEastAsia" w:hAnsiTheme="majorEastAsia" w:eastAsiaTheme="majorEastAsia"/>
          <w:sz w:val="24"/>
          <w:szCs w:val="24"/>
        </w:rPr>
        <w:t>资格文件正本一份，副本</w:t>
      </w:r>
      <w:r>
        <w:rPr>
          <w:rFonts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u w:val="single"/>
        </w:rPr>
        <w:t xml:space="preserve"> </w:t>
      </w:r>
      <w:r>
        <w:rPr>
          <w:rFonts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份（包含按投标人须知第</w:t>
      </w:r>
      <w:r>
        <w:rPr>
          <w:rFonts w:asciiTheme="majorEastAsia" w:hAnsiTheme="majorEastAsia" w:eastAsiaTheme="majorEastAsia"/>
          <w:sz w:val="24"/>
          <w:szCs w:val="24"/>
        </w:rPr>
        <w:t>10.1.2</w:t>
      </w:r>
      <w:r>
        <w:rPr>
          <w:rFonts w:hint="eastAsia" w:asciiTheme="majorEastAsia" w:hAnsiTheme="majorEastAsia" w:eastAsiaTheme="majorEastAsia"/>
          <w:sz w:val="24"/>
          <w:szCs w:val="24"/>
        </w:rPr>
        <w:t>项要求提交的全部文件）；</w:t>
      </w:r>
    </w:p>
    <w:p>
      <w:pPr>
        <w:pStyle w:val="15"/>
        <w:spacing w:line="440" w:lineRule="exact"/>
        <w:ind w:firstLine="482"/>
        <w:rPr>
          <w:rFonts w:asciiTheme="majorEastAsia" w:hAnsiTheme="majorEastAsia" w:eastAsiaTheme="majorEastAsia"/>
          <w:sz w:val="24"/>
          <w:szCs w:val="24"/>
        </w:rPr>
      </w:pPr>
      <w:r>
        <w:rPr>
          <w:rFonts w:hint="eastAsia" w:asciiTheme="majorEastAsia" w:hAnsiTheme="majorEastAsia" w:eastAsiaTheme="majorEastAsia"/>
          <w:sz w:val="24"/>
          <w:szCs w:val="24"/>
        </w:rPr>
        <w:t>三、技术文件正本一份，副本</w:t>
      </w:r>
      <w:r>
        <w:rPr>
          <w:rFonts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u w:val="single"/>
        </w:rPr>
        <w:t xml:space="preserve"> </w:t>
      </w:r>
      <w:r>
        <w:rPr>
          <w:rFonts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份（包含按投标人须知第</w:t>
      </w:r>
      <w:r>
        <w:rPr>
          <w:rFonts w:asciiTheme="majorEastAsia" w:hAnsiTheme="majorEastAsia" w:eastAsiaTheme="majorEastAsia"/>
          <w:sz w:val="24"/>
          <w:szCs w:val="24"/>
        </w:rPr>
        <w:t>10.1.3</w:t>
      </w:r>
      <w:r>
        <w:rPr>
          <w:rFonts w:hint="eastAsia" w:asciiTheme="majorEastAsia" w:hAnsiTheme="majorEastAsia" w:eastAsiaTheme="majorEastAsia"/>
          <w:sz w:val="24"/>
          <w:szCs w:val="24"/>
        </w:rPr>
        <w:t>项要求提交的全部文件）；</w:t>
      </w:r>
    </w:p>
    <w:p>
      <w:pPr>
        <w:pStyle w:val="15"/>
        <w:spacing w:line="440" w:lineRule="exact"/>
        <w:ind w:firstLine="482"/>
        <w:rPr>
          <w:rFonts w:asciiTheme="majorEastAsia" w:hAnsiTheme="majorEastAsia" w:eastAsiaTheme="majorEastAsia"/>
          <w:sz w:val="24"/>
          <w:szCs w:val="24"/>
        </w:rPr>
      </w:pPr>
      <w:r>
        <w:rPr>
          <w:rFonts w:hint="eastAsia" w:asciiTheme="majorEastAsia" w:hAnsiTheme="majorEastAsia" w:eastAsiaTheme="majorEastAsia"/>
          <w:sz w:val="24"/>
          <w:szCs w:val="24"/>
        </w:rPr>
        <w:t>四、商务文件正本一份，副本</w:t>
      </w:r>
      <w:r>
        <w:rPr>
          <w:rFonts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u w:val="single"/>
        </w:rPr>
        <w:t xml:space="preserve"> </w:t>
      </w:r>
      <w:r>
        <w:rPr>
          <w:rFonts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份（包含按投标人须知第</w:t>
      </w:r>
      <w:r>
        <w:rPr>
          <w:rFonts w:asciiTheme="majorEastAsia" w:hAnsiTheme="majorEastAsia" w:eastAsiaTheme="majorEastAsia"/>
          <w:sz w:val="24"/>
          <w:szCs w:val="24"/>
        </w:rPr>
        <w:t>10.1.4</w:t>
      </w:r>
      <w:r>
        <w:rPr>
          <w:rFonts w:hint="eastAsia" w:asciiTheme="majorEastAsia" w:hAnsiTheme="majorEastAsia" w:eastAsiaTheme="majorEastAsia"/>
          <w:sz w:val="24"/>
          <w:szCs w:val="24"/>
        </w:rPr>
        <w:t>项要求提交的全部文件）。</w:t>
      </w:r>
    </w:p>
    <w:p>
      <w:pPr>
        <w:pStyle w:val="15"/>
        <w:spacing w:line="440" w:lineRule="exact"/>
        <w:ind w:firstLine="482"/>
        <w:rPr>
          <w:rFonts w:asciiTheme="majorEastAsia" w:hAnsiTheme="majorEastAsia" w:eastAsiaTheme="majorEastAsia"/>
          <w:sz w:val="24"/>
          <w:szCs w:val="24"/>
        </w:rPr>
      </w:pPr>
      <w:r>
        <w:rPr>
          <w:rFonts w:hint="eastAsia" w:asciiTheme="majorEastAsia" w:hAnsiTheme="majorEastAsia" w:eastAsiaTheme="majorEastAsia"/>
          <w:sz w:val="24"/>
          <w:szCs w:val="24"/>
        </w:rPr>
        <w:t>据此函，签字人兹宣布：</w:t>
      </w:r>
    </w:p>
    <w:p>
      <w:pPr>
        <w:pStyle w:val="15"/>
        <w:spacing w:line="440" w:lineRule="exact"/>
        <w:ind w:firstLine="482"/>
        <w:rPr>
          <w:rFonts w:asciiTheme="majorEastAsia" w:hAnsiTheme="majorEastAsia" w:eastAsiaTheme="majorEastAsia"/>
          <w:sz w:val="24"/>
          <w:szCs w:val="24"/>
        </w:rPr>
      </w:pPr>
      <w:r>
        <w:rPr>
          <w:rFonts w:hint="eastAsia" w:asciiTheme="majorEastAsia" w:hAnsiTheme="majorEastAsia" w:eastAsiaTheme="majorEastAsia"/>
          <w:sz w:val="24"/>
          <w:szCs w:val="24"/>
        </w:rPr>
        <w:t>1、我方愿意以（大写）人民币</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元)的投标总报价，交货时间：</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，提供本项目招标文件第二章“货物需求一览表”中的采购内容。</w:t>
      </w:r>
    </w:p>
    <w:p>
      <w:pPr>
        <w:pStyle w:val="15"/>
        <w:spacing w:line="440" w:lineRule="exact"/>
        <w:ind w:firstLine="482"/>
        <w:rPr>
          <w:rFonts w:asciiTheme="majorEastAsia" w:hAnsiTheme="majorEastAsia" w:eastAsiaTheme="majorEastAsia"/>
          <w:sz w:val="24"/>
          <w:szCs w:val="24"/>
        </w:rPr>
      </w:pPr>
      <w:r>
        <w:rPr>
          <w:rFonts w:asciiTheme="majorEastAsia" w:hAnsiTheme="majorEastAsia" w:eastAsiaTheme="majorEastAsia"/>
          <w:sz w:val="24"/>
          <w:szCs w:val="24"/>
        </w:rPr>
        <w:t>2</w:t>
      </w:r>
      <w:r>
        <w:rPr>
          <w:rFonts w:hint="eastAsia" w:asciiTheme="majorEastAsia" w:hAnsiTheme="majorEastAsia" w:eastAsiaTheme="majorEastAsia"/>
          <w:sz w:val="24"/>
          <w:szCs w:val="24"/>
        </w:rPr>
        <w:t>、我方同意自本项目招标文件“投标人须知”第</w:t>
      </w:r>
      <w:r>
        <w:rPr>
          <w:rFonts w:asciiTheme="majorEastAsia" w:hAnsiTheme="majorEastAsia" w:eastAsiaTheme="majorEastAsia"/>
          <w:sz w:val="24"/>
          <w:szCs w:val="24"/>
        </w:rPr>
        <w:t>15.1</w:t>
      </w:r>
      <w:r>
        <w:rPr>
          <w:rFonts w:hint="eastAsia" w:asciiTheme="majorEastAsia" w:hAnsiTheme="majorEastAsia" w:eastAsiaTheme="majorEastAsia"/>
          <w:sz w:val="24"/>
          <w:szCs w:val="24"/>
        </w:rPr>
        <w:t>项规定的投标截止时间（开标时间）起遵循本投标函，并承诺在“投标人须知”第</w:t>
      </w:r>
      <w:r>
        <w:rPr>
          <w:rFonts w:asciiTheme="majorEastAsia" w:hAnsiTheme="majorEastAsia" w:eastAsiaTheme="majorEastAsia"/>
          <w:sz w:val="24"/>
          <w:szCs w:val="24"/>
        </w:rPr>
        <w:t>12.1</w:t>
      </w:r>
      <w:r>
        <w:rPr>
          <w:rFonts w:hint="eastAsia" w:asciiTheme="majorEastAsia" w:hAnsiTheme="majorEastAsia" w:eastAsiaTheme="majorEastAsia"/>
          <w:sz w:val="24"/>
          <w:szCs w:val="24"/>
        </w:rPr>
        <w:t>项规定的投标有效期内不修改、撤销投标文件。</w:t>
      </w:r>
    </w:p>
    <w:p>
      <w:pPr>
        <w:pStyle w:val="15"/>
        <w:spacing w:line="440" w:lineRule="exact"/>
        <w:ind w:firstLine="482"/>
        <w:rPr>
          <w:rFonts w:asciiTheme="majorEastAsia" w:hAnsiTheme="majorEastAsia" w:eastAsiaTheme="majorEastAsia"/>
          <w:sz w:val="24"/>
          <w:szCs w:val="24"/>
        </w:rPr>
      </w:pPr>
      <w:r>
        <w:rPr>
          <w:rFonts w:asciiTheme="majorEastAsia" w:hAnsiTheme="majorEastAsia" w:eastAsiaTheme="majorEastAsia"/>
          <w:sz w:val="24"/>
          <w:szCs w:val="24"/>
        </w:rPr>
        <w:t>3</w:t>
      </w:r>
      <w:r>
        <w:rPr>
          <w:rFonts w:hint="eastAsia" w:asciiTheme="majorEastAsia" w:hAnsiTheme="majorEastAsia" w:eastAsiaTheme="majorEastAsia"/>
          <w:sz w:val="24"/>
          <w:szCs w:val="24"/>
        </w:rPr>
        <w:t>、我方在此声明，所递交的投标文件及有关资料内容完整、真实和准确。</w:t>
      </w:r>
    </w:p>
    <w:p>
      <w:pPr>
        <w:pStyle w:val="15"/>
        <w:spacing w:line="440" w:lineRule="exact"/>
        <w:ind w:firstLine="482"/>
        <w:rPr>
          <w:rFonts w:asciiTheme="majorEastAsia" w:hAnsiTheme="majorEastAsia" w:eastAsiaTheme="majorEastAsia"/>
          <w:sz w:val="24"/>
          <w:szCs w:val="24"/>
        </w:rPr>
      </w:pPr>
      <w:r>
        <w:rPr>
          <w:rFonts w:asciiTheme="majorEastAsia" w:hAnsiTheme="majorEastAsia" w:eastAsiaTheme="majorEastAsia"/>
          <w:sz w:val="24"/>
          <w:szCs w:val="24"/>
        </w:rPr>
        <w:t>4</w:t>
      </w:r>
      <w:r>
        <w:rPr>
          <w:rFonts w:hint="eastAsia" w:asciiTheme="majorEastAsia" w:hAnsiTheme="majorEastAsia" w:eastAsiaTheme="majorEastAsia"/>
          <w:sz w:val="24"/>
          <w:szCs w:val="24"/>
        </w:rPr>
        <w:t>、我方承诺未被列入失信被执行人、重大税收违法案件当事人名单、政府采购严重违法失信行为记录名单，并已经具备《中华人民共和国政府采购法》中规定的参加政府采购活动的供应商应当具备的条件：</w:t>
      </w:r>
    </w:p>
    <w:p>
      <w:pPr>
        <w:pStyle w:val="15"/>
        <w:numPr>
          <w:ilvl w:val="0"/>
          <w:numId w:val="6"/>
        </w:num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具有独立承担民事责任的能力；</w:t>
      </w:r>
    </w:p>
    <w:p>
      <w:pPr>
        <w:pStyle w:val="15"/>
        <w:numPr>
          <w:ilvl w:val="0"/>
          <w:numId w:val="6"/>
        </w:num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具有良好的商业信誉和健全的财务会计制度；</w:t>
      </w:r>
    </w:p>
    <w:p>
      <w:pPr>
        <w:pStyle w:val="15"/>
        <w:numPr>
          <w:ilvl w:val="0"/>
          <w:numId w:val="6"/>
        </w:num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具有履行合同所必需的设备和专业技术能力；</w:t>
      </w:r>
    </w:p>
    <w:p>
      <w:pPr>
        <w:pStyle w:val="15"/>
        <w:numPr>
          <w:ilvl w:val="0"/>
          <w:numId w:val="6"/>
        </w:num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有依法缴纳税收和社会保障资金的良好记录；</w:t>
      </w:r>
    </w:p>
    <w:p>
      <w:pPr>
        <w:pStyle w:val="15"/>
        <w:numPr>
          <w:ilvl w:val="0"/>
          <w:numId w:val="6"/>
        </w:num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参加政府采购活动前三年内，在经营活动中没有重大违法记录；</w:t>
      </w:r>
    </w:p>
    <w:p>
      <w:pPr>
        <w:pStyle w:val="15"/>
        <w:numPr>
          <w:ilvl w:val="0"/>
          <w:numId w:val="6"/>
        </w:num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法律、行政法规规定的其他条件。</w:t>
      </w:r>
    </w:p>
    <w:p>
      <w:pPr>
        <w:pStyle w:val="15"/>
        <w:spacing w:line="440" w:lineRule="exact"/>
        <w:ind w:firstLine="482"/>
        <w:rPr>
          <w:rFonts w:asciiTheme="majorEastAsia" w:hAnsiTheme="majorEastAsia" w:eastAsiaTheme="majorEastAsia"/>
          <w:sz w:val="24"/>
          <w:szCs w:val="24"/>
        </w:rPr>
      </w:pPr>
      <w:r>
        <w:rPr>
          <w:rFonts w:asciiTheme="majorEastAsia" w:hAnsiTheme="majorEastAsia" w:eastAsiaTheme="majorEastAsia"/>
          <w:sz w:val="24"/>
          <w:szCs w:val="24"/>
        </w:rPr>
        <w:t>5</w:t>
      </w:r>
      <w:r>
        <w:rPr>
          <w:rFonts w:hint="eastAsia" w:asciiTheme="majorEastAsia" w:hAnsiTheme="majorEastAsia" w:eastAsiaTheme="majorEastAsia"/>
          <w:sz w:val="24"/>
          <w:szCs w:val="24"/>
        </w:rPr>
        <w:t>、如本项目采购内容涉及须符合国家强制规定的，我方承诺我方本次投标（包括资格条件和所投产品）均符合国家有关强制规定。</w:t>
      </w:r>
    </w:p>
    <w:p>
      <w:pPr>
        <w:pStyle w:val="15"/>
        <w:spacing w:line="440" w:lineRule="exact"/>
        <w:ind w:firstLine="482"/>
        <w:rPr>
          <w:rFonts w:asciiTheme="majorEastAsia" w:hAnsiTheme="majorEastAsia" w:eastAsiaTheme="majorEastAsia"/>
          <w:sz w:val="24"/>
          <w:szCs w:val="24"/>
        </w:rPr>
      </w:pPr>
      <w:r>
        <w:rPr>
          <w:rFonts w:asciiTheme="majorEastAsia" w:hAnsiTheme="majorEastAsia" w:eastAsiaTheme="majorEastAsia"/>
          <w:sz w:val="24"/>
          <w:szCs w:val="24"/>
        </w:rPr>
        <w:t>6</w:t>
      </w:r>
      <w:r>
        <w:rPr>
          <w:rFonts w:hint="eastAsia" w:asciiTheme="majorEastAsia" w:hAnsiTheme="majorEastAsia" w:eastAsiaTheme="majorEastAsia"/>
          <w:sz w:val="24"/>
          <w:szCs w:val="24"/>
        </w:rPr>
        <w:t>、如我方中标，我方承诺在收到中标通知书后，在中标通知书规定的期限内，根据招标文件、我方的投标文件及有关澄清承诺书的要求按第六章“合同条款及格式”与采购人订立书面合同，并按照合同约定承担完成合同的责任和义务。</w:t>
      </w:r>
    </w:p>
    <w:p>
      <w:pPr>
        <w:pStyle w:val="15"/>
        <w:spacing w:line="440" w:lineRule="exact"/>
        <w:ind w:firstLine="482"/>
        <w:rPr>
          <w:rFonts w:asciiTheme="majorEastAsia" w:hAnsiTheme="majorEastAsia" w:eastAsiaTheme="majorEastAsia"/>
          <w:sz w:val="24"/>
          <w:szCs w:val="24"/>
        </w:rPr>
      </w:pPr>
      <w:r>
        <w:rPr>
          <w:rFonts w:asciiTheme="majorEastAsia" w:hAnsiTheme="majorEastAsia" w:eastAsiaTheme="majorEastAsia"/>
          <w:sz w:val="24"/>
          <w:szCs w:val="24"/>
        </w:rPr>
        <w:t>7</w:t>
      </w:r>
      <w:r>
        <w:rPr>
          <w:rFonts w:hint="eastAsia" w:asciiTheme="majorEastAsia" w:hAnsiTheme="majorEastAsia" w:eastAsiaTheme="majorEastAsia"/>
          <w:sz w:val="24"/>
          <w:szCs w:val="24"/>
        </w:rPr>
        <w:t>、我方已详细审核招标文件，我方知道必须放弃提出含糊不清或误解问题的权利。</w:t>
      </w:r>
    </w:p>
    <w:p>
      <w:pPr>
        <w:pStyle w:val="15"/>
        <w:spacing w:line="440" w:lineRule="exact"/>
        <w:ind w:firstLine="482"/>
        <w:rPr>
          <w:rFonts w:asciiTheme="majorEastAsia" w:hAnsiTheme="majorEastAsia" w:eastAsiaTheme="majorEastAsia"/>
          <w:sz w:val="24"/>
          <w:szCs w:val="24"/>
        </w:rPr>
      </w:pPr>
      <w:r>
        <w:rPr>
          <w:rFonts w:hint="eastAsia" w:asciiTheme="majorEastAsia" w:hAnsiTheme="majorEastAsia" w:eastAsiaTheme="majorEastAsia"/>
          <w:sz w:val="24"/>
          <w:szCs w:val="24"/>
        </w:rPr>
        <w:t>8、我方同意应贵方要求提供与本投标有关的任何数据或资料。若贵方需要，我方愿意提供我方作出的一切承诺的证明材料。</w:t>
      </w:r>
    </w:p>
    <w:p>
      <w:pPr>
        <w:pStyle w:val="15"/>
        <w:spacing w:line="440" w:lineRule="exact"/>
        <w:ind w:firstLine="482"/>
        <w:rPr>
          <w:rFonts w:asciiTheme="majorEastAsia" w:hAnsiTheme="majorEastAsia" w:eastAsiaTheme="majorEastAsia"/>
          <w:sz w:val="24"/>
          <w:szCs w:val="24"/>
        </w:rPr>
      </w:pPr>
      <w:r>
        <w:rPr>
          <w:rFonts w:hint="eastAsia" w:asciiTheme="majorEastAsia" w:hAnsiTheme="majorEastAsia" w:eastAsiaTheme="majorEastAsia"/>
          <w:sz w:val="24"/>
          <w:szCs w:val="24"/>
        </w:rPr>
        <w:t>9、我方完全理解贵方不一定接受投标报价最低的投标人为中标供应商的行为。</w:t>
      </w:r>
    </w:p>
    <w:p>
      <w:pPr>
        <w:pStyle w:val="15"/>
        <w:spacing w:line="440" w:lineRule="exact"/>
        <w:ind w:firstLine="482"/>
        <w:rPr>
          <w:rFonts w:asciiTheme="majorEastAsia" w:hAnsiTheme="majorEastAsia" w:eastAsiaTheme="majorEastAsia"/>
          <w:sz w:val="24"/>
          <w:szCs w:val="24"/>
        </w:rPr>
      </w:pPr>
      <w:r>
        <w:rPr>
          <w:rFonts w:asciiTheme="majorEastAsia" w:hAnsiTheme="majorEastAsia" w:eastAsiaTheme="majorEastAsia"/>
          <w:sz w:val="24"/>
          <w:szCs w:val="24"/>
        </w:rPr>
        <w:t>1</w:t>
      </w:r>
      <w:r>
        <w:rPr>
          <w:rFonts w:hint="eastAsia" w:asciiTheme="majorEastAsia" w:hAnsiTheme="majorEastAsia" w:eastAsiaTheme="majorEastAsia"/>
          <w:sz w:val="24"/>
          <w:szCs w:val="24"/>
        </w:rPr>
        <w:t>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5"/>
        <w:numPr>
          <w:ilvl w:val="0"/>
          <w:numId w:val="7"/>
        </w:num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提供虚假材料谋取中标、中标的；</w:t>
      </w:r>
    </w:p>
    <w:p>
      <w:pPr>
        <w:pStyle w:val="15"/>
        <w:numPr>
          <w:ilvl w:val="0"/>
          <w:numId w:val="7"/>
        </w:num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采取不正当手段诋毁、排挤其他供应商的；</w:t>
      </w:r>
    </w:p>
    <w:p>
      <w:pPr>
        <w:pStyle w:val="15"/>
        <w:numPr>
          <w:ilvl w:val="0"/>
          <w:numId w:val="7"/>
        </w:num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与采购人、其他供应商或者采购代理机构恶意串通的；</w:t>
      </w:r>
    </w:p>
    <w:p>
      <w:pPr>
        <w:pStyle w:val="15"/>
        <w:numPr>
          <w:ilvl w:val="0"/>
          <w:numId w:val="7"/>
        </w:num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向采购人、采购代理机构行贿或者提供其他不正当利益的；</w:t>
      </w:r>
    </w:p>
    <w:p>
      <w:pPr>
        <w:pStyle w:val="15"/>
        <w:numPr>
          <w:ilvl w:val="0"/>
          <w:numId w:val="7"/>
        </w:num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在招标采购过程中与采购人进行协商谈判的；</w:t>
      </w:r>
    </w:p>
    <w:p>
      <w:pPr>
        <w:pStyle w:val="15"/>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6</w:t>
      </w:r>
      <w:r>
        <w:rPr>
          <w:rFonts w:hint="eastAsia" w:asciiTheme="majorEastAsia" w:hAnsiTheme="majorEastAsia" w:eastAsiaTheme="majorEastAsia"/>
          <w:sz w:val="24"/>
          <w:szCs w:val="24"/>
        </w:rPr>
        <w:t>）</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拒绝有关部门监督检查或提供虚假情况的。</w:t>
      </w:r>
    </w:p>
    <w:p>
      <w:pPr>
        <w:pStyle w:val="15"/>
        <w:spacing w:line="440" w:lineRule="exact"/>
        <w:ind w:firstLine="482"/>
        <w:rPr>
          <w:rFonts w:asciiTheme="majorEastAsia" w:hAnsiTheme="majorEastAsia" w:eastAsiaTheme="majorEastAsia"/>
          <w:sz w:val="24"/>
          <w:szCs w:val="24"/>
        </w:rPr>
      </w:pPr>
      <w:r>
        <w:rPr>
          <w:rFonts w:asciiTheme="majorEastAsia" w:hAnsiTheme="majorEastAsia" w:eastAsiaTheme="majorEastAsia"/>
          <w:sz w:val="24"/>
          <w:szCs w:val="24"/>
        </w:rPr>
        <w:t>1</w:t>
      </w:r>
      <w:r>
        <w:rPr>
          <w:rFonts w:hint="eastAsia" w:asciiTheme="majorEastAsia" w:hAnsiTheme="majorEastAsia" w:eastAsiaTheme="majorEastAsia"/>
          <w:sz w:val="24"/>
          <w:szCs w:val="24"/>
        </w:rPr>
        <w:t>1、我方及由本人担任法定代表人的其他机构最近三年内被处罚的违法行为有：</w:t>
      </w:r>
      <w:r>
        <w:rPr>
          <w:rFonts w:asciiTheme="majorEastAsia" w:hAnsiTheme="majorEastAsia" w:eastAsiaTheme="majorEastAsia"/>
          <w:sz w:val="24"/>
          <w:szCs w:val="24"/>
          <w:u w:val="single"/>
        </w:rPr>
        <w:t>__________________________________________________________________________</w:t>
      </w:r>
      <w:r>
        <w:rPr>
          <w:rFonts w:hint="eastAsia" w:asciiTheme="majorEastAsia" w:hAnsiTheme="majorEastAsia" w:eastAsiaTheme="majorEastAsia"/>
          <w:sz w:val="24"/>
          <w:szCs w:val="24"/>
        </w:rPr>
        <w:t>。</w:t>
      </w:r>
    </w:p>
    <w:p>
      <w:pPr>
        <w:pStyle w:val="15"/>
        <w:spacing w:line="440" w:lineRule="exact"/>
        <w:ind w:left="420"/>
        <w:rPr>
          <w:rFonts w:asciiTheme="majorEastAsia" w:hAnsiTheme="majorEastAsia" w:eastAsiaTheme="majorEastAsia"/>
          <w:sz w:val="24"/>
          <w:szCs w:val="24"/>
        </w:rPr>
      </w:pPr>
      <w:r>
        <w:rPr>
          <w:rFonts w:asciiTheme="majorEastAsia" w:hAnsiTheme="majorEastAsia" w:eastAsiaTheme="majorEastAsia"/>
          <w:sz w:val="24"/>
          <w:szCs w:val="24"/>
        </w:rPr>
        <w:t>1</w:t>
      </w:r>
      <w:r>
        <w:rPr>
          <w:rFonts w:hint="eastAsia" w:asciiTheme="majorEastAsia" w:hAnsiTheme="majorEastAsia" w:eastAsiaTheme="majorEastAsia"/>
          <w:sz w:val="24"/>
          <w:szCs w:val="24"/>
        </w:rPr>
        <w:t>2、以上事项如有虚假或隐瞒，我方愿意承担一切后果，并不再寻求任何旨在减轻或免除法律责任的辩解。</w:t>
      </w:r>
    </w:p>
    <w:p>
      <w:pPr>
        <w:pStyle w:val="15"/>
        <w:spacing w:line="360" w:lineRule="auto"/>
        <w:ind w:firstLine="420"/>
        <w:rPr>
          <w:rFonts w:asciiTheme="majorEastAsia" w:hAnsiTheme="majorEastAsia" w:eastAsiaTheme="majorEastAsia"/>
          <w:sz w:val="24"/>
          <w:szCs w:val="24"/>
        </w:rPr>
      </w:pPr>
    </w:p>
    <w:p>
      <w:pPr>
        <w:pStyle w:val="15"/>
        <w:spacing w:line="360" w:lineRule="auto"/>
        <w:ind w:firstLine="420"/>
        <w:rPr>
          <w:rFonts w:asciiTheme="majorEastAsia" w:hAnsiTheme="majorEastAsia" w:eastAsiaTheme="majorEastAsia"/>
          <w:sz w:val="24"/>
          <w:szCs w:val="24"/>
          <w:u w:val="single"/>
        </w:rPr>
      </w:pPr>
      <w:r>
        <w:rPr>
          <w:rFonts w:hint="eastAsia" w:asciiTheme="majorEastAsia" w:hAnsiTheme="majorEastAsia" w:eastAsiaTheme="majorEastAsia"/>
          <w:sz w:val="24"/>
          <w:szCs w:val="24"/>
        </w:rPr>
        <w:t>投标人：</w:t>
      </w:r>
      <w:r>
        <w:rPr>
          <w:rFonts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（盖单位公章）</w:t>
      </w:r>
    </w:p>
    <w:p>
      <w:pPr>
        <w:pStyle w:val="15"/>
        <w:spacing w:line="360" w:lineRule="auto"/>
        <w:ind w:firstLine="420"/>
        <w:rPr>
          <w:rFonts w:asciiTheme="majorEastAsia" w:hAnsiTheme="majorEastAsia" w:eastAsiaTheme="majorEastAsia"/>
          <w:sz w:val="24"/>
          <w:szCs w:val="24"/>
        </w:rPr>
      </w:pPr>
      <w:r>
        <w:rPr>
          <w:rFonts w:hint="eastAsia" w:asciiTheme="majorEastAsia" w:hAnsiTheme="majorEastAsia" w:eastAsiaTheme="majorEastAsia"/>
          <w:sz w:val="24"/>
          <w:szCs w:val="24"/>
        </w:rPr>
        <w:t>法定代表人或其委托代理人：</w:t>
      </w:r>
      <w:r>
        <w:rPr>
          <w:rFonts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（签字或盖章）</w:t>
      </w:r>
    </w:p>
    <w:p>
      <w:pPr>
        <w:pStyle w:val="15"/>
        <w:spacing w:line="360" w:lineRule="auto"/>
        <w:ind w:firstLine="420"/>
        <w:rPr>
          <w:rFonts w:asciiTheme="majorEastAsia" w:hAnsiTheme="majorEastAsia" w:eastAsiaTheme="majorEastAsia"/>
          <w:sz w:val="24"/>
          <w:szCs w:val="24"/>
        </w:rPr>
      </w:pPr>
      <w:r>
        <w:rPr>
          <w:rFonts w:hint="eastAsia" w:asciiTheme="majorEastAsia" w:hAnsiTheme="majorEastAsia" w:eastAsiaTheme="majorEastAsia"/>
          <w:sz w:val="24"/>
          <w:szCs w:val="24"/>
        </w:rPr>
        <w:t>地址：</w:t>
      </w:r>
      <w:r>
        <w:rPr>
          <w:rFonts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u w:val="single"/>
        </w:rPr>
        <w:t xml:space="preserve">        </w:t>
      </w:r>
      <w:r>
        <w:rPr>
          <w:rFonts w:asciiTheme="majorEastAsia" w:hAnsiTheme="majorEastAsia" w:eastAsiaTheme="majorEastAsia"/>
          <w:sz w:val="24"/>
          <w:szCs w:val="24"/>
          <w:u w:val="single"/>
        </w:rPr>
        <w:t xml:space="preserve"> </w:t>
      </w:r>
      <w:r>
        <w:rPr>
          <w:rFonts w:asciiTheme="majorEastAsia" w:hAnsiTheme="majorEastAsia" w:eastAsiaTheme="majorEastAsia"/>
          <w:sz w:val="24"/>
          <w:szCs w:val="24"/>
        </w:rPr>
        <w:t xml:space="preserve"> </w:t>
      </w:r>
    </w:p>
    <w:p>
      <w:pPr>
        <w:pStyle w:val="15"/>
        <w:spacing w:line="360" w:lineRule="auto"/>
        <w:ind w:firstLine="420"/>
        <w:rPr>
          <w:rFonts w:asciiTheme="majorEastAsia" w:hAnsiTheme="majorEastAsia" w:eastAsiaTheme="majorEastAsia"/>
          <w:sz w:val="24"/>
          <w:szCs w:val="24"/>
          <w:u w:val="single"/>
        </w:rPr>
      </w:pPr>
      <w:r>
        <w:rPr>
          <w:rFonts w:hint="eastAsia" w:asciiTheme="majorEastAsia" w:hAnsiTheme="majorEastAsia" w:eastAsiaTheme="majorEastAsia"/>
          <w:sz w:val="24"/>
          <w:szCs w:val="24"/>
        </w:rPr>
        <w:t>电话：</w:t>
      </w:r>
      <w:r>
        <w:rPr>
          <w:rFonts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u w:val="single"/>
        </w:rPr>
        <w:t xml:space="preserve">　　　　　　　　        </w:t>
      </w:r>
    </w:p>
    <w:p>
      <w:pPr>
        <w:pStyle w:val="15"/>
        <w:spacing w:line="360" w:lineRule="auto"/>
        <w:ind w:firstLine="420"/>
        <w:rPr>
          <w:rFonts w:asciiTheme="majorEastAsia" w:hAnsiTheme="majorEastAsia" w:eastAsiaTheme="majorEastAsia"/>
          <w:sz w:val="24"/>
          <w:szCs w:val="24"/>
        </w:rPr>
      </w:pPr>
      <w:r>
        <w:rPr>
          <w:rFonts w:hint="eastAsia" w:asciiTheme="majorEastAsia" w:hAnsiTheme="majorEastAsia" w:eastAsiaTheme="majorEastAsia"/>
          <w:sz w:val="24"/>
          <w:szCs w:val="24"/>
        </w:rPr>
        <w:t>传真：</w:t>
      </w:r>
      <w:r>
        <w:rPr>
          <w:rFonts w:hint="eastAsia" w:asciiTheme="majorEastAsia" w:hAnsiTheme="majorEastAsia" w:eastAsiaTheme="majorEastAsia"/>
          <w:sz w:val="24"/>
          <w:szCs w:val="24"/>
          <w:u w:val="single"/>
        </w:rPr>
        <w:t>　　　　　　　　　　　　　　　　　　　　　　        　　</w:t>
      </w:r>
    </w:p>
    <w:p>
      <w:pPr>
        <w:pStyle w:val="15"/>
        <w:spacing w:line="360" w:lineRule="auto"/>
        <w:ind w:firstLine="420"/>
        <w:rPr>
          <w:rFonts w:asciiTheme="majorEastAsia" w:hAnsiTheme="majorEastAsia" w:eastAsiaTheme="majorEastAsia"/>
          <w:sz w:val="24"/>
          <w:szCs w:val="24"/>
          <w:u w:val="single"/>
        </w:rPr>
      </w:pPr>
      <w:r>
        <w:rPr>
          <w:rFonts w:hint="eastAsia" w:asciiTheme="majorEastAsia" w:hAnsiTheme="majorEastAsia" w:eastAsiaTheme="majorEastAsia"/>
          <w:sz w:val="24"/>
          <w:szCs w:val="24"/>
        </w:rPr>
        <w:t>邮政编码：</w:t>
      </w:r>
      <w:r>
        <w:rPr>
          <w:rFonts w:asciiTheme="majorEastAsia" w:hAnsiTheme="majorEastAsia" w:eastAsiaTheme="majorEastAsia"/>
          <w:sz w:val="24"/>
          <w:szCs w:val="24"/>
          <w:u w:val="single"/>
        </w:rPr>
        <w:t xml:space="preserve">                                                    </w:t>
      </w:r>
    </w:p>
    <w:p>
      <w:pPr>
        <w:pStyle w:val="15"/>
        <w:spacing w:line="360" w:lineRule="auto"/>
        <w:ind w:firstLine="420"/>
        <w:rPr>
          <w:rFonts w:asciiTheme="majorEastAsia" w:hAnsiTheme="majorEastAsia" w:eastAsiaTheme="majorEastAsia"/>
          <w:sz w:val="24"/>
          <w:szCs w:val="24"/>
          <w:u w:val="single"/>
        </w:rPr>
      </w:pPr>
      <w:r>
        <w:rPr>
          <w:rFonts w:hint="eastAsia" w:asciiTheme="majorEastAsia" w:hAnsiTheme="majorEastAsia" w:eastAsiaTheme="majorEastAsia"/>
          <w:sz w:val="24"/>
          <w:szCs w:val="24"/>
        </w:rPr>
        <w:t>开户名称：</w:t>
      </w:r>
      <w:r>
        <w:rPr>
          <w:rFonts w:asciiTheme="majorEastAsia" w:hAnsiTheme="majorEastAsia" w:eastAsiaTheme="majorEastAsia"/>
          <w:sz w:val="24"/>
          <w:szCs w:val="24"/>
          <w:u w:val="single"/>
        </w:rPr>
        <w:t xml:space="preserve">                                                    </w:t>
      </w:r>
    </w:p>
    <w:p>
      <w:pPr>
        <w:pStyle w:val="15"/>
        <w:spacing w:line="360" w:lineRule="auto"/>
        <w:ind w:firstLine="420"/>
        <w:rPr>
          <w:rFonts w:asciiTheme="majorEastAsia" w:hAnsiTheme="majorEastAsia" w:eastAsiaTheme="majorEastAsia"/>
          <w:sz w:val="24"/>
          <w:szCs w:val="24"/>
          <w:u w:val="single"/>
        </w:rPr>
      </w:pPr>
      <w:r>
        <w:rPr>
          <w:rFonts w:hint="eastAsia" w:asciiTheme="majorEastAsia" w:hAnsiTheme="majorEastAsia" w:eastAsiaTheme="majorEastAsia"/>
          <w:sz w:val="24"/>
          <w:szCs w:val="24"/>
        </w:rPr>
        <w:t>开户银行：</w:t>
      </w:r>
      <w:r>
        <w:rPr>
          <w:rFonts w:asciiTheme="majorEastAsia" w:hAnsiTheme="majorEastAsia" w:eastAsiaTheme="majorEastAsia"/>
          <w:sz w:val="24"/>
          <w:szCs w:val="24"/>
          <w:u w:val="single"/>
        </w:rPr>
        <w:t xml:space="preserve">                                                    </w:t>
      </w:r>
    </w:p>
    <w:p>
      <w:pPr>
        <w:pStyle w:val="15"/>
        <w:spacing w:line="360" w:lineRule="auto"/>
        <w:ind w:firstLine="420"/>
        <w:rPr>
          <w:rFonts w:asciiTheme="majorEastAsia" w:hAnsiTheme="majorEastAsia" w:eastAsiaTheme="majorEastAsia"/>
          <w:sz w:val="24"/>
          <w:szCs w:val="24"/>
          <w:u w:val="single"/>
        </w:rPr>
      </w:pPr>
      <w:r>
        <w:rPr>
          <w:rFonts w:hint="eastAsia" w:asciiTheme="majorEastAsia" w:hAnsiTheme="majorEastAsia" w:eastAsiaTheme="majorEastAsia"/>
          <w:sz w:val="24"/>
          <w:szCs w:val="24"/>
        </w:rPr>
        <w:t>银行账号：</w:t>
      </w:r>
      <w:r>
        <w:rPr>
          <w:rFonts w:asciiTheme="majorEastAsia" w:hAnsiTheme="majorEastAsia" w:eastAsiaTheme="majorEastAsia"/>
          <w:sz w:val="24"/>
          <w:szCs w:val="24"/>
          <w:u w:val="single"/>
        </w:rPr>
        <w:t xml:space="preserve">                                                    </w:t>
      </w:r>
    </w:p>
    <w:p>
      <w:pPr>
        <w:pStyle w:val="15"/>
        <w:spacing w:line="360" w:lineRule="auto"/>
        <w:ind w:firstLine="420"/>
        <w:rPr>
          <w:rFonts w:asciiTheme="majorEastAsia" w:hAnsiTheme="majorEastAsia" w:eastAsiaTheme="majorEastAsia"/>
          <w:u w:val="single"/>
        </w:rPr>
      </w:pPr>
      <w:r>
        <w:rPr>
          <w:rFonts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年</w:t>
      </w:r>
      <w:r>
        <w:rPr>
          <w:rFonts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月</w:t>
      </w:r>
      <w:r>
        <w:rPr>
          <w:rFonts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日</w:t>
      </w:r>
      <w:r>
        <w:rPr>
          <w:rFonts w:asciiTheme="majorEastAsia" w:hAnsiTheme="majorEastAsia" w:eastAsiaTheme="majorEastAsia"/>
          <w:b/>
          <w:bCs/>
          <w:sz w:val="24"/>
          <w:szCs w:val="24"/>
        </w:rPr>
        <w:br w:type="page"/>
      </w:r>
      <w:r>
        <w:rPr>
          <w:rFonts w:hint="eastAsia" w:asciiTheme="majorEastAsia" w:hAnsiTheme="majorEastAsia" w:eastAsiaTheme="majorEastAsia"/>
          <w:b/>
          <w:bCs/>
        </w:rPr>
        <w:t>格式</w:t>
      </w:r>
      <w:r>
        <w:rPr>
          <w:rFonts w:asciiTheme="majorEastAsia" w:hAnsiTheme="majorEastAsia" w:eastAsiaTheme="majorEastAsia"/>
          <w:b/>
          <w:bCs/>
        </w:rPr>
        <w:t>2</w:t>
      </w:r>
      <w:r>
        <w:rPr>
          <w:rFonts w:hint="eastAsia" w:asciiTheme="majorEastAsia" w:hAnsiTheme="majorEastAsia" w:eastAsiaTheme="majorEastAsia"/>
          <w:b/>
          <w:bCs/>
        </w:rPr>
        <w:t>：</w:t>
      </w:r>
    </w:p>
    <w:p>
      <w:pPr>
        <w:pStyle w:val="15"/>
        <w:spacing w:line="500" w:lineRule="exact"/>
        <w:jc w:val="center"/>
        <w:rPr>
          <w:rFonts w:asciiTheme="majorEastAsia" w:hAnsiTheme="majorEastAsia" w:eastAsiaTheme="majorEastAsia"/>
          <w:b/>
          <w:bCs/>
          <w:sz w:val="30"/>
          <w:szCs w:val="30"/>
        </w:rPr>
      </w:pPr>
      <w:r>
        <w:rPr>
          <w:rFonts w:hint="eastAsia" w:asciiTheme="majorEastAsia" w:hAnsiTheme="majorEastAsia" w:eastAsiaTheme="majorEastAsia"/>
          <w:b/>
          <w:bCs/>
          <w:sz w:val="30"/>
          <w:szCs w:val="30"/>
        </w:rPr>
        <w:t>投标报价表（格式）</w:t>
      </w:r>
    </w:p>
    <w:tbl>
      <w:tblPr>
        <w:tblStyle w:val="27"/>
        <w:tblW w:w="997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98"/>
        <w:gridCol w:w="900"/>
        <w:gridCol w:w="1998"/>
        <w:gridCol w:w="1225"/>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4"/>
              </w:rPr>
            </w:pPr>
            <w:r>
              <w:rPr>
                <w:rFonts w:asciiTheme="majorEastAsia" w:hAnsiTheme="majorEastAsia" w:eastAsiaTheme="majorEastAsia"/>
                <w:sz w:val="24"/>
              </w:rPr>
              <w:t>序号</w:t>
            </w:r>
          </w:p>
        </w:tc>
        <w:tc>
          <w:tcPr>
            <w:tcW w:w="139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4"/>
              </w:rPr>
            </w:pPr>
            <w:r>
              <w:rPr>
                <w:rFonts w:asciiTheme="majorEastAsia" w:hAnsiTheme="majorEastAsia" w:eastAsiaTheme="majorEastAsia"/>
                <w:sz w:val="24"/>
              </w:rPr>
              <w:t>货物名称</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rPr>
            </w:pPr>
            <w:r>
              <w:rPr>
                <w:rFonts w:asciiTheme="majorEastAsia" w:hAnsiTheme="majorEastAsia" w:eastAsiaTheme="majorEastAsia"/>
                <w:sz w:val="24"/>
              </w:rPr>
              <w:t>数量①</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4"/>
              </w:rPr>
            </w:pPr>
            <w:r>
              <w:rPr>
                <w:rFonts w:asciiTheme="majorEastAsia" w:hAnsiTheme="majorEastAsia" w:eastAsiaTheme="majorEastAsia"/>
                <w:sz w:val="24"/>
              </w:rPr>
              <w:t>货物全称、品牌、生产厂家及国别</w:t>
            </w:r>
          </w:p>
        </w:tc>
        <w:tc>
          <w:tcPr>
            <w:tcW w:w="1225"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4"/>
              </w:rPr>
            </w:pPr>
            <w:r>
              <w:rPr>
                <w:rFonts w:asciiTheme="majorEastAsia" w:hAnsiTheme="majorEastAsia" w:eastAsiaTheme="majorEastAsia"/>
                <w:sz w:val="24"/>
              </w:rPr>
              <w:t>规格型号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4"/>
              </w:rPr>
            </w:pPr>
            <w:r>
              <w:rPr>
                <w:rFonts w:asciiTheme="majorEastAsia" w:hAnsiTheme="majorEastAsia" w:eastAsiaTheme="majorEastAsia"/>
                <w:sz w:val="24"/>
              </w:rPr>
              <w:t>单价(元)</w:t>
            </w:r>
          </w:p>
          <w:p>
            <w:pPr>
              <w:jc w:val="center"/>
              <w:rPr>
                <w:rFonts w:asciiTheme="majorEastAsia" w:hAnsiTheme="majorEastAsia" w:eastAsiaTheme="majorEastAsia"/>
                <w:sz w:val="24"/>
              </w:rPr>
            </w:pPr>
            <w:r>
              <w:rPr>
                <w:rFonts w:asciiTheme="majorEastAsia" w:hAnsiTheme="majorEastAsia" w:eastAsiaTheme="majorEastAsia"/>
                <w:sz w:val="24"/>
              </w:rPr>
              <w:t>②</w:t>
            </w:r>
          </w:p>
        </w:tc>
        <w:tc>
          <w:tcPr>
            <w:tcW w:w="1517"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rPr>
            </w:pPr>
            <w:r>
              <w:rPr>
                <w:rFonts w:asciiTheme="majorEastAsia" w:hAnsiTheme="majorEastAsia" w:eastAsiaTheme="majorEastAsia"/>
                <w:sz w:val="24"/>
              </w:rPr>
              <w:t>单项合价（元）</w:t>
            </w:r>
          </w:p>
          <w:p>
            <w:pPr>
              <w:rPr>
                <w:rFonts w:asciiTheme="majorEastAsia" w:hAnsiTheme="majorEastAsia" w:eastAsiaTheme="majorEastAsia"/>
                <w:sz w:val="24"/>
              </w:rPr>
            </w:pPr>
            <w:r>
              <w:rPr>
                <w:rFonts w:asciiTheme="majorEastAsia" w:hAnsiTheme="majorEastAsia" w:eastAsiaTheme="majorEastAsia"/>
                <w:sz w:val="24"/>
              </w:rPr>
              <w:t>③＝①×②</w:t>
            </w:r>
          </w:p>
        </w:tc>
        <w:tc>
          <w:tcPr>
            <w:tcW w:w="957"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4"/>
              </w:rPr>
            </w:pPr>
            <w:r>
              <w:rPr>
                <w:rFonts w:asciiTheme="majorEastAsia" w:hAnsiTheme="majorEastAsia" w:eastAsiaTheme="maj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rPr>
            </w:pPr>
            <w:r>
              <w:rPr>
                <w:rFonts w:asciiTheme="majorEastAsia" w:hAnsiTheme="majorEastAsia" w:eastAsiaTheme="majorEastAsia"/>
                <w:sz w:val="24"/>
              </w:rPr>
              <w:t>1</w:t>
            </w:r>
          </w:p>
        </w:tc>
        <w:tc>
          <w:tcPr>
            <w:tcW w:w="139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4"/>
              </w:rPr>
            </w:pP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4"/>
              </w:rPr>
            </w:pPr>
          </w:p>
        </w:tc>
        <w:tc>
          <w:tcPr>
            <w:tcW w:w="1225"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4"/>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rPr>
            </w:pPr>
            <w:r>
              <w:rPr>
                <w:rFonts w:asciiTheme="majorEastAsia" w:hAnsiTheme="majorEastAsia" w:eastAsiaTheme="majorEastAsia"/>
                <w:sz w:val="24"/>
              </w:rPr>
              <w:t>2</w:t>
            </w:r>
          </w:p>
        </w:tc>
        <w:tc>
          <w:tcPr>
            <w:tcW w:w="139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4"/>
              </w:rPr>
            </w:pP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4"/>
              </w:rPr>
            </w:pPr>
          </w:p>
        </w:tc>
        <w:tc>
          <w:tcPr>
            <w:tcW w:w="1225"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4"/>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rPr>
            </w:pPr>
            <w:r>
              <w:rPr>
                <w:rFonts w:asciiTheme="majorEastAsia" w:hAnsiTheme="majorEastAsia" w:eastAsiaTheme="majorEastAsia"/>
                <w:sz w:val="24"/>
              </w:rPr>
              <w:t>...</w:t>
            </w:r>
          </w:p>
        </w:tc>
        <w:tc>
          <w:tcPr>
            <w:tcW w:w="139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4"/>
              </w:rPr>
            </w:pP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4"/>
              </w:rPr>
            </w:pPr>
          </w:p>
        </w:tc>
        <w:tc>
          <w:tcPr>
            <w:tcW w:w="1225"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4"/>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975" w:type="dxa"/>
            <w:gridSpan w:val="8"/>
            <w:tcBorders>
              <w:top w:val="single" w:color="auto" w:sz="4" w:space="0"/>
              <w:left w:val="single" w:color="auto" w:sz="4" w:space="0"/>
              <w:bottom w:val="single" w:color="auto" w:sz="4" w:space="0"/>
              <w:right w:val="single" w:color="auto" w:sz="4" w:space="0"/>
            </w:tcBorders>
            <w:vAlign w:val="center"/>
          </w:tcPr>
          <w:p>
            <w:pPr>
              <w:jc w:val="left"/>
              <w:rPr>
                <w:rFonts w:asciiTheme="majorEastAsia" w:hAnsiTheme="majorEastAsia" w:eastAsiaTheme="majorEastAsia"/>
                <w:sz w:val="24"/>
              </w:rPr>
            </w:pPr>
            <w:r>
              <w:rPr>
                <w:rFonts w:asciiTheme="majorEastAsia" w:hAnsiTheme="majorEastAsia" w:eastAsiaTheme="majorEastAsia"/>
                <w:sz w:val="24"/>
              </w:rPr>
              <w:t>报价合计（包含装卸、运输等所有费用）：（大写）人民币</w:t>
            </w:r>
            <w:r>
              <w:rPr>
                <w:rFonts w:asciiTheme="majorEastAsia" w:hAnsiTheme="majorEastAsia" w:eastAsiaTheme="majorEastAsia"/>
                <w:sz w:val="24"/>
                <w:u w:val="single"/>
              </w:rPr>
              <w:t xml:space="preserve">       </w:t>
            </w:r>
            <w:r>
              <w:rPr>
                <w:rFonts w:hint="eastAsia" w:asciiTheme="majorEastAsia" w:hAnsiTheme="majorEastAsia" w:eastAsiaTheme="majorEastAsia"/>
                <w:sz w:val="24"/>
                <w:u w:val="single"/>
              </w:rPr>
              <w:t xml:space="preserve">        </w:t>
            </w:r>
            <w:r>
              <w:rPr>
                <w:rFonts w:asciiTheme="majorEastAsia" w:hAnsiTheme="majorEastAsia" w:eastAsiaTheme="majorEastAsia"/>
                <w:sz w:val="24"/>
              </w:rPr>
              <w:t>（￥</w:t>
            </w:r>
            <w:r>
              <w:rPr>
                <w:rFonts w:asciiTheme="majorEastAsia" w:hAnsiTheme="majorEastAsia" w:eastAsiaTheme="majorEastAsia"/>
                <w:sz w:val="24"/>
                <w:u w:val="single"/>
              </w:rPr>
              <w:t xml:space="preserve">        </w:t>
            </w:r>
            <w:r>
              <w:rPr>
                <w:rFonts w:asciiTheme="majorEastAsia" w:hAnsiTheme="majorEastAsia" w:eastAsiaTheme="majorEastAsia"/>
                <w:sz w:val="24"/>
              </w:rPr>
              <w:t>元）</w:t>
            </w:r>
          </w:p>
          <w:p>
            <w:pPr>
              <w:rPr>
                <w:rFonts w:asciiTheme="majorEastAsia" w:hAnsiTheme="majorEastAsia" w:eastAsiaTheme="majorEastAsia"/>
                <w:sz w:val="24"/>
              </w:rPr>
            </w:pPr>
            <w:r>
              <w:rPr>
                <w:rFonts w:asciiTheme="majorEastAsia" w:hAnsiTheme="majorEastAsia" w:eastAsiaTheme="majorEastAsia"/>
                <w:sz w:val="24"/>
              </w:rPr>
              <w:t>投标货物中，属于小微企业生产的产品总值为￥</w:t>
            </w:r>
            <w:r>
              <w:rPr>
                <w:rFonts w:asciiTheme="majorEastAsia" w:hAnsiTheme="majorEastAsia" w:eastAsiaTheme="majorEastAsia"/>
                <w:sz w:val="24"/>
                <w:u w:val="single"/>
              </w:rPr>
              <w:t xml:space="preserve">      </w:t>
            </w:r>
            <w:r>
              <w:rPr>
                <w:rFonts w:asciiTheme="majorEastAsia" w:hAnsiTheme="majorEastAsia" w:eastAsiaTheme="majorEastAsia"/>
                <w:sz w:val="24"/>
              </w:rPr>
              <w:t>元，占本投标报价的比例为</w:t>
            </w:r>
            <w:r>
              <w:rPr>
                <w:rFonts w:asciiTheme="majorEastAsia" w:hAnsiTheme="majorEastAsia" w:eastAsiaTheme="majorEastAsia"/>
                <w:sz w:val="24"/>
                <w:u w:val="single"/>
              </w:rPr>
              <w:t xml:space="preserve">   </w:t>
            </w:r>
            <w:r>
              <w:rPr>
                <w:rFonts w:asciiTheme="majorEastAsia" w:hAnsiTheme="majorEastAsia" w:eastAsiaTheme="majorEastAsia"/>
                <w:sz w:val="24"/>
              </w:rPr>
              <w:t>%；属于优先采购节能产品总值为￥</w:t>
            </w:r>
            <w:r>
              <w:rPr>
                <w:rFonts w:asciiTheme="majorEastAsia" w:hAnsiTheme="majorEastAsia" w:eastAsiaTheme="majorEastAsia"/>
                <w:sz w:val="24"/>
                <w:u w:val="single"/>
              </w:rPr>
              <w:t xml:space="preserve">      </w:t>
            </w:r>
            <w:r>
              <w:rPr>
                <w:rFonts w:asciiTheme="majorEastAsia" w:hAnsiTheme="majorEastAsia" w:eastAsiaTheme="majorEastAsia"/>
                <w:sz w:val="24"/>
              </w:rPr>
              <w:t>元，占本投标报价的比例为</w:t>
            </w:r>
            <w:r>
              <w:rPr>
                <w:rFonts w:asciiTheme="majorEastAsia" w:hAnsiTheme="majorEastAsia" w:eastAsiaTheme="majorEastAsia"/>
                <w:sz w:val="24"/>
                <w:u w:val="single"/>
              </w:rPr>
              <w:t xml:space="preserve">     </w:t>
            </w:r>
            <w:r>
              <w:rPr>
                <w:rFonts w:asciiTheme="majorEastAsia" w:hAnsiTheme="majorEastAsia" w:eastAsiaTheme="majorEastAsia"/>
                <w:sz w:val="24"/>
              </w:rPr>
              <w:t xml:space="preserve"> %；属于优先采购环境标志产品总值为￥</w:t>
            </w:r>
            <w:r>
              <w:rPr>
                <w:rFonts w:asciiTheme="majorEastAsia" w:hAnsiTheme="majorEastAsia" w:eastAsiaTheme="majorEastAsia"/>
                <w:sz w:val="24"/>
                <w:u w:val="single"/>
              </w:rPr>
              <w:t xml:space="preserve">      </w:t>
            </w:r>
            <w:r>
              <w:rPr>
                <w:rFonts w:asciiTheme="majorEastAsia" w:hAnsiTheme="majorEastAsia" w:eastAsiaTheme="majorEastAsia"/>
                <w:sz w:val="24"/>
              </w:rPr>
              <w:t>元，占本投标报价的比例为</w:t>
            </w:r>
            <w:r>
              <w:rPr>
                <w:rFonts w:asciiTheme="majorEastAsia" w:hAnsiTheme="majorEastAsia" w:eastAsiaTheme="majorEastAsia"/>
                <w:sz w:val="24"/>
                <w:u w:val="single"/>
              </w:rPr>
              <w:t xml:space="preserve">  </w:t>
            </w:r>
            <w:r>
              <w:rPr>
                <w:rFonts w:asciiTheme="majorEastAsia" w:hAnsiTheme="majorEastAsia" w:eastAsiaTheme="maj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975" w:type="dxa"/>
            <w:gridSpan w:val="8"/>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4"/>
                <w:u w:val="single"/>
              </w:rPr>
            </w:pPr>
            <w:r>
              <w:rPr>
                <w:rFonts w:hint="eastAsia" w:asciiTheme="majorEastAsia" w:hAnsiTheme="majorEastAsia" w:eastAsiaTheme="majorEastAsia"/>
                <w:sz w:val="24"/>
              </w:rPr>
              <w:t>投标人（盖单位公章）：</w:t>
            </w:r>
            <w:r>
              <w:rPr>
                <w:rFonts w:asciiTheme="majorEastAsia" w:hAnsiTheme="majorEastAsia" w:eastAsiaTheme="majorEastAsia"/>
                <w:b/>
                <w:sz w:val="24"/>
                <w:u w:val="single"/>
              </w:rPr>
              <w:t xml:space="preserve">  </w:t>
            </w:r>
            <w:r>
              <w:rPr>
                <w:rFonts w:hint="eastAsia" w:asciiTheme="majorEastAsia" w:hAnsiTheme="majorEastAsia" w:eastAsiaTheme="majorEastAsia"/>
                <w:b/>
                <w:sz w:val="24"/>
                <w:u w:val="single"/>
              </w:rPr>
              <w:t xml:space="preserve">                   </w:t>
            </w:r>
            <w:r>
              <w:rPr>
                <w:rFonts w:asciiTheme="majorEastAsia" w:hAnsiTheme="majorEastAsia" w:eastAsiaTheme="majorEastAsia"/>
                <w:b/>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975" w:type="dxa"/>
            <w:gridSpan w:val="8"/>
            <w:tcBorders>
              <w:top w:val="single" w:color="auto" w:sz="4" w:space="0"/>
              <w:left w:val="single" w:color="auto" w:sz="4" w:space="0"/>
              <w:bottom w:val="single" w:color="auto" w:sz="4" w:space="0"/>
              <w:right w:val="single" w:color="auto" w:sz="4" w:space="0"/>
            </w:tcBorders>
            <w:vAlign w:val="center"/>
          </w:tcPr>
          <w:p>
            <w:pPr>
              <w:pStyle w:val="15"/>
              <w:spacing w:line="500" w:lineRule="exact"/>
              <w:rPr>
                <w:rFonts w:asciiTheme="majorEastAsia" w:hAnsiTheme="majorEastAsia" w:eastAsiaTheme="majorEastAsia"/>
                <w:sz w:val="24"/>
                <w:szCs w:val="24"/>
                <w:u w:val="single"/>
              </w:rPr>
            </w:pPr>
            <w:r>
              <w:rPr>
                <w:rFonts w:hint="eastAsia" w:asciiTheme="majorEastAsia" w:hAnsiTheme="majorEastAsia" w:eastAsiaTheme="majorEastAsia"/>
                <w:sz w:val="24"/>
                <w:szCs w:val="24"/>
              </w:rPr>
              <w:t>法定代表人或其委托代理人（签字或盖章）：</w:t>
            </w:r>
            <w:r>
              <w:rPr>
                <w:rFonts w:asciiTheme="majorEastAsia" w:hAnsiTheme="majorEastAsia" w:eastAsiaTheme="majorEastAsia"/>
                <w:sz w:val="24"/>
                <w:szCs w:val="24"/>
                <w:u w:val="single"/>
              </w:rPr>
              <w:t xml:space="preserve">                  </w:t>
            </w:r>
          </w:p>
        </w:tc>
      </w:tr>
    </w:tbl>
    <w:p>
      <w:pPr>
        <w:pStyle w:val="15"/>
        <w:rPr>
          <w:rFonts w:asciiTheme="majorEastAsia" w:hAnsiTheme="majorEastAsia" w:eastAsiaTheme="majorEastAsia"/>
          <w:b/>
          <w:bCs/>
          <w:sz w:val="24"/>
          <w:szCs w:val="24"/>
        </w:rPr>
      </w:pPr>
    </w:p>
    <w:p>
      <w:pPr>
        <w:pStyle w:val="15"/>
        <w:jc w:val="left"/>
        <w:rPr>
          <w:rFonts w:asciiTheme="majorEastAsia" w:hAnsiTheme="majorEastAsia" w:eastAsiaTheme="majorEastAsia"/>
          <w:sz w:val="24"/>
          <w:szCs w:val="24"/>
        </w:rPr>
      </w:pPr>
    </w:p>
    <w:p>
      <w:pPr>
        <w:pStyle w:val="15"/>
        <w:jc w:val="left"/>
        <w:rPr>
          <w:rFonts w:asciiTheme="majorEastAsia" w:hAnsiTheme="majorEastAsia" w:eastAsiaTheme="majorEastAsia"/>
          <w:sz w:val="24"/>
          <w:szCs w:val="24"/>
        </w:rPr>
      </w:pPr>
      <w:r>
        <w:rPr>
          <w:rFonts w:hint="eastAsia" w:asciiTheme="majorEastAsia" w:hAnsiTheme="majorEastAsia" w:eastAsiaTheme="majorEastAsia"/>
          <w:sz w:val="24"/>
          <w:szCs w:val="24"/>
        </w:rPr>
        <w:t>注：表格内容均需按要求填写并盖章，不得留空, 否则按投标无效处理。</w:t>
      </w:r>
    </w:p>
    <w:p>
      <w:pPr>
        <w:pStyle w:val="15"/>
        <w:spacing w:line="600" w:lineRule="exact"/>
        <w:rPr>
          <w:rFonts w:asciiTheme="majorEastAsia" w:hAnsiTheme="majorEastAsia" w:eastAsiaTheme="majorEastAsia"/>
          <w:sz w:val="24"/>
          <w:szCs w:val="24"/>
        </w:rPr>
      </w:pPr>
    </w:p>
    <w:p>
      <w:pPr>
        <w:pStyle w:val="15"/>
        <w:jc w:val="left"/>
        <w:rPr>
          <w:rFonts w:asciiTheme="majorEastAsia" w:hAnsiTheme="majorEastAsia" w:eastAsiaTheme="majorEastAsia"/>
          <w:b/>
          <w:bCs/>
        </w:rPr>
      </w:pPr>
      <w:r>
        <w:rPr>
          <w:rFonts w:asciiTheme="majorEastAsia" w:hAnsiTheme="majorEastAsia" w:eastAsiaTheme="majorEastAsia"/>
          <w:sz w:val="24"/>
          <w:szCs w:val="24"/>
        </w:rPr>
        <w:br w:type="page"/>
      </w:r>
      <w:r>
        <w:rPr>
          <w:rFonts w:hint="eastAsia" w:asciiTheme="majorEastAsia" w:hAnsiTheme="majorEastAsia" w:eastAsiaTheme="majorEastAsia"/>
          <w:b/>
          <w:bCs/>
        </w:rPr>
        <w:t>格式</w:t>
      </w:r>
      <w:r>
        <w:rPr>
          <w:rFonts w:asciiTheme="majorEastAsia" w:hAnsiTheme="majorEastAsia" w:eastAsiaTheme="majorEastAsia"/>
          <w:b/>
          <w:bCs/>
        </w:rPr>
        <w:t>3</w:t>
      </w:r>
      <w:r>
        <w:rPr>
          <w:rFonts w:hint="eastAsia" w:asciiTheme="majorEastAsia" w:hAnsiTheme="majorEastAsia" w:eastAsiaTheme="majorEastAsia"/>
          <w:b/>
          <w:bCs/>
        </w:rPr>
        <w:t>：</w:t>
      </w:r>
    </w:p>
    <w:p>
      <w:pPr>
        <w:pStyle w:val="15"/>
        <w:jc w:val="center"/>
        <w:rPr>
          <w:rFonts w:asciiTheme="majorEastAsia" w:hAnsiTheme="majorEastAsia" w:eastAsiaTheme="majorEastAsia"/>
          <w:b/>
          <w:bCs/>
          <w:sz w:val="30"/>
          <w:szCs w:val="30"/>
        </w:rPr>
      </w:pPr>
      <w:r>
        <w:rPr>
          <w:rFonts w:hint="eastAsia" w:asciiTheme="majorEastAsia" w:hAnsiTheme="majorEastAsia" w:eastAsiaTheme="majorEastAsia"/>
          <w:b/>
          <w:bCs/>
          <w:sz w:val="30"/>
          <w:szCs w:val="30"/>
        </w:rPr>
        <w:t>中小企业声明函（格式）</w:t>
      </w:r>
    </w:p>
    <w:p>
      <w:pPr>
        <w:pStyle w:val="13"/>
        <w:spacing w:line="240" w:lineRule="auto"/>
        <w:ind w:firstLine="0"/>
        <w:rPr>
          <w:rFonts w:asciiTheme="majorEastAsia" w:hAnsiTheme="majorEastAsia" w:eastAsiaTheme="majorEastAsia"/>
          <w:sz w:val="24"/>
          <w:szCs w:val="24"/>
        </w:rPr>
      </w:pPr>
      <w:r>
        <w:rPr>
          <w:rFonts w:hint="eastAsia" w:asciiTheme="majorEastAsia" w:hAnsiTheme="majorEastAsia" w:eastAsiaTheme="majorEastAsia"/>
          <w:sz w:val="24"/>
          <w:szCs w:val="24"/>
        </w:rPr>
        <w:t>说明：</w:t>
      </w:r>
    </w:p>
    <w:p>
      <w:pPr>
        <w:pStyle w:val="13"/>
        <w:spacing w:line="240" w:lineRule="auto"/>
        <w:ind w:firstLine="464" w:firstLineChars="200"/>
        <w:rPr>
          <w:rFonts w:asciiTheme="majorEastAsia" w:hAnsiTheme="majorEastAsia" w:eastAsiaTheme="majorEastAsia"/>
          <w:sz w:val="24"/>
          <w:szCs w:val="24"/>
        </w:rPr>
      </w:pPr>
      <w:r>
        <w:rPr>
          <w:rFonts w:asciiTheme="majorEastAsia" w:hAnsiTheme="majorEastAsia" w:eastAsiaTheme="majorEastAsia"/>
          <w:sz w:val="24"/>
          <w:szCs w:val="24"/>
        </w:rPr>
        <w:t>1</w:t>
      </w:r>
      <w:r>
        <w:rPr>
          <w:rFonts w:hint="eastAsia" w:asciiTheme="majorEastAsia" w:hAnsiTheme="majorEastAsia" w:eastAsiaTheme="majorEastAsia"/>
          <w:sz w:val="24"/>
          <w:szCs w:val="24"/>
        </w:rPr>
        <w:t>、本声明函主要供参加政府采购活动的中小企业填写，非中小企业无需填写。</w:t>
      </w:r>
    </w:p>
    <w:p>
      <w:pPr>
        <w:pStyle w:val="13"/>
        <w:spacing w:line="240" w:lineRule="auto"/>
        <w:ind w:firstLine="464" w:firstLineChars="200"/>
        <w:rPr>
          <w:rFonts w:asciiTheme="majorEastAsia" w:hAnsiTheme="majorEastAsia" w:eastAsiaTheme="majorEastAsia"/>
          <w:sz w:val="24"/>
          <w:szCs w:val="24"/>
        </w:rPr>
      </w:pPr>
      <w:r>
        <w:rPr>
          <w:rFonts w:asciiTheme="majorEastAsia" w:hAnsiTheme="majorEastAsia" w:eastAsiaTheme="majorEastAsia"/>
          <w:sz w:val="24"/>
          <w:szCs w:val="24"/>
        </w:rPr>
        <w:t>2</w:t>
      </w:r>
      <w:r>
        <w:rPr>
          <w:rFonts w:hint="eastAsia" w:asciiTheme="majorEastAsia" w:hAnsiTheme="majorEastAsia" w:eastAsiaTheme="majorEastAsia"/>
          <w:sz w:val="24"/>
          <w:szCs w:val="24"/>
        </w:rPr>
        <w:t>、小型、微型企业提供中型企业制造的货物的，视同为中型企业。</w:t>
      </w:r>
    </w:p>
    <w:p>
      <w:pPr>
        <w:pStyle w:val="13"/>
        <w:spacing w:line="360" w:lineRule="auto"/>
        <w:ind w:firstLine="464" w:firstLineChars="200"/>
        <w:rPr>
          <w:rFonts w:asciiTheme="majorEastAsia" w:hAnsiTheme="majorEastAsia" w:eastAsiaTheme="majorEastAsia"/>
          <w:sz w:val="24"/>
          <w:szCs w:val="24"/>
        </w:rPr>
      </w:pPr>
    </w:p>
    <w:p>
      <w:pPr>
        <w:pStyle w:val="15"/>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本公司郑重声明，根据《政府采购促进中小企业发展暂行办法》（财库〔</w:t>
      </w:r>
      <w:r>
        <w:rPr>
          <w:rFonts w:asciiTheme="majorEastAsia" w:hAnsiTheme="majorEastAsia" w:eastAsiaTheme="majorEastAsia"/>
          <w:sz w:val="24"/>
          <w:szCs w:val="24"/>
        </w:rPr>
        <w:t>2011</w:t>
      </w:r>
      <w:r>
        <w:rPr>
          <w:rFonts w:hint="eastAsia" w:asciiTheme="majorEastAsia" w:hAnsiTheme="majorEastAsia" w:eastAsiaTheme="majorEastAsia"/>
          <w:sz w:val="24"/>
          <w:szCs w:val="24"/>
        </w:rPr>
        <w:t>〕</w:t>
      </w:r>
      <w:r>
        <w:rPr>
          <w:rFonts w:asciiTheme="majorEastAsia" w:hAnsiTheme="majorEastAsia" w:eastAsiaTheme="majorEastAsia"/>
          <w:sz w:val="24"/>
          <w:szCs w:val="24"/>
        </w:rPr>
        <w:t>181</w:t>
      </w:r>
      <w:r>
        <w:rPr>
          <w:rFonts w:hint="eastAsia" w:asciiTheme="majorEastAsia" w:hAnsiTheme="majorEastAsia" w:eastAsiaTheme="majorEastAsia"/>
          <w:sz w:val="24"/>
          <w:szCs w:val="24"/>
        </w:rPr>
        <w:t>号）的规定，本公司为</w:t>
      </w:r>
      <w:r>
        <w:rPr>
          <w:rFonts w:asciiTheme="majorEastAsia" w:hAnsiTheme="majorEastAsia" w:eastAsiaTheme="majorEastAsia"/>
          <w:sz w:val="24"/>
          <w:szCs w:val="24"/>
        </w:rPr>
        <w:t>______</w:t>
      </w:r>
      <w:r>
        <w:rPr>
          <w:rFonts w:hint="eastAsia" w:asciiTheme="majorEastAsia" w:hAnsiTheme="majorEastAsia" w:eastAsiaTheme="majorEastAsia"/>
          <w:sz w:val="24"/>
          <w:szCs w:val="24"/>
        </w:rPr>
        <w:t>（请填写：中型、小型、微型）企业。即，本公司同时满足以下条件：</w:t>
      </w:r>
    </w:p>
    <w:p>
      <w:pPr>
        <w:pStyle w:val="15"/>
        <w:spacing w:line="360" w:lineRule="auto"/>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1</w:t>
      </w:r>
      <w:r>
        <w:rPr>
          <w:rFonts w:hint="eastAsia" w:asciiTheme="majorEastAsia" w:hAnsiTheme="majorEastAsia" w:eastAsiaTheme="majorEastAsia"/>
          <w:sz w:val="24"/>
          <w:szCs w:val="24"/>
        </w:rPr>
        <w:t>．根据《工业和信息化部、国家统计局、国家发展和改革委员会、财政部关于印发中小企业划型标准规定的通知》（工信部联企业〔</w:t>
      </w:r>
      <w:r>
        <w:rPr>
          <w:rFonts w:asciiTheme="majorEastAsia" w:hAnsiTheme="majorEastAsia" w:eastAsiaTheme="majorEastAsia"/>
          <w:sz w:val="24"/>
          <w:szCs w:val="24"/>
        </w:rPr>
        <w:t>2011</w:t>
      </w:r>
      <w:r>
        <w:rPr>
          <w:rFonts w:hint="eastAsia" w:asciiTheme="majorEastAsia" w:hAnsiTheme="majorEastAsia" w:eastAsiaTheme="majorEastAsia"/>
          <w:sz w:val="24"/>
          <w:szCs w:val="24"/>
        </w:rPr>
        <w:t>〕</w:t>
      </w:r>
      <w:r>
        <w:rPr>
          <w:rFonts w:asciiTheme="majorEastAsia" w:hAnsiTheme="majorEastAsia" w:eastAsiaTheme="majorEastAsia"/>
          <w:sz w:val="24"/>
          <w:szCs w:val="24"/>
        </w:rPr>
        <w:t>300</w:t>
      </w:r>
      <w:r>
        <w:rPr>
          <w:rFonts w:hint="eastAsia" w:asciiTheme="majorEastAsia" w:hAnsiTheme="majorEastAsia" w:eastAsiaTheme="majorEastAsia"/>
          <w:sz w:val="24"/>
          <w:szCs w:val="24"/>
        </w:rPr>
        <w:t>号）规定的划分标准，本公司为</w:t>
      </w:r>
      <w:r>
        <w:rPr>
          <w:rFonts w:asciiTheme="majorEastAsia" w:hAnsiTheme="majorEastAsia" w:eastAsiaTheme="majorEastAsia"/>
          <w:sz w:val="24"/>
          <w:szCs w:val="24"/>
        </w:rPr>
        <w:t>______</w:t>
      </w:r>
      <w:r>
        <w:rPr>
          <w:rFonts w:hint="eastAsia" w:asciiTheme="majorEastAsia" w:hAnsiTheme="majorEastAsia" w:eastAsiaTheme="majorEastAsia"/>
          <w:sz w:val="24"/>
          <w:szCs w:val="24"/>
        </w:rPr>
        <w:t>（请填写：中型、小型、微型）企业。</w:t>
      </w:r>
    </w:p>
    <w:p>
      <w:pPr>
        <w:pStyle w:val="15"/>
        <w:spacing w:line="360" w:lineRule="auto"/>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2</w:t>
      </w:r>
      <w:r>
        <w:rPr>
          <w:rFonts w:hint="eastAsia" w:asciiTheme="majorEastAsia" w:hAnsiTheme="majorEastAsia" w:eastAsiaTheme="majorEastAsia"/>
          <w:sz w:val="24"/>
          <w:szCs w:val="24"/>
        </w:rPr>
        <w:t>．本公司参加</w:t>
      </w:r>
      <w:r>
        <w:rPr>
          <w:rFonts w:asciiTheme="majorEastAsia" w:hAnsiTheme="majorEastAsia" w:eastAsiaTheme="majorEastAsia"/>
          <w:sz w:val="24"/>
          <w:szCs w:val="24"/>
        </w:rPr>
        <w:t>______</w:t>
      </w:r>
      <w:r>
        <w:rPr>
          <w:rFonts w:hint="eastAsia" w:asciiTheme="majorEastAsia" w:hAnsiTheme="majorEastAsia" w:eastAsiaTheme="majorEastAsia"/>
          <w:sz w:val="24"/>
          <w:szCs w:val="24"/>
        </w:rPr>
        <w:t>单位的</w:t>
      </w:r>
      <w:r>
        <w:rPr>
          <w:rFonts w:asciiTheme="majorEastAsia" w:hAnsiTheme="majorEastAsia" w:eastAsiaTheme="majorEastAsia"/>
          <w:sz w:val="24"/>
          <w:szCs w:val="24"/>
        </w:rPr>
        <w:t>______</w:t>
      </w:r>
      <w:r>
        <w:rPr>
          <w:rFonts w:hint="eastAsia" w:asciiTheme="majorEastAsia" w:hAnsiTheme="majorEastAsia" w:eastAsiaTheme="majorEastAsia"/>
          <w:sz w:val="24"/>
          <w:szCs w:val="24"/>
        </w:rPr>
        <w:t>项目采购活动提供本企业制造的货物，由本企业承担工程、提供服务，或者提供其他</w:t>
      </w:r>
      <w:r>
        <w:rPr>
          <w:rFonts w:asciiTheme="majorEastAsia" w:hAnsiTheme="majorEastAsia" w:eastAsiaTheme="majorEastAsia"/>
          <w:sz w:val="24"/>
          <w:szCs w:val="24"/>
        </w:rPr>
        <w:t>______</w:t>
      </w:r>
      <w:r>
        <w:rPr>
          <w:rFonts w:hint="eastAsia" w:asciiTheme="majorEastAsia" w:hAnsiTheme="majorEastAsia" w:eastAsiaTheme="majorEastAsia"/>
          <w:sz w:val="24"/>
          <w:szCs w:val="24"/>
        </w:rPr>
        <w:t>（请填写：中型、小型、微型）企业制造的货物。本条所称货物不包括使用大型企业注册商标的货物。</w:t>
      </w:r>
    </w:p>
    <w:p>
      <w:pPr>
        <w:pStyle w:val="15"/>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本公司对上述声明的真实性负责。如有虚假，将依法承担相应责任。</w:t>
      </w:r>
    </w:p>
    <w:p>
      <w:pPr>
        <w:pStyle w:val="15"/>
        <w:spacing w:line="360" w:lineRule="auto"/>
        <w:rPr>
          <w:rFonts w:asciiTheme="majorEastAsia" w:hAnsiTheme="majorEastAsia" w:eastAsiaTheme="majorEastAsia"/>
          <w:sz w:val="24"/>
          <w:szCs w:val="24"/>
        </w:rPr>
      </w:pPr>
    </w:p>
    <w:p>
      <w:pPr>
        <w:pStyle w:val="15"/>
        <w:spacing w:line="360" w:lineRule="auto"/>
        <w:ind w:firstLine="480" w:firstLineChars="200"/>
        <w:rPr>
          <w:rFonts w:asciiTheme="majorEastAsia" w:hAnsiTheme="majorEastAsia" w:eastAsiaTheme="majorEastAsia"/>
          <w:sz w:val="24"/>
          <w:szCs w:val="24"/>
        </w:rPr>
      </w:pPr>
    </w:p>
    <w:p>
      <w:pPr>
        <w:pStyle w:val="15"/>
        <w:spacing w:line="600" w:lineRule="exact"/>
        <w:rPr>
          <w:rFonts w:asciiTheme="majorEastAsia" w:hAnsiTheme="majorEastAsia" w:eastAsiaTheme="majorEastAsia"/>
          <w:sz w:val="24"/>
          <w:szCs w:val="24"/>
          <w:u w:val="single"/>
        </w:rPr>
      </w:pPr>
      <w:r>
        <w:rPr>
          <w:rFonts w:hint="eastAsia" w:asciiTheme="majorEastAsia" w:hAnsiTheme="majorEastAsia" w:eastAsiaTheme="majorEastAsia"/>
          <w:sz w:val="24"/>
          <w:szCs w:val="24"/>
        </w:rPr>
        <w:t>投标人（盖单位公章）：</w:t>
      </w:r>
      <w:r>
        <w:rPr>
          <w:rFonts w:asciiTheme="majorEastAsia" w:hAnsiTheme="majorEastAsia" w:eastAsiaTheme="majorEastAsia"/>
          <w:sz w:val="24"/>
          <w:szCs w:val="24"/>
          <w:u w:val="single"/>
        </w:rPr>
        <w:t xml:space="preserve">                                    </w:t>
      </w:r>
    </w:p>
    <w:p>
      <w:pPr>
        <w:pStyle w:val="15"/>
        <w:spacing w:line="600" w:lineRule="exact"/>
        <w:rPr>
          <w:rFonts w:asciiTheme="majorEastAsia" w:hAnsiTheme="majorEastAsia" w:eastAsiaTheme="majorEastAsia"/>
          <w:sz w:val="24"/>
          <w:szCs w:val="24"/>
          <w:u w:val="single"/>
        </w:rPr>
      </w:pPr>
    </w:p>
    <w:p>
      <w:pPr>
        <w:pStyle w:val="15"/>
        <w:spacing w:line="500" w:lineRule="exact"/>
        <w:rPr>
          <w:rFonts w:asciiTheme="majorEastAsia" w:hAnsiTheme="majorEastAsia" w:eastAsiaTheme="majorEastAsia"/>
          <w:sz w:val="24"/>
          <w:szCs w:val="24"/>
          <w:u w:val="single"/>
        </w:rPr>
      </w:pPr>
      <w:r>
        <w:rPr>
          <w:rFonts w:hint="eastAsia" w:asciiTheme="majorEastAsia" w:hAnsiTheme="majorEastAsia" w:eastAsiaTheme="majorEastAsia"/>
          <w:sz w:val="24"/>
          <w:szCs w:val="24"/>
        </w:rPr>
        <w:t>法定代表人或其委托代理人（签字或盖章）：</w:t>
      </w:r>
      <w:r>
        <w:rPr>
          <w:rFonts w:asciiTheme="majorEastAsia" w:hAnsiTheme="majorEastAsia" w:eastAsiaTheme="majorEastAsia"/>
          <w:sz w:val="24"/>
          <w:szCs w:val="24"/>
          <w:u w:val="single"/>
        </w:rPr>
        <w:t xml:space="preserve">                  </w:t>
      </w:r>
    </w:p>
    <w:p>
      <w:pPr>
        <w:spacing w:line="588" w:lineRule="exact"/>
        <w:jc w:val="left"/>
        <w:rPr>
          <w:rFonts w:asciiTheme="majorEastAsia" w:hAnsiTheme="majorEastAsia" w:eastAsiaTheme="majorEastAsia"/>
          <w:sz w:val="24"/>
        </w:rPr>
      </w:pPr>
      <w:r>
        <w:rPr>
          <w:rFonts w:asciiTheme="majorEastAsia" w:hAnsiTheme="majorEastAsia" w:eastAsiaTheme="majorEastAsia"/>
        </w:rPr>
        <w:br w:type="page"/>
      </w:r>
      <w:bookmarkStart w:id="59" w:name="OLE_LINK13"/>
      <w:bookmarkStart w:id="60" w:name="OLE_LINK14"/>
      <w:r>
        <w:rPr>
          <w:rFonts w:hint="eastAsia" w:cs="宋体" w:asciiTheme="majorEastAsia" w:hAnsiTheme="majorEastAsia" w:eastAsiaTheme="majorEastAsia"/>
          <w:b/>
          <w:bCs/>
        </w:rPr>
        <w:t>格式4：</w:t>
      </w:r>
    </w:p>
    <w:p>
      <w:pPr>
        <w:pStyle w:val="15"/>
        <w:spacing w:line="500" w:lineRule="exact"/>
        <w:jc w:val="center"/>
        <w:rPr>
          <w:rFonts w:asciiTheme="majorEastAsia" w:hAnsiTheme="majorEastAsia" w:eastAsiaTheme="majorEastAsia"/>
          <w:b/>
          <w:bCs/>
          <w:sz w:val="30"/>
          <w:szCs w:val="30"/>
        </w:rPr>
      </w:pPr>
      <w:r>
        <w:rPr>
          <w:rFonts w:hint="eastAsia" w:cs="宋体" w:asciiTheme="majorEastAsia" w:hAnsiTheme="majorEastAsia" w:eastAsiaTheme="majorEastAsia"/>
          <w:b/>
          <w:bCs/>
          <w:sz w:val="30"/>
          <w:szCs w:val="30"/>
        </w:rPr>
        <w:t>残疾人福利性单位声明函</w:t>
      </w:r>
      <w:r>
        <w:rPr>
          <w:rFonts w:hint="eastAsia" w:asciiTheme="majorEastAsia" w:hAnsiTheme="majorEastAsia" w:eastAsiaTheme="majorEastAsia"/>
          <w:b/>
          <w:bCs/>
          <w:sz w:val="30"/>
          <w:szCs w:val="30"/>
        </w:rPr>
        <w:t>（格式）</w:t>
      </w:r>
    </w:p>
    <w:bookmarkEnd w:id="59"/>
    <w:bookmarkEnd w:id="60"/>
    <w:p>
      <w:pPr>
        <w:spacing w:line="588" w:lineRule="exact"/>
        <w:rPr>
          <w:rFonts w:asciiTheme="majorEastAsia" w:hAnsiTheme="majorEastAsia" w:eastAsiaTheme="majorEastAsia"/>
          <w:b/>
          <w:bCs/>
          <w:spacing w:val="6"/>
          <w:sz w:val="30"/>
          <w:szCs w:val="30"/>
        </w:rPr>
      </w:pPr>
    </w:p>
    <w:p>
      <w:pPr>
        <w:pStyle w:val="15"/>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本单位郑重声明，根据《财政部</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民政部</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中国残疾人联合会关于促进残疾人就业政府采购政策的通知》（财库〔</w:t>
      </w:r>
      <w:r>
        <w:rPr>
          <w:rFonts w:asciiTheme="majorEastAsia" w:hAnsiTheme="majorEastAsia" w:eastAsiaTheme="majorEastAsia"/>
          <w:sz w:val="24"/>
          <w:szCs w:val="24"/>
        </w:rPr>
        <w:t>2017</w:t>
      </w:r>
      <w:r>
        <w:rPr>
          <w:rFonts w:hint="eastAsia" w:asciiTheme="majorEastAsia" w:hAnsiTheme="majorEastAsia" w:eastAsiaTheme="majorEastAsia"/>
          <w:sz w:val="24"/>
          <w:szCs w:val="24"/>
        </w:rPr>
        <w:t>〕</w:t>
      </w:r>
      <w:r>
        <w:rPr>
          <w:rFonts w:asciiTheme="majorEastAsia" w:hAnsiTheme="majorEastAsia" w:eastAsiaTheme="majorEastAsia"/>
          <w:sz w:val="24"/>
          <w:szCs w:val="24"/>
        </w:rPr>
        <w:t xml:space="preserve"> 141</w:t>
      </w:r>
      <w:r>
        <w:rPr>
          <w:rFonts w:hint="eastAsia" w:asciiTheme="majorEastAsia" w:hAnsiTheme="majorEastAsia" w:eastAsiaTheme="majorEastAsia"/>
          <w:sz w:val="24"/>
          <w:szCs w:val="24"/>
        </w:rPr>
        <w:t>号）的规定，本单位为符合条件的残疾人福利性单位，且本单位参加</w:t>
      </w:r>
      <w:r>
        <w:rPr>
          <w:rFonts w:asciiTheme="majorEastAsia" w:hAnsiTheme="majorEastAsia" w:eastAsiaTheme="majorEastAsia"/>
          <w:sz w:val="24"/>
          <w:szCs w:val="24"/>
        </w:rPr>
        <w:t>______</w:t>
      </w:r>
      <w:r>
        <w:rPr>
          <w:rFonts w:hint="eastAsia" w:asciiTheme="majorEastAsia" w:hAnsiTheme="majorEastAsia" w:eastAsiaTheme="majorEastAsia"/>
          <w:sz w:val="24"/>
          <w:szCs w:val="24"/>
        </w:rPr>
        <w:t>单位的</w:t>
      </w:r>
      <w:r>
        <w:rPr>
          <w:rFonts w:asciiTheme="majorEastAsia" w:hAnsiTheme="majorEastAsia" w:eastAsiaTheme="majorEastAsia"/>
          <w:sz w:val="24"/>
          <w:szCs w:val="24"/>
        </w:rPr>
        <w:t>______</w:t>
      </w:r>
      <w:r>
        <w:rPr>
          <w:rFonts w:hint="eastAsia" w:asciiTheme="majorEastAsia" w:hAnsiTheme="majorEastAsia" w:eastAsiaTheme="majorEastAsia"/>
          <w:sz w:val="24"/>
          <w:szCs w:val="24"/>
        </w:rPr>
        <w:t>项目采购活动提供本单位制造的货物（由本单位承担工程</w:t>
      </w:r>
      <w:r>
        <w:rPr>
          <w:rFonts w:asciiTheme="majorEastAsia" w:hAnsiTheme="majorEastAsia" w:eastAsiaTheme="majorEastAsia"/>
          <w:sz w:val="24"/>
          <w:szCs w:val="24"/>
        </w:rPr>
        <w:t>/</w:t>
      </w:r>
      <w:r>
        <w:rPr>
          <w:rFonts w:hint="eastAsia" w:asciiTheme="majorEastAsia" w:hAnsiTheme="majorEastAsia" w:eastAsiaTheme="majorEastAsia"/>
          <w:sz w:val="24"/>
          <w:szCs w:val="24"/>
        </w:rPr>
        <w:t>提供服务），或者提供其他残疾人福利性单位制造的货物（不包括使用非残疾人福利性单位注册商标的货物）。</w:t>
      </w:r>
    </w:p>
    <w:p>
      <w:pPr>
        <w:pStyle w:val="15"/>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本单位对上述声明的真实性负责。如有虚假，将依法承担相应责任。</w:t>
      </w:r>
    </w:p>
    <w:p>
      <w:pPr>
        <w:pStyle w:val="15"/>
        <w:spacing w:line="360" w:lineRule="auto"/>
        <w:ind w:firstLine="480" w:firstLineChars="200"/>
        <w:rPr>
          <w:rFonts w:asciiTheme="majorEastAsia" w:hAnsiTheme="majorEastAsia" w:eastAsiaTheme="majorEastAsia"/>
          <w:sz w:val="24"/>
          <w:szCs w:val="24"/>
        </w:rPr>
      </w:pPr>
    </w:p>
    <w:p>
      <w:pPr>
        <w:pStyle w:val="15"/>
        <w:spacing w:line="360" w:lineRule="auto"/>
        <w:ind w:firstLine="480" w:firstLineChars="200"/>
        <w:rPr>
          <w:rFonts w:asciiTheme="majorEastAsia" w:hAnsiTheme="majorEastAsia" w:eastAsiaTheme="majorEastAsia"/>
          <w:sz w:val="24"/>
          <w:szCs w:val="24"/>
        </w:rPr>
      </w:pPr>
    </w:p>
    <w:p>
      <w:pPr>
        <w:pStyle w:val="15"/>
        <w:spacing w:line="360" w:lineRule="auto"/>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单位名称（盖章）：</w:t>
      </w:r>
    </w:p>
    <w:p>
      <w:pPr>
        <w:pStyle w:val="15"/>
        <w:spacing w:line="360" w:lineRule="auto"/>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日</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期：</w:t>
      </w:r>
    </w:p>
    <w:p>
      <w:pPr>
        <w:pStyle w:val="15"/>
        <w:spacing w:line="360" w:lineRule="auto"/>
        <w:rPr>
          <w:rFonts w:asciiTheme="majorEastAsia" w:hAnsiTheme="majorEastAsia" w:eastAsiaTheme="majorEastAsia"/>
        </w:rPr>
      </w:pPr>
      <w:r>
        <w:rPr>
          <w:rFonts w:asciiTheme="majorEastAsia" w:hAnsiTheme="majorEastAsia" w:eastAsiaTheme="majorEastAsia"/>
        </w:rPr>
        <w:br w:type="page"/>
      </w:r>
      <w:r>
        <w:rPr>
          <w:rFonts w:hint="eastAsia" w:asciiTheme="majorEastAsia" w:hAnsiTheme="majorEastAsia" w:eastAsiaTheme="majorEastAsia"/>
          <w:b/>
          <w:bCs/>
        </w:rPr>
        <w:t>格式5：</w:t>
      </w:r>
    </w:p>
    <w:p>
      <w:pPr>
        <w:spacing w:line="588" w:lineRule="exact"/>
        <w:jc w:val="center"/>
        <w:rPr>
          <w:rFonts w:cs="宋体" w:asciiTheme="majorEastAsia" w:hAnsiTheme="majorEastAsia" w:eastAsiaTheme="majorEastAsia"/>
          <w:b/>
          <w:bCs/>
          <w:spacing w:val="6"/>
          <w:sz w:val="30"/>
          <w:szCs w:val="30"/>
        </w:rPr>
      </w:pPr>
      <w:r>
        <w:rPr>
          <w:rFonts w:hint="eastAsia" w:cs="宋体" w:asciiTheme="majorEastAsia" w:hAnsiTheme="majorEastAsia" w:eastAsiaTheme="majorEastAsia"/>
          <w:b/>
          <w:bCs/>
          <w:spacing w:val="6"/>
          <w:sz w:val="30"/>
          <w:szCs w:val="30"/>
        </w:rPr>
        <w:t>资格声明函（格式）</w:t>
      </w:r>
    </w:p>
    <w:p>
      <w:pPr>
        <w:pStyle w:val="24"/>
        <w:shd w:val="clear" w:color="auto" w:fill="FFFFFF"/>
        <w:spacing w:before="0" w:beforeAutospacing="0" w:after="0" w:afterAutospacing="0" w:line="360" w:lineRule="atLeast"/>
        <w:jc w:val="center"/>
        <w:rPr>
          <w:rFonts w:cs="Times New Roman" w:asciiTheme="majorEastAsia" w:hAnsiTheme="majorEastAsia" w:eastAsiaTheme="majorEastAsia"/>
          <w:sz w:val="18"/>
          <w:szCs w:val="18"/>
        </w:rPr>
      </w:pPr>
    </w:p>
    <w:p>
      <w:pPr>
        <w:pStyle w:val="15"/>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致</w:t>
      </w:r>
      <w:r>
        <w:rPr>
          <w:rFonts w:hint="eastAsia" w:asciiTheme="majorEastAsia" w:hAnsiTheme="majorEastAsia" w:eastAsiaTheme="majorEastAsia"/>
          <w:sz w:val="24"/>
          <w:szCs w:val="24"/>
          <w:u w:val="single"/>
        </w:rPr>
        <w:t>：</w:t>
      </w:r>
      <w:r>
        <w:rPr>
          <w:rFonts w:asciiTheme="majorEastAsia" w:hAnsiTheme="majorEastAsia" w:eastAsiaTheme="majorEastAsia"/>
          <w:sz w:val="24"/>
          <w:szCs w:val="24"/>
          <w:u w:val="single"/>
        </w:rPr>
        <w:t>_           </w:t>
      </w:r>
      <w:r>
        <w:rPr>
          <w:rFonts w:hint="eastAsia" w:asciiTheme="majorEastAsia" w:hAnsiTheme="majorEastAsia" w:eastAsiaTheme="majorEastAsia"/>
          <w:sz w:val="24"/>
          <w:szCs w:val="24"/>
        </w:rPr>
        <w:t>（采购代理机构名称）</w:t>
      </w:r>
    </w:p>
    <w:p>
      <w:pPr>
        <w:pStyle w:val="15"/>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我方愿意参加贵方组织的</w:t>
      </w:r>
      <w:r>
        <w:rPr>
          <w:rFonts w:hint="eastAsia" w:asciiTheme="majorEastAsia" w:hAnsiTheme="majorEastAsia" w:eastAsiaTheme="majorEastAsia"/>
          <w:sz w:val="24"/>
          <w:szCs w:val="24"/>
          <w:u w:val="single"/>
        </w:rPr>
        <w:t xml:space="preserve">     </w:t>
      </w:r>
      <w:r>
        <w:rPr>
          <w:rFonts w:asciiTheme="majorEastAsia" w:hAnsiTheme="majorEastAsia" w:eastAsiaTheme="majorEastAsia"/>
          <w:sz w:val="24"/>
          <w:szCs w:val="24"/>
          <w:u w:val="single"/>
        </w:rPr>
        <w:t>(</w:t>
      </w:r>
      <w:r>
        <w:rPr>
          <w:rFonts w:hint="eastAsia" w:asciiTheme="majorEastAsia" w:hAnsiTheme="majorEastAsia" w:eastAsiaTheme="majorEastAsia"/>
          <w:sz w:val="24"/>
          <w:szCs w:val="24"/>
          <w:u w:val="single"/>
        </w:rPr>
        <w:t>项目名称</w:t>
      </w:r>
      <w:r>
        <w:rPr>
          <w:rFonts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（项目编号</w:t>
      </w:r>
      <w:r>
        <w:rPr>
          <w:rFonts w:hint="eastAsia" w:asciiTheme="majorEastAsia" w:hAnsiTheme="majorEastAsia" w:eastAsiaTheme="majorEastAsia"/>
          <w:sz w:val="24"/>
          <w:szCs w:val="24"/>
          <w:u w:val="single"/>
        </w:rPr>
        <w:t xml:space="preserve">：       </w:t>
      </w:r>
      <w:r>
        <w:rPr>
          <w:rFonts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）项目的投标，为便于贵方公正、择优地确定中标人及其投标服务成果和服务，我方就本次投标有关事项郑重声明如下：</w:t>
      </w:r>
    </w:p>
    <w:p>
      <w:pPr>
        <w:pStyle w:val="15"/>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1</w:t>
      </w:r>
      <w:r>
        <w:rPr>
          <w:rFonts w:hint="eastAsia" w:asciiTheme="majorEastAsia" w:hAnsiTheme="majorEastAsia" w:eastAsiaTheme="majorEastAsia"/>
          <w:sz w:val="24"/>
          <w:szCs w:val="24"/>
        </w:rPr>
        <w:t>、我方承诺已经具备《中华人民共和国政府采购法》中规定的参加政府采购活动的供应商应当具备的条件：</w:t>
      </w:r>
    </w:p>
    <w:p>
      <w:pPr>
        <w:pStyle w:val="15"/>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1</w:t>
      </w:r>
      <w:r>
        <w:rPr>
          <w:rFonts w:hint="eastAsia" w:asciiTheme="majorEastAsia" w:hAnsiTheme="majorEastAsia" w:eastAsiaTheme="majorEastAsia"/>
          <w:sz w:val="24"/>
          <w:szCs w:val="24"/>
        </w:rPr>
        <w:t>）具有独立承担民事责任的能力；</w:t>
      </w:r>
    </w:p>
    <w:p>
      <w:pPr>
        <w:pStyle w:val="15"/>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2</w:t>
      </w:r>
      <w:r>
        <w:rPr>
          <w:rFonts w:hint="eastAsia" w:asciiTheme="majorEastAsia" w:hAnsiTheme="majorEastAsia" w:eastAsiaTheme="majorEastAsia"/>
          <w:sz w:val="24"/>
          <w:szCs w:val="24"/>
        </w:rPr>
        <w:t>）具有良好的商业信誉和健全的财务会计制度；</w:t>
      </w:r>
    </w:p>
    <w:p>
      <w:pPr>
        <w:pStyle w:val="15"/>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3</w:t>
      </w:r>
      <w:r>
        <w:rPr>
          <w:rFonts w:hint="eastAsia" w:asciiTheme="majorEastAsia" w:hAnsiTheme="majorEastAsia" w:eastAsiaTheme="majorEastAsia"/>
          <w:sz w:val="24"/>
          <w:szCs w:val="24"/>
        </w:rPr>
        <w:t>）具有履行合同所必需的设备和专业技术能力；</w:t>
      </w:r>
    </w:p>
    <w:p>
      <w:pPr>
        <w:pStyle w:val="15"/>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4</w:t>
      </w:r>
      <w:r>
        <w:rPr>
          <w:rFonts w:hint="eastAsia" w:asciiTheme="majorEastAsia" w:hAnsiTheme="majorEastAsia" w:eastAsiaTheme="majorEastAsia"/>
          <w:sz w:val="24"/>
          <w:szCs w:val="24"/>
        </w:rPr>
        <w:t>）有依法缴纳税收和社会保障资金的良好记录；</w:t>
      </w:r>
    </w:p>
    <w:p>
      <w:pPr>
        <w:pStyle w:val="15"/>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5</w:t>
      </w:r>
      <w:r>
        <w:rPr>
          <w:rFonts w:hint="eastAsia" w:asciiTheme="majorEastAsia" w:hAnsiTheme="majorEastAsia" w:eastAsiaTheme="majorEastAsia"/>
          <w:sz w:val="24"/>
          <w:szCs w:val="24"/>
        </w:rPr>
        <w:t>）参加政府采购活动前三年内，在经营活动中没有重大违法记录；</w:t>
      </w:r>
    </w:p>
    <w:p>
      <w:pPr>
        <w:pStyle w:val="15"/>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6</w:t>
      </w:r>
      <w:r>
        <w:rPr>
          <w:rFonts w:hint="eastAsia" w:asciiTheme="majorEastAsia" w:hAnsiTheme="majorEastAsia" w:eastAsiaTheme="majorEastAsia"/>
          <w:sz w:val="24"/>
          <w:szCs w:val="24"/>
        </w:rPr>
        <w:t>）法律、行政法规规定的其他条件。</w:t>
      </w:r>
    </w:p>
    <w:p>
      <w:pPr>
        <w:pStyle w:val="15"/>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2. </w:t>
      </w:r>
      <w:r>
        <w:rPr>
          <w:rFonts w:hint="eastAsia" w:asciiTheme="majorEastAsia" w:hAnsiTheme="majorEastAsia" w:eastAsiaTheme="majorEastAsia"/>
          <w:sz w:val="24"/>
          <w:szCs w:val="24"/>
        </w:rPr>
        <w:t>经查询，在“信用中国”和“中国政府采购网”网站我方未被列入失信被执行人、重大税收违法案件当事人名单、政府采购严重违法失信行为记录名单。</w:t>
      </w:r>
    </w:p>
    <w:p>
      <w:pPr>
        <w:pStyle w:val="15"/>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以上事项如有虚假或隐瞒，我方愿意承担一切后果，并不再寻求任何旨在减轻或免除法律责任的辩解。</w:t>
      </w:r>
    </w:p>
    <w:p>
      <w:pPr>
        <w:pStyle w:val="15"/>
        <w:spacing w:line="440" w:lineRule="exact"/>
        <w:ind w:firstLine="482" w:firstLineChars="200"/>
        <w:rPr>
          <w:rFonts w:asciiTheme="majorEastAsia" w:hAnsiTheme="majorEastAsia" w:eastAsiaTheme="majorEastAsia"/>
          <w:b/>
          <w:sz w:val="24"/>
          <w:szCs w:val="24"/>
        </w:rPr>
      </w:pPr>
    </w:p>
    <w:p>
      <w:pPr>
        <w:pStyle w:val="15"/>
        <w:spacing w:line="440" w:lineRule="exact"/>
        <w:ind w:firstLine="482" w:firstLineChars="200"/>
        <w:rPr>
          <w:rFonts w:asciiTheme="majorEastAsia" w:hAnsiTheme="majorEastAsia" w:eastAsiaTheme="majorEastAsia"/>
          <w:b/>
          <w:sz w:val="24"/>
          <w:szCs w:val="24"/>
        </w:rPr>
      </w:pPr>
    </w:p>
    <w:p>
      <w:pPr>
        <w:tabs>
          <w:tab w:val="left" w:pos="7200"/>
        </w:tabs>
        <w:spacing w:line="360" w:lineRule="auto"/>
        <w:ind w:firstLine="959" w:firstLineChars="398"/>
        <w:rPr>
          <w:rFonts w:asciiTheme="majorEastAsia" w:hAnsiTheme="majorEastAsia" w:eastAsiaTheme="majorEastAsia"/>
          <w:sz w:val="24"/>
          <w:u w:val="single"/>
        </w:rPr>
      </w:pPr>
      <w:r>
        <w:rPr>
          <w:rFonts w:cs="宋体" w:asciiTheme="majorEastAsia" w:hAnsiTheme="majorEastAsia" w:eastAsiaTheme="majorEastAsia"/>
          <w:b/>
          <w:bCs/>
          <w:sz w:val="24"/>
        </w:rPr>
        <w:t xml:space="preserve">                               </w:t>
      </w:r>
      <w:r>
        <w:rPr>
          <w:rFonts w:cs="宋体" w:asciiTheme="majorEastAsia" w:hAnsiTheme="majorEastAsia" w:eastAsiaTheme="majorEastAsia"/>
          <w:sz w:val="24"/>
        </w:rPr>
        <w:t xml:space="preserve">   </w:t>
      </w:r>
      <w:r>
        <w:rPr>
          <w:rFonts w:hint="eastAsia" w:cs="宋体" w:asciiTheme="majorEastAsia" w:hAnsiTheme="majorEastAsia" w:eastAsiaTheme="majorEastAsia"/>
          <w:sz w:val="24"/>
        </w:rPr>
        <w:t xml:space="preserve"> 法定代表人或委托代理人签字：</w:t>
      </w:r>
      <w:r>
        <w:rPr>
          <w:rFonts w:cs="宋体" w:asciiTheme="majorEastAsia" w:hAnsiTheme="majorEastAsia" w:eastAsiaTheme="majorEastAsia"/>
          <w:sz w:val="24"/>
          <w:u w:val="single"/>
        </w:rPr>
        <w:t xml:space="preserve">             </w:t>
      </w:r>
    </w:p>
    <w:p>
      <w:pPr>
        <w:tabs>
          <w:tab w:val="left" w:pos="7200"/>
        </w:tabs>
        <w:spacing w:line="360" w:lineRule="auto"/>
        <w:ind w:firstLine="4668" w:firstLineChars="1945"/>
        <w:rPr>
          <w:rFonts w:asciiTheme="majorEastAsia" w:hAnsiTheme="majorEastAsia" w:eastAsiaTheme="majorEastAsia"/>
          <w:sz w:val="24"/>
        </w:rPr>
      </w:pPr>
      <w:r>
        <w:rPr>
          <w:rFonts w:cs="宋体" w:asciiTheme="majorEastAsia" w:hAnsiTheme="majorEastAsia" w:eastAsiaTheme="majorEastAsia"/>
          <w:sz w:val="24"/>
        </w:rPr>
        <w:t xml:space="preserve">    </w:t>
      </w:r>
      <w:r>
        <w:rPr>
          <w:rFonts w:hint="eastAsia" w:cs="宋体" w:asciiTheme="majorEastAsia" w:hAnsiTheme="majorEastAsia" w:eastAsiaTheme="majorEastAsia"/>
          <w:sz w:val="24"/>
        </w:rPr>
        <w:t>投标人（盖章）：</w:t>
      </w:r>
      <w:r>
        <w:rPr>
          <w:rFonts w:cs="宋体" w:asciiTheme="majorEastAsia" w:hAnsiTheme="majorEastAsia" w:eastAsiaTheme="majorEastAsia"/>
          <w:sz w:val="24"/>
          <w:u w:val="single"/>
        </w:rPr>
        <w:t xml:space="preserve">               </w:t>
      </w:r>
      <w:r>
        <w:rPr>
          <w:rFonts w:cs="宋体" w:asciiTheme="majorEastAsia" w:hAnsiTheme="majorEastAsia" w:eastAsiaTheme="majorEastAsia"/>
          <w:sz w:val="24"/>
        </w:rPr>
        <w:t xml:space="preserve">                     </w:t>
      </w:r>
    </w:p>
    <w:p>
      <w:pPr>
        <w:tabs>
          <w:tab w:val="left" w:pos="7200"/>
        </w:tabs>
        <w:spacing w:line="360" w:lineRule="auto"/>
        <w:rPr>
          <w:rFonts w:asciiTheme="majorEastAsia" w:hAnsiTheme="majorEastAsia" w:eastAsiaTheme="majorEastAsia"/>
          <w:b/>
          <w:bCs/>
        </w:rPr>
      </w:pPr>
      <w:r>
        <w:rPr>
          <w:rFonts w:cs="宋体" w:asciiTheme="majorEastAsia" w:hAnsiTheme="majorEastAsia" w:eastAsiaTheme="majorEastAsia"/>
          <w:sz w:val="24"/>
        </w:rPr>
        <w:t xml:space="preserve">                                           </w:t>
      </w:r>
      <w:r>
        <w:rPr>
          <w:rFonts w:hint="eastAsia" w:cs="宋体" w:asciiTheme="majorEastAsia" w:hAnsiTheme="majorEastAsia" w:eastAsiaTheme="majorEastAsia"/>
          <w:sz w:val="24"/>
        </w:rPr>
        <w:t>年</w:t>
      </w:r>
      <w:r>
        <w:rPr>
          <w:rFonts w:cs="宋体" w:asciiTheme="majorEastAsia" w:hAnsiTheme="majorEastAsia" w:eastAsiaTheme="majorEastAsia"/>
          <w:sz w:val="24"/>
        </w:rPr>
        <w:t xml:space="preserve">    </w:t>
      </w:r>
      <w:r>
        <w:rPr>
          <w:rFonts w:hint="eastAsia" w:cs="宋体" w:asciiTheme="majorEastAsia" w:hAnsiTheme="majorEastAsia" w:eastAsiaTheme="majorEastAsia"/>
          <w:sz w:val="24"/>
        </w:rPr>
        <w:t>月</w:t>
      </w:r>
      <w:r>
        <w:rPr>
          <w:rFonts w:cs="宋体" w:asciiTheme="majorEastAsia" w:hAnsiTheme="majorEastAsia" w:eastAsiaTheme="majorEastAsia"/>
          <w:sz w:val="24"/>
        </w:rPr>
        <w:t xml:space="preserve">    </w:t>
      </w:r>
      <w:r>
        <w:rPr>
          <w:rFonts w:hint="eastAsia" w:cs="宋体" w:asciiTheme="majorEastAsia" w:hAnsiTheme="majorEastAsia" w:eastAsiaTheme="majorEastAsia"/>
          <w:sz w:val="24"/>
        </w:rPr>
        <w:t>日</w:t>
      </w:r>
    </w:p>
    <w:p>
      <w:pPr>
        <w:pStyle w:val="15"/>
        <w:spacing w:line="500" w:lineRule="exact"/>
        <w:rPr>
          <w:rFonts w:asciiTheme="majorEastAsia" w:hAnsiTheme="majorEastAsia" w:eastAsiaTheme="majorEastAsia"/>
          <w:b/>
          <w:bCs/>
        </w:rPr>
        <w:sectPr>
          <w:footerReference r:id="rId5" w:type="default"/>
          <w:pgSz w:w="11906" w:h="16838"/>
          <w:pgMar w:top="1276" w:right="1170" w:bottom="1440" w:left="876" w:header="851" w:footer="992" w:gutter="0"/>
          <w:pgNumType w:start="1"/>
          <w:cols w:space="720" w:num="1"/>
          <w:docGrid w:type="lines" w:linePitch="312" w:charSpace="0"/>
        </w:sectPr>
      </w:pPr>
    </w:p>
    <w:p>
      <w:pPr>
        <w:pStyle w:val="15"/>
        <w:spacing w:line="500" w:lineRule="exact"/>
        <w:rPr>
          <w:rFonts w:asciiTheme="majorEastAsia" w:hAnsiTheme="majorEastAsia" w:eastAsiaTheme="majorEastAsia"/>
        </w:rPr>
      </w:pPr>
      <w:r>
        <w:rPr>
          <w:rFonts w:hint="eastAsia" w:asciiTheme="majorEastAsia" w:hAnsiTheme="majorEastAsia" w:eastAsiaTheme="majorEastAsia"/>
          <w:b/>
          <w:bCs/>
        </w:rPr>
        <w:t>格式6：</w:t>
      </w:r>
    </w:p>
    <w:p>
      <w:pPr>
        <w:pStyle w:val="15"/>
        <w:spacing w:line="500" w:lineRule="exact"/>
        <w:jc w:val="center"/>
        <w:rPr>
          <w:rFonts w:asciiTheme="majorEastAsia" w:hAnsiTheme="majorEastAsia" w:eastAsiaTheme="majorEastAsia"/>
          <w:b/>
          <w:bCs/>
          <w:sz w:val="30"/>
          <w:szCs w:val="30"/>
        </w:rPr>
      </w:pPr>
      <w:r>
        <w:rPr>
          <w:rFonts w:hint="eastAsia" w:asciiTheme="majorEastAsia" w:hAnsiTheme="majorEastAsia" w:eastAsiaTheme="majorEastAsia"/>
          <w:b/>
          <w:bCs/>
          <w:sz w:val="30"/>
          <w:szCs w:val="30"/>
        </w:rPr>
        <w:t>投标货物技术资料表（格式）</w:t>
      </w:r>
    </w:p>
    <w:p>
      <w:pPr>
        <w:pStyle w:val="15"/>
        <w:spacing w:line="500" w:lineRule="exact"/>
        <w:jc w:val="center"/>
        <w:rPr>
          <w:rFonts w:asciiTheme="majorEastAsia" w:hAnsiTheme="majorEastAsia" w:eastAsiaTheme="majorEastAsia"/>
          <w:b/>
          <w:bCs/>
          <w:sz w:val="30"/>
          <w:szCs w:val="30"/>
        </w:rPr>
      </w:pPr>
    </w:p>
    <w:p>
      <w:pPr>
        <w:pStyle w:val="15"/>
        <w:spacing w:line="440" w:lineRule="exact"/>
        <w:ind w:firstLine="468"/>
        <w:rPr>
          <w:rFonts w:asciiTheme="majorEastAsia" w:hAnsiTheme="majorEastAsia" w:eastAsiaTheme="majorEastAsia"/>
          <w:sz w:val="32"/>
          <w:szCs w:val="32"/>
        </w:rPr>
      </w:pPr>
      <w:r>
        <w:rPr>
          <w:rFonts w:asciiTheme="majorEastAsia" w:hAnsiTheme="majorEastAsia" w:eastAsiaTheme="majorEastAsia"/>
          <w:sz w:val="24"/>
          <w:szCs w:val="24"/>
        </w:rPr>
        <w:t>请根据所投产品的实际技术参数，逐条对应本项目招标文件第二章“货物需求一览表”中的技术参数要求详细填写相应的具体内容。“偏离说明”一栏应当选择“正偏离”、“负偏离”或“无偏离”进行填写。</w:t>
      </w:r>
    </w:p>
    <w:p>
      <w:pPr>
        <w:pStyle w:val="15"/>
        <w:spacing w:line="440" w:lineRule="exact"/>
        <w:rPr>
          <w:rFonts w:asciiTheme="majorEastAsia" w:hAnsiTheme="majorEastAsia" w:eastAsiaTheme="majorEastAsia"/>
          <w:sz w:val="24"/>
          <w:szCs w:val="24"/>
        </w:rPr>
      </w:pPr>
    </w:p>
    <w:tbl>
      <w:tblPr>
        <w:tblStyle w:val="27"/>
        <w:tblW w:w="10549" w:type="dxa"/>
        <w:tblInd w:w="-5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275"/>
        <w:gridCol w:w="735"/>
        <w:gridCol w:w="1674"/>
        <w:gridCol w:w="1278"/>
        <w:gridCol w:w="885"/>
        <w:gridCol w:w="1525"/>
        <w:gridCol w:w="1207"/>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47" w:type="dxa"/>
            <w:vMerge w:val="restart"/>
            <w:tcBorders>
              <w:top w:val="single" w:color="auto" w:sz="4" w:space="0"/>
              <w:left w:val="single" w:color="auto" w:sz="4" w:space="0"/>
              <w:bottom w:val="single" w:color="auto" w:sz="4" w:space="0"/>
              <w:right w:val="single" w:color="auto" w:sz="4" w:space="0"/>
            </w:tcBorders>
            <w:vAlign w:val="center"/>
          </w:tcPr>
          <w:p>
            <w:pPr>
              <w:pStyle w:val="15"/>
              <w:ind w:right="-107" w:rightChars="-51"/>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项号</w:t>
            </w:r>
          </w:p>
        </w:tc>
        <w:tc>
          <w:tcPr>
            <w:tcW w:w="36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招标文件需求</w:t>
            </w:r>
          </w:p>
        </w:tc>
        <w:tc>
          <w:tcPr>
            <w:tcW w:w="4895" w:type="dxa"/>
            <w:gridSpan w:val="4"/>
            <w:tcBorders>
              <w:top w:val="single" w:color="auto" w:sz="4" w:space="0"/>
              <w:left w:val="single" w:color="auto" w:sz="4" w:space="0"/>
              <w:bottom w:val="single" w:color="auto" w:sz="4" w:space="0"/>
              <w:right w:val="single" w:color="auto" w:sz="4" w:space="0"/>
            </w:tcBorders>
          </w:tcPr>
          <w:p>
            <w:pPr>
              <w:jc w:val="center"/>
              <w:rPr>
                <w:rFonts w:asciiTheme="majorEastAsia" w:hAnsiTheme="majorEastAsia" w:eastAsiaTheme="majorEastAsia"/>
                <w:sz w:val="24"/>
              </w:rPr>
            </w:pPr>
            <w:r>
              <w:rPr>
                <w:rFonts w:hint="eastAsia" w:asciiTheme="majorEastAsia" w:hAnsiTheme="majorEastAsia" w:eastAsiaTheme="majorEastAsia"/>
                <w:sz w:val="24"/>
              </w:rPr>
              <w:t>投标文件承诺</w:t>
            </w:r>
          </w:p>
        </w:tc>
        <w:tc>
          <w:tcPr>
            <w:tcW w:w="1223" w:type="dxa"/>
            <w:vMerge w:val="restart"/>
            <w:tcBorders>
              <w:top w:val="single" w:color="auto" w:sz="4" w:space="0"/>
              <w:left w:val="single" w:color="auto" w:sz="4" w:space="0"/>
              <w:right w:val="single" w:color="auto" w:sz="4" w:space="0"/>
            </w:tcBorders>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货物名称</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数量</w:t>
            </w:r>
          </w:p>
        </w:tc>
        <w:tc>
          <w:tcPr>
            <w:tcW w:w="1674"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技术参数要求</w:t>
            </w:r>
          </w:p>
        </w:tc>
        <w:tc>
          <w:tcPr>
            <w:tcW w:w="127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货物名称</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数量</w:t>
            </w:r>
          </w:p>
        </w:tc>
        <w:tc>
          <w:tcPr>
            <w:tcW w:w="1525" w:type="dxa"/>
            <w:tcBorders>
              <w:top w:val="single" w:color="auto" w:sz="4" w:space="0"/>
              <w:left w:val="single" w:color="auto" w:sz="4" w:space="0"/>
              <w:bottom w:val="single" w:color="auto" w:sz="4" w:space="0"/>
              <w:right w:val="single" w:color="auto" w:sz="4" w:space="0"/>
            </w:tcBorders>
            <w:vAlign w:val="center"/>
          </w:tcPr>
          <w:p>
            <w:pPr>
              <w:jc w:val="left"/>
              <w:rPr>
                <w:rFonts w:asciiTheme="majorEastAsia" w:hAnsiTheme="majorEastAsia" w:eastAsiaTheme="majorEastAsia"/>
                <w:sz w:val="24"/>
              </w:rPr>
            </w:pPr>
            <w:r>
              <w:rPr>
                <w:rFonts w:hint="eastAsia" w:asciiTheme="majorEastAsia" w:hAnsiTheme="majorEastAsia" w:eastAsiaTheme="majorEastAsia"/>
                <w:sz w:val="24"/>
              </w:rPr>
              <w:t>品牌、厂家、型号、规格</w:t>
            </w:r>
          </w:p>
        </w:tc>
        <w:tc>
          <w:tcPr>
            <w:tcW w:w="1207"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技术参数</w:t>
            </w:r>
          </w:p>
        </w:tc>
        <w:tc>
          <w:tcPr>
            <w:tcW w:w="1223" w:type="dxa"/>
            <w:vMerge w:val="continue"/>
            <w:tcBorders>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vAlign w:val="center"/>
          </w:tcPr>
          <w:p>
            <w:pPr>
              <w:pStyle w:val="15"/>
              <w:jc w:val="center"/>
              <w:rPr>
                <w:rFonts w:cs="宋体" w:asciiTheme="majorEastAsia" w:hAnsiTheme="majorEastAsia" w:eastAsiaTheme="majorEastAsia"/>
                <w:spacing w:val="-20"/>
                <w:sz w:val="24"/>
                <w:szCs w:val="24"/>
              </w:rPr>
            </w:pPr>
            <w:r>
              <w:rPr>
                <w:rFonts w:hint="eastAsia" w:cs="宋体" w:asciiTheme="majorEastAsia" w:hAnsiTheme="majorEastAsia" w:eastAsiaTheme="majorEastAsia"/>
                <w:spacing w:val="-20"/>
                <w:sz w:val="24"/>
                <w:szCs w:val="24"/>
              </w:rPr>
              <w:t>1</w:t>
            </w: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4"/>
              </w:rPr>
            </w:pPr>
            <w:r>
              <w:rPr>
                <w:rFonts w:hint="eastAsia" w:asciiTheme="majorEastAsia" w:hAnsiTheme="majorEastAsia" w:eastAsiaTheme="majorEastAsia"/>
                <w:sz w:val="24"/>
              </w:rPr>
              <w:t>……</w:t>
            </w:r>
          </w:p>
        </w:tc>
        <w:tc>
          <w:tcPr>
            <w:tcW w:w="735"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4"/>
              </w:rPr>
            </w:pPr>
            <w:r>
              <w:rPr>
                <w:rFonts w:hint="eastAsia" w:asciiTheme="majorEastAsia" w:hAnsiTheme="majorEastAsia" w:eastAsiaTheme="majorEastAsia"/>
                <w:sz w:val="24"/>
              </w:rPr>
              <w:t>…</w:t>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p>
            <w:pPr>
              <w:rPr>
                <w:rFonts w:asciiTheme="majorEastAsia" w:hAnsiTheme="majorEastAsia" w:eastAsiaTheme="majorEastAsia"/>
                <w:sz w:val="24"/>
              </w:rPr>
            </w:pPr>
            <w:r>
              <w:rPr>
                <w:rFonts w:hint="eastAsia" w:asciiTheme="majorEastAsia" w:hAnsiTheme="majorEastAsia" w:eastAsiaTheme="majorEastAsia"/>
                <w:sz w:val="24"/>
              </w:rPr>
              <w:t>……</w:t>
            </w:r>
          </w:p>
        </w:tc>
        <w:tc>
          <w:tcPr>
            <w:tcW w:w="127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4"/>
              </w:rPr>
            </w:pPr>
            <w:r>
              <w:rPr>
                <w:rFonts w:hint="eastAsia" w:asciiTheme="majorEastAsia" w:hAnsiTheme="majorEastAsia" w:eastAsiaTheme="majorEastAsia"/>
                <w:sz w:val="24"/>
              </w:rPr>
              <w:t>……</w:t>
            </w:r>
          </w:p>
        </w:tc>
        <w:tc>
          <w:tcPr>
            <w:tcW w:w="885"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4"/>
              </w:rPr>
            </w:pPr>
            <w:r>
              <w:rPr>
                <w:rFonts w:hint="eastAsia" w:asciiTheme="majorEastAsia" w:hAnsiTheme="majorEastAsia" w:eastAsiaTheme="majorEastAsia"/>
                <w:sz w:val="24"/>
              </w:rPr>
              <w:t>…</w:t>
            </w:r>
          </w:p>
        </w:tc>
        <w:tc>
          <w:tcPr>
            <w:tcW w:w="1525"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4"/>
              </w:rPr>
            </w:pPr>
            <w:r>
              <w:rPr>
                <w:rFonts w:hint="eastAsia" w:asciiTheme="majorEastAsia" w:hAnsiTheme="majorEastAsia" w:eastAsiaTheme="majorEastAsia"/>
                <w:sz w:val="24"/>
              </w:rPr>
              <w:t>……</w:t>
            </w:r>
          </w:p>
        </w:tc>
        <w:tc>
          <w:tcPr>
            <w:tcW w:w="1207"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p>
            <w:pPr>
              <w:rPr>
                <w:rFonts w:asciiTheme="majorEastAsia" w:hAnsiTheme="majorEastAsia" w:eastAsiaTheme="majorEastAsia"/>
                <w:sz w:val="24"/>
              </w:rPr>
            </w:pPr>
            <w:r>
              <w:rPr>
                <w:rFonts w:hint="eastAsia" w:asciiTheme="majorEastAsia" w:hAnsiTheme="majorEastAsia" w:eastAsiaTheme="majorEastAsia"/>
                <w:sz w:val="24"/>
              </w:rPr>
              <w:t>……</w:t>
            </w:r>
          </w:p>
        </w:tc>
        <w:tc>
          <w:tcPr>
            <w:tcW w:w="1223"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4"/>
              </w:rPr>
            </w:pPr>
            <w:r>
              <w:rPr>
                <w:rFonts w:hint="eastAsia" w:asciiTheme="majorEastAsia" w:hAnsiTheme="majorEastAsia" w:eastAsiaTheme="majorEastAsia"/>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vAlign w:val="center"/>
          </w:tcPr>
          <w:p>
            <w:pPr>
              <w:pStyle w:val="15"/>
              <w:jc w:val="center"/>
              <w:rPr>
                <w:rFonts w:cs="宋体" w:asciiTheme="majorEastAsia" w:hAnsiTheme="majorEastAsia" w:eastAsiaTheme="majorEastAsia"/>
                <w:spacing w:val="-20"/>
                <w:sz w:val="24"/>
                <w:szCs w:val="24"/>
              </w:rPr>
            </w:pPr>
            <w:r>
              <w:rPr>
                <w:rFonts w:hint="eastAsia" w:cs="宋体" w:asciiTheme="majorEastAsia" w:hAnsiTheme="majorEastAsia" w:eastAsiaTheme="majorEastAsia"/>
                <w:spacing w:val="-20"/>
                <w:sz w:val="24"/>
                <w:szCs w:val="24"/>
              </w:rPr>
              <w:t>2</w:t>
            </w: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4"/>
              </w:rPr>
            </w:pPr>
            <w:r>
              <w:rPr>
                <w:rFonts w:hint="eastAsia" w:asciiTheme="majorEastAsia" w:hAnsiTheme="majorEastAsia" w:eastAsiaTheme="majorEastAsia"/>
                <w:sz w:val="24"/>
              </w:rPr>
              <w:t>……</w:t>
            </w:r>
          </w:p>
        </w:tc>
        <w:tc>
          <w:tcPr>
            <w:tcW w:w="735"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4"/>
              </w:rPr>
            </w:pPr>
            <w:r>
              <w:rPr>
                <w:rFonts w:hint="eastAsia" w:asciiTheme="majorEastAsia" w:hAnsiTheme="majorEastAsia" w:eastAsiaTheme="majorEastAsia"/>
                <w:sz w:val="24"/>
              </w:rPr>
              <w:t>…</w:t>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p>
            <w:pPr>
              <w:rPr>
                <w:rFonts w:asciiTheme="majorEastAsia" w:hAnsiTheme="majorEastAsia" w:eastAsiaTheme="majorEastAsia"/>
                <w:sz w:val="24"/>
              </w:rPr>
            </w:pPr>
            <w:r>
              <w:rPr>
                <w:rFonts w:hint="eastAsia" w:asciiTheme="majorEastAsia" w:hAnsiTheme="majorEastAsia" w:eastAsiaTheme="majorEastAsia"/>
                <w:sz w:val="24"/>
              </w:rPr>
              <w:t>……</w:t>
            </w:r>
          </w:p>
        </w:tc>
        <w:tc>
          <w:tcPr>
            <w:tcW w:w="127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4"/>
              </w:rPr>
            </w:pPr>
            <w:r>
              <w:rPr>
                <w:rFonts w:hint="eastAsia" w:asciiTheme="majorEastAsia" w:hAnsiTheme="majorEastAsia" w:eastAsiaTheme="majorEastAsia"/>
                <w:sz w:val="24"/>
              </w:rPr>
              <w:t>……</w:t>
            </w:r>
          </w:p>
        </w:tc>
        <w:tc>
          <w:tcPr>
            <w:tcW w:w="885"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4"/>
              </w:rPr>
            </w:pPr>
            <w:r>
              <w:rPr>
                <w:rFonts w:hint="eastAsia" w:asciiTheme="majorEastAsia" w:hAnsiTheme="majorEastAsia" w:eastAsiaTheme="majorEastAsia"/>
                <w:sz w:val="24"/>
              </w:rPr>
              <w:t>…</w:t>
            </w:r>
          </w:p>
        </w:tc>
        <w:tc>
          <w:tcPr>
            <w:tcW w:w="1525"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4"/>
              </w:rPr>
            </w:pPr>
            <w:r>
              <w:rPr>
                <w:rFonts w:hint="eastAsia" w:asciiTheme="majorEastAsia" w:hAnsiTheme="majorEastAsia" w:eastAsiaTheme="majorEastAsia"/>
                <w:sz w:val="24"/>
              </w:rPr>
              <w:t>……</w:t>
            </w:r>
          </w:p>
        </w:tc>
        <w:tc>
          <w:tcPr>
            <w:tcW w:w="1207"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p>
            <w:pPr>
              <w:rPr>
                <w:rFonts w:asciiTheme="majorEastAsia" w:hAnsiTheme="majorEastAsia" w:eastAsiaTheme="majorEastAsia"/>
                <w:sz w:val="24"/>
              </w:rPr>
            </w:pPr>
            <w:r>
              <w:rPr>
                <w:rFonts w:hint="eastAsia" w:asciiTheme="majorEastAsia" w:hAnsiTheme="majorEastAsia" w:eastAsiaTheme="majorEastAsia"/>
                <w:sz w:val="24"/>
              </w:rPr>
              <w:t>……</w:t>
            </w:r>
          </w:p>
        </w:tc>
        <w:tc>
          <w:tcPr>
            <w:tcW w:w="1223"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4"/>
              </w:rPr>
            </w:pPr>
            <w:r>
              <w:rPr>
                <w:rFonts w:hint="eastAsia" w:asciiTheme="majorEastAsia" w:hAnsiTheme="majorEastAsia" w:eastAsiaTheme="majorEastAsia"/>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vAlign w:val="center"/>
          </w:tcPr>
          <w:p>
            <w:pPr>
              <w:pStyle w:val="15"/>
              <w:jc w:val="center"/>
              <w:rPr>
                <w:rFonts w:cs="宋体" w:asciiTheme="majorEastAsia" w:hAnsiTheme="majorEastAsia" w:eastAsiaTheme="majorEastAsia"/>
                <w:spacing w:val="-20"/>
                <w:sz w:val="24"/>
                <w:szCs w:val="24"/>
              </w:rPr>
            </w:pPr>
            <w:r>
              <w:rPr>
                <w:rFonts w:hint="eastAsia" w:cs="宋体" w:asciiTheme="majorEastAsia" w:hAnsiTheme="majorEastAsia" w:eastAsiaTheme="majorEastAsia"/>
                <w:spacing w:val="-20"/>
                <w:sz w:val="24"/>
                <w:szCs w:val="24"/>
              </w:rPr>
              <w:t>...</w:t>
            </w:r>
          </w:p>
        </w:tc>
        <w:tc>
          <w:tcPr>
            <w:tcW w:w="1275" w:type="dxa"/>
            <w:tcBorders>
              <w:top w:val="single" w:color="auto" w:sz="4" w:space="0"/>
              <w:left w:val="single" w:color="auto" w:sz="4" w:space="0"/>
              <w:bottom w:val="single" w:color="auto" w:sz="4" w:space="0"/>
              <w:right w:val="single" w:color="auto" w:sz="4" w:space="0"/>
            </w:tcBorders>
            <w:vAlign w:val="center"/>
          </w:tcPr>
          <w:p>
            <w:pPr>
              <w:pStyle w:val="15"/>
              <w:spacing w:line="600" w:lineRule="exact"/>
              <w:jc w:val="center"/>
              <w:rPr>
                <w:rFonts w:cs="宋体" w:asciiTheme="majorEastAsia" w:hAnsiTheme="majorEastAsia" w:eastAsiaTheme="majorEastAsia"/>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pStyle w:val="15"/>
              <w:spacing w:line="600" w:lineRule="exact"/>
              <w:jc w:val="center"/>
              <w:rPr>
                <w:rFonts w:cs="宋体" w:asciiTheme="majorEastAsia" w:hAnsiTheme="majorEastAsia" w:eastAsiaTheme="majorEastAsia"/>
                <w:sz w:val="24"/>
                <w:szCs w:val="24"/>
              </w:rPr>
            </w:pPr>
          </w:p>
        </w:tc>
        <w:tc>
          <w:tcPr>
            <w:tcW w:w="1674" w:type="dxa"/>
            <w:tcBorders>
              <w:top w:val="single" w:color="auto" w:sz="4" w:space="0"/>
              <w:left w:val="single" w:color="auto" w:sz="4" w:space="0"/>
              <w:bottom w:val="single" w:color="auto" w:sz="4" w:space="0"/>
              <w:right w:val="single" w:color="auto" w:sz="4" w:space="0"/>
            </w:tcBorders>
            <w:vAlign w:val="center"/>
          </w:tcPr>
          <w:p>
            <w:pPr>
              <w:pStyle w:val="15"/>
              <w:spacing w:line="600" w:lineRule="exact"/>
              <w:jc w:val="center"/>
              <w:rPr>
                <w:rFonts w:cs="宋体" w:asciiTheme="majorEastAsia" w:hAnsiTheme="majorEastAsia" w:eastAsiaTheme="majorEastAsia"/>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pStyle w:val="15"/>
              <w:spacing w:line="600" w:lineRule="exact"/>
              <w:jc w:val="center"/>
              <w:rPr>
                <w:rFonts w:cs="宋体" w:asciiTheme="majorEastAsia" w:hAnsiTheme="majorEastAsia" w:eastAsiaTheme="majorEastAsia"/>
                <w:sz w:val="24"/>
                <w:szCs w:val="24"/>
              </w:rPr>
            </w:pPr>
          </w:p>
        </w:tc>
        <w:tc>
          <w:tcPr>
            <w:tcW w:w="885" w:type="dxa"/>
            <w:tcBorders>
              <w:top w:val="single" w:color="auto" w:sz="4" w:space="0"/>
              <w:left w:val="single" w:color="auto" w:sz="4" w:space="0"/>
              <w:bottom w:val="single" w:color="auto" w:sz="4" w:space="0"/>
              <w:right w:val="single" w:color="auto" w:sz="4" w:space="0"/>
            </w:tcBorders>
          </w:tcPr>
          <w:p>
            <w:pPr>
              <w:pStyle w:val="15"/>
              <w:spacing w:line="600" w:lineRule="exact"/>
              <w:jc w:val="center"/>
              <w:rPr>
                <w:rFonts w:cs="宋体" w:asciiTheme="majorEastAsia" w:hAnsiTheme="majorEastAsia" w:eastAsiaTheme="majorEastAsia"/>
                <w:sz w:val="24"/>
                <w:szCs w:val="24"/>
              </w:rPr>
            </w:pPr>
          </w:p>
        </w:tc>
        <w:tc>
          <w:tcPr>
            <w:tcW w:w="1525" w:type="dxa"/>
            <w:tcBorders>
              <w:top w:val="single" w:color="auto" w:sz="4" w:space="0"/>
              <w:left w:val="single" w:color="auto" w:sz="4" w:space="0"/>
              <w:bottom w:val="single" w:color="auto" w:sz="4" w:space="0"/>
              <w:right w:val="single" w:color="auto" w:sz="4" w:space="0"/>
            </w:tcBorders>
            <w:vAlign w:val="center"/>
          </w:tcPr>
          <w:p>
            <w:pPr>
              <w:pStyle w:val="15"/>
              <w:spacing w:line="600" w:lineRule="exact"/>
              <w:jc w:val="center"/>
              <w:rPr>
                <w:rFonts w:cs="宋体" w:asciiTheme="majorEastAsia" w:hAnsiTheme="majorEastAsia" w:eastAsiaTheme="majorEastAsia"/>
                <w:sz w:val="24"/>
                <w:szCs w:val="24"/>
              </w:rPr>
            </w:pPr>
          </w:p>
        </w:tc>
        <w:tc>
          <w:tcPr>
            <w:tcW w:w="1207" w:type="dxa"/>
            <w:tcBorders>
              <w:top w:val="single" w:color="auto" w:sz="4" w:space="0"/>
              <w:left w:val="single" w:color="auto" w:sz="4" w:space="0"/>
              <w:bottom w:val="single" w:color="auto" w:sz="4" w:space="0"/>
              <w:right w:val="single" w:color="auto" w:sz="4" w:space="0"/>
            </w:tcBorders>
            <w:vAlign w:val="center"/>
          </w:tcPr>
          <w:p>
            <w:pPr>
              <w:pStyle w:val="15"/>
              <w:spacing w:line="600" w:lineRule="exact"/>
              <w:jc w:val="center"/>
              <w:rPr>
                <w:rFonts w:cs="宋体" w:asciiTheme="majorEastAsia" w:hAnsiTheme="majorEastAsia" w:eastAsiaTheme="majorEastAsia"/>
                <w:sz w:val="24"/>
                <w:szCs w:val="24"/>
              </w:rPr>
            </w:pPr>
          </w:p>
        </w:tc>
        <w:tc>
          <w:tcPr>
            <w:tcW w:w="1223" w:type="dxa"/>
            <w:tcBorders>
              <w:top w:val="single" w:color="auto" w:sz="4" w:space="0"/>
              <w:left w:val="single" w:color="auto" w:sz="4" w:space="0"/>
              <w:bottom w:val="single" w:color="auto" w:sz="4" w:space="0"/>
              <w:right w:val="single" w:color="auto" w:sz="4" w:space="0"/>
            </w:tcBorders>
            <w:vAlign w:val="center"/>
          </w:tcPr>
          <w:p>
            <w:pPr>
              <w:pStyle w:val="15"/>
              <w:spacing w:line="600" w:lineRule="exact"/>
              <w:jc w:val="center"/>
              <w:rPr>
                <w:rFonts w:cs="宋体"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49" w:type="dxa"/>
            <w:gridSpan w:val="9"/>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4"/>
                <w:u w:val="single"/>
              </w:rPr>
            </w:pPr>
            <w:r>
              <w:rPr>
                <w:rFonts w:hint="eastAsia" w:asciiTheme="majorEastAsia" w:hAnsiTheme="majorEastAsia" w:eastAsiaTheme="majorEastAsia"/>
                <w:sz w:val="24"/>
              </w:rPr>
              <w:t>投标人（盖单位公章）：</w:t>
            </w:r>
            <w:r>
              <w:rPr>
                <w:rFonts w:hint="eastAsia" w:asciiTheme="majorEastAsia" w:hAnsiTheme="majorEastAsia" w:eastAsiaTheme="majorEastAsia"/>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49" w:type="dxa"/>
            <w:gridSpan w:val="9"/>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4"/>
                <w:u w:val="single"/>
              </w:rPr>
            </w:pPr>
            <w:r>
              <w:rPr>
                <w:rFonts w:hint="eastAsia" w:asciiTheme="majorEastAsia" w:hAnsiTheme="majorEastAsia" w:eastAsiaTheme="majorEastAsia"/>
                <w:sz w:val="24"/>
              </w:rPr>
              <w:t>法定代表人或其委托代理人（签字或盖章）：</w:t>
            </w:r>
            <w:r>
              <w:rPr>
                <w:rFonts w:asciiTheme="majorEastAsia" w:hAnsiTheme="majorEastAsia" w:eastAsiaTheme="majorEastAsia"/>
                <w:sz w:val="24"/>
                <w:u w:val="single"/>
              </w:rPr>
              <w:t xml:space="preserve">   </w:t>
            </w:r>
            <w:r>
              <w:rPr>
                <w:rFonts w:hint="eastAsia" w:asciiTheme="majorEastAsia" w:hAnsiTheme="majorEastAsia" w:eastAsiaTheme="majorEastAsia"/>
                <w:sz w:val="24"/>
                <w:u w:val="single"/>
              </w:rPr>
              <w:t xml:space="preserve">                  </w:t>
            </w:r>
          </w:p>
        </w:tc>
      </w:tr>
    </w:tbl>
    <w:p>
      <w:pPr>
        <w:pStyle w:val="15"/>
        <w:rPr>
          <w:rFonts w:asciiTheme="majorEastAsia" w:hAnsiTheme="majorEastAsia" w:eastAsiaTheme="majorEastAsia"/>
          <w:sz w:val="24"/>
          <w:szCs w:val="24"/>
        </w:rPr>
      </w:pPr>
    </w:p>
    <w:p>
      <w:pPr>
        <w:pStyle w:val="15"/>
        <w:rPr>
          <w:rFonts w:asciiTheme="majorEastAsia" w:hAnsiTheme="majorEastAsia" w:eastAsiaTheme="majorEastAsia"/>
          <w:sz w:val="24"/>
          <w:szCs w:val="24"/>
        </w:rPr>
      </w:pPr>
      <w:r>
        <w:rPr>
          <w:rFonts w:asciiTheme="majorEastAsia" w:hAnsiTheme="majorEastAsia" w:eastAsiaTheme="majorEastAsia"/>
          <w:sz w:val="24"/>
          <w:szCs w:val="24"/>
        </w:rPr>
        <w:t>......</w:t>
      </w:r>
    </w:p>
    <w:p>
      <w:pPr>
        <w:pStyle w:val="15"/>
        <w:spacing w:line="440" w:lineRule="exact"/>
        <w:rPr>
          <w:rFonts w:asciiTheme="majorEastAsia" w:hAnsiTheme="majorEastAsia" w:eastAsiaTheme="majorEastAsia"/>
          <w:sz w:val="24"/>
          <w:szCs w:val="24"/>
        </w:rPr>
      </w:pPr>
      <w:r>
        <w:rPr>
          <w:rFonts w:asciiTheme="majorEastAsia" w:hAnsiTheme="majorEastAsia" w:eastAsiaTheme="majorEastAsia"/>
          <w:sz w:val="24"/>
          <w:szCs w:val="24"/>
        </w:rPr>
        <w:t>注：⑴表格内容均需按要求填写并盖章，不得留空，否则按投标无效处理。</w:t>
      </w:r>
    </w:p>
    <w:p>
      <w:pPr>
        <w:pStyle w:val="15"/>
        <w:spacing w:line="440" w:lineRule="exact"/>
        <w:ind w:firstLine="468"/>
        <w:rPr>
          <w:rFonts w:asciiTheme="majorEastAsia" w:hAnsiTheme="majorEastAsia" w:eastAsiaTheme="majorEastAsia"/>
          <w:sz w:val="24"/>
          <w:szCs w:val="24"/>
        </w:rPr>
      </w:pPr>
      <w:r>
        <w:rPr>
          <w:rFonts w:asciiTheme="majorEastAsia" w:hAnsiTheme="majorEastAsia" w:eastAsiaTheme="majorEastAsia"/>
          <w:sz w:val="24"/>
          <w:szCs w:val="24"/>
        </w:rPr>
        <w:t>⑵如果投标文件需求小于或大于招标文件某个数值标准时，投标文件不得直接复制招标文件需求，投标文件对</w:t>
      </w:r>
      <w:r>
        <w:rPr>
          <w:rFonts w:hint="eastAsia" w:asciiTheme="majorEastAsia" w:hAnsiTheme="majorEastAsia" w:eastAsiaTheme="majorEastAsia"/>
          <w:sz w:val="24"/>
          <w:szCs w:val="24"/>
        </w:rPr>
        <w:t>应</w:t>
      </w:r>
      <w:r>
        <w:rPr>
          <w:rFonts w:asciiTheme="majorEastAsia" w:hAnsiTheme="majorEastAsia" w:eastAsiaTheme="majorEastAsia"/>
          <w:sz w:val="24"/>
          <w:szCs w:val="24"/>
        </w:rPr>
        <w:t>内容应当写明投标货物具体参数的实际数值，否则按投标无效处理。</w:t>
      </w:r>
    </w:p>
    <w:p>
      <w:pPr>
        <w:pStyle w:val="15"/>
        <w:spacing w:line="440" w:lineRule="exact"/>
        <w:ind w:firstLine="468"/>
        <w:rPr>
          <w:rFonts w:asciiTheme="majorEastAsia" w:hAnsiTheme="majorEastAsia" w:eastAsiaTheme="majorEastAsia"/>
          <w:sz w:val="24"/>
          <w:szCs w:val="24"/>
        </w:rPr>
      </w:pPr>
      <w:r>
        <w:rPr>
          <w:rFonts w:asciiTheme="majorEastAsia" w:hAnsiTheme="majorEastAsia" w:eastAsiaTheme="majorEastAsia"/>
          <w:sz w:val="24"/>
          <w:szCs w:val="24"/>
        </w:rPr>
        <w:t>⑶当投标文件的技术参数低于招标文件要求时，投标人应当如实写明“负偏离”，否则视为虚假应标。</w:t>
      </w:r>
    </w:p>
    <w:p>
      <w:pPr>
        <w:pStyle w:val="15"/>
        <w:spacing w:line="600" w:lineRule="exact"/>
        <w:rPr>
          <w:rFonts w:asciiTheme="majorEastAsia" w:hAnsiTheme="majorEastAsia" w:eastAsiaTheme="majorEastAsia"/>
          <w:sz w:val="24"/>
          <w:szCs w:val="24"/>
        </w:rPr>
      </w:pPr>
    </w:p>
    <w:p>
      <w:pPr>
        <w:pStyle w:val="15"/>
        <w:spacing w:line="600" w:lineRule="exact"/>
        <w:jc w:val="left"/>
        <w:rPr>
          <w:rFonts w:asciiTheme="majorEastAsia" w:hAnsiTheme="majorEastAsia" w:eastAsiaTheme="majorEastAsia"/>
          <w:sz w:val="24"/>
          <w:szCs w:val="24"/>
        </w:rPr>
      </w:pPr>
    </w:p>
    <w:p>
      <w:pPr>
        <w:pStyle w:val="15"/>
        <w:spacing w:line="600" w:lineRule="exact"/>
        <w:rPr>
          <w:rFonts w:asciiTheme="majorEastAsia" w:hAnsiTheme="majorEastAsia" w:eastAsiaTheme="majorEastAsia"/>
        </w:rPr>
      </w:pPr>
      <w:r>
        <w:rPr>
          <w:rFonts w:asciiTheme="majorEastAsia" w:hAnsiTheme="majorEastAsia" w:eastAsiaTheme="majorEastAsia"/>
          <w:sz w:val="24"/>
          <w:szCs w:val="24"/>
        </w:rPr>
        <w:br w:type="page"/>
      </w:r>
      <w:r>
        <w:rPr>
          <w:rFonts w:hint="eastAsia" w:asciiTheme="majorEastAsia" w:hAnsiTheme="majorEastAsia" w:eastAsiaTheme="majorEastAsia"/>
          <w:b/>
          <w:bCs/>
        </w:rPr>
        <w:t>格式7：</w:t>
      </w:r>
    </w:p>
    <w:p>
      <w:pPr>
        <w:pStyle w:val="15"/>
        <w:spacing w:line="500" w:lineRule="exact"/>
        <w:jc w:val="center"/>
        <w:rPr>
          <w:rFonts w:asciiTheme="majorEastAsia" w:hAnsiTheme="majorEastAsia" w:eastAsiaTheme="majorEastAsia"/>
          <w:b/>
          <w:bCs/>
          <w:sz w:val="30"/>
          <w:szCs w:val="30"/>
        </w:rPr>
      </w:pPr>
      <w:r>
        <w:rPr>
          <w:rFonts w:hint="eastAsia" w:asciiTheme="majorEastAsia" w:hAnsiTheme="majorEastAsia" w:eastAsiaTheme="majorEastAsia"/>
          <w:b/>
          <w:bCs/>
          <w:sz w:val="30"/>
          <w:szCs w:val="30"/>
        </w:rPr>
        <w:t>售后服务承诺书（格式）</w:t>
      </w:r>
    </w:p>
    <w:p>
      <w:pPr>
        <w:pStyle w:val="15"/>
        <w:jc w:val="center"/>
        <w:rPr>
          <w:rFonts w:asciiTheme="majorEastAsia" w:hAnsiTheme="majorEastAsia" w:eastAsiaTheme="majorEastAsia"/>
        </w:rPr>
      </w:pPr>
    </w:p>
    <w:p>
      <w:pPr>
        <w:pStyle w:val="15"/>
        <w:spacing w:line="440" w:lineRule="exact"/>
        <w:rPr>
          <w:rFonts w:asciiTheme="majorEastAsia" w:hAnsiTheme="majorEastAsia" w:eastAsiaTheme="majorEastAsia"/>
          <w:sz w:val="24"/>
          <w:szCs w:val="24"/>
        </w:rPr>
      </w:pPr>
      <w:r>
        <w:rPr>
          <w:rFonts w:asciiTheme="majorEastAsia" w:hAnsiTheme="majorEastAsia" w:eastAsiaTheme="majorEastAsia"/>
          <w:sz w:val="24"/>
          <w:szCs w:val="24"/>
        </w:rPr>
        <w:t>(</w:t>
      </w:r>
      <w:r>
        <w:rPr>
          <w:rFonts w:hint="eastAsia" w:asciiTheme="majorEastAsia" w:hAnsiTheme="majorEastAsia" w:eastAsiaTheme="majorEastAsia"/>
          <w:sz w:val="24"/>
          <w:szCs w:val="24"/>
        </w:rPr>
        <w:t>由投标人按本项目招标文件第二章“货物需求一览表”中“商务条款”的售后服务要求自行填写。</w:t>
      </w:r>
      <w:r>
        <w:rPr>
          <w:rFonts w:asciiTheme="majorEastAsia" w:hAnsiTheme="majorEastAsia" w:eastAsiaTheme="majorEastAsia"/>
          <w:sz w:val="24"/>
          <w:szCs w:val="24"/>
        </w:rPr>
        <w:t>)</w:t>
      </w:r>
    </w:p>
    <w:p>
      <w:pPr>
        <w:pStyle w:val="15"/>
        <w:spacing w:line="440" w:lineRule="exact"/>
        <w:rPr>
          <w:rFonts w:asciiTheme="majorEastAsia" w:hAnsiTheme="majorEastAsia" w:eastAsiaTheme="majorEastAsia"/>
          <w:sz w:val="24"/>
          <w:szCs w:val="24"/>
        </w:rPr>
      </w:pPr>
    </w:p>
    <w:p>
      <w:pPr>
        <w:pStyle w:val="15"/>
        <w:rPr>
          <w:rFonts w:asciiTheme="majorEastAsia" w:hAnsiTheme="majorEastAsia" w:eastAsiaTheme="majorEastAsia"/>
          <w:sz w:val="24"/>
          <w:szCs w:val="24"/>
        </w:rPr>
      </w:pPr>
    </w:p>
    <w:p>
      <w:pPr>
        <w:pStyle w:val="15"/>
        <w:rPr>
          <w:rFonts w:asciiTheme="majorEastAsia" w:hAnsiTheme="majorEastAsia" w:eastAsiaTheme="majorEastAsia"/>
          <w:sz w:val="24"/>
          <w:szCs w:val="24"/>
        </w:rPr>
      </w:pPr>
    </w:p>
    <w:p>
      <w:pPr>
        <w:pStyle w:val="15"/>
        <w:rPr>
          <w:rFonts w:asciiTheme="majorEastAsia" w:hAnsiTheme="majorEastAsia" w:eastAsiaTheme="majorEastAsia"/>
          <w:sz w:val="24"/>
          <w:szCs w:val="24"/>
        </w:rPr>
      </w:pPr>
    </w:p>
    <w:p>
      <w:pPr>
        <w:pStyle w:val="15"/>
        <w:rPr>
          <w:rFonts w:asciiTheme="majorEastAsia" w:hAnsiTheme="majorEastAsia" w:eastAsiaTheme="majorEastAsia"/>
          <w:sz w:val="24"/>
          <w:szCs w:val="24"/>
        </w:rPr>
      </w:pPr>
    </w:p>
    <w:p>
      <w:pPr>
        <w:pStyle w:val="15"/>
        <w:rPr>
          <w:rFonts w:asciiTheme="majorEastAsia" w:hAnsiTheme="majorEastAsia" w:eastAsiaTheme="majorEastAsia"/>
          <w:sz w:val="24"/>
          <w:szCs w:val="24"/>
        </w:rPr>
      </w:pPr>
    </w:p>
    <w:p>
      <w:pPr>
        <w:pStyle w:val="15"/>
        <w:rPr>
          <w:rFonts w:asciiTheme="majorEastAsia" w:hAnsiTheme="majorEastAsia" w:eastAsiaTheme="majorEastAsia"/>
          <w:sz w:val="24"/>
          <w:szCs w:val="24"/>
        </w:rPr>
      </w:pPr>
    </w:p>
    <w:p>
      <w:pPr>
        <w:pStyle w:val="15"/>
        <w:rPr>
          <w:rFonts w:asciiTheme="majorEastAsia" w:hAnsiTheme="majorEastAsia" w:eastAsiaTheme="majorEastAsia"/>
          <w:sz w:val="24"/>
          <w:szCs w:val="24"/>
        </w:rPr>
      </w:pPr>
    </w:p>
    <w:p>
      <w:pPr>
        <w:pStyle w:val="15"/>
        <w:rPr>
          <w:rFonts w:asciiTheme="majorEastAsia" w:hAnsiTheme="majorEastAsia" w:eastAsiaTheme="majorEastAsia"/>
          <w:sz w:val="24"/>
          <w:szCs w:val="24"/>
        </w:rPr>
      </w:pPr>
    </w:p>
    <w:p>
      <w:pPr>
        <w:pStyle w:val="15"/>
        <w:rPr>
          <w:rFonts w:asciiTheme="majorEastAsia" w:hAnsiTheme="majorEastAsia" w:eastAsiaTheme="majorEastAsia"/>
          <w:sz w:val="24"/>
          <w:szCs w:val="24"/>
        </w:rPr>
      </w:pPr>
    </w:p>
    <w:p>
      <w:pPr>
        <w:pStyle w:val="15"/>
        <w:rPr>
          <w:rFonts w:asciiTheme="majorEastAsia" w:hAnsiTheme="majorEastAsia" w:eastAsiaTheme="majorEastAsia"/>
          <w:sz w:val="24"/>
          <w:szCs w:val="24"/>
        </w:rPr>
      </w:pPr>
    </w:p>
    <w:p>
      <w:pPr>
        <w:pStyle w:val="15"/>
        <w:rPr>
          <w:rFonts w:asciiTheme="majorEastAsia" w:hAnsiTheme="majorEastAsia" w:eastAsiaTheme="majorEastAsia"/>
          <w:sz w:val="24"/>
          <w:szCs w:val="24"/>
        </w:rPr>
      </w:pPr>
    </w:p>
    <w:p>
      <w:pPr>
        <w:pStyle w:val="15"/>
        <w:rPr>
          <w:rFonts w:asciiTheme="majorEastAsia" w:hAnsiTheme="majorEastAsia" w:eastAsiaTheme="majorEastAsia"/>
          <w:sz w:val="24"/>
          <w:szCs w:val="24"/>
        </w:rPr>
      </w:pPr>
    </w:p>
    <w:p>
      <w:pPr>
        <w:pStyle w:val="15"/>
        <w:rPr>
          <w:rFonts w:asciiTheme="majorEastAsia" w:hAnsiTheme="majorEastAsia" w:eastAsiaTheme="majorEastAsia"/>
          <w:sz w:val="24"/>
          <w:szCs w:val="24"/>
        </w:rPr>
      </w:pPr>
    </w:p>
    <w:p>
      <w:pPr>
        <w:pStyle w:val="15"/>
        <w:rPr>
          <w:rFonts w:asciiTheme="majorEastAsia" w:hAnsiTheme="majorEastAsia" w:eastAsiaTheme="majorEastAsia"/>
          <w:sz w:val="24"/>
          <w:szCs w:val="24"/>
        </w:rPr>
      </w:pPr>
    </w:p>
    <w:p>
      <w:pPr>
        <w:pStyle w:val="15"/>
        <w:rPr>
          <w:rFonts w:asciiTheme="majorEastAsia" w:hAnsiTheme="majorEastAsia" w:eastAsiaTheme="majorEastAsia"/>
          <w:sz w:val="24"/>
          <w:szCs w:val="24"/>
        </w:rPr>
      </w:pPr>
    </w:p>
    <w:p>
      <w:pPr>
        <w:pStyle w:val="15"/>
        <w:spacing w:line="600" w:lineRule="exact"/>
        <w:rPr>
          <w:rFonts w:asciiTheme="majorEastAsia" w:hAnsiTheme="majorEastAsia" w:eastAsiaTheme="majorEastAsia"/>
          <w:sz w:val="24"/>
          <w:szCs w:val="24"/>
          <w:u w:val="single"/>
        </w:rPr>
      </w:pPr>
      <w:r>
        <w:rPr>
          <w:rFonts w:hint="eastAsia" w:asciiTheme="majorEastAsia" w:hAnsiTheme="majorEastAsia" w:eastAsiaTheme="majorEastAsia"/>
          <w:sz w:val="24"/>
          <w:szCs w:val="24"/>
        </w:rPr>
        <w:t>投标人（盖单位公章）：</w:t>
      </w:r>
      <w:r>
        <w:rPr>
          <w:rFonts w:asciiTheme="majorEastAsia" w:hAnsiTheme="majorEastAsia" w:eastAsiaTheme="majorEastAsia"/>
          <w:sz w:val="24"/>
          <w:szCs w:val="24"/>
          <w:u w:val="single"/>
        </w:rPr>
        <w:t xml:space="preserve">                                    </w:t>
      </w:r>
    </w:p>
    <w:p>
      <w:pPr>
        <w:pStyle w:val="15"/>
        <w:spacing w:line="600" w:lineRule="exact"/>
        <w:rPr>
          <w:rFonts w:asciiTheme="majorEastAsia" w:hAnsiTheme="majorEastAsia" w:eastAsiaTheme="majorEastAsia"/>
          <w:sz w:val="24"/>
          <w:szCs w:val="24"/>
          <w:u w:val="single"/>
        </w:rPr>
      </w:pPr>
    </w:p>
    <w:p>
      <w:pPr>
        <w:pStyle w:val="15"/>
        <w:spacing w:line="600" w:lineRule="exact"/>
        <w:rPr>
          <w:rFonts w:asciiTheme="majorEastAsia" w:hAnsiTheme="majorEastAsia" w:eastAsiaTheme="majorEastAsia"/>
          <w:sz w:val="24"/>
          <w:szCs w:val="24"/>
          <w:u w:val="single"/>
        </w:rPr>
      </w:pPr>
      <w:r>
        <w:rPr>
          <w:rFonts w:hint="eastAsia" w:asciiTheme="majorEastAsia" w:hAnsiTheme="majorEastAsia" w:eastAsiaTheme="majorEastAsia"/>
          <w:sz w:val="24"/>
          <w:szCs w:val="24"/>
        </w:rPr>
        <w:t>法定代表人或其委托代理人（签字或盖章）：</w:t>
      </w:r>
      <w:r>
        <w:rPr>
          <w:rFonts w:asciiTheme="majorEastAsia" w:hAnsiTheme="majorEastAsia" w:eastAsiaTheme="majorEastAsia"/>
          <w:sz w:val="24"/>
          <w:szCs w:val="24"/>
          <w:u w:val="single"/>
        </w:rPr>
        <w:t xml:space="preserve">                  </w:t>
      </w:r>
    </w:p>
    <w:p>
      <w:pPr>
        <w:pStyle w:val="15"/>
        <w:spacing w:line="600" w:lineRule="exact"/>
        <w:rPr>
          <w:rFonts w:asciiTheme="majorEastAsia" w:hAnsiTheme="majorEastAsia" w:eastAsiaTheme="majorEastAsia"/>
        </w:rPr>
      </w:pPr>
      <w:r>
        <w:rPr>
          <w:rFonts w:asciiTheme="majorEastAsia" w:hAnsiTheme="majorEastAsia" w:eastAsiaTheme="majorEastAsia"/>
          <w:b/>
          <w:bCs/>
          <w:sz w:val="30"/>
          <w:szCs w:val="30"/>
        </w:rPr>
        <w:br w:type="page"/>
      </w:r>
      <w:r>
        <w:rPr>
          <w:rFonts w:hint="eastAsia" w:asciiTheme="majorEastAsia" w:hAnsiTheme="majorEastAsia" w:eastAsiaTheme="majorEastAsia"/>
          <w:b/>
          <w:bCs/>
        </w:rPr>
        <w:t>格式8：</w:t>
      </w:r>
    </w:p>
    <w:p>
      <w:pPr>
        <w:pStyle w:val="15"/>
        <w:spacing w:line="500" w:lineRule="exact"/>
        <w:jc w:val="center"/>
        <w:rPr>
          <w:rFonts w:asciiTheme="majorEastAsia" w:hAnsiTheme="majorEastAsia" w:eastAsiaTheme="majorEastAsia"/>
          <w:b/>
          <w:bCs/>
          <w:sz w:val="30"/>
          <w:szCs w:val="30"/>
        </w:rPr>
      </w:pPr>
      <w:r>
        <w:rPr>
          <w:rFonts w:hint="eastAsia" w:asciiTheme="majorEastAsia" w:hAnsiTheme="majorEastAsia" w:eastAsiaTheme="majorEastAsia"/>
          <w:b/>
          <w:bCs/>
          <w:sz w:val="30"/>
          <w:szCs w:val="30"/>
        </w:rPr>
        <w:t>商务条款偏离表（格式）</w:t>
      </w:r>
    </w:p>
    <w:p>
      <w:pPr>
        <w:pStyle w:val="15"/>
        <w:spacing w:line="440" w:lineRule="exact"/>
        <w:ind w:firstLine="420" w:firstLineChars="200"/>
        <w:rPr>
          <w:rFonts w:asciiTheme="majorEastAsia" w:hAnsiTheme="majorEastAsia" w:eastAsiaTheme="majorEastAsia"/>
          <w:sz w:val="24"/>
          <w:szCs w:val="24"/>
        </w:rPr>
      </w:pPr>
      <w:r>
        <w:rPr>
          <w:rFonts w:hint="eastAsia" w:asciiTheme="majorEastAsia" w:hAnsiTheme="majorEastAsia" w:eastAsiaTheme="majorEastAsia"/>
        </w:rPr>
        <w:t xml:space="preserve"> </w:t>
      </w:r>
      <w:r>
        <w:rPr>
          <w:rFonts w:hint="eastAsia" w:asciiTheme="majorEastAsia" w:hAnsiTheme="majorEastAsia" w:eastAsiaTheme="majorEastAsia"/>
          <w:sz w:val="24"/>
          <w:szCs w:val="24"/>
        </w:rPr>
        <w:t>请</w:t>
      </w:r>
      <w:r>
        <w:rPr>
          <w:rFonts w:hint="eastAsia" w:asciiTheme="majorEastAsia" w:hAnsiTheme="majorEastAsia" w:eastAsiaTheme="majorEastAsia"/>
          <w:b/>
          <w:bCs/>
          <w:sz w:val="24"/>
          <w:szCs w:val="24"/>
        </w:rPr>
        <w:t>逐条对应</w:t>
      </w:r>
      <w:r>
        <w:rPr>
          <w:rFonts w:hint="eastAsia" w:asciiTheme="majorEastAsia" w:hAnsiTheme="majorEastAsia" w:eastAsiaTheme="majorEastAsia"/>
          <w:sz w:val="24"/>
          <w:szCs w:val="24"/>
        </w:rPr>
        <w:t>本项目招标文件第二章“货物需求一览表”中“商务条款”的要求，详细填写相应的具体内容，“偏离说明”一栏选择“正偏离”、“负偏离”或“无偏离”进行填写。</w:t>
      </w:r>
    </w:p>
    <w:p>
      <w:pPr>
        <w:pStyle w:val="15"/>
        <w:rPr>
          <w:rFonts w:asciiTheme="majorEastAsia" w:hAnsiTheme="majorEastAsia" w:eastAsiaTheme="majorEastAsia"/>
          <w:sz w:val="24"/>
          <w:szCs w:val="24"/>
        </w:rPr>
      </w:pPr>
    </w:p>
    <w:tbl>
      <w:tblPr>
        <w:tblStyle w:val="27"/>
        <w:tblW w:w="984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3502"/>
        <w:gridCol w:w="3960"/>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pStyle w:val="15"/>
              <w:spacing w:line="600" w:lineRule="exact"/>
              <w:jc w:val="center"/>
              <w:rPr>
                <w:rFonts w:asciiTheme="majorEastAsia" w:hAnsiTheme="majorEastAsia" w:eastAsiaTheme="majorEastAsia"/>
                <w:sz w:val="24"/>
                <w:szCs w:val="24"/>
              </w:rPr>
            </w:pPr>
            <w:r>
              <w:rPr>
                <w:rFonts w:hint="eastAsia" w:cs="宋体" w:asciiTheme="majorEastAsia" w:hAnsiTheme="majorEastAsia" w:eastAsiaTheme="majorEastAsia"/>
                <w:sz w:val="24"/>
                <w:szCs w:val="24"/>
              </w:rPr>
              <w:t>项号</w:t>
            </w:r>
          </w:p>
        </w:tc>
        <w:tc>
          <w:tcPr>
            <w:tcW w:w="3502" w:type="dxa"/>
            <w:vAlign w:val="center"/>
          </w:tcPr>
          <w:p>
            <w:pPr>
              <w:pStyle w:val="15"/>
              <w:spacing w:line="600" w:lineRule="exact"/>
              <w:jc w:val="center"/>
              <w:rPr>
                <w:rFonts w:asciiTheme="majorEastAsia" w:hAnsiTheme="majorEastAsia" w:eastAsiaTheme="majorEastAsia"/>
                <w:sz w:val="24"/>
                <w:szCs w:val="24"/>
              </w:rPr>
            </w:pPr>
            <w:r>
              <w:rPr>
                <w:rFonts w:hint="eastAsia" w:cs="宋体" w:asciiTheme="majorEastAsia" w:hAnsiTheme="majorEastAsia" w:eastAsiaTheme="majorEastAsia"/>
                <w:sz w:val="24"/>
                <w:szCs w:val="24"/>
              </w:rPr>
              <w:t>招标文件的商务需求</w:t>
            </w:r>
          </w:p>
        </w:tc>
        <w:tc>
          <w:tcPr>
            <w:tcW w:w="3960" w:type="dxa"/>
            <w:vAlign w:val="center"/>
          </w:tcPr>
          <w:p>
            <w:pPr>
              <w:pStyle w:val="15"/>
              <w:spacing w:line="600" w:lineRule="exact"/>
              <w:jc w:val="center"/>
              <w:rPr>
                <w:rFonts w:asciiTheme="majorEastAsia" w:hAnsiTheme="majorEastAsia" w:eastAsiaTheme="majorEastAsia"/>
                <w:sz w:val="24"/>
                <w:szCs w:val="24"/>
              </w:rPr>
            </w:pPr>
            <w:r>
              <w:rPr>
                <w:rFonts w:hint="eastAsia" w:cs="宋体" w:asciiTheme="majorEastAsia" w:hAnsiTheme="majorEastAsia" w:eastAsiaTheme="majorEastAsia"/>
                <w:sz w:val="24"/>
                <w:szCs w:val="24"/>
              </w:rPr>
              <w:t>投标文件承诺的商务条款</w:t>
            </w:r>
          </w:p>
        </w:tc>
        <w:tc>
          <w:tcPr>
            <w:tcW w:w="1666" w:type="dxa"/>
            <w:vAlign w:val="center"/>
          </w:tcPr>
          <w:p>
            <w:pPr>
              <w:pStyle w:val="15"/>
              <w:spacing w:line="600" w:lineRule="exact"/>
              <w:jc w:val="center"/>
              <w:rPr>
                <w:rFonts w:asciiTheme="majorEastAsia" w:hAnsiTheme="majorEastAsia" w:eastAsiaTheme="majorEastAsia"/>
                <w:sz w:val="24"/>
                <w:szCs w:val="24"/>
              </w:rPr>
            </w:pPr>
            <w:r>
              <w:rPr>
                <w:rFonts w:hint="eastAsia" w:cs="宋体" w:asciiTheme="majorEastAsia" w:hAnsiTheme="majorEastAsia" w:eastAsiaTheme="majorEastAsia"/>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pStyle w:val="15"/>
              <w:spacing w:line="6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一</w:t>
            </w:r>
          </w:p>
        </w:tc>
        <w:tc>
          <w:tcPr>
            <w:tcW w:w="3502" w:type="dxa"/>
          </w:tcPr>
          <w:p>
            <w:pPr>
              <w:jc w:val="left"/>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jc w:val="left"/>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jc w:val="left"/>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p>
            <w:pPr>
              <w:pStyle w:val="15"/>
              <w:spacing w:line="600" w:lineRule="exact"/>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w:t>
            </w:r>
          </w:p>
        </w:tc>
        <w:tc>
          <w:tcPr>
            <w:tcW w:w="3960" w:type="dxa"/>
          </w:tcPr>
          <w:p>
            <w:pPr>
              <w:jc w:val="left"/>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jc w:val="left"/>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jc w:val="left"/>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p>
            <w:pPr>
              <w:pStyle w:val="15"/>
              <w:spacing w:line="600" w:lineRule="exact"/>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w:t>
            </w:r>
          </w:p>
        </w:tc>
        <w:tc>
          <w:tcPr>
            <w:tcW w:w="1666" w:type="dxa"/>
          </w:tcPr>
          <w:p>
            <w:pPr>
              <w:pStyle w:val="15"/>
              <w:spacing w:line="6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pStyle w:val="15"/>
              <w:spacing w:line="6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二</w:t>
            </w:r>
          </w:p>
        </w:tc>
        <w:tc>
          <w:tcPr>
            <w:tcW w:w="3502" w:type="dxa"/>
          </w:tcPr>
          <w:p>
            <w:pPr>
              <w:jc w:val="left"/>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jc w:val="left"/>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jc w:val="left"/>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p>
            <w:pPr>
              <w:pStyle w:val="15"/>
              <w:spacing w:line="600" w:lineRule="exact"/>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w:t>
            </w:r>
          </w:p>
        </w:tc>
        <w:tc>
          <w:tcPr>
            <w:tcW w:w="3960" w:type="dxa"/>
          </w:tcPr>
          <w:p>
            <w:pPr>
              <w:jc w:val="left"/>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jc w:val="left"/>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jc w:val="left"/>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p>
            <w:pPr>
              <w:pStyle w:val="15"/>
              <w:spacing w:line="600" w:lineRule="exact"/>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w:t>
            </w:r>
          </w:p>
        </w:tc>
        <w:tc>
          <w:tcPr>
            <w:tcW w:w="1666" w:type="dxa"/>
          </w:tcPr>
          <w:p>
            <w:pPr>
              <w:pStyle w:val="15"/>
              <w:spacing w:line="6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jc w:val="center"/>
              <w:rPr>
                <w:rFonts w:asciiTheme="majorEastAsia" w:hAnsiTheme="majorEastAsia" w:eastAsiaTheme="majorEastAsia"/>
                <w:sz w:val="24"/>
              </w:rPr>
            </w:pPr>
            <w:r>
              <w:rPr>
                <w:rFonts w:hint="eastAsia" w:cs="宋体" w:asciiTheme="majorEastAsia" w:hAnsiTheme="majorEastAsia" w:eastAsiaTheme="majorEastAsia"/>
                <w:sz w:val="24"/>
              </w:rPr>
              <w:t>…</w:t>
            </w:r>
          </w:p>
        </w:tc>
        <w:tc>
          <w:tcPr>
            <w:tcW w:w="3502" w:type="dxa"/>
            <w:vAlign w:val="center"/>
          </w:tcPr>
          <w:p>
            <w:pPr>
              <w:pStyle w:val="15"/>
              <w:spacing w:line="600" w:lineRule="exact"/>
              <w:jc w:val="center"/>
              <w:rPr>
                <w:rFonts w:asciiTheme="majorEastAsia" w:hAnsiTheme="majorEastAsia" w:eastAsiaTheme="majorEastAsia"/>
                <w:sz w:val="24"/>
                <w:szCs w:val="24"/>
              </w:rPr>
            </w:pPr>
          </w:p>
        </w:tc>
        <w:tc>
          <w:tcPr>
            <w:tcW w:w="3960" w:type="dxa"/>
            <w:vAlign w:val="center"/>
          </w:tcPr>
          <w:p>
            <w:pPr>
              <w:pStyle w:val="15"/>
              <w:spacing w:line="600" w:lineRule="exact"/>
              <w:jc w:val="center"/>
              <w:rPr>
                <w:rFonts w:asciiTheme="majorEastAsia" w:hAnsiTheme="majorEastAsia" w:eastAsiaTheme="majorEastAsia"/>
                <w:sz w:val="24"/>
                <w:szCs w:val="24"/>
              </w:rPr>
            </w:pPr>
          </w:p>
        </w:tc>
        <w:tc>
          <w:tcPr>
            <w:tcW w:w="1666" w:type="dxa"/>
            <w:vAlign w:val="center"/>
          </w:tcPr>
          <w:p>
            <w:pPr>
              <w:pStyle w:val="15"/>
              <w:spacing w:line="600" w:lineRule="exact"/>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5" w:type="dxa"/>
            <w:gridSpan w:val="4"/>
            <w:vAlign w:val="center"/>
          </w:tcPr>
          <w:p>
            <w:pPr>
              <w:pStyle w:val="15"/>
              <w:spacing w:line="600" w:lineRule="exact"/>
              <w:rPr>
                <w:rFonts w:asciiTheme="majorEastAsia" w:hAnsiTheme="majorEastAsia" w:eastAsiaTheme="majorEastAsia"/>
                <w:sz w:val="24"/>
                <w:szCs w:val="24"/>
                <w:u w:val="single"/>
              </w:rPr>
            </w:pPr>
            <w:r>
              <w:rPr>
                <w:rFonts w:hint="eastAsia" w:asciiTheme="majorEastAsia" w:hAnsiTheme="majorEastAsia" w:eastAsiaTheme="majorEastAsia"/>
                <w:sz w:val="24"/>
                <w:szCs w:val="24"/>
              </w:rPr>
              <w:t>投标人（盖单位公章）：</w:t>
            </w:r>
            <w:r>
              <w:rPr>
                <w:rFonts w:asciiTheme="majorEastAsia" w:hAnsiTheme="majorEastAsia" w:eastAsiaTheme="major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5" w:type="dxa"/>
            <w:gridSpan w:val="4"/>
            <w:vAlign w:val="center"/>
          </w:tcPr>
          <w:p>
            <w:pPr>
              <w:pStyle w:val="15"/>
              <w:spacing w:line="600" w:lineRule="exact"/>
              <w:rPr>
                <w:rFonts w:asciiTheme="majorEastAsia" w:hAnsiTheme="majorEastAsia" w:eastAsiaTheme="majorEastAsia"/>
                <w:sz w:val="24"/>
                <w:szCs w:val="24"/>
                <w:u w:val="single"/>
              </w:rPr>
            </w:pPr>
            <w:r>
              <w:rPr>
                <w:rFonts w:hint="eastAsia" w:asciiTheme="majorEastAsia" w:hAnsiTheme="majorEastAsia" w:eastAsiaTheme="majorEastAsia"/>
                <w:sz w:val="24"/>
                <w:szCs w:val="24"/>
              </w:rPr>
              <w:t>法定代表人或其委托代理人（签字或盖章）：</w:t>
            </w:r>
            <w:r>
              <w:rPr>
                <w:rFonts w:asciiTheme="majorEastAsia" w:hAnsiTheme="majorEastAsia" w:eastAsiaTheme="majorEastAsia"/>
                <w:sz w:val="24"/>
                <w:szCs w:val="24"/>
                <w:u w:val="single"/>
              </w:rPr>
              <w:t xml:space="preserve">                  </w:t>
            </w:r>
          </w:p>
        </w:tc>
      </w:tr>
    </w:tbl>
    <w:p>
      <w:pPr>
        <w:pStyle w:val="15"/>
        <w:rPr>
          <w:rFonts w:asciiTheme="majorEastAsia" w:hAnsiTheme="majorEastAsia" w:eastAsiaTheme="majorEastAsia"/>
          <w:sz w:val="24"/>
          <w:szCs w:val="24"/>
        </w:rPr>
      </w:pPr>
    </w:p>
    <w:p>
      <w:pPr>
        <w:pStyle w:val="15"/>
        <w:spacing w:line="440" w:lineRule="exact"/>
        <w:rPr>
          <w:rFonts w:asciiTheme="majorEastAsia" w:hAnsiTheme="majorEastAsia" w:eastAsiaTheme="majorEastAsia"/>
          <w:sz w:val="24"/>
          <w:szCs w:val="24"/>
        </w:rPr>
      </w:pPr>
      <w:r>
        <w:rPr>
          <w:rFonts w:asciiTheme="majorEastAsia" w:hAnsiTheme="majorEastAsia" w:eastAsiaTheme="majorEastAsia"/>
          <w:sz w:val="24"/>
          <w:szCs w:val="24"/>
        </w:rPr>
        <w:t>注：⑴表格内容均需按要求填写并盖章，不得留空，否则按投标无效处理。</w:t>
      </w:r>
    </w:p>
    <w:p>
      <w:pPr>
        <w:pStyle w:val="15"/>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⑵如果投标文件需求小于或大于招标文件某个数值标准时，投标文件不得直接复制招标文件需求，投标文件对</w:t>
      </w:r>
      <w:r>
        <w:rPr>
          <w:rFonts w:hint="eastAsia" w:asciiTheme="majorEastAsia" w:hAnsiTheme="majorEastAsia" w:eastAsiaTheme="majorEastAsia"/>
          <w:sz w:val="24"/>
          <w:szCs w:val="24"/>
        </w:rPr>
        <w:t>应</w:t>
      </w:r>
      <w:r>
        <w:rPr>
          <w:rFonts w:asciiTheme="majorEastAsia" w:hAnsiTheme="majorEastAsia" w:eastAsiaTheme="majorEastAsia"/>
          <w:sz w:val="24"/>
          <w:szCs w:val="24"/>
        </w:rPr>
        <w:t>内容应当写明商务响应的实际数值，否则按投标无效处理。</w:t>
      </w:r>
    </w:p>
    <w:p>
      <w:pPr>
        <w:pStyle w:val="15"/>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⑶当投标文件的商务响应低于招标文件要求时，投标人应当如实写明“负偏离”，否则视为虚假应标。</w:t>
      </w:r>
    </w:p>
    <w:p>
      <w:pPr>
        <w:pStyle w:val="15"/>
        <w:spacing w:line="600" w:lineRule="exact"/>
        <w:rPr>
          <w:rFonts w:asciiTheme="majorEastAsia" w:hAnsiTheme="majorEastAsia" w:eastAsiaTheme="majorEastAsia"/>
          <w:sz w:val="24"/>
          <w:szCs w:val="24"/>
        </w:rPr>
      </w:pPr>
    </w:p>
    <w:p>
      <w:pPr>
        <w:pStyle w:val="15"/>
        <w:spacing w:line="600" w:lineRule="exact"/>
        <w:rPr>
          <w:rFonts w:asciiTheme="majorEastAsia" w:hAnsiTheme="majorEastAsia" w:eastAsiaTheme="majorEastAsia"/>
        </w:rPr>
      </w:pPr>
      <w:r>
        <w:rPr>
          <w:rFonts w:asciiTheme="majorEastAsia" w:hAnsiTheme="majorEastAsia" w:eastAsiaTheme="majorEastAsia"/>
          <w:b/>
          <w:bCs/>
          <w:sz w:val="32"/>
          <w:szCs w:val="32"/>
        </w:rPr>
        <w:br w:type="page"/>
      </w:r>
      <w:r>
        <w:rPr>
          <w:rFonts w:hint="eastAsia" w:asciiTheme="majorEastAsia" w:hAnsiTheme="majorEastAsia" w:eastAsiaTheme="majorEastAsia"/>
          <w:b/>
          <w:bCs/>
        </w:rPr>
        <w:t>格式9：</w:t>
      </w:r>
    </w:p>
    <w:p>
      <w:pPr>
        <w:pStyle w:val="15"/>
        <w:spacing w:line="500" w:lineRule="exact"/>
        <w:jc w:val="center"/>
        <w:rPr>
          <w:rFonts w:asciiTheme="majorEastAsia" w:hAnsiTheme="majorEastAsia" w:eastAsiaTheme="majorEastAsia"/>
          <w:b/>
          <w:bCs/>
          <w:sz w:val="30"/>
          <w:szCs w:val="30"/>
        </w:rPr>
      </w:pPr>
      <w:r>
        <w:rPr>
          <w:rFonts w:hint="eastAsia" w:asciiTheme="majorEastAsia" w:hAnsiTheme="majorEastAsia" w:eastAsiaTheme="majorEastAsia"/>
          <w:b/>
          <w:bCs/>
          <w:sz w:val="30"/>
          <w:szCs w:val="30"/>
        </w:rPr>
        <w:t>法定代表人授权委托书（格式）</w:t>
      </w:r>
    </w:p>
    <w:p>
      <w:pPr>
        <w:pStyle w:val="15"/>
        <w:spacing w:line="500" w:lineRule="exact"/>
        <w:ind w:firstLine="420" w:firstLineChars="200"/>
        <w:rPr>
          <w:rFonts w:asciiTheme="majorEastAsia" w:hAnsiTheme="majorEastAsia" w:eastAsiaTheme="majorEastAsia"/>
          <w:u w:val="single"/>
        </w:rPr>
      </w:pPr>
    </w:p>
    <w:p>
      <w:pPr>
        <w:pStyle w:val="15"/>
        <w:spacing w:line="360" w:lineRule="auto"/>
        <w:ind w:firstLine="435"/>
        <w:rPr>
          <w:rFonts w:asciiTheme="majorEastAsia" w:hAnsiTheme="majorEastAsia" w:eastAsiaTheme="majorEastAsia"/>
          <w:sz w:val="24"/>
          <w:szCs w:val="24"/>
        </w:rPr>
      </w:pPr>
      <w:r>
        <w:rPr>
          <w:rFonts w:hint="eastAsia" w:asciiTheme="majorEastAsia" w:hAnsiTheme="majorEastAsia" w:eastAsiaTheme="majorEastAsia"/>
          <w:sz w:val="24"/>
          <w:szCs w:val="24"/>
        </w:rPr>
        <w:t>致：</w:t>
      </w:r>
      <w:r>
        <w:rPr>
          <w:rFonts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（采购代理机构名称）</w:t>
      </w:r>
    </w:p>
    <w:p>
      <w:pPr>
        <w:pStyle w:val="15"/>
        <w:spacing w:line="360" w:lineRule="auto"/>
        <w:ind w:firstLine="435"/>
        <w:rPr>
          <w:rFonts w:asciiTheme="majorEastAsia" w:hAnsiTheme="majorEastAsia" w:eastAsiaTheme="majorEastAsia"/>
          <w:sz w:val="24"/>
          <w:szCs w:val="24"/>
        </w:rPr>
      </w:pPr>
    </w:p>
    <w:p>
      <w:pPr>
        <w:pStyle w:val="15"/>
        <w:spacing w:line="360" w:lineRule="auto"/>
        <w:ind w:firstLine="435"/>
        <w:rPr>
          <w:rFonts w:asciiTheme="majorEastAsia" w:hAnsiTheme="majorEastAsia" w:eastAsiaTheme="majorEastAsia"/>
          <w:sz w:val="24"/>
          <w:szCs w:val="24"/>
        </w:rPr>
      </w:pPr>
      <w:r>
        <w:rPr>
          <w:rFonts w:hint="eastAsia" w:asciiTheme="majorEastAsia" w:hAnsiTheme="majorEastAsia" w:eastAsiaTheme="majorEastAsia"/>
          <w:sz w:val="24"/>
          <w:szCs w:val="24"/>
        </w:rPr>
        <w:t>本人</w:t>
      </w:r>
      <w:r>
        <w:rPr>
          <w:rFonts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u w:val="single"/>
        </w:rPr>
        <w:t>（姓名）</w:t>
      </w:r>
      <w:r>
        <w:rPr>
          <w:rFonts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系</w:t>
      </w:r>
      <w:r>
        <w:rPr>
          <w:rFonts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u w:val="single"/>
        </w:rPr>
        <w:t>（投标人名称）</w:t>
      </w:r>
      <w:r>
        <w:rPr>
          <w:rFonts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的法定代表人，现授权我单位在职正式员工</w:t>
      </w:r>
      <w:r>
        <w:rPr>
          <w:rFonts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u w:val="single"/>
        </w:rPr>
        <w:t>（姓名和职务）</w:t>
      </w:r>
      <w:r>
        <w:rPr>
          <w:rFonts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为我方代理人。代理人根据授权，以我方名义签署、澄清、说明、补正、递交、撤回、修改贵方组织的</w:t>
      </w:r>
      <w:r>
        <w:rPr>
          <w:rFonts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u w:val="single"/>
        </w:rPr>
        <w:t>（项目名称）</w:t>
      </w:r>
      <w:r>
        <w:rPr>
          <w:rFonts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（项目编号：</w:t>
      </w:r>
      <w:r>
        <w:rPr>
          <w:rFonts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）项目的投标文件、签订合同和处理一切有关事宜，其法律后果由我方承担。</w:t>
      </w:r>
    </w:p>
    <w:p>
      <w:pPr>
        <w:pStyle w:val="15"/>
        <w:spacing w:line="360" w:lineRule="auto"/>
        <w:ind w:firstLine="435"/>
        <w:rPr>
          <w:rFonts w:asciiTheme="majorEastAsia" w:hAnsiTheme="majorEastAsia" w:eastAsiaTheme="majorEastAsia"/>
          <w:sz w:val="24"/>
          <w:szCs w:val="24"/>
        </w:rPr>
      </w:pPr>
      <w:r>
        <w:rPr>
          <w:rFonts w:hint="eastAsia" w:asciiTheme="majorEastAsia" w:hAnsiTheme="majorEastAsia" w:eastAsiaTheme="majorEastAsia"/>
          <w:sz w:val="24"/>
          <w:szCs w:val="24"/>
        </w:rPr>
        <w:t>本授权书于</w:t>
      </w:r>
      <w:r>
        <w:rPr>
          <w:rFonts w:asciiTheme="majorEastAsia" w:hAnsiTheme="majorEastAsia" w:eastAsiaTheme="majorEastAsia"/>
          <w:spacing w:val="10"/>
          <w:sz w:val="24"/>
          <w:szCs w:val="24"/>
          <w:u w:val="single"/>
        </w:rPr>
        <w:t xml:space="preserve">    </w:t>
      </w:r>
      <w:r>
        <w:rPr>
          <w:rFonts w:hint="eastAsia" w:asciiTheme="majorEastAsia" w:hAnsiTheme="majorEastAsia" w:eastAsiaTheme="majorEastAsia"/>
          <w:sz w:val="24"/>
          <w:szCs w:val="24"/>
        </w:rPr>
        <w:t>年</w:t>
      </w:r>
      <w:r>
        <w:rPr>
          <w:rFonts w:asciiTheme="majorEastAsia" w:hAnsiTheme="majorEastAsia" w:eastAsiaTheme="majorEastAsia"/>
          <w:spacing w:val="10"/>
          <w:sz w:val="24"/>
          <w:szCs w:val="24"/>
          <w:u w:val="single"/>
        </w:rPr>
        <w:t xml:space="preserve">    </w:t>
      </w:r>
      <w:r>
        <w:rPr>
          <w:rFonts w:hint="eastAsia" w:asciiTheme="majorEastAsia" w:hAnsiTheme="majorEastAsia" w:eastAsiaTheme="majorEastAsia"/>
          <w:sz w:val="24"/>
          <w:szCs w:val="24"/>
        </w:rPr>
        <w:t>月</w:t>
      </w:r>
      <w:r>
        <w:rPr>
          <w:rFonts w:asciiTheme="majorEastAsia" w:hAnsiTheme="majorEastAsia" w:eastAsiaTheme="majorEastAsia"/>
          <w:spacing w:val="10"/>
          <w:sz w:val="24"/>
          <w:szCs w:val="24"/>
          <w:u w:val="single"/>
        </w:rPr>
        <w:t xml:space="preserve">    </w:t>
      </w:r>
      <w:r>
        <w:rPr>
          <w:rFonts w:hint="eastAsia" w:asciiTheme="majorEastAsia" w:hAnsiTheme="majorEastAsia" w:eastAsiaTheme="majorEastAsia"/>
          <w:sz w:val="24"/>
          <w:szCs w:val="24"/>
        </w:rPr>
        <w:t>日签字生效，委托期限：</w:t>
      </w:r>
      <w:r>
        <w:rPr>
          <w:rFonts w:asciiTheme="majorEastAsia" w:hAnsiTheme="majorEastAsia" w:eastAsiaTheme="majorEastAsia"/>
          <w:spacing w:val="10"/>
          <w:sz w:val="24"/>
          <w:szCs w:val="24"/>
          <w:u w:val="single"/>
        </w:rPr>
        <w:t xml:space="preserve">  </w:t>
      </w:r>
      <w:r>
        <w:rPr>
          <w:rFonts w:hint="eastAsia" w:asciiTheme="majorEastAsia" w:hAnsiTheme="majorEastAsia" w:eastAsiaTheme="majorEastAsia"/>
          <w:spacing w:val="10"/>
          <w:sz w:val="24"/>
          <w:szCs w:val="24"/>
          <w:u w:val="single"/>
        </w:rPr>
        <w:t xml:space="preserve">           </w:t>
      </w:r>
      <w:r>
        <w:rPr>
          <w:rFonts w:asciiTheme="majorEastAsia" w:hAnsiTheme="majorEastAsia" w:eastAsiaTheme="majorEastAsia"/>
          <w:spacing w:val="10"/>
          <w:sz w:val="24"/>
          <w:szCs w:val="24"/>
          <w:u w:val="single"/>
        </w:rPr>
        <w:t xml:space="preserve">  </w:t>
      </w:r>
      <w:r>
        <w:rPr>
          <w:rFonts w:hint="eastAsia" w:asciiTheme="majorEastAsia" w:hAnsiTheme="majorEastAsia" w:eastAsiaTheme="majorEastAsia"/>
          <w:sz w:val="24"/>
          <w:szCs w:val="24"/>
        </w:rPr>
        <w:t>。</w:t>
      </w:r>
    </w:p>
    <w:p>
      <w:pPr>
        <w:pStyle w:val="15"/>
        <w:spacing w:line="360" w:lineRule="auto"/>
        <w:ind w:firstLine="420"/>
        <w:rPr>
          <w:rFonts w:asciiTheme="majorEastAsia" w:hAnsiTheme="majorEastAsia" w:eastAsiaTheme="majorEastAsia"/>
          <w:sz w:val="24"/>
          <w:szCs w:val="24"/>
        </w:rPr>
      </w:pPr>
      <w:r>
        <w:rPr>
          <w:rFonts w:hint="eastAsia" w:asciiTheme="majorEastAsia" w:hAnsiTheme="majorEastAsia" w:eastAsiaTheme="majorEastAsia"/>
          <w:sz w:val="24"/>
          <w:szCs w:val="24"/>
        </w:rPr>
        <w:t>代理人无转委托权。</w:t>
      </w:r>
    </w:p>
    <w:p>
      <w:pPr>
        <w:pStyle w:val="15"/>
        <w:spacing w:line="360" w:lineRule="auto"/>
        <w:ind w:firstLine="420"/>
        <w:rPr>
          <w:rFonts w:asciiTheme="majorEastAsia" w:hAnsiTheme="majorEastAsia" w:eastAsiaTheme="majorEastAsia"/>
          <w:sz w:val="24"/>
          <w:szCs w:val="24"/>
        </w:rPr>
      </w:pPr>
    </w:p>
    <w:p>
      <w:pPr>
        <w:pStyle w:val="15"/>
        <w:spacing w:line="360" w:lineRule="auto"/>
        <w:ind w:firstLine="420"/>
        <w:rPr>
          <w:rFonts w:asciiTheme="majorEastAsia" w:hAnsiTheme="majorEastAsia" w:eastAsiaTheme="majorEastAsia"/>
          <w:sz w:val="24"/>
          <w:szCs w:val="24"/>
          <w:u w:val="single"/>
        </w:rPr>
      </w:pPr>
      <w:r>
        <w:rPr>
          <w:rFonts w:hint="eastAsia" w:asciiTheme="majorEastAsia" w:hAnsiTheme="majorEastAsia" w:eastAsiaTheme="majorEastAsia"/>
          <w:sz w:val="24"/>
          <w:szCs w:val="24"/>
        </w:rPr>
        <w:t>投标人（盖单位公章）：</w:t>
      </w:r>
      <w:r>
        <w:rPr>
          <w:rFonts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u w:val="single"/>
        </w:rPr>
        <w:t xml:space="preserve">   </w:t>
      </w:r>
      <w:r>
        <w:rPr>
          <w:rFonts w:asciiTheme="majorEastAsia" w:hAnsiTheme="majorEastAsia" w:eastAsiaTheme="majorEastAsia"/>
          <w:sz w:val="24"/>
          <w:szCs w:val="24"/>
          <w:u w:val="single"/>
        </w:rPr>
        <w:t xml:space="preserve"> </w:t>
      </w:r>
    </w:p>
    <w:p>
      <w:pPr>
        <w:pStyle w:val="15"/>
        <w:spacing w:line="360" w:lineRule="auto"/>
        <w:ind w:firstLine="420"/>
        <w:rPr>
          <w:rFonts w:asciiTheme="majorEastAsia" w:hAnsiTheme="majorEastAsia" w:eastAsiaTheme="majorEastAsia"/>
          <w:sz w:val="24"/>
          <w:szCs w:val="24"/>
          <w:u w:val="single"/>
        </w:rPr>
      </w:pPr>
      <w:r>
        <w:rPr>
          <w:rFonts w:asciiTheme="majorEastAsia" w:hAnsiTheme="majorEastAsia" w:eastAsiaTheme="majorEastAsia"/>
          <w:sz w:val="24"/>
          <w:szCs w:val="24"/>
        </w:rPr>
        <w:t>社会统一信用代码:</w:t>
      </w:r>
      <w:r>
        <w:rPr>
          <w:rFonts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u w:val="single"/>
        </w:rPr>
        <w:t xml:space="preserve">   </w:t>
      </w:r>
      <w:r>
        <w:rPr>
          <w:rFonts w:asciiTheme="majorEastAsia" w:hAnsiTheme="majorEastAsia" w:eastAsiaTheme="majorEastAsia"/>
          <w:sz w:val="24"/>
          <w:szCs w:val="24"/>
          <w:u w:val="single"/>
        </w:rPr>
        <w:t xml:space="preserve">   </w:t>
      </w:r>
    </w:p>
    <w:p>
      <w:pPr>
        <w:pStyle w:val="15"/>
        <w:spacing w:line="360" w:lineRule="auto"/>
        <w:ind w:firstLine="420"/>
        <w:rPr>
          <w:rFonts w:asciiTheme="majorEastAsia" w:hAnsiTheme="majorEastAsia" w:eastAsiaTheme="majorEastAsia"/>
          <w:sz w:val="24"/>
          <w:szCs w:val="24"/>
        </w:rPr>
      </w:pPr>
      <w:r>
        <w:rPr>
          <w:rFonts w:hint="eastAsia" w:asciiTheme="majorEastAsia" w:hAnsiTheme="majorEastAsia" w:eastAsiaTheme="majorEastAsia"/>
          <w:sz w:val="24"/>
          <w:szCs w:val="24"/>
        </w:rPr>
        <w:t>法定代表人（签字或盖章）：</w:t>
      </w:r>
      <w:r>
        <w:rPr>
          <w:rFonts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u w:val="single"/>
        </w:rPr>
        <w:t xml:space="preserve">   </w:t>
      </w:r>
      <w:r>
        <w:rPr>
          <w:rFonts w:asciiTheme="majorEastAsia" w:hAnsiTheme="majorEastAsia" w:eastAsiaTheme="majorEastAsia"/>
          <w:sz w:val="24"/>
          <w:szCs w:val="24"/>
          <w:u w:val="single"/>
        </w:rPr>
        <w:t xml:space="preserve">   </w:t>
      </w:r>
      <w:r>
        <w:rPr>
          <w:rFonts w:asciiTheme="majorEastAsia" w:hAnsiTheme="majorEastAsia" w:eastAsiaTheme="majorEastAsia"/>
          <w:sz w:val="24"/>
          <w:szCs w:val="24"/>
        </w:rPr>
        <w:t xml:space="preserve">                               </w:t>
      </w:r>
    </w:p>
    <w:p>
      <w:pPr>
        <w:pStyle w:val="15"/>
        <w:spacing w:line="360" w:lineRule="auto"/>
        <w:ind w:firstLine="420"/>
        <w:rPr>
          <w:rFonts w:asciiTheme="majorEastAsia" w:hAnsiTheme="majorEastAsia" w:eastAsiaTheme="majorEastAsia"/>
          <w:sz w:val="24"/>
          <w:szCs w:val="24"/>
        </w:rPr>
      </w:pPr>
      <w:r>
        <w:rPr>
          <w:rFonts w:hint="eastAsia" w:asciiTheme="majorEastAsia" w:hAnsiTheme="majorEastAsia" w:eastAsiaTheme="majorEastAsia"/>
          <w:sz w:val="24"/>
          <w:szCs w:val="24"/>
        </w:rPr>
        <w:t>法定代表人身份证号码：</w:t>
      </w:r>
      <w:r>
        <w:rPr>
          <w:rFonts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u w:val="single"/>
        </w:rPr>
        <w:t xml:space="preserve">   </w:t>
      </w:r>
      <w:r>
        <w:rPr>
          <w:rFonts w:asciiTheme="majorEastAsia" w:hAnsiTheme="majorEastAsia" w:eastAsiaTheme="majorEastAsia"/>
          <w:sz w:val="24"/>
          <w:szCs w:val="24"/>
          <w:u w:val="single"/>
        </w:rPr>
        <w:t xml:space="preserve">    </w:t>
      </w:r>
      <w:r>
        <w:rPr>
          <w:rFonts w:asciiTheme="majorEastAsia" w:hAnsiTheme="majorEastAsia" w:eastAsiaTheme="majorEastAsia"/>
          <w:sz w:val="24"/>
          <w:szCs w:val="24"/>
        </w:rPr>
        <w:t xml:space="preserve">                                   </w:t>
      </w:r>
    </w:p>
    <w:p>
      <w:pPr>
        <w:pStyle w:val="15"/>
        <w:spacing w:line="360" w:lineRule="auto"/>
        <w:ind w:firstLine="420"/>
        <w:rPr>
          <w:rFonts w:asciiTheme="majorEastAsia" w:hAnsiTheme="majorEastAsia" w:eastAsiaTheme="majorEastAsia"/>
          <w:sz w:val="24"/>
          <w:szCs w:val="24"/>
        </w:rPr>
      </w:pPr>
      <w:r>
        <w:rPr>
          <w:rFonts w:hint="eastAsia" w:asciiTheme="majorEastAsia" w:hAnsiTheme="majorEastAsia" w:eastAsiaTheme="majorEastAsia"/>
          <w:sz w:val="24"/>
          <w:szCs w:val="24"/>
        </w:rPr>
        <w:t>委托代理人（签字或盖章）：</w:t>
      </w:r>
      <w:r>
        <w:rPr>
          <w:rFonts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u w:val="single"/>
        </w:rPr>
        <w:t xml:space="preserve">   </w:t>
      </w:r>
      <w:r>
        <w:rPr>
          <w:rFonts w:asciiTheme="majorEastAsia" w:hAnsiTheme="majorEastAsia" w:eastAsiaTheme="majorEastAsia"/>
          <w:sz w:val="24"/>
          <w:szCs w:val="24"/>
          <w:u w:val="single"/>
        </w:rPr>
        <w:t xml:space="preserve">     </w:t>
      </w:r>
      <w:r>
        <w:rPr>
          <w:rFonts w:asciiTheme="majorEastAsia" w:hAnsiTheme="majorEastAsia" w:eastAsiaTheme="majorEastAsia"/>
          <w:sz w:val="24"/>
          <w:szCs w:val="24"/>
        </w:rPr>
        <w:t xml:space="preserve">                               </w:t>
      </w:r>
      <w:r>
        <w:rPr>
          <w:rFonts w:asciiTheme="majorEastAsia" w:hAnsiTheme="majorEastAsia" w:eastAsiaTheme="majorEastAsia"/>
          <w:sz w:val="24"/>
          <w:szCs w:val="24"/>
          <w:u w:val="single"/>
        </w:rPr>
        <w:t xml:space="preserve"> </w:t>
      </w:r>
      <w:r>
        <w:rPr>
          <w:rFonts w:asciiTheme="majorEastAsia" w:hAnsiTheme="majorEastAsia" w:eastAsiaTheme="majorEastAsia"/>
          <w:sz w:val="24"/>
          <w:szCs w:val="24"/>
        </w:rPr>
        <w:t xml:space="preserve">                                </w:t>
      </w:r>
    </w:p>
    <w:p>
      <w:pPr>
        <w:pStyle w:val="15"/>
        <w:spacing w:line="360" w:lineRule="auto"/>
        <w:ind w:firstLine="420"/>
        <w:rPr>
          <w:rFonts w:asciiTheme="majorEastAsia" w:hAnsiTheme="majorEastAsia" w:eastAsiaTheme="majorEastAsia"/>
          <w:sz w:val="24"/>
          <w:szCs w:val="24"/>
        </w:rPr>
      </w:pPr>
      <w:r>
        <w:rPr>
          <w:rFonts w:hint="eastAsia" w:asciiTheme="majorEastAsia" w:hAnsiTheme="majorEastAsia" w:eastAsiaTheme="majorEastAsia"/>
          <w:sz w:val="24"/>
          <w:szCs w:val="24"/>
        </w:rPr>
        <w:t>委托代理人身份证号码：</w:t>
      </w:r>
      <w:r>
        <w:rPr>
          <w:rFonts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u w:val="single"/>
        </w:rPr>
        <w:t xml:space="preserve">   </w:t>
      </w:r>
      <w:r>
        <w:rPr>
          <w:rFonts w:asciiTheme="majorEastAsia" w:hAnsiTheme="majorEastAsia" w:eastAsiaTheme="majorEastAsia"/>
          <w:sz w:val="24"/>
          <w:szCs w:val="24"/>
          <w:u w:val="single"/>
        </w:rPr>
        <w:t xml:space="preserve">     </w:t>
      </w:r>
      <w:r>
        <w:rPr>
          <w:rFonts w:asciiTheme="majorEastAsia" w:hAnsiTheme="majorEastAsia" w:eastAsiaTheme="majorEastAsia"/>
          <w:sz w:val="24"/>
          <w:szCs w:val="24"/>
        </w:rPr>
        <w:t xml:space="preserve">                                </w:t>
      </w:r>
    </w:p>
    <w:p>
      <w:pPr>
        <w:pStyle w:val="15"/>
        <w:spacing w:line="360" w:lineRule="auto"/>
        <w:ind w:firstLine="420"/>
        <w:rPr>
          <w:rFonts w:cs="宋体" w:asciiTheme="majorEastAsia" w:hAnsiTheme="majorEastAsia" w:eastAsiaTheme="majorEastAsia"/>
          <w:b/>
          <w:bCs/>
        </w:rPr>
        <w:sectPr>
          <w:pgSz w:w="11906" w:h="16838"/>
          <w:pgMar w:top="1276" w:right="1170" w:bottom="1440" w:left="1096" w:header="851" w:footer="992" w:gutter="0"/>
          <w:cols w:space="720" w:num="1"/>
          <w:docGrid w:type="lines" w:linePitch="312" w:charSpace="0"/>
        </w:sectPr>
      </w:pPr>
    </w:p>
    <w:p>
      <w:pPr>
        <w:pStyle w:val="15"/>
        <w:spacing w:line="360" w:lineRule="auto"/>
        <w:ind w:firstLine="420"/>
        <w:rPr>
          <w:rFonts w:cs="宋体" w:asciiTheme="majorEastAsia" w:hAnsiTheme="majorEastAsia" w:eastAsiaTheme="majorEastAsia"/>
          <w:sz w:val="24"/>
          <w:szCs w:val="24"/>
        </w:rPr>
      </w:pPr>
      <w:r>
        <w:rPr>
          <w:rFonts w:hint="eastAsia" w:cs="宋体" w:asciiTheme="majorEastAsia" w:hAnsiTheme="majorEastAsia" w:eastAsiaTheme="majorEastAsia"/>
          <w:b/>
          <w:bCs/>
        </w:rPr>
        <w:t>格式</w:t>
      </w:r>
      <w:r>
        <w:rPr>
          <w:rFonts w:cs="宋体" w:asciiTheme="majorEastAsia" w:hAnsiTheme="majorEastAsia" w:eastAsiaTheme="majorEastAsia"/>
          <w:b/>
          <w:bCs/>
        </w:rPr>
        <w:t>1</w:t>
      </w:r>
      <w:r>
        <w:rPr>
          <w:rFonts w:hint="eastAsia" w:cs="宋体" w:asciiTheme="majorEastAsia" w:hAnsiTheme="majorEastAsia" w:eastAsiaTheme="majorEastAsia"/>
          <w:b/>
          <w:bCs/>
        </w:rPr>
        <w:t>0：</w:t>
      </w:r>
      <w:r>
        <w:rPr>
          <w:rFonts w:cs="宋体" w:asciiTheme="majorEastAsia" w:hAnsiTheme="majorEastAsia" w:eastAsiaTheme="majorEastAsia"/>
          <w:sz w:val="24"/>
          <w:szCs w:val="24"/>
        </w:rPr>
        <w:t xml:space="preserve">                                </w:t>
      </w:r>
    </w:p>
    <w:p>
      <w:pPr>
        <w:pStyle w:val="15"/>
        <w:spacing w:line="500" w:lineRule="exact"/>
        <w:jc w:val="center"/>
        <w:rPr>
          <w:rFonts w:cs="宋体" w:asciiTheme="majorEastAsia" w:hAnsiTheme="majorEastAsia" w:eastAsiaTheme="majorEastAsia"/>
          <w:b/>
          <w:bCs/>
          <w:sz w:val="30"/>
          <w:szCs w:val="30"/>
        </w:rPr>
      </w:pPr>
      <w:r>
        <w:rPr>
          <w:rFonts w:hint="eastAsia" w:cs="宋体" w:asciiTheme="majorEastAsia" w:hAnsiTheme="majorEastAsia" w:eastAsiaTheme="majorEastAsia"/>
          <w:b/>
          <w:bCs/>
          <w:sz w:val="30"/>
          <w:szCs w:val="30"/>
        </w:rPr>
        <w:t>投标人直接控股、管理关系信息表（格式）</w:t>
      </w:r>
    </w:p>
    <w:p>
      <w:pPr>
        <w:spacing w:before="50" w:after="165" w:afterLines="50"/>
        <w:jc w:val="center"/>
        <w:rPr>
          <w:rFonts w:asciiTheme="majorEastAsia" w:hAnsiTheme="majorEastAsia" w:eastAsiaTheme="majorEastAsia"/>
          <w:b/>
          <w:sz w:val="28"/>
          <w:szCs w:val="28"/>
        </w:rPr>
      </w:pPr>
    </w:p>
    <w:p>
      <w:pPr>
        <w:spacing w:before="50" w:after="165" w:afterLines="50"/>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投标人直接控股股东信息表</w:t>
      </w:r>
    </w:p>
    <w:tbl>
      <w:tblPr>
        <w:tblStyle w:val="27"/>
        <w:tblW w:w="9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28"/>
        <w:gridCol w:w="2269"/>
        <w:gridCol w:w="1239"/>
        <w:gridCol w:w="37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Header/>
        </w:trPr>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rPr>
            </w:pPr>
            <w:r>
              <w:rPr>
                <w:rFonts w:hint="eastAsia" w:asciiTheme="majorEastAsia" w:hAnsiTheme="majorEastAsia" w:eastAsiaTheme="majorEastAsia"/>
                <w:sz w:val="24"/>
              </w:rPr>
              <w:t>序号</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rPr>
            </w:pPr>
            <w:r>
              <w:rPr>
                <w:rFonts w:hint="eastAsia" w:asciiTheme="majorEastAsia" w:hAnsiTheme="majorEastAsia" w:eastAsiaTheme="majorEastAsia"/>
                <w:sz w:val="24"/>
              </w:rPr>
              <w:t>直接控股股东名称</w:t>
            </w: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rPr>
            </w:pPr>
            <w:r>
              <w:rPr>
                <w:rFonts w:hint="eastAsia" w:asciiTheme="majorEastAsia" w:hAnsiTheme="majorEastAsia" w:eastAsiaTheme="majorEastAsia"/>
                <w:sz w:val="24"/>
              </w:rPr>
              <w:t>出资比例</w:t>
            </w: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rPr>
            </w:pPr>
            <w:r>
              <w:rPr>
                <w:rFonts w:hint="eastAsia" w:asciiTheme="majorEastAsia" w:hAnsiTheme="majorEastAsia" w:eastAsiaTheme="majorEastAsia"/>
                <w:sz w:val="24"/>
              </w:rPr>
              <w:t>身份证号码或统一社会信用代码</w:t>
            </w: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rPr>
            </w:pPr>
            <w:r>
              <w:rPr>
                <w:rFonts w:hint="eastAsia" w:asciiTheme="majorEastAsia" w:hAnsiTheme="majorEastAsia" w:eastAsiaTheme="maj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rPr>
            </w:pPr>
            <w:r>
              <w:rPr>
                <w:rFonts w:hint="eastAsia" w:asciiTheme="majorEastAsia" w:hAnsiTheme="majorEastAsia" w:eastAsiaTheme="majorEastAsia"/>
                <w:sz w:val="24"/>
              </w:rPr>
              <w:t>1</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rPr>
            </w:pPr>
            <w:r>
              <w:rPr>
                <w:rFonts w:hint="eastAsia" w:asciiTheme="majorEastAsia" w:hAnsiTheme="majorEastAsia" w:eastAsiaTheme="majorEastAsia"/>
                <w:sz w:val="24"/>
              </w:rPr>
              <w:t>2</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rPr>
            </w:pPr>
            <w:r>
              <w:rPr>
                <w:rFonts w:hint="eastAsia" w:asciiTheme="majorEastAsia" w:hAnsiTheme="majorEastAsia" w:eastAsiaTheme="majorEastAsia"/>
                <w:sz w:val="24"/>
              </w:rPr>
              <w:t>3</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rPr>
            </w:pPr>
            <w:r>
              <w:rPr>
                <w:rFonts w:hint="eastAsia" w:asciiTheme="majorEastAsia" w:hAnsiTheme="majorEastAsia" w:eastAsiaTheme="majorEastAsia"/>
                <w:sz w:val="24"/>
              </w:rPr>
              <w:t>……</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rPr>
            </w:pPr>
          </w:p>
        </w:tc>
      </w:tr>
    </w:tbl>
    <w:p>
      <w:pPr>
        <w:rPr>
          <w:rFonts w:asciiTheme="majorEastAsia" w:hAnsiTheme="majorEastAsia" w:eastAsiaTheme="majorEastAsia"/>
          <w:sz w:val="24"/>
        </w:rPr>
      </w:pPr>
      <w:r>
        <w:rPr>
          <w:rFonts w:hint="eastAsia" w:asciiTheme="majorEastAsia" w:hAnsiTheme="majorEastAsia" w:eastAsiaTheme="majorEastAsia"/>
          <w:sz w:val="24"/>
        </w:rPr>
        <w:t>注：</w:t>
      </w:r>
    </w:p>
    <w:p>
      <w:pPr>
        <w:rPr>
          <w:rFonts w:asciiTheme="majorEastAsia" w:hAnsiTheme="majorEastAsia" w:eastAsiaTheme="majorEastAsia"/>
          <w:sz w:val="24"/>
        </w:rPr>
      </w:pPr>
      <w:r>
        <w:rPr>
          <w:rFonts w:hint="eastAsia" w:asciiTheme="majorEastAsia" w:hAnsiTheme="majorEastAsia" w:eastAsiaTheme="major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rPr>
          <w:rFonts w:asciiTheme="majorEastAsia" w:hAnsiTheme="majorEastAsia" w:eastAsiaTheme="majorEastAsia"/>
          <w:sz w:val="24"/>
        </w:rPr>
      </w:pPr>
      <w:r>
        <w:rPr>
          <w:rFonts w:hint="eastAsia" w:asciiTheme="majorEastAsia" w:hAnsiTheme="majorEastAsia" w:eastAsiaTheme="majorEastAsia"/>
          <w:sz w:val="24"/>
        </w:rPr>
        <w:t>2.本表所指的控股关系仅限于直接控股关系，不包括间接的控股关系。公司实际控制人与公司之间的关系不属于本表所指的直接控股关系。</w:t>
      </w:r>
    </w:p>
    <w:p>
      <w:pPr>
        <w:rPr>
          <w:rFonts w:asciiTheme="majorEastAsia" w:hAnsiTheme="majorEastAsia" w:eastAsiaTheme="majorEastAsia"/>
          <w:sz w:val="24"/>
        </w:rPr>
      </w:pPr>
    </w:p>
    <w:p>
      <w:pPr>
        <w:rPr>
          <w:rFonts w:asciiTheme="majorEastAsia" w:hAnsiTheme="majorEastAsia" w:eastAsiaTheme="majorEastAsia"/>
          <w:sz w:val="24"/>
        </w:rPr>
      </w:pPr>
    </w:p>
    <w:p>
      <w:pPr>
        <w:rPr>
          <w:rFonts w:asciiTheme="majorEastAsia" w:hAnsiTheme="majorEastAsia" w:eastAsiaTheme="majorEastAsia"/>
          <w:sz w:val="24"/>
        </w:rPr>
      </w:pPr>
    </w:p>
    <w:p>
      <w:pPr>
        <w:pStyle w:val="15"/>
        <w:spacing w:line="600" w:lineRule="exact"/>
        <w:rPr>
          <w:rFonts w:cs="宋体" w:asciiTheme="majorEastAsia" w:hAnsiTheme="majorEastAsia" w:eastAsiaTheme="majorEastAsia"/>
          <w:sz w:val="24"/>
          <w:szCs w:val="24"/>
          <w:u w:val="single"/>
        </w:rPr>
      </w:pPr>
      <w:r>
        <w:rPr>
          <w:rFonts w:hint="eastAsia" w:cs="宋体" w:asciiTheme="majorEastAsia" w:hAnsiTheme="majorEastAsia" w:eastAsiaTheme="majorEastAsia"/>
          <w:sz w:val="24"/>
          <w:szCs w:val="24"/>
        </w:rPr>
        <w:t>投标人（盖单位公章）：</w:t>
      </w:r>
      <w:r>
        <w:rPr>
          <w:rFonts w:hint="eastAsia" w:cs="宋体" w:asciiTheme="majorEastAsia" w:hAnsiTheme="majorEastAsia" w:eastAsiaTheme="majorEastAsia"/>
          <w:sz w:val="24"/>
          <w:szCs w:val="24"/>
          <w:u w:val="single"/>
        </w:rPr>
        <w:t xml:space="preserve">                                    </w:t>
      </w:r>
    </w:p>
    <w:p>
      <w:pPr>
        <w:pStyle w:val="15"/>
        <w:spacing w:line="600" w:lineRule="exact"/>
        <w:rPr>
          <w:rFonts w:cs="宋体" w:asciiTheme="majorEastAsia" w:hAnsiTheme="majorEastAsia" w:eastAsiaTheme="majorEastAsia"/>
          <w:sz w:val="24"/>
          <w:szCs w:val="24"/>
        </w:rPr>
      </w:pPr>
    </w:p>
    <w:p>
      <w:pPr>
        <w:pStyle w:val="15"/>
        <w:spacing w:line="600" w:lineRule="exact"/>
        <w:rPr>
          <w:rFonts w:cs="宋体" w:asciiTheme="majorEastAsia" w:hAnsiTheme="majorEastAsia" w:eastAsiaTheme="majorEastAsia"/>
          <w:sz w:val="24"/>
          <w:szCs w:val="24"/>
          <w:u w:val="single"/>
        </w:rPr>
      </w:pPr>
      <w:r>
        <w:rPr>
          <w:rFonts w:hint="eastAsia" w:cs="宋体" w:asciiTheme="majorEastAsia" w:hAnsiTheme="majorEastAsia" w:eastAsiaTheme="majorEastAsia"/>
          <w:sz w:val="24"/>
          <w:szCs w:val="24"/>
        </w:rPr>
        <w:t>法定代表人或其委托代理人（签字或盖章）：</w:t>
      </w:r>
      <w:r>
        <w:rPr>
          <w:rFonts w:hint="eastAsia" w:cs="宋体" w:asciiTheme="majorEastAsia" w:hAnsiTheme="majorEastAsia" w:eastAsiaTheme="majorEastAsia"/>
          <w:sz w:val="24"/>
          <w:szCs w:val="24"/>
          <w:u w:val="single"/>
        </w:rPr>
        <w:t xml:space="preserve">                  </w:t>
      </w:r>
    </w:p>
    <w:p>
      <w:pPr>
        <w:spacing w:before="165" w:beforeLines="50" w:after="50"/>
        <w:ind w:right="480" w:firstLine="5520" w:firstLineChars="2300"/>
        <w:rPr>
          <w:rFonts w:asciiTheme="majorEastAsia" w:hAnsiTheme="majorEastAsia" w:eastAsiaTheme="majorEastAsia"/>
          <w:sz w:val="24"/>
        </w:rPr>
      </w:pPr>
    </w:p>
    <w:p>
      <w:pPr>
        <w:spacing w:before="165" w:beforeLines="50" w:after="50"/>
        <w:ind w:right="480" w:firstLine="240" w:firstLineChars="100"/>
        <w:rPr>
          <w:rFonts w:asciiTheme="majorEastAsia" w:hAnsiTheme="majorEastAsia" w:eastAsiaTheme="majorEastAsia"/>
          <w:sz w:val="24"/>
        </w:rPr>
      </w:pPr>
      <w:r>
        <w:rPr>
          <w:rFonts w:hint="eastAsia" w:asciiTheme="majorEastAsia" w:hAnsiTheme="majorEastAsia" w:eastAsiaTheme="majorEastAsia"/>
          <w:sz w:val="24"/>
        </w:rPr>
        <w:t>年    月    日</w:t>
      </w:r>
    </w:p>
    <w:p>
      <w:pPr>
        <w:jc w:val="center"/>
        <w:rPr>
          <w:rFonts w:asciiTheme="majorEastAsia" w:hAnsiTheme="majorEastAsia" w:eastAsiaTheme="majorEastAsia"/>
          <w:sz w:val="24"/>
        </w:rPr>
      </w:pPr>
      <w:r>
        <w:rPr>
          <w:rFonts w:hint="eastAsia" w:asciiTheme="majorEastAsia" w:hAnsiTheme="majorEastAsia" w:eastAsiaTheme="majorEastAsia"/>
          <w:b/>
          <w:sz w:val="24"/>
        </w:rPr>
        <w:br w:type="page"/>
      </w:r>
      <w:r>
        <w:rPr>
          <w:rFonts w:hint="eastAsia" w:asciiTheme="majorEastAsia" w:hAnsiTheme="majorEastAsia" w:eastAsiaTheme="majorEastAsia"/>
          <w:b/>
          <w:sz w:val="28"/>
          <w:szCs w:val="28"/>
        </w:rPr>
        <w:t>投标人直接管理关系信息表</w:t>
      </w:r>
    </w:p>
    <w:tbl>
      <w:tblPr>
        <w:tblStyle w:val="27"/>
        <w:tblW w:w="9652" w:type="dxa"/>
        <w:tblInd w:w="0" w:type="dxa"/>
        <w:shd w:val="clear" w:color="auto" w:fill="FFFFFF"/>
        <w:tblLayout w:type="fixed"/>
        <w:tblCellMar>
          <w:top w:w="0" w:type="dxa"/>
          <w:left w:w="0" w:type="dxa"/>
          <w:bottom w:w="0" w:type="dxa"/>
          <w:right w:w="0" w:type="dxa"/>
        </w:tblCellMar>
      </w:tblPr>
      <w:tblGrid>
        <w:gridCol w:w="1005"/>
        <w:gridCol w:w="2659"/>
        <w:gridCol w:w="3924"/>
        <w:gridCol w:w="2064"/>
      </w:tblGrid>
      <w:tr>
        <w:tblPrEx>
          <w:shd w:val="clear" w:color="auto" w:fill="FFFFFF"/>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Theme="majorEastAsia" w:hAnsiTheme="majorEastAsia" w:eastAsiaTheme="majorEastAsia"/>
                <w:b/>
                <w:bCs/>
                <w:sz w:val="24"/>
              </w:rPr>
            </w:pPr>
            <w:r>
              <w:rPr>
                <w:rFonts w:hint="eastAsia" w:asciiTheme="majorEastAsia" w:hAnsiTheme="majorEastAsia" w:eastAsiaTheme="majorEastAsia"/>
                <w:b/>
                <w:bCs/>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Theme="majorEastAsia" w:hAnsiTheme="majorEastAsia" w:eastAsiaTheme="majorEastAsia"/>
                <w:b/>
                <w:bCs/>
                <w:sz w:val="24"/>
              </w:rPr>
            </w:pPr>
            <w:r>
              <w:rPr>
                <w:rFonts w:hint="eastAsia" w:asciiTheme="majorEastAsia" w:hAnsiTheme="majorEastAsia" w:eastAsiaTheme="majorEastAsia"/>
                <w:b/>
                <w:bCs/>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Theme="majorEastAsia" w:hAnsiTheme="majorEastAsia" w:eastAsiaTheme="majorEastAsia"/>
                <w:b/>
                <w:bCs/>
                <w:sz w:val="24"/>
              </w:rPr>
            </w:pPr>
            <w:r>
              <w:rPr>
                <w:rFonts w:hint="eastAsia" w:asciiTheme="majorEastAsia" w:hAnsiTheme="majorEastAsia" w:eastAsiaTheme="majorEastAsia"/>
                <w:b/>
                <w:bCs/>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Theme="majorEastAsia" w:hAnsiTheme="majorEastAsia" w:eastAsiaTheme="majorEastAsia"/>
                <w:b/>
                <w:bCs/>
                <w:sz w:val="24"/>
              </w:rPr>
            </w:pPr>
            <w:r>
              <w:rPr>
                <w:rFonts w:hint="eastAsia" w:asciiTheme="majorEastAsia" w:hAnsiTheme="majorEastAsia" w:eastAsiaTheme="majorEastAsia"/>
                <w:b/>
                <w:bCs/>
                <w:sz w:val="24"/>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rPr>
            </w:pPr>
            <w:r>
              <w:rPr>
                <w:rFonts w:hint="eastAsia" w:asciiTheme="majorEastAsia" w:hAnsiTheme="majorEastAsia" w:eastAsiaTheme="majorEastAsia"/>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rPr>
            </w:pPr>
            <w:r>
              <w:rPr>
                <w:rFonts w:hint="eastAsia" w:asciiTheme="majorEastAsia" w:hAnsiTheme="majorEastAsia" w:eastAsiaTheme="majorEastAsia"/>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rPr>
            </w:pPr>
            <w:r>
              <w:rPr>
                <w:rFonts w:hint="eastAsia" w:asciiTheme="majorEastAsia" w:hAnsiTheme="majorEastAsia" w:eastAsiaTheme="majorEastAsia"/>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rPr>
            </w:pPr>
            <w:r>
              <w:rPr>
                <w:rFonts w:hint="eastAsia" w:asciiTheme="majorEastAsia" w:hAnsiTheme="majorEastAsia" w:eastAsiaTheme="majorEastAsia"/>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rPr>
            </w:pPr>
          </w:p>
        </w:tc>
      </w:tr>
    </w:tbl>
    <w:p>
      <w:pPr>
        <w:rPr>
          <w:rFonts w:asciiTheme="majorEastAsia" w:hAnsiTheme="majorEastAsia" w:eastAsiaTheme="majorEastAsia"/>
          <w:sz w:val="24"/>
        </w:rPr>
      </w:pPr>
      <w:r>
        <w:rPr>
          <w:rFonts w:hint="eastAsia" w:asciiTheme="majorEastAsia" w:hAnsiTheme="majorEastAsia" w:eastAsiaTheme="majorEastAsia"/>
          <w:sz w:val="24"/>
        </w:rPr>
        <w:t>注：</w:t>
      </w:r>
    </w:p>
    <w:p>
      <w:pPr>
        <w:rPr>
          <w:rFonts w:asciiTheme="majorEastAsia" w:hAnsiTheme="majorEastAsia" w:eastAsiaTheme="majorEastAsia"/>
          <w:sz w:val="24"/>
        </w:rPr>
      </w:pPr>
      <w:r>
        <w:rPr>
          <w:rFonts w:hint="eastAsia" w:asciiTheme="majorEastAsia" w:hAnsiTheme="majorEastAsia" w:eastAsiaTheme="majorEastAsia"/>
          <w:sz w:val="24"/>
        </w:rPr>
        <w:t>1.管理关系：是指不具有出资持股关系的其他单位之间存在的管理与被管理关系，如一些上下级关系的事业单位和团体组织。</w:t>
      </w:r>
    </w:p>
    <w:p>
      <w:pPr>
        <w:rPr>
          <w:rFonts w:asciiTheme="majorEastAsia" w:hAnsiTheme="majorEastAsia" w:eastAsiaTheme="majorEastAsia"/>
          <w:sz w:val="24"/>
        </w:rPr>
      </w:pPr>
      <w:r>
        <w:rPr>
          <w:rFonts w:hint="eastAsia" w:asciiTheme="majorEastAsia" w:hAnsiTheme="majorEastAsia" w:eastAsiaTheme="majorEastAsia"/>
          <w:sz w:val="24"/>
        </w:rPr>
        <w:t>2.本表所指的管理关系仅限于直接管理关系，不包括间接的管理关系。</w:t>
      </w:r>
    </w:p>
    <w:p>
      <w:pPr>
        <w:rPr>
          <w:rFonts w:asciiTheme="majorEastAsia" w:hAnsiTheme="majorEastAsia" w:eastAsiaTheme="majorEastAsia"/>
          <w:sz w:val="24"/>
        </w:rPr>
      </w:pPr>
    </w:p>
    <w:p>
      <w:pPr>
        <w:rPr>
          <w:rFonts w:asciiTheme="majorEastAsia" w:hAnsiTheme="majorEastAsia" w:eastAsiaTheme="majorEastAsia"/>
          <w:sz w:val="24"/>
        </w:rPr>
      </w:pPr>
    </w:p>
    <w:p>
      <w:pPr>
        <w:rPr>
          <w:rFonts w:asciiTheme="majorEastAsia" w:hAnsiTheme="majorEastAsia" w:eastAsiaTheme="majorEastAsia"/>
          <w:sz w:val="24"/>
        </w:rPr>
      </w:pPr>
    </w:p>
    <w:p>
      <w:pPr>
        <w:rPr>
          <w:rFonts w:asciiTheme="majorEastAsia" w:hAnsiTheme="majorEastAsia" w:eastAsiaTheme="majorEastAsia"/>
          <w:sz w:val="24"/>
        </w:rPr>
      </w:pPr>
    </w:p>
    <w:p>
      <w:pPr>
        <w:rPr>
          <w:rFonts w:asciiTheme="majorEastAsia" w:hAnsiTheme="majorEastAsia" w:eastAsiaTheme="majorEastAsia"/>
          <w:sz w:val="24"/>
        </w:rPr>
      </w:pPr>
    </w:p>
    <w:p>
      <w:pPr>
        <w:pStyle w:val="15"/>
        <w:spacing w:line="600" w:lineRule="exact"/>
        <w:rPr>
          <w:rFonts w:cs="宋体" w:asciiTheme="majorEastAsia" w:hAnsiTheme="majorEastAsia" w:eastAsiaTheme="majorEastAsia"/>
          <w:sz w:val="24"/>
          <w:szCs w:val="24"/>
          <w:u w:val="single"/>
        </w:rPr>
      </w:pPr>
      <w:r>
        <w:rPr>
          <w:rFonts w:hint="eastAsia" w:cs="宋体" w:asciiTheme="majorEastAsia" w:hAnsiTheme="majorEastAsia" w:eastAsiaTheme="majorEastAsia"/>
          <w:sz w:val="24"/>
          <w:szCs w:val="24"/>
        </w:rPr>
        <w:t>投标人（盖单位公章）：</w:t>
      </w:r>
      <w:r>
        <w:rPr>
          <w:rFonts w:hint="eastAsia" w:cs="宋体" w:asciiTheme="majorEastAsia" w:hAnsiTheme="majorEastAsia" w:eastAsiaTheme="majorEastAsia"/>
          <w:sz w:val="24"/>
          <w:szCs w:val="24"/>
          <w:u w:val="single"/>
        </w:rPr>
        <w:t xml:space="preserve">                                    </w:t>
      </w:r>
    </w:p>
    <w:p>
      <w:pPr>
        <w:pStyle w:val="15"/>
        <w:spacing w:line="600" w:lineRule="exact"/>
        <w:rPr>
          <w:rFonts w:cs="宋体" w:asciiTheme="majorEastAsia" w:hAnsiTheme="majorEastAsia" w:eastAsiaTheme="majorEastAsia"/>
          <w:sz w:val="24"/>
          <w:szCs w:val="24"/>
        </w:rPr>
      </w:pPr>
    </w:p>
    <w:p>
      <w:pPr>
        <w:pStyle w:val="15"/>
        <w:spacing w:line="600" w:lineRule="exact"/>
        <w:rPr>
          <w:rFonts w:cs="宋体" w:asciiTheme="majorEastAsia" w:hAnsiTheme="majorEastAsia" w:eastAsiaTheme="majorEastAsia"/>
          <w:sz w:val="24"/>
          <w:szCs w:val="24"/>
          <w:u w:val="single"/>
        </w:rPr>
      </w:pPr>
      <w:r>
        <w:rPr>
          <w:rFonts w:hint="eastAsia" w:cs="宋体" w:asciiTheme="majorEastAsia" w:hAnsiTheme="majorEastAsia" w:eastAsiaTheme="majorEastAsia"/>
          <w:sz w:val="24"/>
          <w:szCs w:val="24"/>
        </w:rPr>
        <w:t>法定代表人或其委托代理人（签字或盖章）：</w:t>
      </w:r>
      <w:r>
        <w:rPr>
          <w:rFonts w:hint="eastAsia" w:cs="宋体" w:asciiTheme="majorEastAsia" w:hAnsiTheme="majorEastAsia" w:eastAsiaTheme="majorEastAsia"/>
          <w:sz w:val="24"/>
          <w:szCs w:val="24"/>
          <w:u w:val="single"/>
        </w:rPr>
        <w:t xml:space="preserve">                  </w:t>
      </w:r>
    </w:p>
    <w:p>
      <w:pPr>
        <w:spacing w:before="165" w:beforeLines="50" w:after="50"/>
        <w:ind w:right="480" w:firstLine="5520" w:firstLineChars="2300"/>
        <w:rPr>
          <w:rFonts w:asciiTheme="majorEastAsia" w:hAnsiTheme="majorEastAsia" w:eastAsiaTheme="majorEastAsia"/>
          <w:sz w:val="24"/>
        </w:rPr>
      </w:pPr>
    </w:p>
    <w:p>
      <w:pPr>
        <w:spacing w:before="165" w:beforeLines="50" w:after="50"/>
        <w:ind w:right="480" w:firstLine="240" w:firstLineChars="100"/>
        <w:rPr>
          <w:rFonts w:asciiTheme="majorEastAsia" w:hAnsiTheme="majorEastAsia" w:eastAsiaTheme="majorEastAsia"/>
          <w:sz w:val="24"/>
        </w:rPr>
      </w:pPr>
      <w:r>
        <w:rPr>
          <w:rFonts w:hint="eastAsia" w:asciiTheme="majorEastAsia" w:hAnsiTheme="majorEastAsia" w:eastAsiaTheme="majorEastAsia"/>
          <w:sz w:val="24"/>
        </w:rPr>
        <w:t>年    月    日</w:t>
      </w:r>
    </w:p>
    <w:p>
      <w:pPr>
        <w:spacing w:line="600" w:lineRule="exact"/>
        <w:jc w:val="center"/>
        <w:outlineLvl w:val="0"/>
        <w:rPr>
          <w:rFonts w:asciiTheme="majorEastAsia" w:hAnsiTheme="majorEastAsia" w:eastAsiaTheme="majorEastAsia"/>
          <w:spacing w:val="20"/>
          <w:sz w:val="24"/>
        </w:rPr>
      </w:pPr>
      <w:r>
        <w:rPr>
          <w:rFonts w:asciiTheme="majorEastAsia" w:hAnsiTheme="majorEastAsia" w:eastAsiaTheme="majorEastAsia"/>
          <w:spacing w:val="20"/>
          <w:sz w:val="24"/>
        </w:rPr>
        <w:br w:type="page"/>
      </w:r>
      <w:bookmarkStart w:id="61" w:name="_Toc213206176"/>
      <w:bookmarkStart w:id="62" w:name="_Toc322528018"/>
      <w:bookmarkStart w:id="63" w:name="_Toc213325925"/>
    </w:p>
    <w:p>
      <w:pPr>
        <w:spacing w:line="600" w:lineRule="exact"/>
        <w:jc w:val="center"/>
        <w:outlineLvl w:val="0"/>
        <w:rPr>
          <w:rFonts w:asciiTheme="majorEastAsia" w:hAnsiTheme="majorEastAsia" w:eastAsiaTheme="majorEastAsia"/>
          <w:spacing w:val="20"/>
          <w:sz w:val="24"/>
        </w:rPr>
      </w:pPr>
    </w:p>
    <w:p>
      <w:pPr>
        <w:spacing w:line="600" w:lineRule="exact"/>
        <w:jc w:val="center"/>
        <w:outlineLvl w:val="0"/>
        <w:rPr>
          <w:rFonts w:asciiTheme="majorEastAsia" w:hAnsiTheme="majorEastAsia" w:eastAsiaTheme="majorEastAsia"/>
          <w:u w:val="single"/>
        </w:rPr>
      </w:pPr>
      <w:bookmarkStart w:id="64" w:name="_Toc31408"/>
      <w:r>
        <w:rPr>
          <w:rFonts w:hint="eastAsia" w:cs="宋体" w:asciiTheme="majorEastAsia" w:hAnsiTheme="majorEastAsia" w:eastAsiaTheme="majorEastAsia"/>
          <w:b/>
          <w:bCs/>
          <w:sz w:val="36"/>
          <w:szCs w:val="36"/>
        </w:rPr>
        <w:t>第六章</w:t>
      </w:r>
      <w:r>
        <w:rPr>
          <w:rFonts w:cs="宋体" w:asciiTheme="majorEastAsia" w:hAnsiTheme="majorEastAsia" w:eastAsiaTheme="majorEastAsia"/>
          <w:b/>
          <w:bCs/>
          <w:sz w:val="36"/>
          <w:szCs w:val="36"/>
        </w:rPr>
        <w:t xml:space="preserve">  </w:t>
      </w:r>
      <w:r>
        <w:rPr>
          <w:rFonts w:hint="eastAsia" w:cs="宋体" w:asciiTheme="majorEastAsia" w:hAnsiTheme="majorEastAsia" w:eastAsiaTheme="majorEastAsia"/>
          <w:b/>
          <w:bCs/>
          <w:sz w:val="36"/>
          <w:szCs w:val="36"/>
        </w:rPr>
        <w:t>合同条款及格式</w:t>
      </w:r>
      <w:bookmarkEnd w:id="61"/>
      <w:bookmarkEnd w:id="62"/>
      <w:bookmarkEnd w:id="63"/>
      <w:bookmarkEnd w:id="64"/>
    </w:p>
    <w:p>
      <w:pPr>
        <w:spacing w:line="360" w:lineRule="auto"/>
        <w:rPr>
          <w:rFonts w:asciiTheme="majorEastAsia" w:hAnsiTheme="majorEastAsia" w:eastAsiaTheme="majorEastAsia"/>
          <w:b/>
          <w:bCs/>
          <w:sz w:val="52"/>
          <w:szCs w:val="52"/>
        </w:rPr>
      </w:pPr>
    </w:p>
    <w:p>
      <w:pPr>
        <w:spacing w:line="360" w:lineRule="auto"/>
        <w:ind w:firstLine="420" w:firstLineChars="200"/>
        <w:rPr>
          <w:rFonts w:asciiTheme="majorEastAsia" w:hAnsiTheme="majorEastAsia" w:eastAsiaTheme="majorEastAsia"/>
        </w:rPr>
      </w:pPr>
    </w:p>
    <w:p>
      <w:pPr>
        <w:spacing w:line="360" w:lineRule="auto"/>
        <w:ind w:firstLine="420" w:firstLineChars="200"/>
        <w:rPr>
          <w:rFonts w:asciiTheme="majorEastAsia" w:hAnsiTheme="majorEastAsia" w:eastAsiaTheme="majorEastAsia"/>
        </w:rPr>
      </w:pPr>
    </w:p>
    <w:p>
      <w:pPr>
        <w:pStyle w:val="15"/>
        <w:spacing w:line="360" w:lineRule="auto"/>
        <w:ind w:right="-19" w:rightChars="-9" w:firstLine="67" w:firstLineChars="21"/>
        <w:jc w:val="center"/>
        <w:rPr>
          <w:rFonts w:asciiTheme="majorEastAsia" w:hAnsiTheme="majorEastAsia" w:eastAsiaTheme="majorEastAsia"/>
          <w:b/>
          <w:bCs/>
          <w:sz w:val="36"/>
          <w:szCs w:val="36"/>
        </w:rPr>
      </w:pPr>
      <w:r>
        <w:rPr>
          <w:rFonts w:hint="eastAsia" w:asciiTheme="majorEastAsia" w:hAnsiTheme="majorEastAsia" w:eastAsiaTheme="majorEastAsia"/>
          <w:b/>
          <w:bCs/>
          <w:sz w:val="32"/>
          <w:szCs w:val="32"/>
          <w:u w:val="single"/>
        </w:rPr>
        <w:t xml:space="preserve">                            </w:t>
      </w:r>
      <w:r>
        <w:rPr>
          <w:rFonts w:asciiTheme="majorEastAsia" w:hAnsiTheme="majorEastAsia" w:eastAsiaTheme="majorEastAsia"/>
          <w:b/>
          <w:bCs/>
          <w:sz w:val="36"/>
          <w:szCs w:val="36"/>
        </w:rPr>
        <w:t>合同</w:t>
      </w:r>
    </w:p>
    <w:p>
      <w:pPr>
        <w:pStyle w:val="15"/>
        <w:spacing w:line="360" w:lineRule="auto"/>
        <w:ind w:right="399" w:rightChars="190"/>
        <w:jc w:val="center"/>
        <w:rPr>
          <w:rFonts w:asciiTheme="majorEastAsia" w:hAnsiTheme="majorEastAsia" w:eastAsiaTheme="majorEastAsia"/>
          <w:sz w:val="24"/>
          <w:szCs w:val="24"/>
          <w:u w:val="single"/>
        </w:rPr>
      </w:pPr>
      <w:r>
        <w:rPr>
          <w:rFonts w:hint="eastAsia" w:asciiTheme="majorEastAsia" w:hAnsiTheme="majorEastAsia" w:eastAsiaTheme="majorEastAsia"/>
          <w:b/>
          <w:bCs/>
          <w:sz w:val="44"/>
        </w:rPr>
        <w:t xml:space="preserve">  </w:t>
      </w:r>
    </w:p>
    <w:p>
      <w:pPr>
        <w:spacing w:line="360" w:lineRule="auto"/>
        <w:rPr>
          <w:rFonts w:asciiTheme="majorEastAsia" w:hAnsiTheme="majorEastAsia" w:eastAsiaTheme="majorEastAsia"/>
          <w:b/>
          <w:bCs/>
          <w:sz w:val="44"/>
        </w:rPr>
      </w:pPr>
    </w:p>
    <w:p>
      <w:pPr>
        <w:spacing w:line="360" w:lineRule="auto"/>
        <w:ind w:firstLine="3507" w:firstLineChars="794"/>
        <w:rPr>
          <w:rFonts w:asciiTheme="majorEastAsia" w:hAnsiTheme="majorEastAsia" w:eastAsiaTheme="majorEastAsia"/>
          <w:b/>
          <w:bCs/>
          <w:sz w:val="44"/>
        </w:rPr>
      </w:pPr>
    </w:p>
    <w:p>
      <w:pPr>
        <w:spacing w:line="360" w:lineRule="auto"/>
        <w:ind w:firstLine="3507" w:firstLineChars="794"/>
        <w:rPr>
          <w:rFonts w:asciiTheme="majorEastAsia" w:hAnsiTheme="majorEastAsia" w:eastAsiaTheme="majorEastAsia"/>
          <w:b/>
          <w:bCs/>
          <w:sz w:val="44"/>
        </w:rPr>
      </w:pPr>
    </w:p>
    <w:p>
      <w:pPr>
        <w:ind w:firstLine="2168" w:firstLineChars="600"/>
        <w:rPr>
          <w:rFonts w:asciiTheme="majorEastAsia" w:hAnsiTheme="majorEastAsia" w:eastAsiaTheme="majorEastAsia"/>
          <w:b/>
          <w:sz w:val="36"/>
          <w:szCs w:val="36"/>
        </w:rPr>
      </w:pPr>
      <w:r>
        <w:rPr>
          <w:rFonts w:hint="eastAsia" w:asciiTheme="majorEastAsia" w:hAnsiTheme="majorEastAsia" w:eastAsiaTheme="majorEastAsia"/>
          <w:b/>
          <w:sz w:val="36"/>
          <w:szCs w:val="36"/>
        </w:rPr>
        <w:t>项目编号：</w:t>
      </w:r>
    </w:p>
    <w:p>
      <w:pPr>
        <w:pStyle w:val="12"/>
        <w:rPr>
          <w:rFonts w:asciiTheme="majorEastAsia" w:hAnsiTheme="majorEastAsia" w:eastAsiaTheme="majorEastAsia"/>
        </w:rPr>
      </w:pPr>
    </w:p>
    <w:p>
      <w:pPr>
        <w:ind w:firstLine="2168" w:firstLineChars="600"/>
        <w:rPr>
          <w:rFonts w:asciiTheme="majorEastAsia" w:hAnsiTheme="majorEastAsia" w:eastAsiaTheme="majorEastAsia"/>
          <w:b/>
          <w:sz w:val="36"/>
          <w:szCs w:val="36"/>
        </w:rPr>
      </w:pPr>
      <w:r>
        <w:rPr>
          <w:rFonts w:hint="eastAsia" w:asciiTheme="majorEastAsia" w:hAnsiTheme="majorEastAsia" w:eastAsiaTheme="majorEastAsia"/>
          <w:b/>
          <w:sz w:val="36"/>
          <w:szCs w:val="36"/>
        </w:rPr>
        <w:t>采购计划文号：</w:t>
      </w:r>
    </w:p>
    <w:p>
      <w:pPr>
        <w:ind w:firstLine="2168" w:firstLineChars="600"/>
        <w:rPr>
          <w:rFonts w:cs="宋体" w:asciiTheme="majorEastAsia" w:hAnsiTheme="majorEastAsia" w:eastAsiaTheme="majorEastAsia"/>
          <w:b/>
          <w:bCs/>
          <w:sz w:val="36"/>
          <w:szCs w:val="36"/>
        </w:rPr>
      </w:pPr>
    </w:p>
    <w:p>
      <w:pPr>
        <w:ind w:firstLine="1995" w:firstLineChars="552"/>
        <w:rPr>
          <w:rFonts w:cs="宋体" w:asciiTheme="majorEastAsia" w:hAnsiTheme="majorEastAsia" w:eastAsiaTheme="majorEastAsia"/>
          <w:b/>
          <w:bCs/>
          <w:sz w:val="36"/>
          <w:szCs w:val="36"/>
        </w:rPr>
      </w:pPr>
    </w:p>
    <w:p>
      <w:pPr>
        <w:ind w:firstLine="1995" w:firstLineChars="552"/>
        <w:rPr>
          <w:rFonts w:asciiTheme="majorEastAsia" w:hAnsiTheme="majorEastAsia" w:eastAsiaTheme="majorEastAsia"/>
          <w:b/>
          <w:sz w:val="36"/>
          <w:szCs w:val="36"/>
          <w:u w:val="single"/>
        </w:rPr>
      </w:pPr>
    </w:p>
    <w:p>
      <w:pPr>
        <w:rPr>
          <w:rFonts w:asciiTheme="majorEastAsia" w:hAnsiTheme="majorEastAsia" w:eastAsiaTheme="majorEastAsia"/>
          <w:b/>
          <w:sz w:val="36"/>
          <w:szCs w:val="36"/>
          <w:u w:val="single"/>
        </w:rPr>
      </w:pPr>
    </w:p>
    <w:p>
      <w:pPr>
        <w:ind w:firstLine="1995" w:firstLineChars="552"/>
        <w:rPr>
          <w:rFonts w:asciiTheme="majorEastAsia" w:hAnsiTheme="majorEastAsia" w:eastAsiaTheme="majorEastAsia"/>
          <w:b/>
          <w:sz w:val="36"/>
          <w:szCs w:val="36"/>
          <w:u w:val="single"/>
        </w:rPr>
      </w:pPr>
    </w:p>
    <w:p>
      <w:pPr>
        <w:widowControl/>
        <w:ind w:firstLine="2168" w:firstLineChars="600"/>
        <w:jc w:val="left"/>
        <w:rPr>
          <w:rFonts w:asciiTheme="majorEastAsia" w:hAnsiTheme="majorEastAsia" w:eastAsiaTheme="majorEastAsia"/>
          <w:b/>
          <w:sz w:val="36"/>
          <w:szCs w:val="36"/>
        </w:rPr>
      </w:pPr>
    </w:p>
    <w:p>
      <w:pPr>
        <w:widowControl/>
        <w:ind w:firstLine="2168" w:firstLineChars="600"/>
        <w:jc w:val="left"/>
        <w:rPr>
          <w:rFonts w:asciiTheme="majorEastAsia" w:hAnsiTheme="majorEastAsia" w:eastAsiaTheme="majorEastAsia"/>
        </w:rPr>
      </w:pPr>
      <w:r>
        <w:rPr>
          <w:rFonts w:hint="eastAsia" w:asciiTheme="majorEastAsia" w:hAnsiTheme="majorEastAsia" w:eastAsiaTheme="majorEastAsia"/>
          <w:b/>
          <w:sz w:val="36"/>
          <w:szCs w:val="36"/>
        </w:rPr>
        <w:t>采购人：</w:t>
      </w:r>
      <w:r>
        <w:rPr>
          <w:rFonts w:hint="eastAsia" w:cs="宋体" w:asciiTheme="majorEastAsia" w:hAnsiTheme="majorEastAsia" w:eastAsiaTheme="majorEastAsia"/>
          <w:b/>
          <w:bCs/>
          <w:sz w:val="36"/>
          <w:szCs w:val="36"/>
          <w:u w:val="single"/>
        </w:rPr>
        <w:t xml:space="preserve">南宁职业技术学院      </w:t>
      </w:r>
    </w:p>
    <w:p>
      <w:pPr>
        <w:tabs>
          <w:tab w:val="left" w:pos="7380"/>
        </w:tabs>
        <w:spacing w:line="360" w:lineRule="auto"/>
        <w:ind w:firstLine="2176" w:firstLineChars="602"/>
        <w:rPr>
          <w:rFonts w:asciiTheme="majorEastAsia" w:hAnsiTheme="majorEastAsia" w:eastAsiaTheme="majorEastAsia"/>
          <w:b/>
          <w:bCs/>
          <w:sz w:val="36"/>
          <w:szCs w:val="36"/>
        </w:rPr>
      </w:pPr>
      <w:r>
        <w:rPr>
          <w:rFonts w:hint="eastAsia" w:asciiTheme="majorEastAsia" w:hAnsiTheme="majorEastAsia" w:eastAsiaTheme="majorEastAsia"/>
          <w:b/>
          <w:sz w:val="36"/>
          <w:szCs w:val="36"/>
        </w:rPr>
        <w:t>中标供应商：</w:t>
      </w:r>
      <w:r>
        <w:rPr>
          <w:rFonts w:hint="eastAsia" w:cs="宋体" w:asciiTheme="majorEastAsia" w:hAnsiTheme="majorEastAsia" w:eastAsiaTheme="majorEastAsia"/>
          <w:b/>
          <w:bCs/>
          <w:sz w:val="36"/>
          <w:szCs w:val="36"/>
          <w:u w:val="single"/>
        </w:rPr>
        <w:t xml:space="preserve">                  </w:t>
      </w:r>
      <w:r>
        <w:rPr>
          <w:rFonts w:asciiTheme="majorEastAsia" w:hAnsiTheme="majorEastAsia" w:eastAsiaTheme="majorEastAsia"/>
          <w:b/>
          <w:bCs/>
          <w:sz w:val="36"/>
          <w:szCs w:val="36"/>
        </w:rPr>
        <w:br w:type="page"/>
      </w:r>
    </w:p>
    <w:p>
      <w:pPr>
        <w:tabs>
          <w:tab w:val="left" w:pos="7380"/>
        </w:tabs>
        <w:spacing w:line="360" w:lineRule="auto"/>
        <w:jc w:val="center"/>
        <w:rPr>
          <w:rFonts w:asciiTheme="majorEastAsia" w:hAnsiTheme="majorEastAsia" w:eastAsiaTheme="majorEastAsia"/>
          <w:b/>
          <w:bCs/>
          <w:sz w:val="36"/>
          <w:szCs w:val="36"/>
        </w:rPr>
      </w:pPr>
      <w:r>
        <w:rPr>
          <w:rFonts w:hint="eastAsia" w:cs="宋体" w:asciiTheme="majorEastAsia" w:hAnsiTheme="majorEastAsia" w:eastAsiaTheme="majorEastAsia"/>
          <w:b/>
          <w:bCs/>
          <w:sz w:val="36"/>
          <w:szCs w:val="36"/>
        </w:rPr>
        <w:t>目</w:t>
      </w:r>
      <w:r>
        <w:rPr>
          <w:rFonts w:cs="宋体" w:asciiTheme="majorEastAsia" w:hAnsiTheme="majorEastAsia" w:eastAsiaTheme="majorEastAsia"/>
          <w:b/>
          <w:bCs/>
          <w:sz w:val="36"/>
          <w:szCs w:val="36"/>
        </w:rPr>
        <w:t xml:space="preserve">  </w:t>
      </w:r>
      <w:r>
        <w:rPr>
          <w:rFonts w:hint="eastAsia" w:cs="宋体" w:asciiTheme="majorEastAsia" w:hAnsiTheme="majorEastAsia" w:eastAsiaTheme="majorEastAsia"/>
          <w:b/>
          <w:bCs/>
          <w:sz w:val="36"/>
          <w:szCs w:val="36"/>
        </w:rPr>
        <w:t>录</w:t>
      </w:r>
    </w:p>
    <w:p>
      <w:pPr>
        <w:tabs>
          <w:tab w:val="left" w:pos="1170"/>
        </w:tabs>
        <w:spacing w:line="360" w:lineRule="auto"/>
        <w:ind w:left="359" w:leftChars="171" w:firstLine="198" w:firstLineChars="71"/>
        <w:rPr>
          <w:rFonts w:asciiTheme="majorEastAsia" w:hAnsiTheme="majorEastAsia" w:eastAsiaTheme="majorEastAsia"/>
          <w:sz w:val="28"/>
          <w:szCs w:val="28"/>
        </w:rPr>
      </w:pPr>
      <w:r>
        <w:rPr>
          <w:rFonts w:asciiTheme="majorEastAsia" w:hAnsiTheme="majorEastAsia" w:eastAsiaTheme="majorEastAsia"/>
          <w:sz w:val="28"/>
          <w:szCs w:val="28"/>
        </w:rPr>
        <w:tab/>
      </w:r>
    </w:p>
    <w:p>
      <w:pPr>
        <w:rPr>
          <w:rFonts w:asciiTheme="majorEastAsia" w:hAnsiTheme="majorEastAsia" w:eastAsiaTheme="majorEastAsia"/>
          <w:b/>
          <w:bCs/>
          <w:sz w:val="30"/>
          <w:szCs w:val="30"/>
        </w:rPr>
      </w:pPr>
      <w:r>
        <w:rPr>
          <w:rFonts w:hint="eastAsia" w:cs="宋体" w:asciiTheme="majorEastAsia" w:hAnsiTheme="majorEastAsia" w:eastAsiaTheme="majorEastAsia"/>
          <w:b/>
          <w:bCs/>
          <w:sz w:val="30"/>
          <w:szCs w:val="30"/>
        </w:rPr>
        <w:t>一、南宁市政府采购合同书</w:t>
      </w:r>
    </w:p>
    <w:p>
      <w:pPr>
        <w:rPr>
          <w:rFonts w:asciiTheme="majorEastAsia" w:hAnsiTheme="majorEastAsia" w:eastAsiaTheme="majorEastAsia"/>
          <w:b/>
          <w:bCs/>
          <w:sz w:val="30"/>
          <w:szCs w:val="30"/>
        </w:rPr>
      </w:pPr>
      <w:r>
        <w:rPr>
          <w:rFonts w:hint="eastAsia" w:cs="宋体" w:asciiTheme="majorEastAsia" w:hAnsiTheme="majorEastAsia" w:eastAsiaTheme="majorEastAsia"/>
          <w:b/>
          <w:bCs/>
          <w:sz w:val="30"/>
          <w:szCs w:val="30"/>
        </w:rPr>
        <w:t>二、合同附件</w:t>
      </w:r>
    </w:p>
    <w:p>
      <w:pPr>
        <w:numPr>
          <w:ilvl w:val="0"/>
          <w:numId w:val="8"/>
        </w:numPr>
        <w:rPr>
          <w:rFonts w:asciiTheme="majorEastAsia" w:hAnsiTheme="majorEastAsia" w:eastAsiaTheme="majorEastAsia"/>
          <w:sz w:val="28"/>
          <w:szCs w:val="28"/>
        </w:rPr>
      </w:pPr>
      <w:r>
        <w:rPr>
          <w:rFonts w:hint="eastAsia" w:cs="宋体" w:asciiTheme="majorEastAsia" w:hAnsiTheme="majorEastAsia" w:eastAsiaTheme="majorEastAsia"/>
          <w:sz w:val="28"/>
          <w:szCs w:val="28"/>
        </w:rPr>
        <w:t>中标通知书</w:t>
      </w:r>
    </w:p>
    <w:p>
      <w:pPr>
        <w:numPr>
          <w:ilvl w:val="0"/>
          <w:numId w:val="8"/>
        </w:numPr>
        <w:rPr>
          <w:rFonts w:asciiTheme="majorEastAsia" w:hAnsiTheme="majorEastAsia" w:eastAsiaTheme="majorEastAsia"/>
          <w:sz w:val="28"/>
          <w:szCs w:val="28"/>
        </w:rPr>
      </w:pPr>
      <w:r>
        <w:rPr>
          <w:rFonts w:hint="eastAsia" w:cs="宋体" w:asciiTheme="majorEastAsia" w:hAnsiTheme="majorEastAsia" w:eastAsiaTheme="majorEastAsia"/>
          <w:sz w:val="28"/>
          <w:szCs w:val="28"/>
        </w:rPr>
        <w:t>招标文件货物需求一览表</w:t>
      </w:r>
    </w:p>
    <w:p>
      <w:pPr>
        <w:numPr>
          <w:ilvl w:val="0"/>
          <w:numId w:val="8"/>
        </w:numPr>
        <w:rPr>
          <w:rFonts w:asciiTheme="majorEastAsia" w:hAnsiTheme="majorEastAsia" w:eastAsiaTheme="majorEastAsia"/>
          <w:sz w:val="28"/>
          <w:szCs w:val="28"/>
        </w:rPr>
      </w:pPr>
      <w:r>
        <w:rPr>
          <w:rFonts w:hint="eastAsia" w:cs="宋体" w:asciiTheme="majorEastAsia" w:hAnsiTheme="majorEastAsia" w:eastAsiaTheme="majorEastAsia"/>
          <w:sz w:val="28"/>
          <w:szCs w:val="28"/>
        </w:rPr>
        <w:t>招标文件的更改通知（如有）</w:t>
      </w:r>
    </w:p>
    <w:p>
      <w:pPr>
        <w:numPr>
          <w:ilvl w:val="0"/>
          <w:numId w:val="8"/>
        </w:numPr>
        <w:rPr>
          <w:rFonts w:asciiTheme="majorEastAsia" w:hAnsiTheme="majorEastAsia" w:eastAsiaTheme="majorEastAsia"/>
          <w:sz w:val="28"/>
          <w:szCs w:val="28"/>
        </w:rPr>
      </w:pPr>
      <w:r>
        <w:rPr>
          <w:rFonts w:hint="eastAsia" w:cs="宋体" w:asciiTheme="majorEastAsia" w:hAnsiTheme="majorEastAsia" w:eastAsiaTheme="majorEastAsia"/>
          <w:sz w:val="28"/>
          <w:szCs w:val="28"/>
        </w:rPr>
        <w:t>投标函</w:t>
      </w:r>
    </w:p>
    <w:p>
      <w:pPr>
        <w:numPr>
          <w:ilvl w:val="0"/>
          <w:numId w:val="8"/>
        </w:numPr>
        <w:rPr>
          <w:rFonts w:asciiTheme="majorEastAsia" w:hAnsiTheme="majorEastAsia" w:eastAsiaTheme="majorEastAsia"/>
          <w:sz w:val="28"/>
          <w:szCs w:val="28"/>
        </w:rPr>
      </w:pPr>
      <w:r>
        <w:rPr>
          <w:rFonts w:hint="eastAsia" w:cs="宋体" w:asciiTheme="majorEastAsia" w:hAnsiTheme="majorEastAsia" w:eastAsiaTheme="majorEastAsia"/>
          <w:sz w:val="28"/>
          <w:szCs w:val="28"/>
        </w:rPr>
        <w:t>投标报价表</w:t>
      </w:r>
    </w:p>
    <w:p>
      <w:pPr>
        <w:numPr>
          <w:ilvl w:val="0"/>
          <w:numId w:val="8"/>
        </w:numPr>
        <w:rPr>
          <w:rFonts w:asciiTheme="majorEastAsia" w:hAnsiTheme="majorEastAsia" w:eastAsiaTheme="majorEastAsia"/>
          <w:sz w:val="28"/>
          <w:szCs w:val="28"/>
          <w:u w:val="thick"/>
        </w:rPr>
      </w:pPr>
      <w:r>
        <w:rPr>
          <w:rFonts w:hint="eastAsia" w:cs="宋体" w:asciiTheme="majorEastAsia" w:hAnsiTheme="majorEastAsia" w:eastAsiaTheme="majorEastAsia"/>
          <w:sz w:val="28"/>
          <w:szCs w:val="28"/>
        </w:rPr>
        <w:t>投标产品技术资料表、商务条款偏离表</w:t>
      </w:r>
    </w:p>
    <w:p>
      <w:pPr>
        <w:numPr>
          <w:ilvl w:val="0"/>
          <w:numId w:val="8"/>
        </w:numPr>
        <w:rPr>
          <w:rFonts w:asciiTheme="majorEastAsia" w:hAnsiTheme="majorEastAsia" w:eastAsiaTheme="majorEastAsia"/>
          <w:sz w:val="28"/>
          <w:szCs w:val="28"/>
        </w:rPr>
      </w:pPr>
      <w:r>
        <w:rPr>
          <w:rFonts w:hint="eastAsia" w:cs="宋体" w:asciiTheme="majorEastAsia" w:hAnsiTheme="majorEastAsia" w:eastAsiaTheme="majorEastAsia"/>
          <w:sz w:val="28"/>
          <w:szCs w:val="28"/>
        </w:rPr>
        <w:t>中标供应商澄清函</w:t>
      </w:r>
      <w:r>
        <w:rPr>
          <w:rFonts w:asciiTheme="majorEastAsia" w:hAnsiTheme="majorEastAsia" w:eastAsiaTheme="majorEastAsia"/>
          <w:sz w:val="28"/>
          <w:szCs w:val="28"/>
        </w:rPr>
        <w:t>（如有请提</w:t>
      </w:r>
      <w:r>
        <w:rPr>
          <w:rFonts w:asciiTheme="majorEastAsia" w:hAnsiTheme="majorEastAsia" w:eastAsiaTheme="majorEastAsia"/>
          <w:sz w:val="30"/>
          <w:szCs w:val="30"/>
        </w:rPr>
        <w:t>供</w:t>
      </w:r>
      <w:r>
        <w:rPr>
          <w:rFonts w:asciiTheme="majorEastAsia" w:hAnsiTheme="majorEastAsia" w:eastAsiaTheme="majorEastAsia"/>
          <w:sz w:val="28"/>
          <w:szCs w:val="28"/>
        </w:rPr>
        <w:t>）</w:t>
      </w:r>
    </w:p>
    <w:p>
      <w:pPr>
        <w:pStyle w:val="15"/>
        <w:numPr>
          <w:ilvl w:val="0"/>
          <w:numId w:val="8"/>
        </w:numPr>
        <w:spacing w:line="360" w:lineRule="auto"/>
        <w:rPr>
          <w:rFonts w:asciiTheme="majorEastAsia" w:hAnsiTheme="majorEastAsia" w:eastAsiaTheme="majorEastAsia"/>
          <w:sz w:val="28"/>
          <w:szCs w:val="28"/>
        </w:rPr>
      </w:pPr>
      <w:r>
        <w:rPr>
          <w:rFonts w:asciiTheme="majorEastAsia" w:hAnsiTheme="majorEastAsia" w:eastAsiaTheme="majorEastAsia"/>
          <w:sz w:val="28"/>
          <w:szCs w:val="28"/>
        </w:rPr>
        <w:t>其他与本合同相关的资料（如有请提</w:t>
      </w:r>
      <w:r>
        <w:rPr>
          <w:rFonts w:asciiTheme="majorEastAsia" w:hAnsiTheme="majorEastAsia" w:eastAsiaTheme="majorEastAsia"/>
          <w:sz w:val="30"/>
          <w:szCs w:val="30"/>
        </w:rPr>
        <w:t>供</w:t>
      </w:r>
      <w:r>
        <w:rPr>
          <w:rFonts w:asciiTheme="majorEastAsia" w:hAnsiTheme="majorEastAsia" w:eastAsiaTheme="majorEastAsia"/>
          <w:sz w:val="28"/>
          <w:szCs w:val="28"/>
        </w:rPr>
        <w:t>）</w:t>
      </w:r>
    </w:p>
    <w:p>
      <w:pPr>
        <w:ind w:left="1320"/>
        <w:rPr>
          <w:rFonts w:asciiTheme="majorEastAsia" w:hAnsiTheme="majorEastAsia" w:eastAsiaTheme="majorEastAsia"/>
          <w:sz w:val="28"/>
          <w:szCs w:val="28"/>
        </w:rPr>
      </w:pPr>
    </w:p>
    <w:p>
      <w:pPr>
        <w:spacing w:line="360" w:lineRule="auto"/>
        <w:jc w:val="center"/>
        <w:rPr>
          <w:rFonts w:asciiTheme="majorEastAsia" w:hAnsiTheme="majorEastAsia" w:eastAsiaTheme="majorEastAsia"/>
          <w:b/>
          <w:bCs/>
          <w:sz w:val="28"/>
          <w:szCs w:val="28"/>
        </w:rPr>
      </w:pPr>
    </w:p>
    <w:p>
      <w:pPr>
        <w:spacing w:line="440" w:lineRule="exact"/>
        <w:jc w:val="center"/>
        <w:rPr>
          <w:rFonts w:cs="宋体" w:asciiTheme="majorEastAsia" w:hAnsiTheme="majorEastAsia" w:eastAsiaTheme="majorEastAsia"/>
          <w:b/>
          <w:bCs/>
          <w:sz w:val="30"/>
          <w:szCs w:val="30"/>
        </w:rPr>
      </w:pPr>
      <w:r>
        <w:rPr>
          <w:rFonts w:asciiTheme="majorEastAsia" w:hAnsiTheme="majorEastAsia" w:eastAsiaTheme="majorEastAsia"/>
          <w:sz w:val="28"/>
          <w:szCs w:val="28"/>
        </w:rPr>
        <w:br w:type="page"/>
      </w:r>
      <w:r>
        <w:rPr>
          <w:rFonts w:hint="eastAsia" w:cs="宋体" w:asciiTheme="majorEastAsia" w:hAnsiTheme="majorEastAsia" w:eastAsiaTheme="majorEastAsia"/>
          <w:b/>
          <w:bCs/>
          <w:sz w:val="30"/>
          <w:szCs w:val="30"/>
        </w:rPr>
        <w:t>南宁市政府采购合同书</w:t>
      </w:r>
    </w:p>
    <w:p>
      <w:pPr>
        <w:spacing w:line="450" w:lineRule="exact"/>
        <w:rPr>
          <w:rFonts w:cs="宋体" w:asciiTheme="majorEastAsia" w:hAnsiTheme="majorEastAsia" w:eastAsiaTheme="majorEastAsia"/>
          <w:sz w:val="24"/>
        </w:rPr>
      </w:pPr>
    </w:p>
    <w:p>
      <w:pPr>
        <w:spacing w:line="450" w:lineRule="exact"/>
        <w:rPr>
          <w:rFonts w:cs="宋体" w:asciiTheme="majorEastAsia" w:hAnsiTheme="majorEastAsia" w:eastAsiaTheme="majorEastAsia"/>
          <w:sz w:val="24"/>
        </w:rPr>
      </w:pPr>
      <w:r>
        <w:rPr>
          <w:rFonts w:hint="eastAsia" w:cs="宋体" w:asciiTheme="majorEastAsia" w:hAnsiTheme="majorEastAsia" w:eastAsiaTheme="majorEastAsia"/>
          <w:sz w:val="24"/>
        </w:rPr>
        <w:t>合同名称：</w:t>
      </w:r>
      <w:r>
        <w:rPr>
          <w:rFonts w:cs="宋体" w:asciiTheme="majorEastAsia" w:hAnsiTheme="majorEastAsia" w:eastAsiaTheme="majorEastAsia"/>
          <w:sz w:val="24"/>
          <w:u w:val="single"/>
        </w:rPr>
        <w:t xml:space="preserve">                  </w:t>
      </w:r>
    </w:p>
    <w:p>
      <w:pPr>
        <w:spacing w:line="450" w:lineRule="exact"/>
        <w:rPr>
          <w:rFonts w:asciiTheme="majorEastAsia" w:hAnsiTheme="majorEastAsia" w:eastAsiaTheme="majorEastAsia"/>
          <w:sz w:val="24"/>
          <w:u w:val="single"/>
        </w:rPr>
      </w:pPr>
      <w:r>
        <w:rPr>
          <w:rFonts w:hint="eastAsia" w:asciiTheme="majorEastAsia" w:hAnsiTheme="majorEastAsia" w:eastAsiaTheme="majorEastAsia"/>
          <w:sz w:val="24"/>
        </w:rPr>
        <w:t>合同编号</w:t>
      </w:r>
      <w:r>
        <w:rPr>
          <w:rFonts w:hint="eastAsia" w:cs="宋体" w:asciiTheme="majorEastAsia" w:hAnsiTheme="majorEastAsia" w:eastAsiaTheme="majorEastAsia"/>
          <w:sz w:val="24"/>
        </w:rPr>
        <w:t>:</w:t>
      </w:r>
      <w:r>
        <w:rPr>
          <w:rFonts w:hint="eastAsia" w:asciiTheme="majorEastAsia" w:hAnsiTheme="majorEastAsia" w:eastAsiaTheme="majorEastAsia"/>
          <w:sz w:val="24"/>
        </w:rPr>
        <w:t xml:space="preserve"> </w:t>
      </w:r>
      <w:r>
        <w:rPr>
          <w:rFonts w:hint="eastAsia" w:cs="宋体" w:asciiTheme="majorEastAsia" w:hAnsiTheme="majorEastAsia" w:eastAsiaTheme="majorEastAsia"/>
          <w:b/>
          <w:bCs/>
          <w:sz w:val="24"/>
          <w:u w:val="single"/>
        </w:rPr>
        <w:t xml:space="preserve"> </w:t>
      </w:r>
      <w:r>
        <w:rPr>
          <w:rFonts w:cs="宋体" w:asciiTheme="majorEastAsia" w:hAnsiTheme="majorEastAsia" w:eastAsiaTheme="majorEastAsia"/>
          <w:sz w:val="24"/>
          <w:u w:val="single"/>
        </w:rPr>
        <w:t xml:space="preserve">                  </w:t>
      </w:r>
      <w:r>
        <w:rPr>
          <w:rFonts w:hint="eastAsia" w:cs="宋体" w:asciiTheme="majorEastAsia" w:hAnsiTheme="majorEastAsia" w:eastAsiaTheme="majorEastAsia"/>
          <w:b/>
          <w:bCs/>
          <w:sz w:val="24"/>
          <w:u w:val="single"/>
        </w:rPr>
        <w:t xml:space="preserve"> </w:t>
      </w:r>
    </w:p>
    <w:p>
      <w:pPr>
        <w:widowControl/>
        <w:jc w:val="left"/>
        <w:rPr>
          <w:rFonts w:cs="宋体" w:asciiTheme="majorEastAsia" w:hAnsiTheme="majorEastAsia" w:eastAsiaTheme="majorEastAsia"/>
          <w:sz w:val="24"/>
        </w:rPr>
      </w:pPr>
    </w:p>
    <w:p>
      <w:pPr>
        <w:widowControl/>
        <w:jc w:val="left"/>
        <w:rPr>
          <w:rFonts w:cs="宋体" w:asciiTheme="majorEastAsia" w:hAnsiTheme="majorEastAsia" w:eastAsiaTheme="majorEastAsia"/>
          <w:sz w:val="24"/>
        </w:rPr>
      </w:pPr>
    </w:p>
    <w:p>
      <w:pPr>
        <w:widowControl/>
        <w:jc w:val="left"/>
        <w:rPr>
          <w:rFonts w:cs="宋体" w:asciiTheme="majorEastAsia" w:hAnsiTheme="majorEastAsia" w:eastAsiaTheme="majorEastAsia"/>
          <w:sz w:val="24"/>
          <w:u w:val="single"/>
        </w:rPr>
      </w:pPr>
      <w:r>
        <w:rPr>
          <w:rFonts w:hint="eastAsia" w:cs="宋体" w:asciiTheme="majorEastAsia" w:hAnsiTheme="majorEastAsia" w:eastAsiaTheme="majorEastAsia"/>
          <w:sz w:val="24"/>
        </w:rPr>
        <w:t>甲方（采购人）：</w:t>
      </w:r>
      <w:r>
        <w:rPr>
          <w:rFonts w:hint="eastAsia" w:cs="宋体" w:asciiTheme="majorEastAsia" w:hAnsiTheme="majorEastAsia" w:eastAsiaTheme="majorEastAsia"/>
          <w:sz w:val="24"/>
          <w:u w:val="single"/>
        </w:rPr>
        <w:t xml:space="preserve">南宁职业技术学院  </w:t>
      </w:r>
    </w:p>
    <w:p>
      <w:pPr>
        <w:spacing w:line="450" w:lineRule="exact"/>
        <w:rPr>
          <w:rFonts w:asciiTheme="majorEastAsia" w:hAnsiTheme="majorEastAsia" w:eastAsiaTheme="majorEastAsia"/>
          <w:sz w:val="24"/>
        </w:rPr>
      </w:pPr>
      <w:r>
        <w:rPr>
          <w:rFonts w:hint="eastAsia" w:cs="宋体" w:asciiTheme="majorEastAsia" w:hAnsiTheme="majorEastAsia" w:eastAsiaTheme="majorEastAsia"/>
          <w:sz w:val="24"/>
        </w:rPr>
        <w:t>乙方（供应商）：</w:t>
      </w:r>
      <w:r>
        <w:rPr>
          <w:rFonts w:cs="宋体" w:asciiTheme="majorEastAsia" w:hAnsiTheme="majorEastAsia" w:eastAsiaTheme="majorEastAsia"/>
          <w:sz w:val="24"/>
          <w:u w:val="single"/>
        </w:rPr>
        <w:t xml:space="preserve">                  </w:t>
      </w:r>
    </w:p>
    <w:p>
      <w:pPr>
        <w:spacing w:line="450" w:lineRule="exact"/>
        <w:rPr>
          <w:rFonts w:cs="宋体" w:asciiTheme="majorEastAsia" w:hAnsiTheme="majorEastAsia" w:eastAsiaTheme="majorEastAsia"/>
          <w:b/>
          <w:bCs/>
          <w:sz w:val="24"/>
        </w:rPr>
      </w:pPr>
      <w:r>
        <w:rPr>
          <w:rFonts w:cs="宋体" w:asciiTheme="majorEastAsia" w:hAnsiTheme="majorEastAsia" w:eastAsiaTheme="majorEastAsia"/>
          <w:b/>
          <w:bCs/>
          <w:sz w:val="24"/>
        </w:rPr>
        <w:t xml:space="preserve">   </w:t>
      </w:r>
    </w:p>
    <w:p>
      <w:pPr>
        <w:spacing w:line="450" w:lineRule="exact"/>
        <w:rPr>
          <w:rFonts w:asciiTheme="majorEastAsia" w:hAnsiTheme="majorEastAsia" w:eastAsiaTheme="majorEastAsia"/>
          <w:b/>
          <w:sz w:val="24"/>
        </w:rPr>
      </w:pPr>
      <w:r>
        <w:rPr>
          <w:rFonts w:cs="宋体" w:asciiTheme="majorEastAsia" w:hAnsiTheme="majorEastAsia" w:eastAsiaTheme="majorEastAsia"/>
          <w:b/>
          <w:bCs/>
          <w:sz w:val="24"/>
        </w:rPr>
        <w:t xml:space="preserve"> </w:t>
      </w:r>
      <w:r>
        <w:rPr>
          <w:rFonts w:hint="eastAsia" w:cs="宋体" w:asciiTheme="majorEastAsia" w:hAnsiTheme="majorEastAsia" w:eastAsiaTheme="majorEastAsia"/>
          <w:b/>
          <w:bCs/>
          <w:sz w:val="24"/>
        </w:rPr>
        <w:t xml:space="preserve">   </w:t>
      </w:r>
      <w:r>
        <w:rPr>
          <w:rFonts w:hint="eastAsia" w:asciiTheme="majorEastAsia" w:hAnsiTheme="majorEastAsia" w:eastAsiaTheme="majorEastAsia"/>
          <w:sz w:val="24"/>
        </w:rPr>
        <w:t>根据</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年</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月</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日南宁市政府采购项目的采购结果，甲方接受乙方对本项目的投标，甲、乙双方同意签署本合同（以下简称合同）。</w:t>
      </w:r>
    </w:p>
    <w:p>
      <w:pPr>
        <w:spacing w:line="450" w:lineRule="exact"/>
        <w:rPr>
          <w:rFonts w:asciiTheme="majorEastAsia" w:hAnsiTheme="majorEastAsia" w:eastAsiaTheme="majorEastAsia"/>
          <w:b/>
          <w:sz w:val="24"/>
        </w:rPr>
      </w:pPr>
    </w:p>
    <w:p>
      <w:pPr>
        <w:spacing w:line="450" w:lineRule="exact"/>
        <w:rPr>
          <w:rFonts w:asciiTheme="majorEastAsia" w:hAnsiTheme="majorEastAsia" w:eastAsiaTheme="majorEastAsia"/>
          <w:b/>
          <w:bCs/>
          <w:sz w:val="24"/>
        </w:rPr>
      </w:pPr>
      <w:r>
        <w:rPr>
          <w:rFonts w:hint="eastAsia" w:asciiTheme="majorEastAsia" w:hAnsiTheme="majorEastAsia" w:eastAsiaTheme="majorEastAsia"/>
          <w:b/>
          <w:bCs/>
          <w:sz w:val="24"/>
        </w:rPr>
        <w:t>1.采购内容</w:t>
      </w:r>
    </w:p>
    <w:p>
      <w:pPr>
        <w:tabs>
          <w:tab w:val="left" w:pos="5220"/>
        </w:tabs>
        <w:spacing w:line="45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1.1 货物名称：</w:t>
      </w:r>
      <w:r>
        <w:rPr>
          <w:rFonts w:hint="eastAsia" w:asciiTheme="majorEastAsia" w:hAnsiTheme="majorEastAsia" w:eastAsiaTheme="majorEastAsia"/>
          <w:sz w:val="24"/>
          <w:u w:val="single"/>
        </w:rPr>
        <w:t>详见合同附件中投标报价表</w:t>
      </w:r>
      <w:r>
        <w:rPr>
          <w:rFonts w:hint="eastAsia" w:asciiTheme="majorEastAsia" w:hAnsiTheme="majorEastAsia" w:eastAsiaTheme="majorEastAsia"/>
          <w:sz w:val="24"/>
        </w:rPr>
        <w:t xml:space="preserve"> </w:t>
      </w:r>
    </w:p>
    <w:p>
      <w:pPr>
        <w:widowControl/>
        <w:spacing w:line="450" w:lineRule="exact"/>
        <w:ind w:firstLine="480" w:firstLineChars="200"/>
        <w:rPr>
          <w:rFonts w:asciiTheme="majorEastAsia" w:hAnsiTheme="majorEastAsia" w:eastAsiaTheme="majorEastAsia"/>
          <w:kern w:val="0"/>
          <w:sz w:val="24"/>
        </w:rPr>
      </w:pPr>
      <w:r>
        <w:rPr>
          <w:rFonts w:asciiTheme="majorEastAsia" w:hAnsiTheme="majorEastAsia" w:eastAsiaTheme="majorEastAsia"/>
          <w:kern w:val="0"/>
          <w:sz w:val="24"/>
        </w:rPr>
        <w:t xml:space="preserve">1.2 </w:t>
      </w:r>
      <w:r>
        <w:rPr>
          <w:rFonts w:hint="eastAsia" w:asciiTheme="majorEastAsia" w:hAnsiTheme="majorEastAsia" w:eastAsiaTheme="majorEastAsia"/>
          <w:kern w:val="0"/>
          <w:sz w:val="24"/>
        </w:rPr>
        <w:t>数量（单位）：</w:t>
      </w:r>
      <w:r>
        <w:rPr>
          <w:rFonts w:hint="eastAsia" w:cs="宋体" w:asciiTheme="majorEastAsia" w:hAnsiTheme="majorEastAsia" w:eastAsiaTheme="majorEastAsia"/>
          <w:kern w:val="0"/>
          <w:sz w:val="24"/>
          <w:u w:val="single"/>
        </w:rPr>
        <w:t>详见合同附件中投标报价表</w:t>
      </w:r>
      <w:r>
        <w:rPr>
          <w:rFonts w:hint="eastAsia" w:asciiTheme="majorEastAsia" w:hAnsiTheme="majorEastAsia" w:eastAsiaTheme="majorEastAsia"/>
          <w:kern w:val="0"/>
          <w:sz w:val="24"/>
          <w:u w:val="single"/>
        </w:rPr>
        <w:t xml:space="preserve"> </w:t>
      </w:r>
    </w:p>
    <w:p>
      <w:pPr>
        <w:widowControl/>
        <w:spacing w:line="450" w:lineRule="exact"/>
        <w:ind w:firstLine="480" w:firstLineChars="200"/>
        <w:rPr>
          <w:rFonts w:asciiTheme="majorEastAsia" w:hAnsiTheme="majorEastAsia" w:eastAsiaTheme="majorEastAsia"/>
          <w:kern w:val="0"/>
          <w:sz w:val="24"/>
        </w:rPr>
      </w:pPr>
      <w:r>
        <w:rPr>
          <w:rFonts w:asciiTheme="majorEastAsia" w:hAnsiTheme="majorEastAsia" w:eastAsiaTheme="majorEastAsia"/>
          <w:kern w:val="0"/>
          <w:sz w:val="24"/>
        </w:rPr>
        <w:t xml:space="preserve">1.3 </w:t>
      </w:r>
      <w:r>
        <w:rPr>
          <w:rFonts w:hint="eastAsia" w:asciiTheme="majorEastAsia" w:hAnsiTheme="majorEastAsia" w:eastAsiaTheme="majorEastAsia"/>
          <w:kern w:val="0"/>
          <w:sz w:val="24"/>
        </w:rPr>
        <w:t>品牌、厂家、型号、规格、配置：</w:t>
      </w:r>
      <w:r>
        <w:rPr>
          <w:rFonts w:hint="eastAsia" w:asciiTheme="majorEastAsia" w:hAnsiTheme="majorEastAsia" w:eastAsiaTheme="majorEastAsia"/>
          <w:kern w:val="0"/>
          <w:sz w:val="24"/>
          <w:u w:val="single"/>
        </w:rPr>
        <w:t>详见合同附件中投标产品技术资料表（投标产品技术资料表与澄清函不一致的以澄清函为准）</w:t>
      </w:r>
    </w:p>
    <w:p>
      <w:pPr>
        <w:widowControl/>
        <w:spacing w:line="450" w:lineRule="exact"/>
        <w:rPr>
          <w:rFonts w:asciiTheme="majorEastAsia" w:hAnsiTheme="majorEastAsia" w:eastAsiaTheme="majorEastAsia"/>
          <w:kern w:val="0"/>
          <w:sz w:val="24"/>
        </w:rPr>
      </w:pPr>
      <w:r>
        <w:rPr>
          <w:rFonts w:asciiTheme="majorEastAsia" w:hAnsiTheme="majorEastAsia" w:eastAsiaTheme="majorEastAsia"/>
          <w:kern w:val="0"/>
          <w:sz w:val="24"/>
        </w:rPr>
        <w:t xml:space="preserve">  </w:t>
      </w:r>
      <w:r>
        <w:rPr>
          <w:rFonts w:hint="eastAsia" w:asciiTheme="majorEastAsia" w:hAnsiTheme="majorEastAsia" w:eastAsiaTheme="majorEastAsia"/>
          <w:kern w:val="0"/>
          <w:sz w:val="24"/>
        </w:rPr>
        <w:t xml:space="preserve">  </w:t>
      </w:r>
      <w:r>
        <w:rPr>
          <w:rFonts w:asciiTheme="majorEastAsia" w:hAnsiTheme="majorEastAsia" w:eastAsiaTheme="majorEastAsia"/>
          <w:kern w:val="0"/>
          <w:sz w:val="24"/>
        </w:rPr>
        <w:t xml:space="preserve">1.4 </w:t>
      </w:r>
      <w:r>
        <w:rPr>
          <w:rFonts w:hint="eastAsia" w:asciiTheme="majorEastAsia" w:hAnsiTheme="majorEastAsia" w:eastAsiaTheme="majorEastAsia"/>
          <w:kern w:val="0"/>
          <w:sz w:val="24"/>
        </w:rPr>
        <w:t>技术参数：</w:t>
      </w:r>
      <w:r>
        <w:rPr>
          <w:rFonts w:hint="eastAsia" w:asciiTheme="majorEastAsia" w:hAnsiTheme="majorEastAsia" w:eastAsiaTheme="majorEastAsia"/>
          <w:kern w:val="0"/>
          <w:sz w:val="24"/>
          <w:u w:val="single"/>
        </w:rPr>
        <w:t>详见合同附件中投标产品技术资料表</w:t>
      </w:r>
    </w:p>
    <w:p>
      <w:pPr>
        <w:spacing w:line="450" w:lineRule="exact"/>
        <w:rPr>
          <w:rFonts w:asciiTheme="majorEastAsia" w:hAnsiTheme="majorEastAsia" w:eastAsiaTheme="majorEastAsia"/>
          <w:b/>
          <w:bCs/>
          <w:sz w:val="24"/>
        </w:rPr>
      </w:pPr>
      <w:r>
        <w:rPr>
          <w:rFonts w:hint="eastAsia" w:asciiTheme="majorEastAsia" w:hAnsiTheme="majorEastAsia" w:eastAsiaTheme="majorEastAsia"/>
          <w:b/>
          <w:bCs/>
          <w:sz w:val="24"/>
        </w:rPr>
        <w:t>2.合同金额</w:t>
      </w:r>
    </w:p>
    <w:p>
      <w:pPr>
        <w:spacing w:line="45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2.1 本合同金额为（大写）人民币</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元（￥</w:t>
      </w:r>
      <w:r>
        <w:rPr>
          <w:rFonts w:hint="eastAsia" w:asciiTheme="majorEastAsia" w:hAnsiTheme="majorEastAsia" w:eastAsiaTheme="majorEastAsia"/>
          <w:sz w:val="24"/>
          <w:u w:val="single"/>
        </w:rPr>
        <w:t>　　　　　　</w:t>
      </w:r>
      <w:r>
        <w:rPr>
          <w:rFonts w:hint="eastAsia" w:asciiTheme="majorEastAsia" w:hAnsiTheme="majorEastAsia" w:eastAsiaTheme="majorEastAsia"/>
          <w:sz w:val="24"/>
        </w:rPr>
        <w:t>）。（详见合同附件中投标报价表）</w:t>
      </w:r>
    </w:p>
    <w:p>
      <w:pPr>
        <w:tabs>
          <w:tab w:val="left" w:pos="5940"/>
        </w:tabs>
        <w:spacing w:line="450" w:lineRule="exact"/>
        <w:rPr>
          <w:rFonts w:asciiTheme="majorEastAsia" w:hAnsiTheme="majorEastAsia" w:eastAsiaTheme="majorEastAsia"/>
          <w:b/>
          <w:bCs/>
          <w:sz w:val="24"/>
        </w:rPr>
      </w:pPr>
      <w:r>
        <w:rPr>
          <w:rFonts w:hint="eastAsia" w:asciiTheme="majorEastAsia" w:hAnsiTheme="majorEastAsia" w:eastAsiaTheme="majorEastAsia"/>
          <w:b/>
          <w:bCs/>
          <w:sz w:val="24"/>
        </w:rPr>
        <w:t>3.交货要求</w:t>
      </w:r>
    </w:p>
    <w:p>
      <w:pPr>
        <w:tabs>
          <w:tab w:val="left" w:pos="5220"/>
        </w:tabs>
        <w:spacing w:line="450" w:lineRule="exact"/>
        <w:ind w:firstLine="480" w:firstLineChars="200"/>
        <w:rPr>
          <w:rFonts w:asciiTheme="majorEastAsia" w:hAnsiTheme="majorEastAsia" w:eastAsiaTheme="majorEastAsia"/>
          <w:bCs/>
          <w:sz w:val="24"/>
          <w:u w:val="single"/>
        </w:rPr>
      </w:pPr>
      <w:r>
        <w:rPr>
          <w:rFonts w:hint="eastAsia" w:asciiTheme="majorEastAsia" w:hAnsiTheme="majorEastAsia" w:eastAsiaTheme="majorEastAsia"/>
          <w:bCs/>
          <w:sz w:val="24"/>
        </w:rPr>
        <w:t>3.1 交货时间：</w:t>
      </w:r>
      <w:r>
        <w:rPr>
          <w:rFonts w:hint="eastAsia" w:asciiTheme="majorEastAsia" w:hAnsiTheme="majorEastAsia" w:eastAsiaTheme="majorEastAsia"/>
          <w:sz w:val="24"/>
          <w:u w:val="single"/>
        </w:rPr>
        <w:t xml:space="preserve">                                  </w:t>
      </w:r>
    </w:p>
    <w:p>
      <w:pPr>
        <w:spacing w:line="45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3.2 交货地点：</w:t>
      </w:r>
      <w:r>
        <w:rPr>
          <w:rFonts w:hint="eastAsia" w:asciiTheme="majorEastAsia" w:hAnsiTheme="majorEastAsia" w:eastAsiaTheme="majorEastAsia"/>
          <w:sz w:val="24"/>
          <w:u w:val="single"/>
        </w:rPr>
        <w:t xml:space="preserve">                                </w:t>
      </w:r>
    </w:p>
    <w:p>
      <w:pPr>
        <w:tabs>
          <w:tab w:val="left" w:pos="5220"/>
          <w:tab w:val="left" w:pos="6120"/>
        </w:tabs>
        <w:spacing w:line="45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3.3 交货方式：</w:t>
      </w:r>
      <w:r>
        <w:rPr>
          <w:rFonts w:hint="eastAsia" w:asciiTheme="majorEastAsia" w:hAnsiTheme="majorEastAsia" w:eastAsiaTheme="majorEastAsia"/>
          <w:sz w:val="24"/>
          <w:u w:val="single"/>
        </w:rPr>
        <w:t xml:space="preserve">                                </w:t>
      </w:r>
    </w:p>
    <w:p>
      <w:pPr>
        <w:spacing w:line="450" w:lineRule="exact"/>
        <w:ind w:firstLine="480" w:firstLineChars="200"/>
        <w:rPr>
          <w:rFonts w:asciiTheme="majorEastAsia" w:hAnsiTheme="majorEastAsia" w:eastAsiaTheme="majorEastAsia"/>
          <w:b/>
          <w:sz w:val="24"/>
        </w:rPr>
      </w:pPr>
      <w:r>
        <w:rPr>
          <w:rFonts w:hint="eastAsia" w:asciiTheme="majorEastAsia" w:hAnsiTheme="majorEastAsia" w:eastAsiaTheme="majorEastAsia"/>
          <w:bCs/>
          <w:sz w:val="24"/>
        </w:rPr>
        <w:t xml:space="preserve">3.4 </w:t>
      </w:r>
      <w:r>
        <w:rPr>
          <w:rFonts w:hint="eastAsia" w:asciiTheme="majorEastAsia" w:hAnsiTheme="majorEastAsia" w:eastAsiaTheme="majorEastAsia"/>
          <w:sz w:val="24"/>
        </w:rPr>
        <w:t>乙方必须按投标文件承诺的技术参数、性能要求、质量标准等向甲方提供全新、完整、未经使用的货物。</w:t>
      </w:r>
    </w:p>
    <w:p>
      <w:pPr>
        <w:spacing w:line="450" w:lineRule="exact"/>
        <w:ind w:left="410" w:hanging="410" w:hangingChars="170"/>
        <w:rPr>
          <w:rFonts w:asciiTheme="majorEastAsia" w:hAnsiTheme="majorEastAsia" w:eastAsiaTheme="majorEastAsia"/>
          <w:b/>
          <w:sz w:val="24"/>
        </w:rPr>
      </w:pPr>
      <w:r>
        <w:rPr>
          <w:rFonts w:hint="eastAsia" w:asciiTheme="majorEastAsia" w:hAnsiTheme="majorEastAsia" w:eastAsiaTheme="majorEastAsia"/>
          <w:b/>
          <w:bCs/>
          <w:sz w:val="24"/>
        </w:rPr>
        <w:t>4.履约保证金</w:t>
      </w:r>
    </w:p>
    <w:p>
      <w:pPr>
        <w:spacing w:line="450" w:lineRule="exact"/>
        <w:ind w:firstLine="480" w:firstLineChars="200"/>
        <w:rPr>
          <w:rFonts w:cs="宋体" w:asciiTheme="majorEastAsia" w:hAnsiTheme="majorEastAsia" w:eastAsiaTheme="majorEastAsia"/>
          <w:sz w:val="24"/>
        </w:rPr>
      </w:pPr>
      <w:r>
        <w:rPr>
          <w:rFonts w:cs="宋体" w:asciiTheme="majorEastAsia" w:hAnsiTheme="majorEastAsia" w:eastAsiaTheme="majorEastAsia"/>
          <w:sz w:val="24"/>
        </w:rPr>
        <w:t>本项目不收取履约保证金</w:t>
      </w:r>
    </w:p>
    <w:p>
      <w:pPr>
        <w:spacing w:line="450" w:lineRule="exact"/>
        <w:rPr>
          <w:rFonts w:asciiTheme="majorEastAsia" w:hAnsiTheme="majorEastAsia" w:eastAsiaTheme="majorEastAsia"/>
          <w:b/>
          <w:bCs/>
          <w:sz w:val="24"/>
        </w:rPr>
      </w:pPr>
      <w:r>
        <w:rPr>
          <w:rFonts w:hint="eastAsia" w:asciiTheme="majorEastAsia" w:hAnsiTheme="majorEastAsia" w:eastAsiaTheme="majorEastAsia"/>
          <w:b/>
          <w:bCs/>
          <w:sz w:val="24"/>
        </w:rPr>
        <w:t>5.质量保证及售后服务</w:t>
      </w:r>
    </w:p>
    <w:p>
      <w:pPr>
        <w:spacing w:line="45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5.1 质量保证期</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年（自交货验收合格之日起计）。</w:t>
      </w:r>
    </w:p>
    <w:p>
      <w:pPr>
        <w:spacing w:line="45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5.2 如乙方提供的货物在使用过程中发生质量问题，乙方接到甲方故障通知后应在</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小时内到达甲方指定现场，按国家及行业标准对故障进行及时处理。</w:t>
      </w:r>
    </w:p>
    <w:p>
      <w:pPr>
        <w:spacing w:line="45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5.3 乙方提供的货物在质量保证期内因货物本身的质量问题发生故障，乙方应负责免费更换。对达不到技术要求者，根据实际情况，经双方协商，可按以下办法处理：</w:t>
      </w:r>
    </w:p>
    <w:p>
      <w:pPr>
        <w:spacing w:line="45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（1）更换：由乙方承担所发生的全部费用；</w:t>
      </w:r>
    </w:p>
    <w:p>
      <w:pPr>
        <w:spacing w:line="45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（2）贬值处理：由甲乙双方合议定价；</w:t>
      </w:r>
    </w:p>
    <w:p>
      <w:pPr>
        <w:spacing w:line="45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（3）退货处理：乙方应退还甲方支付的合同款，同时应承担与该货物相关的直接费用（运输、保险、检验、合同款利息及银行手续费等）。</w:t>
      </w:r>
    </w:p>
    <w:p>
      <w:pPr>
        <w:spacing w:line="45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5.4 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pPr>
        <w:spacing w:line="45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5.5 超过质量保证期的货物，乙方提供终生维修、保养服务，维修时只收部件成本费。</w:t>
      </w:r>
    </w:p>
    <w:p>
      <w:pPr>
        <w:spacing w:line="45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5.6 乙方随时优惠提供备品备件，优惠提供产品更新、改造服务。</w:t>
      </w:r>
    </w:p>
    <w:p>
      <w:pPr>
        <w:pStyle w:val="15"/>
        <w:spacing w:line="480" w:lineRule="exact"/>
        <w:ind w:firstLine="480" w:firstLineChars="200"/>
        <w:rPr>
          <w:rFonts w:asciiTheme="majorEastAsia" w:hAnsiTheme="majorEastAsia" w:eastAsiaTheme="majorEastAsia"/>
          <w:sz w:val="24"/>
          <w:szCs w:val="24"/>
          <w:u w:val="single"/>
        </w:rPr>
      </w:pPr>
      <w:r>
        <w:rPr>
          <w:rFonts w:hint="eastAsia" w:asciiTheme="majorEastAsia" w:hAnsiTheme="majorEastAsia" w:eastAsiaTheme="majorEastAsia"/>
          <w:sz w:val="24"/>
          <w:szCs w:val="24"/>
        </w:rPr>
        <w:t>5.7 其他售后服务要求：</w:t>
      </w:r>
      <w:r>
        <w:rPr>
          <w:rFonts w:hint="eastAsia" w:asciiTheme="majorEastAsia" w:hAnsiTheme="majorEastAsia" w:eastAsiaTheme="majorEastAsia"/>
          <w:sz w:val="24"/>
          <w:szCs w:val="24"/>
          <w:u w:val="single"/>
        </w:rPr>
        <w:t>按</w:t>
      </w:r>
      <w:r>
        <w:rPr>
          <w:rFonts w:hint="eastAsia" w:asciiTheme="majorEastAsia" w:hAnsiTheme="majorEastAsia" w:eastAsiaTheme="majorEastAsia"/>
          <w:sz w:val="24"/>
          <w:szCs w:val="24"/>
          <w:u w:val="single"/>
          <w:lang w:eastAsia="zh-CN"/>
        </w:rPr>
        <w:t>投</w:t>
      </w:r>
      <w:r>
        <w:rPr>
          <w:rFonts w:hint="eastAsia" w:asciiTheme="majorEastAsia" w:hAnsiTheme="majorEastAsia" w:eastAsiaTheme="majorEastAsia"/>
          <w:sz w:val="24"/>
          <w:szCs w:val="24"/>
          <w:u w:val="single"/>
        </w:rPr>
        <w:t>文件商务条款偏离表及澄清函（商务条款偏离表与澄清函不一致的以澄清函为准）内容执行。</w:t>
      </w:r>
    </w:p>
    <w:p>
      <w:pPr>
        <w:spacing w:line="450" w:lineRule="exact"/>
        <w:ind w:left="2" w:firstLine="360"/>
        <w:rPr>
          <w:rFonts w:asciiTheme="majorEastAsia" w:hAnsiTheme="majorEastAsia" w:eastAsiaTheme="majorEastAsia"/>
          <w:sz w:val="24"/>
        </w:rPr>
      </w:pPr>
    </w:p>
    <w:p>
      <w:pPr>
        <w:spacing w:line="450" w:lineRule="exact"/>
        <w:rPr>
          <w:rFonts w:asciiTheme="majorEastAsia" w:hAnsiTheme="majorEastAsia" w:eastAsiaTheme="majorEastAsia"/>
          <w:b/>
          <w:bCs/>
          <w:sz w:val="24"/>
        </w:rPr>
      </w:pPr>
      <w:r>
        <w:rPr>
          <w:rFonts w:hint="eastAsia" w:asciiTheme="majorEastAsia" w:hAnsiTheme="majorEastAsia" w:eastAsiaTheme="majorEastAsia"/>
          <w:b/>
          <w:bCs/>
          <w:sz w:val="24"/>
        </w:rPr>
        <w:t>6.合同款支付</w:t>
      </w:r>
    </w:p>
    <w:p>
      <w:pPr>
        <w:tabs>
          <w:tab w:val="left" w:pos="1440"/>
        </w:tabs>
        <w:spacing w:line="440" w:lineRule="exact"/>
        <w:ind w:firstLine="480" w:firstLineChars="200"/>
        <w:jc w:val="left"/>
        <w:rPr>
          <w:rFonts w:cs="宋体" w:asciiTheme="majorEastAsia" w:hAnsiTheme="majorEastAsia" w:eastAsiaTheme="majorEastAsia"/>
          <w:bCs/>
          <w:kern w:val="0"/>
          <w:sz w:val="24"/>
        </w:rPr>
      </w:pPr>
      <w:r>
        <w:rPr>
          <w:rFonts w:hint="eastAsia" w:asciiTheme="majorEastAsia" w:hAnsiTheme="majorEastAsia" w:eastAsiaTheme="majorEastAsia"/>
          <w:sz w:val="24"/>
        </w:rPr>
        <w:t>6.1 付款方式</w:t>
      </w:r>
      <w:r>
        <w:rPr>
          <w:rFonts w:hint="eastAsia" w:asciiTheme="majorEastAsia" w:hAnsiTheme="majorEastAsia" w:eastAsiaTheme="majorEastAsia"/>
          <w:kern w:val="0"/>
          <w:sz w:val="24"/>
        </w:rPr>
        <w:t>：</w:t>
      </w:r>
      <w:r>
        <w:rPr>
          <w:rFonts w:hint="eastAsia" w:asciiTheme="majorEastAsia" w:hAnsiTheme="majorEastAsia" w:eastAsiaTheme="majorEastAsia"/>
          <w:kern w:val="0"/>
          <w:sz w:val="24"/>
          <w:u w:val="single"/>
        </w:rPr>
        <w:t>本项目无预付款，供应商交货完毕并验收合格后，一次性支付合同款。</w:t>
      </w:r>
    </w:p>
    <w:p>
      <w:pPr>
        <w:spacing w:line="360" w:lineRule="auto"/>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6.2 支付合同款时，由甲方按照合同约定向南宁市财政局提交完整且合格的支付申请材料；南宁市财政局按财政国库直接支付程序将款项直接支付给供应商。</w:t>
      </w:r>
    </w:p>
    <w:p>
      <w:pPr>
        <w:spacing w:line="45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6.3 当采购数量与实际使用数量不一致时，甲方可以在报经南宁市财政局审核同意后，在不改变合同其他条款的前提下与供应商协商签订补充合同，但所有补充合同的采购金额不得超过原合同采购金额的百分之十。供应商应根据实际使用数量供货，合同的最终结算金额按实际使用数量乘以中标单价进行计算。</w:t>
      </w:r>
    </w:p>
    <w:p>
      <w:pPr>
        <w:spacing w:line="450" w:lineRule="exact"/>
        <w:ind w:firstLine="480" w:firstLineChars="200"/>
        <w:rPr>
          <w:rFonts w:asciiTheme="majorEastAsia" w:hAnsiTheme="majorEastAsia" w:eastAsiaTheme="majorEastAsia"/>
          <w:bCs/>
          <w:sz w:val="24"/>
          <w:u w:val="single"/>
        </w:rPr>
      </w:pPr>
      <w:r>
        <w:rPr>
          <w:rFonts w:hint="eastAsia" w:asciiTheme="majorEastAsia" w:hAnsiTheme="majorEastAsia" w:eastAsiaTheme="majorEastAsia"/>
          <w:bCs/>
          <w:sz w:val="24"/>
        </w:rPr>
        <w:t>6.4</w:t>
      </w:r>
      <w:r>
        <w:rPr>
          <w:rFonts w:hint="eastAsia" w:asciiTheme="majorEastAsia" w:hAnsiTheme="majorEastAsia" w:eastAsiaTheme="majorEastAsia"/>
          <w:sz w:val="24"/>
        </w:rPr>
        <w:t>政府采购监督管理部门在处理投诉事项期间，可以视具体情况书面通知采购人暂停采购活动</w:t>
      </w:r>
      <w:r>
        <w:rPr>
          <w:rFonts w:hint="eastAsia" w:asciiTheme="majorEastAsia" w:hAnsiTheme="majorEastAsia" w:eastAsiaTheme="majorEastAsia"/>
          <w:bCs/>
          <w:sz w:val="24"/>
        </w:rPr>
        <w:t>，并延期支付合同款。</w:t>
      </w:r>
    </w:p>
    <w:p>
      <w:pPr>
        <w:spacing w:line="450" w:lineRule="exact"/>
        <w:ind w:left="412" w:hanging="412" w:hangingChars="171"/>
        <w:rPr>
          <w:rFonts w:asciiTheme="majorEastAsia" w:hAnsiTheme="majorEastAsia" w:eastAsiaTheme="majorEastAsia"/>
          <w:b/>
          <w:sz w:val="24"/>
        </w:rPr>
      </w:pPr>
      <w:r>
        <w:rPr>
          <w:rFonts w:hint="eastAsia" w:asciiTheme="majorEastAsia" w:hAnsiTheme="majorEastAsia" w:eastAsiaTheme="majorEastAsia"/>
          <w:b/>
          <w:bCs/>
          <w:sz w:val="24"/>
        </w:rPr>
        <w:t>7.产权</w:t>
      </w:r>
    </w:p>
    <w:p>
      <w:pPr>
        <w:spacing w:line="45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sz w:val="24"/>
        </w:rPr>
        <w:t>7.1 乙方保证所提供的货物或其任何一部分均不会侵犯任何第三方的专利权、商标权或著作权</w:t>
      </w:r>
      <w:r>
        <w:rPr>
          <w:rFonts w:hint="eastAsia" w:asciiTheme="majorEastAsia" w:hAnsiTheme="majorEastAsia" w:eastAsiaTheme="majorEastAsia"/>
          <w:bCs/>
          <w:sz w:val="24"/>
        </w:rPr>
        <w:t>。</w:t>
      </w:r>
    </w:p>
    <w:p>
      <w:pPr>
        <w:spacing w:line="450" w:lineRule="exact"/>
        <w:ind w:firstLine="480" w:firstLineChars="200"/>
        <w:rPr>
          <w:rFonts w:asciiTheme="majorEastAsia" w:hAnsiTheme="majorEastAsia" w:eastAsiaTheme="majorEastAsia"/>
          <w:b/>
          <w:bCs/>
          <w:sz w:val="24"/>
        </w:rPr>
      </w:pPr>
      <w:r>
        <w:rPr>
          <w:rFonts w:hint="eastAsia" w:asciiTheme="majorEastAsia" w:hAnsiTheme="majorEastAsia" w:eastAsiaTheme="majorEastAsia"/>
          <w:sz w:val="24"/>
        </w:rPr>
        <w:t>7.2 乙方保证所交付货物的所有权完全属于乙方且无任何抵押、查封等产权瑕疵。如乙方所交付货物有产权瑕疵的，视为乙方违约，按照本合同第11.3项的约定处理。但在已经全部支付完合同款后才发现有产权瑕疵的，乙方除了支付违约金还应负担甲方由此产生的一切损失。</w:t>
      </w:r>
    </w:p>
    <w:p>
      <w:pPr>
        <w:spacing w:line="450" w:lineRule="exact"/>
        <w:rPr>
          <w:rFonts w:asciiTheme="majorEastAsia" w:hAnsiTheme="majorEastAsia" w:eastAsiaTheme="majorEastAsia"/>
          <w:b/>
          <w:sz w:val="24"/>
        </w:rPr>
      </w:pPr>
      <w:r>
        <w:rPr>
          <w:rFonts w:hint="eastAsia" w:asciiTheme="majorEastAsia" w:hAnsiTheme="majorEastAsia" w:eastAsiaTheme="majorEastAsia"/>
          <w:b/>
          <w:bCs/>
          <w:sz w:val="24"/>
        </w:rPr>
        <w:t>8.技术资料</w:t>
      </w:r>
    </w:p>
    <w:p>
      <w:pPr>
        <w:spacing w:line="45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8.1 甲方向乙方提供采购货物的有关技术要求。</w:t>
      </w:r>
    </w:p>
    <w:p>
      <w:pPr>
        <w:spacing w:line="45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8.2 乙方应在采购文件规定的时间向甲方提供使用货物的有关技术资料。</w:t>
      </w:r>
    </w:p>
    <w:p>
      <w:pPr>
        <w:spacing w:line="45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8.3 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pPr>
        <w:spacing w:line="450" w:lineRule="exact"/>
        <w:rPr>
          <w:rFonts w:asciiTheme="majorEastAsia" w:hAnsiTheme="majorEastAsia" w:eastAsiaTheme="majorEastAsia"/>
          <w:b/>
          <w:bCs/>
          <w:sz w:val="24"/>
        </w:rPr>
      </w:pPr>
      <w:r>
        <w:rPr>
          <w:rFonts w:hint="eastAsia" w:asciiTheme="majorEastAsia" w:hAnsiTheme="majorEastAsia" w:eastAsiaTheme="majorEastAsia"/>
          <w:b/>
          <w:bCs/>
          <w:sz w:val="24"/>
        </w:rPr>
        <w:t>9.货物包装、发运及运输</w:t>
      </w:r>
    </w:p>
    <w:p>
      <w:pPr>
        <w:tabs>
          <w:tab w:val="left" w:pos="0"/>
        </w:tabs>
        <w:spacing w:line="45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9.1 乙方应在货物发运前对其进行满足运输距离、防潮、防震、防锈和防破损装卸等要求包装，以保证货物安全运达甲方指定地点。</w:t>
      </w:r>
    </w:p>
    <w:p>
      <w:pPr>
        <w:tabs>
          <w:tab w:val="left" w:pos="0"/>
        </w:tabs>
        <w:spacing w:line="45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9.2 使用说明书、质量检验证明书、保修单据、随配附件和工具以及清单一并附于货物内。</w:t>
      </w:r>
    </w:p>
    <w:p>
      <w:pPr>
        <w:tabs>
          <w:tab w:val="left" w:pos="0"/>
        </w:tabs>
        <w:spacing w:line="45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9.3 乙方在货物发运手续办理完毕后24小时内或货到甲方48小时前通知甲方，以准备接货。</w:t>
      </w:r>
    </w:p>
    <w:p>
      <w:pPr>
        <w:tabs>
          <w:tab w:val="left" w:pos="0"/>
        </w:tabs>
        <w:spacing w:line="45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9.4 货物在交付甲方前发生的风险均由乙方负责。</w:t>
      </w:r>
    </w:p>
    <w:p>
      <w:pPr>
        <w:tabs>
          <w:tab w:val="left" w:pos="0"/>
        </w:tabs>
        <w:spacing w:line="45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9.5 货物在规定的交付期限内由乙方送达甲方指定的地点视为交付，乙方同时需通知甲方货物已送达。</w:t>
      </w:r>
    </w:p>
    <w:p>
      <w:pPr>
        <w:spacing w:line="450" w:lineRule="exact"/>
        <w:rPr>
          <w:rFonts w:asciiTheme="majorEastAsia" w:hAnsiTheme="majorEastAsia" w:eastAsiaTheme="majorEastAsia"/>
          <w:b/>
          <w:bCs/>
          <w:sz w:val="24"/>
        </w:rPr>
      </w:pPr>
      <w:r>
        <w:rPr>
          <w:rFonts w:hint="eastAsia" w:asciiTheme="majorEastAsia" w:hAnsiTheme="majorEastAsia" w:eastAsiaTheme="majorEastAsia"/>
          <w:b/>
          <w:bCs/>
          <w:sz w:val="24"/>
        </w:rPr>
        <w:t>10.调试和验收</w:t>
      </w:r>
    </w:p>
    <w:p>
      <w:pPr>
        <w:spacing w:line="45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10.1 乙方将货物运达约定的交货地点后，甲方应在五个工作日内对乙方提交的货物依据招标文件的要求、投标文件的承诺和国家标准或行业标准进行现场初步验收。对外观、说明书符合要求的，给予签收；对不符合要求或有质量问题的货物不予签收，可立即要求退换，乙方不得拒绝和延误。</w:t>
      </w:r>
    </w:p>
    <w:p>
      <w:pPr>
        <w:spacing w:line="45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10.2 乙方交货前应对产品作出全面检查和对验收文件进行整理，并列出清单，作为甲方收货验收和使用的技术条件依据，检验的结果应随货物交甲方。</w:t>
      </w:r>
    </w:p>
    <w:p>
      <w:pPr>
        <w:spacing w:line="45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10.3 甲方对乙方提供的货物在使用前进行调试时，乙方需负责安装并培训甲方的使用操作人员，并协助甲方一起调试，直到符合技术要求，甲方才做最终验收。</w:t>
      </w:r>
    </w:p>
    <w:p>
      <w:pPr>
        <w:spacing w:line="45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10.4 验收时乙方必须在现场，验收完毕后作出验收结果报告。</w:t>
      </w:r>
    </w:p>
    <w:p>
      <w:pPr>
        <w:spacing w:line="45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10.5 对技术复杂的货物，甲方可请国家认可的专业检测机构参与验收，并由其出具质量检测报告，相关费用由甲方承担。</w:t>
      </w:r>
    </w:p>
    <w:p>
      <w:pPr>
        <w:spacing w:line="450" w:lineRule="exact"/>
        <w:rPr>
          <w:rFonts w:asciiTheme="majorEastAsia" w:hAnsiTheme="majorEastAsia" w:eastAsiaTheme="majorEastAsia"/>
          <w:b/>
          <w:bCs/>
          <w:sz w:val="24"/>
        </w:rPr>
      </w:pPr>
      <w:r>
        <w:rPr>
          <w:rFonts w:hint="eastAsia" w:asciiTheme="majorEastAsia" w:hAnsiTheme="majorEastAsia" w:eastAsiaTheme="majorEastAsia"/>
          <w:b/>
          <w:bCs/>
          <w:sz w:val="24"/>
        </w:rPr>
        <w:t>11.违约责任</w:t>
      </w:r>
    </w:p>
    <w:p>
      <w:pPr>
        <w:spacing w:line="45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11.1 甲方无正当理由拒收货物的，甲方向乙方偿付拒收合同款总值的百分之五违约金。</w:t>
      </w:r>
    </w:p>
    <w:p>
      <w:pPr>
        <w:spacing w:line="45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11.2 甲方无故逾期验收或办理合同款支付手续的，甲方应按逾期付款总额每日万分之五向乙方支付违约金。</w:t>
      </w:r>
    </w:p>
    <w:p>
      <w:pPr>
        <w:spacing w:line="45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11.3 乙方逾期交付货物的，乙方应按逾期交货总额每日万分之五向甲方支付违约金，由甲方从待付合同款中扣除。乙方逾期超过本合同约定交货日期十个工作日不能交货的，甲方可解除本合同。乙方因逾期交货或因其他违约行为导致甲方解除合同的，乙方应向甲方支付合同总值百分之五的违约金，如造成甲方损失超过违约金的，超出部分由乙方继续承担赔偿责任。</w:t>
      </w:r>
    </w:p>
    <w:p>
      <w:pPr>
        <w:spacing w:line="45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11.4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spacing w:line="450" w:lineRule="exact"/>
        <w:rPr>
          <w:rFonts w:asciiTheme="majorEastAsia" w:hAnsiTheme="majorEastAsia" w:eastAsiaTheme="majorEastAsia"/>
          <w:b/>
          <w:bCs/>
          <w:sz w:val="24"/>
        </w:rPr>
      </w:pPr>
      <w:r>
        <w:rPr>
          <w:rFonts w:hint="eastAsia" w:asciiTheme="majorEastAsia" w:hAnsiTheme="majorEastAsia" w:eastAsiaTheme="majorEastAsia"/>
          <w:b/>
          <w:bCs/>
          <w:sz w:val="24"/>
        </w:rPr>
        <w:t>12.不可抗力事件处理</w:t>
      </w:r>
    </w:p>
    <w:p>
      <w:pPr>
        <w:spacing w:line="45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12.1 在合同有效期内，任何一方因不可抗力事件导致不能履行合同，则合同履行期可延长，其延长期与不可抗力影响期相同。</w:t>
      </w:r>
    </w:p>
    <w:p>
      <w:pPr>
        <w:spacing w:line="45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12.2 不可抗力事件发生后，应立即通知对方，并寄送有关权威机构出具的证明。</w:t>
      </w:r>
    </w:p>
    <w:p>
      <w:pPr>
        <w:spacing w:line="45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12.3 不可抗力事件延续120天以上，双方应通过友好协商，确定是否继续履行合同。</w:t>
      </w:r>
    </w:p>
    <w:p>
      <w:pPr>
        <w:spacing w:line="450" w:lineRule="exact"/>
        <w:rPr>
          <w:rFonts w:asciiTheme="majorEastAsia" w:hAnsiTheme="majorEastAsia" w:eastAsiaTheme="majorEastAsia"/>
          <w:b/>
          <w:bCs/>
          <w:sz w:val="24"/>
        </w:rPr>
      </w:pPr>
      <w:r>
        <w:rPr>
          <w:rFonts w:hint="eastAsia" w:asciiTheme="majorEastAsia" w:hAnsiTheme="majorEastAsia" w:eastAsiaTheme="majorEastAsia"/>
          <w:b/>
          <w:bCs/>
          <w:sz w:val="24"/>
        </w:rPr>
        <w:t>13.诉讼</w:t>
      </w:r>
    </w:p>
    <w:p>
      <w:pPr>
        <w:tabs>
          <w:tab w:val="left" w:pos="0"/>
        </w:tabs>
        <w:spacing w:line="45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13.1 双方在执行合同中所发生的一切争议，应通过协商解决。如协商不成，可向合同签订地法院起诉，合同签订地在此约定为广西南宁市。</w:t>
      </w:r>
    </w:p>
    <w:p>
      <w:pPr>
        <w:spacing w:line="450" w:lineRule="exact"/>
        <w:rPr>
          <w:rFonts w:asciiTheme="majorEastAsia" w:hAnsiTheme="majorEastAsia" w:eastAsiaTheme="majorEastAsia"/>
          <w:b/>
          <w:bCs/>
          <w:sz w:val="24"/>
        </w:rPr>
      </w:pPr>
      <w:r>
        <w:rPr>
          <w:rFonts w:hint="eastAsia" w:asciiTheme="majorEastAsia" w:hAnsiTheme="majorEastAsia" w:eastAsiaTheme="majorEastAsia"/>
          <w:b/>
          <w:bCs/>
          <w:sz w:val="24"/>
        </w:rPr>
        <w:t>14.合同生效及其它</w:t>
      </w:r>
    </w:p>
    <w:p>
      <w:pPr>
        <w:spacing w:line="45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14.1 合同经双方法定代表人或授权委托代理人签字并加盖单位公章后生效。</w:t>
      </w:r>
    </w:p>
    <w:p>
      <w:pPr>
        <w:spacing w:line="45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14.2 合同执行中涉及采购资金和采购内容修改或补充的，须经市财政部门审批，并签书面补充协议报南宁市政府采购监督管理部门备案，方可作为主合同不可分割的一部分。</w:t>
      </w:r>
    </w:p>
    <w:p>
      <w:pPr>
        <w:spacing w:line="45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14.3 下述合同附件为本合同不可分割的部分并与本合同具有同等效力：</w:t>
      </w:r>
    </w:p>
    <w:p>
      <w:pPr>
        <w:spacing w:line="450" w:lineRule="exact"/>
        <w:ind w:firstLine="360"/>
        <w:rPr>
          <w:rFonts w:asciiTheme="majorEastAsia" w:hAnsiTheme="majorEastAsia" w:eastAsiaTheme="majorEastAsia"/>
          <w:sz w:val="24"/>
        </w:rPr>
      </w:pPr>
      <w:r>
        <w:rPr>
          <w:rFonts w:hint="eastAsia" w:asciiTheme="majorEastAsia" w:hAnsiTheme="majorEastAsia" w:eastAsiaTheme="majorEastAsia"/>
          <w:sz w:val="24"/>
        </w:rPr>
        <w:t>（1）中标通知书；</w:t>
      </w:r>
    </w:p>
    <w:p>
      <w:pPr>
        <w:spacing w:line="450" w:lineRule="exact"/>
        <w:ind w:firstLine="360"/>
        <w:rPr>
          <w:rFonts w:asciiTheme="majorEastAsia" w:hAnsiTheme="majorEastAsia" w:eastAsiaTheme="majorEastAsia"/>
          <w:sz w:val="24"/>
        </w:rPr>
      </w:pPr>
      <w:r>
        <w:rPr>
          <w:rFonts w:hint="eastAsia" w:asciiTheme="majorEastAsia" w:hAnsiTheme="majorEastAsia" w:eastAsiaTheme="majorEastAsia"/>
          <w:sz w:val="24"/>
        </w:rPr>
        <w:t>（2）招标文件货物需求一览表；</w:t>
      </w:r>
    </w:p>
    <w:p>
      <w:pPr>
        <w:spacing w:line="450" w:lineRule="exact"/>
        <w:ind w:firstLine="360"/>
        <w:rPr>
          <w:rFonts w:asciiTheme="majorEastAsia" w:hAnsiTheme="majorEastAsia" w:eastAsiaTheme="majorEastAsia"/>
          <w:sz w:val="24"/>
        </w:rPr>
      </w:pPr>
      <w:r>
        <w:rPr>
          <w:rFonts w:hint="eastAsia" w:asciiTheme="majorEastAsia" w:hAnsiTheme="majorEastAsia" w:eastAsiaTheme="majorEastAsia"/>
          <w:sz w:val="24"/>
        </w:rPr>
        <w:t>（3）招标文件的澄清和修改；</w:t>
      </w:r>
    </w:p>
    <w:p>
      <w:pPr>
        <w:spacing w:line="450" w:lineRule="exact"/>
        <w:ind w:firstLine="360"/>
        <w:rPr>
          <w:rFonts w:asciiTheme="majorEastAsia" w:hAnsiTheme="majorEastAsia" w:eastAsiaTheme="majorEastAsia"/>
          <w:sz w:val="24"/>
        </w:rPr>
      </w:pPr>
      <w:r>
        <w:rPr>
          <w:rFonts w:hint="eastAsia" w:asciiTheme="majorEastAsia" w:hAnsiTheme="majorEastAsia" w:eastAsiaTheme="majorEastAsia"/>
          <w:sz w:val="24"/>
        </w:rPr>
        <w:t>（4）投标报价表；</w:t>
      </w:r>
    </w:p>
    <w:p>
      <w:pPr>
        <w:spacing w:line="450" w:lineRule="exact"/>
        <w:ind w:firstLine="360"/>
        <w:rPr>
          <w:rFonts w:asciiTheme="majorEastAsia" w:hAnsiTheme="majorEastAsia" w:eastAsiaTheme="majorEastAsia"/>
          <w:sz w:val="24"/>
        </w:rPr>
      </w:pPr>
      <w:r>
        <w:rPr>
          <w:rFonts w:hint="eastAsia" w:asciiTheme="majorEastAsia" w:hAnsiTheme="majorEastAsia" w:eastAsiaTheme="majorEastAsia"/>
          <w:sz w:val="24"/>
        </w:rPr>
        <w:t>（5）投标产品技术资料表、商务条款偏离表；</w:t>
      </w:r>
    </w:p>
    <w:p>
      <w:pPr>
        <w:spacing w:line="450" w:lineRule="exact"/>
        <w:ind w:firstLine="360"/>
        <w:rPr>
          <w:rFonts w:asciiTheme="majorEastAsia" w:hAnsiTheme="majorEastAsia" w:eastAsiaTheme="majorEastAsia"/>
          <w:sz w:val="24"/>
        </w:rPr>
      </w:pPr>
      <w:r>
        <w:rPr>
          <w:rFonts w:hint="eastAsia" w:asciiTheme="majorEastAsia" w:hAnsiTheme="majorEastAsia" w:eastAsiaTheme="majorEastAsia"/>
          <w:sz w:val="24"/>
        </w:rPr>
        <w:t>（6）中标供应商澄清函；</w:t>
      </w:r>
    </w:p>
    <w:p>
      <w:pPr>
        <w:spacing w:line="450" w:lineRule="exact"/>
        <w:ind w:firstLine="360"/>
        <w:rPr>
          <w:rFonts w:asciiTheme="majorEastAsia" w:hAnsiTheme="majorEastAsia" w:eastAsiaTheme="majorEastAsia"/>
          <w:sz w:val="24"/>
        </w:rPr>
      </w:pPr>
      <w:r>
        <w:rPr>
          <w:rFonts w:hint="eastAsia" w:asciiTheme="majorEastAsia" w:hAnsiTheme="majorEastAsia" w:eastAsiaTheme="majorEastAsia"/>
          <w:sz w:val="24"/>
        </w:rPr>
        <w:t>（7）其他与本合同相关的资料。</w:t>
      </w:r>
    </w:p>
    <w:p>
      <w:pPr>
        <w:spacing w:line="45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14.4 本合同未尽事宜，遵照《中华人民共和国合同法》有关条文执行。</w:t>
      </w:r>
    </w:p>
    <w:p>
      <w:pPr>
        <w:spacing w:line="45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14.5</w:t>
      </w:r>
      <w:r>
        <w:rPr>
          <w:rFonts w:asciiTheme="majorEastAsia" w:hAnsiTheme="majorEastAsia" w:eastAsiaTheme="majorEastAsia"/>
          <w:sz w:val="24"/>
        </w:rPr>
        <w:t>本合同</w:t>
      </w:r>
      <w:r>
        <w:rPr>
          <w:rFonts w:asciiTheme="majorEastAsia" w:hAnsiTheme="majorEastAsia" w:eastAsiaTheme="majorEastAsia"/>
          <w:b/>
          <w:sz w:val="24"/>
        </w:rPr>
        <w:t>正本一式贰份</w:t>
      </w:r>
      <w:r>
        <w:rPr>
          <w:rFonts w:asciiTheme="majorEastAsia" w:hAnsiTheme="majorEastAsia" w:eastAsiaTheme="majorEastAsia"/>
          <w:sz w:val="24"/>
        </w:rPr>
        <w:t>，具有同等法律效力，甲乙双方各执</w:t>
      </w:r>
      <w:r>
        <w:rPr>
          <w:rFonts w:asciiTheme="majorEastAsia" w:hAnsiTheme="majorEastAsia" w:eastAsiaTheme="majorEastAsia"/>
          <w:b/>
          <w:sz w:val="24"/>
        </w:rPr>
        <w:t>壹份</w:t>
      </w:r>
      <w:r>
        <w:rPr>
          <w:rFonts w:asciiTheme="majorEastAsia" w:hAnsiTheme="majorEastAsia" w:eastAsiaTheme="majorEastAsia"/>
          <w:sz w:val="24"/>
        </w:rPr>
        <w:t>；副本</w:t>
      </w:r>
      <w:r>
        <w:rPr>
          <w:rFonts w:asciiTheme="majorEastAsia" w:hAnsiTheme="majorEastAsia" w:eastAsiaTheme="majorEastAsia"/>
          <w:b/>
          <w:sz w:val="24"/>
        </w:rPr>
        <w:t>肆份</w:t>
      </w:r>
      <w:r>
        <w:rPr>
          <w:rFonts w:asciiTheme="majorEastAsia" w:hAnsiTheme="majorEastAsia" w:eastAsiaTheme="majorEastAsia"/>
          <w:sz w:val="24"/>
        </w:rPr>
        <w:t>，甲乙双方各执</w:t>
      </w:r>
      <w:r>
        <w:rPr>
          <w:rFonts w:asciiTheme="majorEastAsia" w:hAnsiTheme="majorEastAsia" w:eastAsiaTheme="majorEastAsia"/>
          <w:b/>
          <w:sz w:val="24"/>
        </w:rPr>
        <w:t>壹份</w:t>
      </w:r>
      <w:r>
        <w:rPr>
          <w:rFonts w:asciiTheme="majorEastAsia" w:hAnsiTheme="majorEastAsia" w:eastAsiaTheme="majorEastAsia"/>
          <w:sz w:val="24"/>
        </w:rPr>
        <w:t>，采购代理</w:t>
      </w:r>
      <w:r>
        <w:rPr>
          <w:rFonts w:asciiTheme="majorEastAsia" w:hAnsiTheme="majorEastAsia" w:eastAsiaTheme="majorEastAsia"/>
          <w:b/>
          <w:sz w:val="24"/>
        </w:rPr>
        <w:t>贰份</w:t>
      </w:r>
      <w:r>
        <w:rPr>
          <w:rFonts w:asciiTheme="majorEastAsia" w:hAnsiTheme="majorEastAsia" w:eastAsiaTheme="majorEastAsia"/>
          <w:sz w:val="24"/>
        </w:rPr>
        <w:t>。</w:t>
      </w:r>
      <w:r>
        <w:rPr>
          <w:rFonts w:hint="eastAsia" w:asciiTheme="majorEastAsia" w:hAnsiTheme="majorEastAsia" w:eastAsiaTheme="majorEastAsia"/>
          <w:sz w:val="24"/>
        </w:rPr>
        <w:t>自合同签订之日起</w:t>
      </w:r>
      <w:r>
        <w:rPr>
          <w:rFonts w:hint="eastAsia" w:asciiTheme="majorEastAsia" w:hAnsiTheme="majorEastAsia" w:eastAsiaTheme="majorEastAsia"/>
          <w:b/>
          <w:sz w:val="24"/>
        </w:rPr>
        <w:t>2个工作日内</w:t>
      </w:r>
      <w:r>
        <w:rPr>
          <w:rFonts w:hint="eastAsia" w:asciiTheme="majorEastAsia" w:hAnsiTheme="majorEastAsia" w:eastAsiaTheme="majorEastAsia"/>
          <w:sz w:val="24"/>
        </w:rPr>
        <w:t>由中标供应商将合同送至采购代理机构处。采购代理机构将政府采购合同在省级以上人民政府财政部门指定的媒体上公告，同时采购代理机构将政府采购合同的电子档案及相关资料上传至“南宁市财政局政府采购监督管理系统”备案。</w:t>
      </w:r>
    </w:p>
    <w:p>
      <w:pPr>
        <w:spacing w:line="450" w:lineRule="exact"/>
        <w:ind w:firstLine="360"/>
        <w:rPr>
          <w:rFonts w:asciiTheme="majorEastAsia" w:hAnsiTheme="majorEastAsia" w:eastAsiaTheme="majorEastAsia"/>
          <w:sz w:val="24"/>
        </w:rPr>
      </w:pPr>
    </w:p>
    <w:p>
      <w:pPr>
        <w:spacing w:line="450" w:lineRule="exact"/>
        <w:rPr>
          <w:rFonts w:asciiTheme="majorEastAsia" w:hAnsiTheme="majorEastAsia" w:eastAsiaTheme="majorEastAsia"/>
          <w:sz w:val="24"/>
          <w:u w:val="single"/>
        </w:rPr>
      </w:pPr>
      <w:r>
        <w:rPr>
          <w:rFonts w:hint="eastAsia" w:asciiTheme="majorEastAsia" w:hAnsiTheme="majorEastAsia" w:eastAsiaTheme="majorEastAsia"/>
          <w:sz w:val="24"/>
        </w:rPr>
        <w:t>甲方：</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 xml:space="preserve">    乙方：</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 xml:space="preserve">                   </w:t>
      </w:r>
      <w:r>
        <w:rPr>
          <w:rFonts w:hint="eastAsia" w:asciiTheme="majorEastAsia" w:hAnsiTheme="majorEastAsia" w:eastAsiaTheme="majorEastAsia"/>
          <w:sz w:val="24"/>
          <w:u w:val="single"/>
        </w:rPr>
        <w:t xml:space="preserve">        </w:t>
      </w:r>
    </w:p>
    <w:p>
      <w:pPr>
        <w:spacing w:line="450" w:lineRule="exact"/>
        <w:rPr>
          <w:rFonts w:asciiTheme="majorEastAsia" w:hAnsiTheme="majorEastAsia" w:eastAsiaTheme="majorEastAsia"/>
          <w:sz w:val="24"/>
        </w:rPr>
      </w:pPr>
      <w:r>
        <w:rPr>
          <w:rFonts w:hint="eastAsia" w:asciiTheme="majorEastAsia" w:hAnsiTheme="majorEastAsia" w:eastAsiaTheme="majorEastAsia"/>
          <w:sz w:val="24"/>
        </w:rPr>
        <w:t>地址：</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 xml:space="preserve">    地址：</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 xml:space="preserve">     </w:t>
      </w:r>
    </w:p>
    <w:p>
      <w:pPr>
        <w:spacing w:line="450" w:lineRule="exact"/>
        <w:rPr>
          <w:rFonts w:asciiTheme="majorEastAsia" w:hAnsiTheme="majorEastAsia" w:eastAsiaTheme="majorEastAsia"/>
          <w:sz w:val="24"/>
        </w:rPr>
      </w:pPr>
      <w:r>
        <w:rPr>
          <w:rFonts w:hint="eastAsia" w:asciiTheme="majorEastAsia" w:hAnsiTheme="majorEastAsia" w:eastAsiaTheme="majorEastAsia"/>
          <w:sz w:val="24"/>
        </w:rPr>
        <w:t>法定代表人：</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 xml:space="preserve">    法定代表人：</w:t>
      </w:r>
      <w:r>
        <w:rPr>
          <w:rFonts w:hint="eastAsia" w:asciiTheme="majorEastAsia" w:hAnsiTheme="majorEastAsia" w:eastAsiaTheme="majorEastAsia"/>
          <w:sz w:val="24"/>
          <w:u w:val="single"/>
        </w:rPr>
        <w:t xml:space="preserve">                                                                                       </w:t>
      </w:r>
    </w:p>
    <w:p>
      <w:pPr>
        <w:spacing w:line="450" w:lineRule="exact"/>
        <w:rPr>
          <w:rFonts w:asciiTheme="majorEastAsia" w:hAnsiTheme="majorEastAsia" w:eastAsiaTheme="majorEastAsia"/>
          <w:sz w:val="24"/>
        </w:rPr>
      </w:pPr>
      <w:r>
        <w:rPr>
          <w:rFonts w:hint="eastAsia" w:asciiTheme="majorEastAsia" w:hAnsiTheme="majorEastAsia" w:eastAsiaTheme="majorEastAsia"/>
          <w:sz w:val="24"/>
        </w:rPr>
        <w:t>委托代理人：</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 xml:space="preserve">    委托代理人：</w:t>
      </w:r>
      <w:r>
        <w:rPr>
          <w:rFonts w:hint="eastAsia" w:asciiTheme="majorEastAsia" w:hAnsiTheme="majorEastAsia" w:eastAsiaTheme="majorEastAsia"/>
          <w:sz w:val="24"/>
          <w:u w:val="single"/>
        </w:rPr>
        <w:t xml:space="preserve">                                                      </w:t>
      </w:r>
    </w:p>
    <w:p>
      <w:pPr>
        <w:spacing w:line="450" w:lineRule="exact"/>
        <w:rPr>
          <w:rFonts w:asciiTheme="majorEastAsia" w:hAnsiTheme="majorEastAsia" w:eastAsiaTheme="majorEastAsia"/>
          <w:sz w:val="24"/>
        </w:rPr>
      </w:pPr>
      <w:r>
        <w:rPr>
          <w:rFonts w:hint="eastAsia" w:asciiTheme="majorEastAsia" w:hAnsiTheme="majorEastAsia" w:eastAsiaTheme="majorEastAsia"/>
          <w:sz w:val="24"/>
        </w:rPr>
        <w:t>电话：</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 xml:space="preserve">    电话：</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 xml:space="preserve">       </w:t>
      </w:r>
    </w:p>
    <w:p>
      <w:pPr>
        <w:spacing w:line="450" w:lineRule="exact"/>
        <w:rPr>
          <w:rFonts w:asciiTheme="majorEastAsia" w:hAnsiTheme="majorEastAsia" w:eastAsiaTheme="majorEastAsia"/>
          <w:sz w:val="24"/>
        </w:rPr>
      </w:pPr>
      <w:r>
        <w:rPr>
          <w:rFonts w:hint="eastAsia" w:asciiTheme="majorEastAsia" w:hAnsiTheme="majorEastAsia" w:eastAsiaTheme="majorEastAsia"/>
          <w:sz w:val="24"/>
        </w:rPr>
        <w:t>传真：</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 xml:space="preserve">    传真：</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 xml:space="preserve">    </w:t>
      </w:r>
    </w:p>
    <w:p>
      <w:pPr>
        <w:spacing w:line="450" w:lineRule="exact"/>
        <w:rPr>
          <w:rFonts w:asciiTheme="majorEastAsia" w:hAnsiTheme="majorEastAsia" w:eastAsiaTheme="majorEastAsia"/>
          <w:sz w:val="24"/>
        </w:rPr>
      </w:pPr>
      <w:r>
        <w:rPr>
          <w:rFonts w:hint="eastAsia" w:asciiTheme="majorEastAsia" w:hAnsiTheme="majorEastAsia" w:eastAsiaTheme="majorEastAsia"/>
          <w:sz w:val="24"/>
        </w:rPr>
        <w:t>邮政编码：</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 xml:space="preserve">    邮政编码：</w:t>
      </w:r>
      <w:r>
        <w:rPr>
          <w:rFonts w:hint="eastAsia" w:asciiTheme="majorEastAsia" w:hAnsiTheme="majorEastAsia" w:eastAsiaTheme="majorEastAsia"/>
          <w:sz w:val="24"/>
          <w:u w:val="single"/>
        </w:rPr>
        <w:t xml:space="preserve">                                                           </w:t>
      </w:r>
    </w:p>
    <w:p>
      <w:pPr>
        <w:pStyle w:val="15"/>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统一社会代码：</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szCs w:val="24"/>
        </w:rPr>
        <w:t xml:space="preserve">                           </w:t>
      </w:r>
    </w:p>
    <w:p>
      <w:pPr>
        <w:pStyle w:val="15"/>
        <w:spacing w:line="360" w:lineRule="auto"/>
        <w:ind w:firstLine="5040" w:firstLineChars="2100"/>
        <w:rPr>
          <w:rFonts w:asciiTheme="majorEastAsia" w:hAnsiTheme="majorEastAsia" w:eastAsiaTheme="majorEastAsia"/>
          <w:sz w:val="24"/>
          <w:szCs w:val="24"/>
        </w:rPr>
      </w:pPr>
      <w:r>
        <w:rPr>
          <w:rFonts w:hint="eastAsia" w:asciiTheme="majorEastAsia" w:hAnsiTheme="majorEastAsia" w:eastAsiaTheme="majorEastAsia"/>
          <w:sz w:val="24"/>
          <w:szCs w:val="24"/>
        </w:rPr>
        <w:t>开户银行：</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szCs w:val="24"/>
        </w:rPr>
        <w:t xml:space="preserve">                                </w:t>
      </w:r>
    </w:p>
    <w:p>
      <w:pPr>
        <w:pStyle w:val="15"/>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开户名称：</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szCs w:val="24"/>
        </w:rPr>
        <w:t xml:space="preserve">                               </w:t>
      </w:r>
    </w:p>
    <w:p>
      <w:pPr>
        <w:pStyle w:val="15"/>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银行账号：</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szCs w:val="24"/>
        </w:rPr>
        <w:t xml:space="preserve">   </w:t>
      </w:r>
    </w:p>
    <w:p>
      <w:pPr>
        <w:spacing w:line="450" w:lineRule="exact"/>
        <w:rPr>
          <w:rFonts w:asciiTheme="majorEastAsia" w:hAnsiTheme="majorEastAsia" w:eastAsiaTheme="majorEastAsia"/>
          <w:sz w:val="24"/>
        </w:rPr>
      </w:pPr>
      <w:r>
        <w:rPr>
          <w:rFonts w:hint="eastAsia" w:asciiTheme="majorEastAsia" w:hAnsiTheme="majorEastAsia" w:eastAsiaTheme="majorEastAsia"/>
          <w:sz w:val="24"/>
        </w:rPr>
        <w:t xml:space="preserve">合同签订地点：广西南宁市 </w:t>
      </w:r>
    </w:p>
    <w:p>
      <w:pPr>
        <w:spacing w:line="450" w:lineRule="exact"/>
        <w:rPr>
          <w:rFonts w:asciiTheme="majorEastAsia" w:hAnsiTheme="majorEastAsia" w:eastAsiaTheme="majorEastAsia"/>
          <w:sz w:val="24"/>
        </w:rPr>
      </w:pPr>
      <w:r>
        <w:rPr>
          <w:rFonts w:hint="eastAsia" w:asciiTheme="majorEastAsia" w:hAnsiTheme="majorEastAsia" w:eastAsiaTheme="majorEastAsia"/>
          <w:sz w:val="24"/>
        </w:rPr>
        <w:t>合同签订日期：</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年</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月</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日</w:t>
      </w:r>
    </w:p>
    <w:p>
      <w:pPr>
        <w:pStyle w:val="15"/>
        <w:spacing w:line="440" w:lineRule="exact"/>
        <w:rPr>
          <w:rFonts w:asciiTheme="majorEastAsia" w:hAnsiTheme="majorEastAsia" w:eastAsiaTheme="majorEastAsia"/>
          <w:b/>
          <w:bCs/>
          <w:sz w:val="30"/>
          <w:szCs w:val="30"/>
        </w:rPr>
      </w:pPr>
    </w:p>
    <w:p>
      <w:pPr>
        <w:pStyle w:val="15"/>
        <w:spacing w:line="440" w:lineRule="exact"/>
        <w:ind w:left="420"/>
        <w:jc w:val="center"/>
        <w:rPr>
          <w:rFonts w:asciiTheme="majorEastAsia" w:hAnsiTheme="majorEastAsia" w:eastAsiaTheme="majorEastAsia"/>
          <w:b/>
          <w:bCs/>
          <w:sz w:val="30"/>
          <w:szCs w:val="30"/>
        </w:rPr>
      </w:pPr>
    </w:p>
    <w:p>
      <w:pPr>
        <w:pStyle w:val="15"/>
        <w:spacing w:line="440" w:lineRule="exact"/>
        <w:ind w:left="420"/>
        <w:jc w:val="center"/>
        <w:rPr>
          <w:rFonts w:asciiTheme="majorEastAsia" w:hAnsiTheme="majorEastAsia" w:eastAsiaTheme="majorEastAsia"/>
          <w:b/>
          <w:bCs/>
          <w:sz w:val="30"/>
          <w:szCs w:val="30"/>
        </w:rPr>
      </w:pPr>
    </w:p>
    <w:p>
      <w:pPr>
        <w:pStyle w:val="15"/>
        <w:spacing w:line="440" w:lineRule="exact"/>
        <w:ind w:left="420"/>
        <w:jc w:val="center"/>
        <w:rPr>
          <w:rFonts w:asciiTheme="majorEastAsia" w:hAnsiTheme="majorEastAsia" w:eastAsiaTheme="majorEastAsia"/>
          <w:b/>
          <w:bCs/>
          <w:sz w:val="30"/>
          <w:szCs w:val="30"/>
        </w:rPr>
      </w:pPr>
    </w:p>
    <w:p>
      <w:pPr>
        <w:pStyle w:val="15"/>
        <w:spacing w:line="440" w:lineRule="exact"/>
        <w:ind w:left="420"/>
        <w:jc w:val="center"/>
        <w:rPr>
          <w:rFonts w:asciiTheme="majorEastAsia" w:hAnsiTheme="majorEastAsia" w:eastAsiaTheme="majorEastAsia"/>
          <w:b/>
          <w:bCs/>
          <w:sz w:val="30"/>
          <w:szCs w:val="30"/>
        </w:rPr>
      </w:pPr>
    </w:p>
    <w:bookmarkEnd w:id="57"/>
    <w:bookmarkEnd w:id="58"/>
    <w:p>
      <w:pPr>
        <w:spacing w:line="360" w:lineRule="auto"/>
        <w:ind w:firstLine="880" w:firstLineChars="200"/>
        <w:rPr>
          <w:rFonts w:ascii="宋体"/>
          <w:sz w:val="44"/>
        </w:rPr>
      </w:pPr>
    </w:p>
    <w:p>
      <w:pPr>
        <w:spacing w:line="360" w:lineRule="auto"/>
        <w:ind w:firstLine="880" w:firstLineChars="200"/>
        <w:rPr>
          <w:rFonts w:ascii="宋体"/>
          <w:sz w:val="44"/>
        </w:rPr>
      </w:pPr>
    </w:p>
    <w:p>
      <w:pPr>
        <w:pStyle w:val="15"/>
        <w:jc w:val="center"/>
        <w:outlineLvl w:val="0"/>
        <w:rPr>
          <w:rFonts w:hAnsi="宋体"/>
          <w:b/>
          <w:bCs/>
          <w:caps/>
          <w:sz w:val="30"/>
          <w:szCs w:val="30"/>
        </w:rPr>
      </w:pPr>
      <w:r>
        <w:rPr>
          <w:rFonts w:hAnsi="宋体"/>
        </w:rPr>
        <w:br w:type="page"/>
      </w:r>
      <w:bookmarkStart w:id="65" w:name="_Toc1486350"/>
      <w:bookmarkStart w:id="66" w:name="_Toc532393553"/>
      <w:bookmarkStart w:id="67" w:name="_Toc879382"/>
      <w:bookmarkStart w:id="68" w:name="_Toc1654636"/>
      <w:r>
        <w:rPr>
          <w:rFonts w:hint="eastAsia" w:ascii="Times New Roman" w:hAnsi="Times New Roman"/>
          <w:b/>
          <w:sz w:val="36"/>
        </w:rPr>
        <w:t>第七章 质疑材料格式</w:t>
      </w:r>
      <w:bookmarkEnd w:id="65"/>
      <w:bookmarkEnd w:id="66"/>
      <w:bookmarkEnd w:id="67"/>
      <w:bookmarkEnd w:id="68"/>
    </w:p>
    <w:p>
      <w:pPr>
        <w:pStyle w:val="15"/>
        <w:jc w:val="center"/>
        <w:outlineLvl w:val="1"/>
        <w:rPr>
          <w:rFonts w:hAnsi="宋体"/>
          <w:sz w:val="30"/>
          <w:szCs w:val="30"/>
        </w:rPr>
      </w:pPr>
    </w:p>
    <w:p>
      <w:pPr>
        <w:widowControl/>
        <w:shd w:val="clear" w:color="auto" w:fill="FFFFFF"/>
        <w:spacing w:line="260" w:lineRule="exact"/>
        <w:jc w:val="center"/>
        <w:rPr>
          <w:rFonts w:hint="eastAsia" w:ascii="ˎ̥" w:hAnsi="ˎ̥" w:cs="宋体"/>
          <w:kern w:val="0"/>
          <w:sz w:val="24"/>
        </w:rPr>
      </w:pPr>
      <w:r>
        <w:rPr>
          <w:rFonts w:hint="eastAsia" w:ascii="ˎ̥" w:hAnsi="ˎ̥" w:cs="宋体"/>
          <w:b/>
          <w:bCs/>
          <w:kern w:val="0"/>
          <w:sz w:val="24"/>
        </w:rPr>
        <w:t>质疑函（格式）</w:t>
      </w:r>
    </w:p>
    <w:p>
      <w:pPr>
        <w:widowControl/>
        <w:shd w:val="clear" w:color="auto" w:fill="FFFFFF"/>
        <w:spacing w:line="260" w:lineRule="exact"/>
        <w:jc w:val="left"/>
        <w:rPr>
          <w:rFonts w:hint="eastAsia" w:ascii="ˎ̥" w:hAnsi="ˎ̥" w:cs="宋体"/>
          <w:kern w:val="0"/>
          <w:szCs w:val="21"/>
        </w:rPr>
      </w:pPr>
    </w:p>
    <w:p>
      <w:pPr>
        <w:widowControl/>
        <w:shd w:val="clear" w:color="auto" w:fill="FFFFFF"/>
        <w:spacing w:line="260" w:lineRule="exact"/>
        <w:jc w:val="left"/>
        <w:rPr>
          <w:rFonts w:hint="eastAsia" w:ascii="ˎ̥" w:hAnsi="ˎ̥" w:cs="宋体"/>
          <w:kern w:val="0"/>
          <w:szCs w:val="21"/>
        </w:rPr>
      </w:pPr>
    </w:p>
    <w:p>
      <w:pPr>
        <w:widowControl/>
        <w:shd w:val="clear" w:color="auto" w:fill="FFFFFF"/>
        <w:spacing w:line="260" w:lineRule="exact"/>
        <w:jc w:val="left"/>
        <w:rPr>
          <w:rFonts w:hint="eastAsia" w:ascii="ˎ̥" w:hAnsi="ˎ̥" w:cs="宋体"/>
          <w:kern w:val="0"/>
          <w:szCs w:val="21"/>
        </w:rPr>
      </w:pPr>
      <w:r>
        <w:rPr>
          <w:rFonts w:hint="eastAsia" w:ascii="ˎ̥" w:hAnsi="ˎ̥" w:cs="宋体"/>
          <w:kern w:val="0"/>
          <w:szCs w:val="21"/>
        </w:rPr>
        <w:t>一、</w:t>
      </w:r>
      <w:r>
        <w:rPr>
          <w:rFonts w:hint="eastAsia" w:ascii="ˎ̥" w:hAnsi="ˎ̥"/>
          <w:szCs w:val="21"/>
        </w:rPr>
        <w:t>质疑供应商基本信息</w:t>
      </w:r>
    </w:p>
    <w:p>
      <w:pPr>
        <w:widowControl/>
        <w:shd w:val="clear" w:color="auto" w:fill="FFFFFF"/>
        <w:spacing w:line="260" w:lineRule="exact"/>
        <w:jc w:val="left"/>
        <w:rPr>
          <w:rFonts w:hint="eastAsia" w:ascii="ˎ̥" w:hAnsi="ˎ̥" w:cs="宋体"/>
          <w:kern w:val="0"/>
          <w:szCs w:val="21"/>
        </w:rPr>
      </w:pPr>
      <w:r>
        <w:rPr>
          <w:rFonts w:ascii="ˎ̥" w:hAnsi="ˎ̥" w:cs="宋体"/>
          <w:bCs/>
          <w:kern w:val="0"/>
          <w:szCs w:val="21"/>
        </w:rPr>
        <w:t>1.</w:t>
      </w:r>
      <w:r>
        <w:rPr>
          <w:rFonts w:hint="eastAsia" w:ascii="ˎ̥" w:hAnsi="ˎ̥" w:cs="宋体"/>
          <w:bCs/>
          <w:kern w:val="0"/>
          <w:szCs w:val="21"/>
        </w:rPr>
        <w:t>质疑供应商名称：</w:t>
      </w:r>
      <w:r>
        <w:rPr>
          <w:rFonts w:ascii="ˎ̥" w:hAnsi="ˎ̥" w:cs="宋体"/>
          <w:bCs/>
          <w:kern w:val="0"/>
          <w:szCs w:val="21"/>
          <w:u w:val="single"/>
        </w:rPr>
        <w:t>                                </w:t>
      </w:r>
    </w:p>
    <w:p>
      <w:pPr>
        <w:widowControl/>
        <w:shd w:val="clear" w:color="auto" w:fill="FFFFFF"/>
        <w:spacing w:line="260" w:lineRule="exact"/>
        <w:jc w:val="left"/>
        <w:rPr>
          <w:rFonts w:hint="eastAsia" w:ascii="ˎ̥" w:hAnsi="ˎ̥" w:cs="宋体"/>
          <w:kern w:val="0"/>
          <w:szCs w:val="21"/>
          <w:u w:val="single"/>
        </w:rPr>
      </w:pPr>
      <w:r>
        <w:rPr>
          <w:rFonts w:hint="eastAsia" w:ascii="ˎ̥" w:hAnsi="ˎ̥" w:cs="宋体"/>
          <w:kern w:val="0"/>
          <w:szCs w:val="21"/>
        </w:rPr>
        <w:t>地址：</w:t>
      </w:r>
      <w:r>
        <w:rPr>
          <w:rFonts w:ascii="ˎ̥" w:hAnsi="ˎ̥" w:cs="宋体"/>
          <w:kern w:val="0"/>
          <w:szCs w:val="21"/>
          <w:u w:val="single"/>
        </w:rPr>
        <w:t>                                     </w:t>
      </w:r>
    </w:p>
    <w:p>
      <w:pPr>
        <w:widowControl/>
        <w:shd w:val="clear" w:color="auto" w:fill="FFFFFF"/>
        <w:spacing w:line="260" w:lineRule="exact"/>
        <w:jc w:val="left"/>
        <w:rPr>
          <w:rFonts w:hint="eastAsia" w:ascii="ˎ̥" w:hAnsi="ˎ̥" w:cs="宋体"/>
          <w:kern w:val="0"/>
          <w:szCs w:val="21"/>
        </w:rPr>
      </w:pPr>
      <w:r>
        <w:rPr>
          <w:rFonts w:hint="eastAsia" w:ascii="ˎ̥" w:hAnsi="ˎ̥" w:cs="宋体"/>
          <w:kern w:val="0"/>
          <w:szCs w:val="21"/>
        </w:rPr>
        <w:t>邮政编码：</w:t>
      </w:r>
      <w:r>
        <w:rPr>
          <w:rFonts w:ascii="ˎ̥" w:hAnsi="ˎ̥" w:cs="宋体"/>
          <w:kern w:val="0"/>
          <w:szCs w:val="21"/>
          <w:u w:val="single"/>
        </w:rPr>
        <w:t>                 </w:t>
      </w:r>
      <w:r>
        <w:rPr>
          <w:rFonts w:ascii="ˎ̥" w:hAnsi="ˎ̥" w:cs="宋体"/>
          <w:kern w:val="0"/>
          <w:szCs w:val="21"/>
        </w:rPr>
        <w:t> </w:t>
      </w:r>
    </w:p>
    <w:p>
      <w:pPr>
        <w:widowControl/>
        <w:shd w:val="clear" w:color="auto" w:fill="FFFFFF"/>
        <w:spacing w:line="260" w:lineRule="exact"/>
        <w:jc w:val="left"/>
        <w:rPr>
          <w:rFonts w:hint="eastAsia" w:ascii="ˎ̥" w:hAnsi="ˎ̥" w:cs="宋体"/>
          <w:bCs/>
          <w:kern w:val="0"/>
          <w:szCs w:val="21"/>
        </w:rPr>
      </w:pPr>
      <w:r>
        <w:rPr>
          <w:rFonts w:hint="eastAsia" w:ascii="ˎ̥" w:hAnsi="ˎ̥" w:cs="宋体"/>
          <w:bCs/>
          <w:kern w:val="0"/>
          <w:szCs w:val="21"/>
        </w:rPr>
        <w:t>联系人：</w:t>
      </w:r>
      <w:r>
        <w:rPr>
          <w:rFonts w:ascii="ˎ̥" w:hAnsi="ˎ̥" w:cs="宋体"/>
          <w:kern w:val="0"/>
          <w:szCs w:val="21"/>
          <w:u w:val="single"/>
        </w:rPr>
        <w:t>               </w:t>
      </w:r>
    </w:p>
    <w:p>
      <w:pPr>
        <w:widowControl/>
        <w:shd w:val="clear" w:color="auto" w:fill="FFFFFF"/>
        <w:spacing w:line="260" w:lineRule="exact"/>
        <w:jc w:val="left"/>
        <w:rPr>
          <w:rFonts w:hint="eastAsia" w:ascii="ˎ̥" w:hAnsi="ˎ̥" w:cs="宋体"/>
          <w:kern w:val="0"/>
          <w:szCs w:val="21"/>
          <w:u w:val="single"/>
        </w:rPr>
      </w:pPr>
      <w:r>
        <w:rPr>
          <w:rFonts w:hint="eastAsia" w:ascii="ˎ̥" w:hAnsi="ˎ̥" w:cs="宋体"/>
          <w:kern w:val="0"/>
          <w:szCs w:val="21"/>
        </w:rPr>
        <w:t>联系电话：</w:t>
      </w:r>
      <w:r>
        <w:rPr>
          <w:rFonts w:ascii="ˎ̥" w:hAnsi="ˎ̥" w:cs="宋体"/>
          <w:kern w:val="0"/>
          <w:szCs w:val="21"/>
          <w:u w:val="single"/>
        </w:rPr>
        <w:t>                      </w:t>
      </w:r>
    </w:p>
    <w:p>
      <w:pPr>
        <w:widowControl/>
        <w:shd w:val="clear" w:color="auto" w:fill="FFFFFF"/>
        <w:spacing w:line="260" w:lineRule="exact"/>
        <w:jc w:val="left"/>
        <w:rPr>
          <w:rFonts w:hint="eastAsia" w:ascii="ˎ̥" w:hAnsi="ˎ̥" w:cs="宋体"/>
          <w:kern w:val="0"/>
          <w:szCs w:val="21"/>
        </w:rPr>
      </w:pPr>
    </w:p>
    <w:p>
      <w:pPr>
        <w:widowControl/>
        <w:shd w:val="clear" w:color="auto" w:fill="FFFFFF"/>
        <w:spacing w:line="260" w:lineRule="exact"/>
        <w:jc w:val="left"/>
        <w:rPr>
          <w:rFonts w:ascii="黑体" w:hAnsi="黑体" w:eastAsia="黑体" w:cs="黑体"/>
          <w:sz w:val="32"/>
          <w:szCs w:val="32"/>
        </w:rPr>
      </w:pPr>
      <w:r>
        <w:rPr>
          <w:rFonts w:hint="eastAsia" w:ascii="ˎ̥" w:hAnsi="ˎ̥" w:cs="宋体"/>
          <w:kern w:val="0"/>
          <w:szCs w:val="21"/>
        </w:rPr>
        <w:t>二、质疑项目基本情况</w:t>
      </w:r>
    </w:p>
    <w:p>
      <w:pPr>
        <w:widowControl/>
        <w:shd w:val="clear" w:color="auto" w:fill="FFFFFF"/>
        <w:spacing w:line="260" w:lineRule="exact"/>
        <w:jc w:val="left"/>
        <w:rPr>
          <w:rFonts w:hint="eastAsia" w:ascii="ˎ̥" w:hAnsi="ˎ̥" w:cs="宋体"/>
          <w:kern w:val="0"/>
          <w:szCs w:val="21"/>
        </w:rPr>
      </w:pPr>
      <w:r>
        <w:rPr>
          <w:rFonts w:ascii="ˎ̥" w:hAnsi="ˎ̥" w:cs="宋体"/>
          <w:kern w:val="0"/>
          <w:szCs w:val="21"/>
        </w:rPr>
        <w:t>1.</w:t>
      </w:r>
      <w:r>
        <w:rPr>
          <w:rFonts w:hint="eastAsia" w:ascii="ˎ̥" w:hAnsi="ˎ̥" w:cs="宋体"/>
          <w:kern w:val="0"/>
          <w:szCs w:val="21"/>
        </w:rPr>
        <w:t>质疑项目的名称</w:t>
      </w:r>
      <w:r>
        <w:rPr>
          <w:rFonts w:ascii="ˎ̥" w:hAnsi="ˎ̥" w:cs="宋体"/>
          <w:b/>
          <w:bCs/>
          <w:kern w:val="0"/>
          <w:szCs w:val="21"/>
          <w:u w:val="single"/>
        </w:rPr>
        <w:t> </w:t>
      </w:r>
      <w:r>
        <w:rPr>
          <w:rFonts w:hint="eastAsia" w:ascii="ˎ̥" w:hAnsi="ˎ̥" w:cs="宋体"/>
          <w:b/>
          <w:bCs/>
          <w:kern w:val="0"/>
          <w:szCs w:val="21"/>
          <w:u w:val="single"/>
        </w:rPr>
        <w:t>：</w:t>
      </w:r>
      <w:r>
        <w:rPr>
          <w:rFonts w:ascii="ˎ̥" w:hAnsi="ˎ̥" w:cs="宋体"/>
          <w:b/>
          <w:bCs/>
          <w:kern w:val="0"/>
          <w:szCs w:val="21"/>
          <w:u w:val="single"/>
        </w:rPr>
        <w:t>                               </w:t>
      </w:r>
    </w:p>
    <w:p>
      <w:pPr>
        <w:widowControl/>
        <w:shd w:val="clear" w:color="auto" w:fill="FFFFFF"/>
        <w:spacing w:line="260" w:lineRule="exact"/>
        <w:jc w:val="left"/>
        <w:rPr>
          <w:rFonts w:hint="eastAsia" w:ascii="ˎ̥" w:hAnsi="ˎ̥" w:cs="宋体"/>
          <w:b/>
          <w:bCs/>
          <w:kern w:val="0"/>
          <w:szCs w:val="21"/>
          <w:u w:val="single"/>
        </w:rPr>
      </w:pPr>
      <w:r>
        <w:rPr>
          <w:rFonts w:ascii="ˎ̥" w:hAnsi="ˎ̥" w:cs="宋体"/>
          <w:kern w:val="0"/>
          <w:szCs w:val="21"/>
        </w:rPr>
        <w:t>2.</w:t>
      </w:r>
      <w:r>
        <w:rPr>
          <w:rFonts w:hint="eastAsia" w:ascii="ˎ̥" w:hAnsi="ˎ̥" w:cs="宋体"/>
          <w:kern w:val="0"/>
          <w:szCs w:val="21"/>
        </w:rPr>
        <w:t>质疑项目的编号：</w:t>
      </w:r>
      <w:r>
        <w:rPr>
          <w:rFonts w:ascii="ˎ̥" w:hAnsi="ˎ̥" w:cs="宋体"/>
          <w:b/>
          <w:bCs/>
          <w:kern w:val="0"/>
          <w:szCs w:val="21"/>
          <w:u w:val="single"/>
        </w:rPr>
        <w:t>                                </w:t>
      </w:r>
    </w:p>
    <w:p>
      <w:pPr>
        <w:widowControl/>
        <w:shd w:val="clear" w:color="auto" w:fill="FFFFFF"/>
        <w:spacing w:line="260" w:lineRule="exact"/>
        <w:jc w:val="left"/>
        <w:rPr>
          <w:rFonts w:hint="eastAsia" w:ascii="ˎ̥" w:hAnsi="ˎ̥" w:cs="宋体"/>
          <w:kern w:val="0"/>
          <w:szCs w:val="21"/>
        </w:rPr>
      </w:pPr>
      <w:r>
        <w:rPr>
          <w:rFonts w:ascii="ˎ̥" w:hAnsi="ˎ̥" w:cs="宋体"/>
          <w:bCs/>
          <w:kern w:val="0"/>
          <w:szCs w:val="21"/>
        </w:rPr>
        <w:t>3.</w:t>
      </w:r>
      <w:r>
        <w:rPr>
          <w:rFonts w:hint="eastAsia" w:ascii="ˎ̥" w:hAnsi="ˎ̥" w:cs="宋体"/>
          <w:kern w:val="0"/>
          <w:szCs w:val="21"/>
        </w:rPr>
        <w:t>质疑项目的分标号：</w:t>
      </w:r>
      <w:r>
        <w:rPr>
          <w:rFonts w:ascii="ˎ̥" w:hAnsi="ˎ̥" w:cs="宋体"/>
          <w:b/>
          <w:bCs/>
          <w:kern w:val="0"/>
          <w:szCs w:val="21"/>
          <w:u w:val="single"/>
        </w:rPr>
        <w:t>                               </w:t>
      </w:r>
    </w:p>
    <w:p>
      <w:pPr>
        <w:adjustRightInd w:val="0"/>
        <w:snapToGrid w:val="0"/>
        <w:spacing w:line="260" w:lineRule="exact"/>
        <w:outlineLvl w:val="0"/>
        <w:rPr>
          <w:rFonts w:hint="eastAsia" w:ascii="ˎ̥" w:hAnsi="ˎ̥" w:cs="宋体"/>
          <w:kern w:val="0"/>
          <w:szCs w:val="21"/>
        </w:rPr>
      </w:pPr>
    </w:p>
    <w:p>
      <w:pPr>
        <w:adjustRightInd w:val="0"/>
        <w:snapToGrid w:val="0"/>
        <w:spacing w:line="260" w:lineRule="exact"/>
        <w:outlineLvl w:val="0"/>
        <w:rPr>
          <w:rFonts w:ascii="黑体" w:hAnsi="黑体" w:eastAsia="黑体"/>
          <w:sz w:val="32"/>
          <w:szCs w:val="32"/>
        </w:rPr>
      </w:pPr>
      <w:bookmarkStart w:id="69" w:name="_Toc1486351"/>
      <w:bookmarkStart w:id="70" w:name="_Toc532393554"/>
      <w:bookmarkStart w:id="71" w:name="_Toc879383"/>
      <w:bookmarkStart w:id="72" w:name="_Toc1654637"/>
      <w:r>
        <w:rPr>
          <w:rFonts w:hint="eastAsia" w:ascii="ˎ̥" w:hAnsi="ˎ̥" w:cs="宋体"/>
          <w:kern w:val="0"/>
          <w:szCs w:val="21"/>
        </w:rPr>
        <w:t>三、质疑事项具体内容</w:t>
      </w:r>
      <w:bookmarkEnd w:id="69"/>
      <w:bookmarkEnd w:id="70"/>
      <w:bookmarkEnd w:id="71"/>
      <w:bookmarkEnd w:id="72"/>
    </w:p>
    <w:p>
      <w:pPr>
        <w:widowControl/>
        <w:shd w:val="clear" w:color="auto" w:fill="FFFFFF"/>
        <w:spacing w:line="260" w:lineRule="exact"/>
        <w:jc w:val="left"/>
        <w:rPr>
          <w:rFonts w:hint="eastAsia" w:ascii="ˎ̥" w:hAnsi="ˎ̥" w:cs="宋体"/>
          <w:kern w:val="0"/>
          <w:szCs w:val="21"/>
        </w:rPr>
      </w:pPr>
      <w:r>
        <w:rPr>
          <w:rFonts w:hint="eastAsia" w:ascii="ˎ̥" w:hAnsi="ˎ̥" w:cs="宋体"/>
          <w:kern w:val="0"/>
          <w:szCs w:val="21"/>
        </w:rPr>
        <w:t>质疑事项</w:t>
      </w:r>
      <w:r>
        <w:rPr>
          <w:rFonts w:ascii="ˎ̥" w:hAnsi="ˎ̥" w:cs="宋体"/>
          <w:kern w:val="0"/>
          <w:szCs w:val="21"/>
        </w:rPr>
        <w:t>1</w:t>
      </w:r>
      <w:r>
        <w:rPr>
          <w:rFonts w:hint="eastAsia" w:ascii="ˎ̥" w:hAnsi="ˎ̥" w:cs="宋体"/>
          <w:kern w:val="0"/>
          <w:szCs w:val="21"/>
        </w:rPr>
        <w:t>：</w:t>
      </w:r>
      <w:r>
        <w:rPr>
          <w:rFonts w:ascii="ˎ̥" w:hAnsi="ˎ̥" w:cs="宋体"/>
          <w:bCs/>
          <w:kern w:val="0"/>
          <w:szCs w:val="21"/>
          <w:u w:val="single"/>
        </w:rPr>
        <w:t>                                                                                    </w:t>
      </w:r>
    </w:p>
    <w:p>
      <w:pPr>
        <w:widowControl/>
        <w:shd w:val="clear" w:color="auto" w:fill="FFFFFF"/>
        <w:spacing w:line="260" w:lineRule="exact"/>
        <w:jc w:val="left"/>
        <w:rPr>
          <w:rFonts w:hint="eastAsia" w:ascii="ˎ̥" w:hAnsi="ˎ̥" w:cs="宋体"/>
          <w:kern w:val="0"/>
          <w:szCs w:val="21"/>
        </w:rPr>
      </w:pPr>
      <w:r>
        <w:rPr>
          <w:rFonts w:hint="eastAsia" w:ascii="ˎ̥" w:hAnsi="ˎ̥" w:cs="宋体"/>
          <w:kern w:val="0"/>
          <w:szCs w:val="21"/>
        </w:rPr>
        <w:t>质疑事项</w:t>
      </w:r>
      <w:r>
        <w:rPr>
          <w:rFonts w:ascii="ˎ̥" w:hAnsi="ˎ̥" w:cs="宋体"/>
          <w:kern w:val="0"/>
          <w:szCs w:val="21"/>
        </w:rPr>
        <w:t>1</w:t>
      </w:r>
      <w:r>
        <w:rPr>
          <w:rFonts w:hint="eastAsia" w:ascii="ˎ̥" w:hAnsi="ˎ̥" w:cs="宋体"/>
          <w:kern w:val="0"/>
          <w:szCs w:val="21"/>
        </w:rPr>
        <w:t>的事实依据：</w:t>
      </w:r>
      <w:r>
        <w:rPr>
          <w:rFonts w:ascii="ˎ̥" w:hAnsi="ˎ̥" w:cs="宋体"/>
          <w:bCs/>
          <w:kern w:val="0"/>
          <w:szCs w:val="21"/>
          <w:u w:val="single"/>
        </w:rPr>
        <w:t xml:space="preserve">                                                                  </w:t>
      </w:r>
    </w:p>
    <w:p>
      <w:pPr>
        <w:widowControl/>
        <w:shd w:val="clear" w:color="auto" w:fill="FFFFFF"/>
        <w:spacing w:line="260" w:lineRule="exact"/>
        <w:jc w:val="left"/>
        <w:rPr>
          <w:rFonts w:hint="eastAsia" w:ascii="ˎ̥" w:hAnsi="ˎ̥" w:cs="宋体"/>
          <w:kern w:val="0"/>
          <w:szCs w:val="21"/>
        </w:rPr>
      </w:pPr>
      <w:r>
        <w:rPr>
          <w:rFonts w:hint="eastAsia" w:ascii="ˎ̥" w:hAnsi="ˎ̥" w:cs="宋体"/>
          <w:kern w:val="0"/>
          <w:szCs w:val="21"/>
        </w:rPr>
        <w:t>质疑事项</w:t>
      </w:r>
      <w:r>
        <w:rPr>
          <w:rFonts w:ascii="ˎ̥" w:hAnsi="ˎ̥" w:cs="宋体"/>
          <w:kern w:val="0"/>
          <w:szCs w:val="21"/>
        </w:rPr>
        <w:t>1</w:t>
      </w:r>
      <w:r>
        <w:rPr>
          <w:rFonts w:hint="eastAsia" w:ascii="ˎ̥" w:hAnsi="ˎ̥" w:cs="宋体"/>
          <w:kern w:val="0"/>
          <w:szCs w:val="21"/>
        </w:rPr>
        <w:t>的法律依据：</w:t>
      </w:r>
      <w:r>
        <w:rPr>
          <w:rFonts w:ascii="ˎ̥" w:hAnsi="ˎ̥" w:cs="宋体"/>
          <w:bCs/>
          <w:kern w:val="0"/>
          <w:szCs w:val="21"/>
          <w:u w:val="single"/>
        </w:rPr>
        <w:t xml:space="preserve">                                                               </w:t>
      </w:r>
    </w:p>
    <w:p>
      <w:pPr>
        <w:widowControl/>
        <w:shd w:val="clear" w:color="auto" w:fill="FFFFFF"/>
        <w:spacing w:line="260" w:lineRule="exact"/>
        <w:jc w:val="left"/>
        <w:rPr>
          <w:rFonts w:hint="eastAsia" w:ascii="ˎ̥" w:hAnsi="ˎ̥" w:cs="宋体"/>
          <w:kern w:val="0"/>
          <w:szCs w:val="21"/>
        </w:rPr>
      </w:pPr>
      <w:r>
        <w:rPr>
          <w:rFonts w:hint="eastAsia" w:ascii="ˎ̥" w:hAnsi="ˎ̥" w:cs="宋体"/>
          <w:kern w:val="0"/>
          <w:szCs w:val="21"/>
        </w:rPr>
        <w:t>质疑事项</w:t>
      </w:r>
      <w:r>
        <w:rPr>
          <w:rFonts w:ascii="ˎ̥" w:hAnsi="ˎ̥" w:cs="宋体"/>
          <w:kern w:val="0"/>
          <w:szCs w:val="21"/>
        </w:rPr>
        <w:t>1</w:t>
      </w:r>
      <w:r>
        <w:rPr>
          <w:rFonts w:hint="eastAsia" w:ascii="ˎ̥" w:hAnsi="ˎ̥" w:cs="宋体"/>
          <w:kern w:val="0"/>
          <w:szCs w:val="21"/>
        </w:rPr>
        <w:t>的相关请求：</w:t>
      </w:r>
      <w:r>
        <w:rPr>
          <w:rFonts w:ascii="ˎ̥" w:hAnsi="ˎ̥" w:cs="宋体"/>
          <w:bCs/>
          <w:kern w:val="0"/>
          <w:szCs w:val="21"/>
          <w:u w:val="single"/>
        </w:rPr>
        <w:t xml:space="preserve">                                                            </w:t>
      </w:r>
    </w:p>
    <w:p>
      <w:pPr>
        <w:widowControl/>
        <w:shd w:val="clear" w:color="auto" w:fill="FFFFFF"/>
        <w:spacing w:line="260" w:lineRule="exact"/>
        <w:jc w:val="left"/>
        <w:rPr>
          <w:rFonts w:hint="eastAsia" w:ascii="ˎ̥" w:hAnsi="ˎ̥" w:cs="宋体"/>
          <w:kern w:val="0"/>
          <w:szCs w:val="21"/>
        </w:rPr>
      </w:pPr>
    </w:p>
    <w:p>
      <w:pPr>
        <w:widowControl/>
        <w:shd w:val="clear" w:color="auto" w:fill="FFFFFF"/>
        <w:spacing w:line="260" w:lineRule="exact"/>
        <w:jc w:val="left"/>
        <w:rPr>
          <w:rFonts w:hint="eastAsia" w:ascii="ˎ̥" w:hAnsi="ˎ̥" w:cs="宋体"/>
          <w:kern w:val="0"/>
          <w:szCs w:val="21"/>
        </w:rPr>
      </w:pPr>
      <w:r>
        <w:rPr>
          <w:rFonts w:hint="eastAsia" w:ascii="ˎ̥" w:hAnsi="ˎ̥" w:cs="宋体"/>
          <w:kern w:val="0"/>
          <w:szCs w:val="21"/>
        </w:rPr>
        <w:t>质疑事项</w:t>
      </w:r>
      <w:r>
        <w:rPr>
          <w:rFonts w:ascii="ˎ̥" w:hAnsi="ˎ̥" w:cs="宋体"/>
          <w:kern w:val="0"/>
          <w:szCs w:val="21"/>
        </w:rPr>
        <w:t>2</w:t>
      </w:r>
      <w:r>
        <w:rPr>
          <w:rFonts w:hint="eastAsia" w:ascii="ˎ̥" w:hAnsi="ˎ̥" w:cs="宋体"/>
          <w:kern w:val="0"/>
          <w:szCs w:val="21"/>
        </w:rPr>
        <w:t>：</w:t>
      </w:r>
      <w:r>
        <w:rPr>
          <w:rFonts w:ascii="ˎ̥" w:hAnsi="ˎ̥" w:cs="宋体"/>
          <w:bCs/>
          <w:kern w:val="0"/>
          <w:szCs w:val="21"/>
          <w:u w:val="single"/>
        </w:rPr>
        <w:t>                                                                                    </w:t>
      </w:r>
    </w:p>
    <w:p>
      <w:pPr>
        <w:widowControl/>
        <w:shd w:val="clear" w:color="auto" w:fill="FFFFFF"/>
        <w:spacing w:line="260" w:lineRule="exact"/>
        <w:jc w:val="left"/>
        <w:rPr>
          <w:rFonts w:hint="eastAsia" w:ascii="ˎ̥" w:hAnsi="ˎ̥" w:cs="宋体"/>
          <w:kern w:val="0"/>
          <w:szCs w:val="21"/>
        </w:rPr>
      </w:pPr>
      <w:r>
        <w:rPr>
          <w:rFonts w:hint="eastAsia" w:ascii="ˎ̥" w:hAnsi="ˎ̥" w:cs="宋体"/>
          <w:kern w:val="0"/>
          <w:szCs w:val="21"/>
        </w:rPr>
        <w:t>质疑事项</w:t>
      </w:r>
      <w:r>
        <w:rPr>
          <w:rFonts w:ascii="ˎ̥" w:hAnsi="ˎ̥" w:cs="宋体"/>
          <w:kern w:val="0"/>
          <w:szCs w:val="21"/>
        </w:rPr>
        <w:t>2</w:t>
      </w:r>
      <w:r>
        <w:rPr>
          <w:rFonts w:hint="eastAsia" w:ascii="ˎ̥" w:hAnsi="ˎ̥" w:cs="宋体"/>
          <w:kern w:val="0"/>
          <w:szCs w:val="21"/>
        </w:rPr>
        <w:t>的事实依据：</w:t>
      </w:r>
      <w:r>
        <w:rPr>
          <w:rFonts w:ascii="ˎ̥" w:hAnsi="ˎ̥" w:cs="宋体"/>
          <w:bCs/>
          <w:kern w:val="0"/>
          <w:szCs w:val="21"/>
          <w:u w:val="single"/>
        </w:rPr>
        <w:t xml:space="preserve">                                                                  </w:t>
      </w:r>
    </w:p>
    <w:p>
      <w:pPr>
        <w:widowControl/>
        <w:shd w:val="clear" w:color="auto" w:fill="FFFFFF"/>
        <w:spacing w:line="260" w:lineRule="exact"/>
        <w:jc w:val="left"/>
        <w:rPr>
          <w:rFonts w:hint="eastAsia" w:ascii="ˎ̥" w:hAnsi="ˎ̥" w:cs="宋体"/>
          <w:kern w:val="0"/>
          <w:szCs w:val="21"/>
        </w:rPr>
      </w:pPr>
      <w:r>
        <w:rPr>
          <w:rFonts w:hint="eastAsia" w:ascii="ˎ̥" w:hAnsi="ˎ̥" w:cs="宋体"/>
          <w:kern w:val="0"/>
          <w:szCs w:val="21"/>
        </w:rPr>
        <w:t>质疑事项</w:t>
      </w:r>
      <w:r>
        <w:rPr>
          <w:rFonts w:ascii="ˎ̥" w:hAnsi="ˎ̥" w:cs="宋体"/>
          <w:kern w:val="0"/>
          <w:szCs w:val="21"/>
        </w:rPr>
        <w:t>2</w:t>
      </w:r>
      <w:r>
        <w:rPr>
          <w:rFonts w:hint="eastAsia" w:ascii="ˎ̥" w:hAnsi="ˎ̥" w:cs="宋体"/>
          <w:kern w:val="0"/>
          <w:szCs w:val="21"/>
        </w:rPr>
        <w:t>的法律依据：</w:t>
      </w:r>
      <w:r>
        <w:rPr>
          <w:rFonts w:ascii="ˎ̥" w:hAnsi="ˎ̥" w:cs="宋体"/>
          <w:bCs/>
          <w:kern w:val="0"/>
          <w:szCs w:val="21"/>
          <w:u w:val="single"/>
        </w:rPr>
        <w:t xml:space="preserve">                                                               </w:t>
      </w:r>
    </w:p>
    <w:p>
      <w:pPr>
        <w:widowControl/>
        <w:shd w:val="clear" w:color="auto" w:fill="FFFFFF"/>
        <w:spacing w:line="260" w:lineRule="exact"/>
        <w:jc w:val="left"/>
        <w:rPr>
          <w:rFonts w:hint="eastAsia" w:ascii="ˎ̥" w:hAnsi="ˎ̥" w:cs="宋体"/>
          <w:kern w:val="0"/>
          <w:szCs w:val="21"/>
        </w:rPr>
      </w:pPr>
      <w:r>
        <w:rPr>
          <w:rFonts w:hint="eastAsia" w:ascii="ˎ̥" w:hAnsi="ˎ̥" w:cs="宋体"/>
          <w:kern w:val="0"/>
          <w:szCs w:val="21"/>
        </w:rPr>
        <w:t>质疑事项</w:t>
      </w:r>
      <w:r>
        <w:rPr>
          <w:rFonts w:ascii="ˎ̥" w:hAnsi="ˎ̥" w:cs="宋体"/>
          <w:kern w:val="0"/>
          <w:szCs w:val="21"/>
        </w:rPr>
        <w:t>2</w:t>
      </w:r>
      <w:r>
        <w:rPr>
          <w:rFonts w:hint="eastAsia" w:ascii="ˎ̥" w:hAnsi="ˎ̥" w:cs="宋体"/>
          <w:kern w:val="0"/>
          <w:szCs w:val="21"/>
        </w:rPr>
        <w:t>的相关请求：</w:t>
      </w:r>
      <w:r>
        <w:rPr>
          <w:rFonts w:ascii="ˎ̥" w:hAnsi="ˎ̥" w:cs="宋体"/>
          <w:bCs/>
          <w:kern w:val="0"/>
          <w:szCs w:val="21"/>
          <w:u w:val="single"/>
        </w:rPr>
        <w:t xml:space="preserve">                                    </w:t>
      </w:r>
    </w:p>
    <w:p>
      <w:pPr>
        <w:shd w:val="clear" w:color="auto" w:fill="FFFFFF"/>
        <w:spacing w:line="260" w:lineRule="exact"/>
        <w:rPr>
          <w:rFonts w:hint="eastAsia" w:ascii="ˎ̥" w:hAnsi="ˎ̥" w:cs="宋体"/>
          <w:kern w:val="0"/>
          <w:szCs w:val="21"/>
        </w:rPr>
      </w:pPr>
      <w:r>
        <w:rPr>
          <w:rFonts w:hint="eastAsia" w:ascii="ˎ̥" w:hAnsi="ˎ̥" w:cs="宋体"/>
          <w:kern w:val="0"/>
          <w:szCs w:val="21"/>
        </w:rPr>
        <w:t>……</w:t>
      </w:r>
    </w:p>
    <w:p>
      <w:pPr>
        <w:shd w:val="clear" w:color="auto" w:fill="FFFFFF"/>
        <w:spacing w:line="260" w:lineRule="exact"/>
        <w:rPr>
          <w:rFonts w:hint="eastAsia" w:ascii="ˎ̥" w:hAnsi="ˎ̥" w:cs="宋体"/>
          <w:kern w:val="0"/>
          <w:szCs w:val="21"/>
        </w:rPr>
      </w:pPr>
    </w:p>
    <w:p>
      <w:pPr>
        <w:widowControl/>
        <w:shd w:val="clear" w:color="auto" w:fill="FFFFFF"/>
        <w:spacing w:line="260" w:lineRule="exact"/>
        <w:jc w:val="left"/>
        <w:rPr>
          <w:rFonts w:hint="eastAsia" w:ascii="ˎ̥" w:hAnsi="ˎ̥" w:cs="宋体"/>
          <w:kern w:val="0"/>
          <w:szCs w:val="21"/>
        </w:rPr>
      </w:pPr>
      <w:r>
        <w:rPr>
          <w:rFonts w:hint="eastAsia" w:ascii="ˎ̥" w:hAnsi="ˎ̥" w:cs="宋体"/>
          <w:kern w:val="0"/>
          <w:szCs w:val="21"/>
        </w:rPr>
        <w:t>四、附件材料目录（材料附后）</w:t>
      </w:r>
    </w:p>
    <w:p>
      <w:pPr>
        <w:widowControl/>
        <w:shd w:val="clear" w:color="auto" w:fill="FFFFFF"/>
        <w:spacing w:line="260" w:lineRule="exact"/>
        <w:jc w:val="left"/>
        <w:rPr>
          <w:rFonts w:hint="eastAsia" w:ascii="ˎ̥" w:hAnsi="ˎ̥" w:cs="宋体"/>
          <w:kern w:val="0"/>
          <w:szCs w:val="21"/>
        </w:rPr>
      </w:pPr>
      <w:r>
        <w:rPr>
          <w:rFonts w:hint="eastAsia" w:ascii="ˎ̥" w:hAnsi="ˎ̥" w:cs="宋体"/>
          <w:kern w:val="0"/>
          <w:szCs w:val="21"/>
        </w:rPr>
        <w:t>1</w:t>
      </w:r>
      <w:r>
        <w:rPr>
          <w:rFonts w:ascii="ˎ̥" w:hAnsi="ˎ̥" w:cs="宋体"/>
          <w:kern w:val="0"/>
          <w:szCs w:val="21"/>
        </w:rPr>
        <w:t>.</w:t>
      </w:r>
      <w:r>
        <w:rPr>
          <w:rFonts w:hint="eastAsia" w:ascii="ˎ̥" w:hAnsi="ˎ̥" w:cs="宋体"/>
          <w:kern w:val="0"/>
          <w:szCs w:val="21"/>
        </w:rPr>
        <w:t>营业执照副本内页复印件（要求证件有效并清晰反映企业法人经营范围）</w:t>
      </w:r>
    </w:p>
    <w:p>
      <w:pPr>
        <w:widowControl/>
        <w:shd w:val="clear" w:color="auto" w:fill="FFFFFF"/>
        <w:spacing w:line="260" w:lineRule="exact"/>
        <w:jc w:val="left"/>
        <w:rPr>
          <w:rFonts w:hint="eastAsia" w:ascii="ˎ̥" w:hAnsi="ˎ̥" w:cs="宋体"/>
          <w:kern w:val="0"/>
          <w:szCs w:val="21"/>
        </w:rPr>
      </w:pPr>
      <w:r>
        <w:rPr>
          <w:rFonts w:hint="eastAsia" w:ascii="ˎ̥" w:hAnsi="ˎ̥" w:cs="宋体"/>
          <w:kern w:val="0"/>
          <w:szCs w:val="21"/>
        </w:rPr>
        <w:t>2</w:t>
      </w:r>
      <w:r>
        <w:rPr>
          <w:rFonts w:ascii="ˎ̥" w:hAnsi="ˎ̥" w:cs="宋体"/>
          <w:kern w:val="0"/>
          <w:szCs w:val="21"/>
        </w:rPr>
        <w:t>.</w:t>
      </w:r>
      <w:r>
        <w:rPr>
          <w:rFonts w:hint="eastAsia" w:ascii="ˎ̥" w:hAnsi="ˎ̥" w:cs="宋体"/>
          <w:kern w:val="0"/>
          <w:szCs w:val="21"/>
        </w:rPr>
        <w:t>近期连续三个月依法缴纳税收证明材料（复印件，原件备查）</w:t>
      </w:r>
    </w:p>
    <w:p>
      <w:pPr>
        <w:widowControl/>
        <w:shd w:val="clear" w:color="auto" w:fill="FFFFFF"/>
        <w:spacing w:line="260" w:lineRule="exact"/>
        <w:jc w:val="left"/>
        <w:rPr>
          <w:rFonts w:hint="eastAsia" w:ascii="ˎ̥" w:hAnsi="ˎ̥" w:cs="宋体"/>
          <w:kern w:val="0"/>
          <w:szCs w:val="21"/>
        </w:rPr>
      </w:pPr>
      <w:r>
        <w:rPr>
          <w:rFonts w:hint="eastAsia" w:ascii="ˎ̥" w:hAnsi="ˎ̥" w:cs="宋体"/>
          <w:kern w:val="0"/>
          <w:szCs w:val="21"/>
        </w:rPr>
        <w:t>3</w:t>
      </w:r>
      <w:r>
        <w:rPr>
          <w:rFonts w:ascii="ˎ̥" w:hAnsi="ˎ̥" w:cs="宋体"/>
          <w:kern w:val="0"/>
          <w:szCs w:val="21"/>
        </w:rPr>
        <w:t>.</w:t>
      </w:r>
      <w:r>
        <w:rPr>
          <w:rFonts w:hint="eastAsia" w:ascii="ˎ̥" w:hAnsi="ˎ̥" w:cs="宋体"/>
          <w:kern w:val="0"/>
          <w:szCs w:val="21"/>
        </w:rPr>
        <w:t>近期连续三个月在职职工依法缴纳社会保障资金证明材料（复印件，原件备查）</w:t>
      </w:r>
    </w:p>
    <w:p>
      <w:pPr>
        <w:widowControl/>
        <w:shd w:val="clear" w:color="auto" w:fill="FFFFFF"/>
        <w:spacing w:line="260" w:lineRule="exact"/>
        <w:jc w:val="left"/>
        <w:rPr>
          <w:rFonts w:hint="eastAsia" w:ascii="ˎ̥" w:hAnsi="ˎ̥" w:cs="宋体"/>
          <w:kern w:val="0"/>
          <w:szCs w:val="21"/>
        </w:rPr>
      </w:pPr>
    </w:p>
    <w:p>
      <w:pPr>
        <w:widowControl/>
        <w:shd w:val="clear" w:color="auto" w:fill="FFFFFF"/>
        <w:spacing w:line="260" w:lineRule="exact"/>
        <w:jc w:val="left"/>
        <w:rPr>
          <w:rFonts w:hint="eastAsia" w:ascii="ˎ̥" w:hAnsi="ˎ̥" w:cs="宋体"/>
          <w:kern w:val="0"/>
          <w:szCs w:val="21"/>
        </w:rPr>
      </w:pPr>
      <w:r>
        <w:rPr>
          <w:rFonts w:hint="eastAsia" w:ascii="ˎ̥" w:hAnsi="ˎ̥" w:cs="宋体"/>
          <w:kern w:val="0"/>
          <w:szCs w:val="21"/>
        </w:rPr>
        <w:t>五、委托代理时还应提交的材料目录（材料附后）</w:t>
      </w:r>
    </w:p>
    <w:p>
      <w:pPr>
        <w:widowControl/>
        <w:shd w:val="clear" w:color="auto" w:fill="FFFFFF"/>
        <w:spacing w:line="260" w:lineRule="exact"/>
        <w:jc w:val="left"/>
        <w:rPr>
          <w:rFonts w:hint="eastAsia" w:ascii="ˎ̥" w:hAnsi="ˎ̥" w:cs="宋体"/>
          <w:kern w:val="0"/>
          <w:szCs w:val="21"/>
        </w:rPr>
      </w:pPr>
      <w:r>
        <w:rPr>
          <w:rFonts w:ascii="ˎ̥" w:hAnsi="ˎ̥" w:cs="宋体"/>
          <w:kern w:val="0"/>
          <w:szCs w:val="21"/>
        </w:rPr>
        <w:t>1.</w:t>
      </w:r>
      <w:r>
        <w:rPr>
          <w:rFonts w:hint="eastAsia" w:ascii="ˎ̥" w:hAnsi="ˎ̥" w:cs="宋体"/>
          <w:kern w:val="0"/>
          <w:szCs w:val="21"/>
        </w:rPr>
        <w:t>质疑供应商的授权委托书原件</w:t>
      </w:r>
      <w:r>
        <w:rPr>
          <w:rFonts w:ascii="ˎ̥" w:hAnsi="ˎ̥" w:cs="宋体"/>
          <w:kern w:val="0"/>
          <w:szCs w:val="21"/>
        </w:rPr>
        <w:t>1</w:t>
      </w:r>
      <w:r>
        <w:rPr>
          <w:rFonts w:hint="eastAsia" w:ascii="ˎ̥" w:hAnsi="ˎ̥" w:cs="宋体"/>
          <w:kern w:val="0"/>
          <w:szCs w:val="21"/>
        </w:rPr>
        <w:t>份</w:t>
      </w:r>
    </w:p>
    <w:p>
      <w:pPr>
        <w:widowControl/>
        <w:shd w:val="clear" w:color="auto" w:fill="FFFFFF"/>
        <w:spacing w:line="260" w:lineRule="exact"/>
        <w:jc w:val="left"/>
        <w:rPr>
          <w:rFonts w:hint="eastAsia" w:ascii="ˎ̥" w:hAnsi="ˎ̥" w:cs="宋体"/>
          <w:kern w:val="0"/>
          <w:szCs w:val="21"/>
        </w:rPr>
      </w:pPr>
      <w:r>
        <w:rPr>
          <w:rFonts w:ascii="ˎ̥" w:hAnsi="ˎ̥" w:cs="宋体"/>
          <w:kern w:val="0"/>
          <w:szCs w:val="21"/>
        </w:rPr>
        <w:t>2.</w:t>
      </w:r>
      <w:r>
        <w:rPr>
          <w:rFonts w:hint="eastAsia" w:ascii="ˎ̥" w:hAnsi="ˎ̥" w:cs="宋体"/>
          <w:kern w:val="0"/>
          <w:szCs w:val="21"/>
        </w:rPr>
        <w:t>委托代理人身份证明复印件</w:t>
      </w:r>
      <w:r>
        <w:rPr>
          <w:rFonts w:ascii="ˎ̥" w:hAnsi="ˎ̥" w:cs="宋体"/>
          <w:kern w:val="0"/>
          <w:szCs w:val="21"/>
        </w:rPr>
        <w:t>1</w:t>
      </w:r>
      <w:r>
        <w:rPr>
          <w:rFonts w:hint="eastAsia" w:ascii="ˎ̥" w:hAnsi="ˎ̥" w:cs="宋体"/>
          <w:kern w:val="0"/>
          <w:szCs w:val="21"/>
        </w:rPr>
        <w:t>份</w:t>
      </w:r>
    </w:p>
    <w:p>
      <w:pPr>
        <w:widowControl/>
        <w:shd w:val="clear" w:color="auto" w:fill="FFFFFF"/>
        <w:spacing w:line="260" w:lineRule="exact"/>
        <w:jc w:val="left"/>
        <w:rPr>
          <w:rFonts w:hint="eastAsia" w:ascii="ˎ̥" w:hAnsi="ˎ̥" w:cs="宋体"/>
          <w:kern w:val="0"/>
          <w:szCs w:val="21"/>
        </w:rPr>
      </w:pPr>
      <w:r>
        <w:rPr>
          <w:rFonts w:ascii="ˎ̥" w:hAnsi="ˎ̥" w:cs="宋体"/>
          <w:kern w:val="0"/>
          <w:szCs w:val="21"/>
        </w:rPr>
        <w:t>3.</w:t>
      </w:r>
      <w:r>
        <w:rPr>
          <w:rFonts w:hint="eastAsia" w:ascii="ˎ̥" w:hAnsi="ˎ̥" w:cs="宋体"/>
          <w:kern w:val="0"/>
          <w:szCs w:val="21"/>
        </w:rPr>
        <w:t>委托代理人近期三个月社保缴费证明复印件</w:t>
      </w:r>
      <w:r>
        <w:rPr>
          <w:rFonts w:ascii="ˎ̥" w:hAnsi="ˎ̥" w:cs="宋体"/>
          <w:kern w:val="0"/>
          <w:szCs w:val="21"/>
        </w:rPr>
        <w:t>1</w:t>
      </w:r>
      <w:r>
        <w:rPr>
          <w:rFonts w:hint="eastAsia" w:ascii="ˎ̥" w:hAnsi="ˎ̥" w:cs="宋体"/>
          <w:kern w:val="0"/>
          <w:szCs w:val="21"/>
        </w:rPr>
        <w:t>份</w:t>
      </w:r>
    </w:p>
    <w:p>
      <w:pPr>
        <w:widowControl/>
        <w:shd w:val="clear" w:color="auto" w:fill="FFFFFF"/>
        <w:spacing w:line="260" w:lineRule="exact"/>
        <w:jc w:val="center"/>
        <w:rPr>
          <w:rFonts w:hint="eastAsia" w:ascii="ˎ̥" w:hAnsi="ˎ̥" w:cs="宋体"/>
          <w:kern w:val="0"/>
          <w:szCs w:val="21"/>
        </w:rPr>
      </w:pPr>
    </w:p>
    <w:p>
      <w:pPr>
        <w:widowControl/>
        <w:shd w:val="clear" w:color="auto" w:fill="FFFFFF"/>
        <w:spacing w:line="260" w:lineRule="exact"/>
        <w:jc w:val="center"/>
        <w:rPr>
          <w:rFonts w:hint="eastAsia" w:ascii="ˎ̥" w:hAnsi="ˎ̥" w:cs="宋体"/>
          <w:kern w:val="0"/>
          <w:szCs w:val="21"/>
        </w:rPr>
      </w:pPr>
    </w:p>
    <w:p>
      <w:pPr>
        <w:widowControl/>
        <w:shd w:val="clear" w:color="auto" w:fill="FFFFFF"/>
        <w:spacing w:line="260" w:lineRule="exact"/>
        <w:jc w:val="center"/>
        <w:rPr>
          <w:rFonts w:hint="eastAsia" w:ascii="ˎ̥" w:hAnsi="ˎ̥" w:cs="宋体"/>
          <w:kern w:val="0"/>
          <w:szCs w:val="21"/>
        </w:rPr>
      </w:pPr>
      <w:r>
        <w:rPr>
          <w:rFonts w:hint="eastAsia" w:ascii="ˎ̥" w:hAnsi="ˎ̥" w:cs="宋体"/>
          <w:kern w:val="0"/>
          <w:szCs w:val="21"/>
        </w:rPr>
        <w:t>质疑供应商（公章）：</w:t>
      </w:r>
      <w:r>
        <w:rPr>
          <w:rFonts w:ascii="ˎ̥" w:hAnsi="ˎ̥" w:cs="宋体"/>
          <w:kern w:val="0"/>
          <w:szCs w:val="21"/>
        </w:rPr>
        <w:t>          </w:t>
      </w:r>
    </w:p>
    <w:p>
      <w:pPr>
        <w:widowControl/>
        <w:shd w:val="clear" w:color="auto" w:fill="FFFFFF"/>
        <w:spacing w:line="260" w:lineRule="exact"/>
        <w:jc w:val="center"/>
        <w:rPr>
          <w:rFonts w:hint="eastAsia" w:ascii="ˎ̥" w:hAnsi="ˎ̥" w:cs="宋体"/>
          <w:kern w:val="0"/>
          <w:szCs w:val="21"/>
        </w:rPr>
      </w:pPr>
      <w:r>
        <w:rPr>
          <w:rFonts w:hint="eastAsia" w:ascii="ˎ̥" w:hAnsi="ˎ̥" w:cs="宋体"/>
          <w:kern w:val="0"/>
          <w:szCs w:val="21"/>
        </w:rPr>
        <w:t>法定代表人签字：</w:t>
      </w:r>
    </w:p>
    <w:p>
      <w:pPr>
        <w:widowControl/>
        <w:shd w:val="clear" w:color="auto" w:fill="FFFFFF"/>
        <w:spacing w:line="260" w:lineRule="exact"/>
        <w:jc w:val="center"/>
        <w:rPr>
          <w:rFonts w:hint="eastAsia" w:ascii="ˎ̥" w:hAnsi="ˎ̥" w:cs="宋体"/>
          <w:kern w:val="0"/>
          <w:szCs w:val="21"/>
        </w:rPr>
      </w:pPr>
      <w:r>
        <w:rPr>
          <w:rFonts w:hint="eastAsia" w:ascii="ˎ̥" w:hAnsi="ˎ̥" w:cs="宋体"/>
          <w:kern w:val="0"/>
          <w:szCs w:val="21"/>
        </w:rPr>
        <w:t>委托代理人签字：</w:t>
      </w:r>
    </w:p>
    <w:p>
      <w:pPr>
        <w:widowControl/>
        <w:shd w:val="clear" w:color="auto" w:fill="FFFFFF"/>
        <w:spacing w:line="260" w:lineRule="exact"/>
        <w:jc w:val="center"/>
        <w:rPr>
          <w:rFonts w:hint="eastAsia" w:ascii="ˎ̥" w:hAnsi="ˎ̥" w:cs="宋体"/>
          <w:kern w:val="0"/>
          <w:szCs w:val="21"/>
        </w:rPr>
      </w:pPr>
    </w:p>
    <w:p>
      <w:pPr>
        <w:widowControl/>
        <w:shd w:val="clear" w:color="auto" w:fill="FFFFFF"/>
        <w:spacing w:line="260" w:lineRule="exact"/>
        <w:ind w:firstLine="3885" w:firstLineChars="1850"/>
        <w:jc w:val="left"/>
        <w:rPr>
          <w:rFonts w:hint="eastAsia" w:ascii="ˎ̥" w:hAnsi="ˎ̥" w:cs="宋体"/>
          <w:kern w:val="0"/>
          <w:szCs w:val="21"/>
        </w:rPr>
      </w:pPr>
      <w:r>
        <w:rPr>
          <w:rFonts w:hint="eastAsia" w:ascii="ˎ̥" w:hAnsi="ˎ̥" w:cs="宋体"/>
          <w:kern w:val="0"/>
          <w:szCs w:val="21"/>
        </w:rPr>
        <w:t>提起质疑的日期：年月日</w:t>
      </w:r>
    </w:p>
    <w:p>
      <w:pPr>
        <w:widowControl/>
        <w:shd w:val="clear" w:color="auto" w:fill="FFFFFF"/>
        <w:spacing w:line="260" w:lineRule="exact"/>
        <w:rPr>
          <w:rFonts w:hint="eastAsia" w:ascii="ˎ̥" w:hAnsi="ˎ̥" w:cs="宋体"/>
          <w:kern w:val="0"/>
          <w:szCs w:val="21"/>
        </w:rPr>
      </w:pPr>
    </w:p>
    <w:p>
      <w:pPr>
        <w:widowControl/>
        <w:shd w:val="clear" w:color="auto" w:fill="FFFFFF"/>
        <w:spacing w:line="260" w:lineRule="exact"/>
        <w:rPr>
          <w:rFonts w:hint="eastAsia" w:ascii="ˎ̥" w:hAnsi="ˎ̥"/>
          <w:szCs w:val="21"/>
        </w:rPr>
      </w:pPr>
      <w:r>
        <w:rPr>
          <w:rFonts w:hint="eastAsia" w:ascii="ˎ̥" w:hAnsi="ˎ̥" w:cs="宋体"/>
          <w:kern w:val="0"/>
          <w:szCs w:val="21"/>
        </w:rPr>
        <w:t>说明：</w:t>
      </w:r>
      <w:r>
        <w:rPr>
          <w:rFonts w:ascii="ˎ̥" w:hAnsi="ˎ̥" w:cs="宋体"/>
          <w:kern w:val="0"/>
          <w:szCs w:val="21"/>
        </w:rPr>
        <w:t>1.</w:t>
      </w:r>
      <w:r>
        <w:rPr>
          <w:rFonts w:hint="eastAsia" w:ascii="ˎ̥" w:hAnsi="ˎ̥" w:cs="宋体"/>
          <w:kern w:val="0"/>
          <w:szCs w:val="21"/>
        </w:rPr>
        <w:t>质疑事项的事实依据应</w:t>
      </w:r>
      <w:r>
        <w:rPr>
          <w:rFonts w:hint="eastAsia" w:ascii="ˎ̥" w:hAnsi="ˎ̥"/>
          <w:szCs w:val="21"/>
        </w:rPr>
        <w:t>列明权益受到损害的事实和理由；</w:t>
      </w:r>
    </w:p>
    <w:p>
      <w:pPr>
        <w:widowControl/>
        <w:shd w:val="clear" w:color="auto" w:fill="FFFFFF"/>
        <w:spacing w:line="260" w:lineRule="exact"/>
        <w:ind w:firstLine="630" w:firstLineChars="300"/>
        <w:rPr>
          <w:rFonts w:hint="eastAsia" w:ascii="ˎ̥" w:hAnsi="ˎ̥" w:cs="宋体"/>
          <w:b/>
          <w:bCs/>
          <w:kern w:val="0"/>
          <w:szCs w:val="21"/>
        </w:rPr>
      </w:pPr>
      <w:r>
        <w:rPr>
          <w:rFonts w:ascii="ˎ̥" w:hAnsi="ˎ̥"/>
          <w:szCs w:val="21"/>
        </w:rPr>
        <w:t>2.</w:t>
      </w:r>
      <w:r>
        <w:rPr>
          <w:rFonts w:hint="eastAsia" w:ascii="ˎ̥" w:hAnsi="ˎ̥" w:cs="宋体"/>
          <w:kern w:val="0"/>
          <w:szCs w:val="21"/>
        </w:rPr>
        <w:t>质疑事项的法律依据应列明质疑事项违反法律法规的具体条款及内容。</w:t>
      </w:r>
    </w:p>
    <w:p>
      <w:pPr>
        <w:pStyle w:val="15"/>
        <w:jc w:val="center"/>
        <w:outlineLvl w:val="1"/>
        <w:rPr>
          <w:rFonts w:hAnsi="宋体"/>
        </w:rPr>
      </w:pPr>
    </w:p>
    <w:p>
      <w:pPr>
        <w:pStyle w:val="15"/>
        <w:jc w:val="center"/>
        <w:outlineLvl w:val="1"/>
        <w:rPr>
          <w:rFonts w:hAnsi="宋体"/>
        </w:rPr>
      </w:pPr>
    </w:p>
    <w:p>
      <w:pPr>
        <w:pStyle w:val="15"/>
        <w:jc w:val="center"/>
        <w:outlineLvl w:val="1"/>
        <w:rPr>
          <w:rFonts w:hAnsi="宋体"/>
        </w:rPr>
      </w:pPr>
    </w:p>
    <w:p>
      <w:pPr>
        <w:widowControl/>
        <w:shd w:val="clear" w:color="auto" w:fill="FFFFFF"/>
        <w:spacing w:line="260" w:lineRule="exact"/>
        <w:jc w:val="center"/>
        <w:rPr>
          <w:rFonts w:hint="eastAsia" w:ascii="ˎ̥" w:hAnsi="ˎ̥" w:cs="宋体"/>
          <w:b/>
          <w:bCs/>
          <w:kern w:val="0"/>
          <w:sz w:val="24"/>
        </w:rPr>
      </w:pPr>
      <w:r>
        <w:rPr>
          <w:rFonts w:hint="eastAsia" w:ascii="ˎ̥" w:hAnsi="ˎ̥" w:cs="宋体"/>
          <w:b/>
          <w:bCs/>
          <w:kern w:val="0"/>
          <w:sz w:val="24"/>
        </w:rPr>
        <w:t>质疑证明材料（格式）</w:t>
      </w:r>
    </w:p>
    <w:p>
      <w:pPr>
        <w:widowControl/>
        <w:shd w:val="clear" w:color="auto" w:fill="FFFFFF"/>
        <w:spacing w:line="260" w:lineRule="exact"/>
        <w:jc w:val="left"/>
        <w:rPr>
          <w:rFonts w:hint="eastAsia" w:ascii="ˎ̥" w:hAnsi="ˎ̥" w:cs="宋体"/>
          <w:kern w:val="0"/>
          <w:szCs w:val="21"/>
        </w:rPr>
      </w:pPr>
    </w:p>
    <w:p>
      <w:pPr>
        <w:widowControl/>
        <w:shd w:val="clear" w:color="auto" w:fill="FFFFFF"/>
        <w:spacing w:line="260" w:lineRule="exact"/>
        <w:jc w:val="left"/>
        <w:rPr>
          <w:rFonts w:hint="eastAsia" w:ascii="ˎ̥" w:hAnsi="ˎ̥" w:cs="宋体"/>
          <w:kern w:val="0"/>
          <w:szCs w:val="21"/>
        </w:rPr>
      </w:pPr>
      <w:r>
        <w:rPr>
          <w:rFonts w:hint="eastAsia" w:ascii="ˎ̥" w:hAnsi="ˎ̥" w:cs="宋体"/>
          <w:kern w:val="0"/>
          <w:szCs w:val="21"/>
        </w:rPr>
        <w:t>质疑项目的名称</w:t>
      </w:r>
      <w:r>
        <w:rPr>
          <w:rFonts w:hint="eastAsia" w:ascii="ˎ̥" w:hAnsi="ˎ̥" w:cs="宋体"/>
          <w:b/>
          <w:bCs/>
          <w:kern w:val="0"/>
          <w:szCs w:val="21"/>
          <w:u w:val="single"/>
        </w:rPr>
        <w:t>：</w:t>
      </w:r>
      <w:r>
        <w:rPr>
          <w:rFonts w:ascii="ˎ̥" w:hAnsi="ˎ̥" w:cs="宋体"/>
          <w:b/>
          <w:bCs/>
          <w:kern w:val="0"/>
          <w:szCs w:val="21"/>
          <w:u w:val="single"/>
        </w:rPr>
        <w:t>                               </w:t>
      </w:r>
    </w:p>
    <w:p>
      <w:pPr>
        <w:widowControl/>
        <w:shd w:val="clear" w:color="auto" w:fill="FFFFFF"/>
        <w:spacing w:line="260" w:lineRule="exact"/>
        <w:jc w:val="left"/>
        <w:rPr>
          <w:rFonts w:hint="eastAsia" w:ascii="ˎ̥" w:hAnsi="ˎ̥" w:cs="宋体"/>
          <w:kern w:val="0"/>
          <w:szCs w:val="21"/>
        </w:rPr>
      </w:pPr>
      <w:r>
        <w:rPr>
          <w:rFonts w:hint="eastAsia" w:ascii="ˎ̥" w:hAnsi="ˎ̥" w:cs="宋体"/>
          <w:kern w:val="0"/>
          <w:szCs w:val="21"/>
        </w:rPr>
        <w:t>项目编号：</w:t>
      </w:r>
      <w:r>
        <w:rPr>
          <w:rFonts w:ascii="ˎ̥" w:hAnsi="ˎ̥" w:cs="宋体"/>
          <w:b/>
          <w:bCs/>
          <w:kern w:val="0"/>
          <w:szCs w:val="21"/>
          <w:u w:val="single"/>
        </w:rPr>
        <w:t>                                </w:t>
      </w:r>
    </w:p>
    <w:p>
      <w:pPr>
        <w:widowControl/>
        <w:shd w:val="clear" w:color="auto" w:fill="FFFFFF"/>
        <w:spacing w:line="260" w:lineRule="exact"/>
        <w:jc w:val="left"/>
        <w:rPr>
          <w:rFonts w:hint="eastAsia" w:ascii="ˎ̥" w:hAnsi="ˎ̥" w:cs="宋体"/>
          <w:kern w:val="0"/>
          <w:szCs w:val="21"/>
        </w:rPr>
      </w:pPr>
    </w:p>
    <w:p>
      <w:pPr>
        <w:widowControl/>
        <w:shd w:val="clear" w:color="auto" w:fill="FFFFFF"/>
        <w:spacing w:line="260" w:lineRule="exact"/>
        <w:jc w:val="left"/>
        <w:rPr>
          <w:rFonts w:hint="eastAsia" w:ascii="ˎ̥" w:hAnsi="ˎ̥" w:cs="宋体"/>
          <w:kern w:val="0"/>
          <w:szCs w:val="21"/>
        </w:rPr>
      </w:pPr>
      <w:r>
        <w:rPr>
          <w:rFonts w:hint="eastAsia" w:ascii="ˎ̥" w:hAnsi="ˎ̥" w:cs="宋体"/>
          <w:kern w:val="0"/>
          <w:szCs w:val="21"/>
        </w:rPr>
        <w:t>一、质疑事项</w:t>
      </w:r>
      <w:r>
        <w:rPr>
          <w:rFonts w:ascii="ˎ̥" w:hAnsi="ˎ̥" w:cs="宋体"/>
          <w:kern w:val="0"/>
          <w:szCs w:val="21"/>
        </w:rPr>
        <w:t>1</w:t>
      </w:r>
      <w:r>
        <w:rPr>
          <w:rFonts w:hint="eastAsia" w:ascii="ˎ̥" w:hAnsi="ˎ̥" w:cs="宋体"/>
          <w:kern w:val="0"/>
          <w:szCs w:val="21"/>
        </w:rPr>
        <w:t>证明材料目录（证明材料附后，共</w:t>
      </w:r>
      <w:r>
        <w:rPr>
          <w:rFonts w:ascii="ˎ̥" w:hAnsi="ˎ̥" w:cs="宋体"/>
          <w:b/>
          <w:bCs/>
          <w:kern w:val="0"/>
          <w:szCs w:val="21"/>
          <w:u w:val="single"/>
        </w:rPr>
        <w:t>     </w:t>
      </w:r>
      <w:r>
        <w:rPr>
          <w:rFonts w:hint="eastAsia" w:ascii="ˎ̥" w:hAnsi="ˎ̥" w:cs="宋体"/>
          <w:kern w:val="0"/>
          <w:szCs w:val="21"/>
        </w:rPr>
        <w:t>页）</w:t>
      </w:r>
    </w:p>
    <w:p>
      <w:pPr>
        <w:widowControl/>
        <w:shd w:val="clear" w:color="auto" w:fill="FFFFFF"/>
        <w:spacing w:line="260" w:lineRule="exact"/>
        <w:jc w:val="left"/>
        <w:rPr>
          <w:rFonts w:hint="eastAsia" w:ascii="ˎ̥" w:hAnsi="ˎ̥" w:cs="宋体"/>
          <w:kern w:val="0"/>
          <w:szCs w:val="21"/>
        </w:rPr>
      </w:pPr>
      <w:r>
        <w:rPr>
          <w:rFonts w:ascii="ˎ̥" w:hAnsi="ˎ̥" w:cs="宋体"/>
          <w:kern w:val="0"/>
          <w:szCs w:val="21"/>
        </w:rPr>
        <w:t>1.</w:t>
      </w:r>
      <w:r>
        <w:rPr>
          <w:rFonts w:ascii="ˎ̥" w:hAnsi="ˎ̥" w:cs="宋体"/>
          <w:b/>
          <w:bCs/>
          <w:kern w:val="0"/>
          <w:szCs w:val="21"/>
        </w:rPr>
        <w:t>……</w:t>
      </w:r>
    </w:p>
    <w:p>
      <w:pPr>
        <w:widowControl/>
        <w:shd w:val="clear" w:color="auto" w:fill="FFFFFF"/>
        <w:spacing w:line="260" w:lineRule="exact"/>
        <w:jc w:val="left"/>
        <w:rPr>
          <w:rFonts w:hint="eastAsia" w:ascii="ˎ̥" w:hAnsi="ˎ̥" w:cs="宋体"/>
          <w:kern w:val="0"/>
          <w:szCs w:val="21"/>
        </w:rPr>
      </w:pPr>
      <w:r>
        <w:rPr>
          <w:rFonts w:ascii="ˎ̥" w:hAnsi="ˎ̥" w:cs="宋体"/>
          <w:kern w:val="0"/>
          <w:szCs w:val="21"/>
        </w:rPr>
        <w:t>2.</w:t>
      </w:r>
      <w:r>
        <w:rPr>
          <w:rFonts w:ascii="ˎ̥" w:hAnsi="ˎ̥" w:cs="宋体"/>
          <w:b/>
          <w:bCs/>
          <w:kern w:val="0"/>
          <w:szCs w:val="21"/>
        </w:rPr>
        <w:t>……</w:t>
      </w:r>
    </w:p>
    <w:p>
      <w:pPr>
        <w:widowControl/>
        <w:shd w:val="clear" w:color="auto" w:fill="FFFFFF"/>
        <w:spacing w:line="260" w:lineRule="exact"/>
        <w:jc w:val="left"/>
        <w:rPr>
          <w:rFonts w:hint="eastAsia" w:ascii="ˎ̥" w:hAnsi="ˎ̥" w:cs="宋体"/>
          <w:b/>
          <w:bCs/>
          <w:kern w:val="0"/>
          <w:szCs w:val="21"/>
        </w:rPr>
      </w:pPr>
      <w:r>
        <w:rPr>
          <w:rFonts w:ascii="ˎ̥" w:hAnsi="ˎ̥" w:cs="宋体"/>
          <w:b/>
          <w:bCs/>
          <w:kern w:val="0"/>
          <w:szCs w:val="21"/>
        </w:rPr>
        <w:t>……</w:t>
      </w:r>
    </w:p>
    <w:p>
      <w:pPr>
        <w:widowControl/>
        <w:shd w:val="clear" w:color="auto" w:fill="FFFFFF"/>
        <w:spacing w:line="260" w:lineRule="exact"/>
        <w:jc w:val="left"/>
        <w:rPr>
          <w:rFonts w:hint="eastAsia" w:ascii="ˎ̥" w:hAnsi="ˎ̥" w:cs="宋体"/>
          <w:kern w:val="0"/>
          <w:szCs w:val="21"/>
        </w:rPr>
      </w:pPr>
    </w:p>
    <w:p>
      <w:pPr>
        <w:widowControl/>
        <w:shd w:val="clear" w:color="auto" w:fill="FFFFFF"/>
        <w:spacing w:line="260" w:lineRule="exact"/>
        <w:jc w:val="left"/>
        <w:rPr>
          <w:rFonts w:hint="eastAsia" w:ascii="ˎ̥" w:hAnsi="ˎ̥" w:cs="宋体"/>
          <w:kern w:val="0"/>
          <w:szCs w:val="21"/>
        </w:rPr>
      </w:pPr>
      <w:r>
        <w:rPr>
          <w:rFonts w:hint="eastAsia" w:ascii="ˎ̥" w:hAnsi="ˎ̥" w:cs="宋体"/>
          <w:kern w:val="0"/>
          <w:szCs w:val="21"/>
        </w:rPr>
        <w:t>二、质疑事项</w:t>
      </w:r>
      <w:r>
        <w:rPr>
          <w:rFonts w:ascii="ˎ̥" w:hAnsi="ˎ̥" w:cs="宋体"/>
          <w:kern w:val="0"/>
          <w:szCs w:val="21"/>
        </w:rPr>
        <w:t>2</w:t>
      </w:r>
      <w:r>
        <w:rPr>
          <w:rFonts w:hint="eastAsia" w:ascii="ˎ̥" w:hAnsi="ˎ̥" w:cs="宋体"/>
          <w:kern w:val="0"/>
          <w:szCs w:val="21"/>
        </w:rPr>
        <w:t>证明材料目录（证明材料附后，共</w:t>
      </w:r>
      <w:r>
        <w:rPr>
          <w:rFonts w:ascii="ˎ̥" w:hAnsi="ˎ̥" w:cs="宋体"/>
          <w:b/>
          <w:bCs/>
          <w:kern w:val="0"/>
          <w:szCs w:val="21"/>
          <w:u w:val="single"/>
        </w:rPr>
        <w:t>     </w:t>
      </w:r>
      <w:r>
        <w:rPr>
          <w:rFonts w:hint="eastAsia" w:ascii="ˎ̥" w:hAnsi="ˎ̥" w:cs="宋体"/>
          <w:kern w:val="0"/>
          <w:szCs w:val="21"/>
        </w:rPr>
        <w:t>页）</w:t>
      </w:r>
    </w:p>
    <w:p>
      <w:pPr>
        <w:widowControl/>
        <w:shd w:val="clear" w:color="auto" w:fill="FFFFFF"/>
        <w:spacing w:line="260" w:lineRule="exact"/>
        <w:jc w:val="left"/>
        <w:rPr>
          <w:rFonts w:hint="eastAsia" w:ascii="ˎ̥" w:hAnsi="ˎ̥" w:cs="宋体"/>
          <w:kern w:val="0"/>
          <w:szCs w:val="21"/>
        </w:rPr>
      </w:pPr>
      <w:r>
        <w:rPr>
          <w:rFonts w:ascii="ˎ̥" w:hAnsi="ˎ̥" w:cs="宋体"/>
          <w:kern w:val="0"/>
          <w:szCs w:val="21"/>
        </w:rPr>
        <w:t>1.</w:t>
      </w:r>
      <w:r>
        <w:rPr>
          <w:rFonts w:ascii="ˎ̥" w:hAnsi="ˎ̥" w:cs="宋体"/>
          <w:b/>
          <w:bCs/>
          <w:kern w:val="0"/>
          <w:szCs w:val="21"/>
        </w:rPr>
        <w:t>……</w:t>
      </w:r>
    </w:p>
    <w:p>
      <w:pPr>
        <w:widowControl/>
        <w:shd w:val="clear" w:color="auto" w:fill="FFFFFF"/>
        <w:spacing w:line="260" w:lineRule="exact"/>
        <w:jc w:val="left"/>
        <w:rPr>
          <w:rFonts w:hint="eastAsia" w:ascii="ˎ̥" w:hAnsi="ˎ̥" w:cs="宋体"/>
          <w:kern w:val="0"/>
          <w:szCs w:val="21"/>
        </w:rPr>
      </w:pPr>
      <w:r>
        <w:rPr>
          <w:rFonts w:ascii="ˎ̥" w:hAnsi="ˎ̥" w:cs="宋体"/>
          <w:kern w:val="0"/>
          <w:szCs w:val="21"/>
        </w:rPr>
        <w:t>2.</w:t>
      </w:r>
      <w:r>
        <w:rPr>
          <w:rFonts w:ascii="ˎ̥" w:hAnsi="ˎ̥" w:cs="宋体"/>
          <w:b/>
          <w:bCs/>
          <w:kern w:val="0"/>
          <w:szCs w:val="21"/>
        </w:rPr>
        <w:t>……</w:t>
      </w:r>
    </w:p>
    <w:p>
      <w:pPr>
        <w:shd w:val="clear" w:color="auto" w:fill="FFFFFF"/>
        <w:spacing w:line="260" w:lineRule="exact"/>
        <w:rPr>
          <w:rFonts w:hint="eastAsia" w:ascii="ˎ̥" w:hAnsi="ˎ̥" w:cs="宋体"/>
          <w:kern w:val="0"/>
          <w:szCs w:val="21"/>
        </w:rPr>
      </w:pPr>
      <w:r>
        <w:rPr>
          <w:rFonts w:ascii="ˎ̥" w:hAnsi="ˎ̥" w:cs="宋体"/>
          <w:b/>
          <w:bCs/>
          <w:kern w:val="0"/>
          <w:szCs w:val="21"/>
        </w:rPr>
        <w:t>……</w:t>
      </w:r>
    </w:p>
    <w:p>
      <w:pPr>
        <w:widowControl/>
        <w:shd w:val="clear" w:color="auto" w:fill="FFFFFF"/>
        <w:spacing w:line="260" w:lineRule="exact"/>
        <w:jc w:val="left"/>
      </w:pPr>
      <w:r>
        <w:rPr>
          <w:rFonts w:hint="eastAsia"/>
        </w:rPr>
        <w:t>三、……</w:t>
      </w:r>
    </w:p>
    <w:p>
      <w:pPr>
        <w:widowControl/>
        <w:shd w:val="clear" w:color="auto" w:fill="FFFFFF"/>
        <w:spacing w:line="260" w:lineRule="exact"/>
        <w:rPr>
          <w:rFonts w:hint="eastAsia" w:ascii="ˎ̥" w:hAnsi="ˎ̥" w:cs="宋体"/>
          <w:kern w:val="0"/>
          <w:szCs w:val="21"/>
        </w:rPr>
      </w:pPr>
    </w:p>
    <w:p>
      <w:pPr>
        <w:widowControl/>
        <w:shd w:val="clear" w:color="auto" w:fill="FFFFFF"/>
        <w:spacing w:line="260" w:lineRule="exact"/>
        <w:ind w:firstLine="3418" w:firstLineChars="1628"/>
        <w:rPr>
          <w:rFonts w:hint="eastAsia" w:ascii="ˎ̥" w:hAnsi="ˎ̥" w:cs="宋体"/>
          <w:kern w:val="0"/>
          <w:szCs w:val="21"/>
        </w:rPr>
      </w:pPr>
      <w:r>
        <w:rPr>
          <w:rFonts w:hint="eastAsia" w:ascii="ˎ̥" w:hAnsi="ˎ̥" w:cs="宋体"/>
          <w:kern w:val="0"/>
          <w:szCs w:val="21"/>
        </w:rPr>
        <w:t>质疑供应商（公章）：</w:t>
      </w:r>
      <w:r>
        <w:rPr>
          <w:rFonts w:ascii="ˎ̥" w:hAnsi="ˎ̥" w:cs="宋体"/>
          <w:kern w:val="0"/>
          <w:szCs w:val="21"/>
        </w:rPr>
        <w:t>           </w:t>
      </w:r>
    </w:p>
    <w:p>
      <w:pPr>
        <w:widowControl/>
        <w:shd w:val="clear" w:color="auto" w:fill="FFFFFF"/>
        <w:spacing w:line="260" w:lineRule="exact"/>
        <w:ind w:firstLine="3418" w:firstLineChars="1628"/>
        <w:rPr>
          <w:rFonts w:hint="eastAsia" w:ascii="ˎ̥" w:hAnsi="ˎ̥" w:cs="宋体"/>
          <w:kern w:val="0"/>
          <w:szCs w:val="21"/>
        </w:rPr>
      </w:pPr>
    </w:p>
    <w:p>
      <w:pPr>
        <w:widowControl/>
        <w:shd w:val="clear" w:color="auto" w:fill="FFFFFF"/>
        <w:spacing w:line="260" w:lineRule="exact"/>
        <w:ind w:firstLine="3418" w:firstLineChars="1628"/>
        <w:rPr>
          <w:rFonts w:hint="eastAsia" w:ascii="ˎ̥" w:hAnsi="ˎ̥" w:cs="宋体"/>
          <w:kern w:val="0"/>
          <w:szCs w:val="21"/>
        </w:rPr>
      </w:pPr>
      <w:r>
        <w:rPr>
          <w:rFonts w:hint="eastAsia" w:ascii="ˎ̥" w:hAnsi="ˎ̥" w:cs="宋体"/>
          <w:kern w:val="0"/>
          <w:szCs w:val="21"/>
        </w:rPr>
        <w:t>提起质疑的日期：年 月 日</w:t>
      </w:r>
    </w:p>
    <w:p>
      <w:pPr>
        <w:widowControl/>
        <w:shd w:val="clear" w:color="auto" w:fill="FFFFFF"/>
        <w:spacing w:line="260" w:lineRule="exact"/>
        <w:jc w:val="left"/>
      </w:pPr>
    </w:p>
    <w:p>
      <w:pPr>
        <w:widowControl/>
        <w:shd w:val="clear" w:color="auto" w:fill="FFFFFF"/>
        <w:spacing w:line="260" w:lineRule="exact"/>
        <w:jc w:val="left"/>
      </w:pPr>
      <w:r>
        <w:rPr>
          <w:rFonts w:hint="eastAsia"/>
        </w:rPr>
        <w:t>（后附</w:t>
      </w:r>
      <w:r>
        <w:rPr>
          <w:rFonts w:hint="eastAsia" w:ascii="ˎ̥" w:hAnsi="ˎ̥" w:cs="宋体"/>
          <w:kern w:val="0"/>
          <w:szCs w:val="21"/>
        </w:rPr>
        <w:t>质疑事项</w:t>
      </w:r>
      <w:r>
        <w:rPr>
          <w:rFonts w:hint="eastAsia"/>
        </w:rPr>
        <w:t>证明材料的具体文件）</w:t>
      </w:r>
    </w:p>
    <w:p>
      <w:pPr>
        <w:pStyle w:val="15"/>
        <w:spacing w:line="360" w:lineRule="auto"/>
        <w:rPr>
          <w:rFonts w:hAnsi="宋体"/>
        </w:rPr>
      </w:pPr>
    </w:p>
    <w:p>
      <w:pPr>
        <w:pStyle w:val="15"/>
        <w:spacing w:line="360" w:lineRule="auto"/>
        <w:rPr>
          <w:rFonts w:hAnsi="宋体"/>
        </w:rPr>
      </w:pPr>
    </w:p>
    <w:p>
      <w:pPr>
        <w:pStyle w:val="15"/>
        <w:spacing w:line="360" w:lineRule="auto"/>
        <w:rPr>
          <w:rFonts w:hAnsi="宋体"/>
        </w:rPr>
      </w:pPr>
    </w:p>
    <w:p>
      <w:pPr>
        <w:pStyle w:val="12"/>
      </w:pPr>
    </w:p>
    <w:p>
      <w:pPr>
        <w:pStyle w:val="12"/>
      </w:pPr>
    </w:p>
    <w:p>
      <w:pPr>
        <w:pStyle w:val="12"/>
      </w:pPr>
    </w:p>
    <w:p>
      <w:pPr>
        <w:pStyle w:val="12"/>
      </w:pPr>
    </w:p>
    <w:p>
      <w:pPr>
        <w:pStyle w:val="12"/>
      </w:pPr>
    </w:p>
    <w:p>
      <w:pPr>
        <w:pStyle w:val="12"/>
      </w:pPr>
    </w:p>
    <w:p>
      <w:pPr>
        <w:pStyle w:val="12"/>
      </w:pPr>
    </w:p>
    <w:sectPr>
      <w:headerReference r:id="rId6" w:type="default"/>
      <w:footerReference r:id="rId7" w:type="default"/>
      <w:pgSz w:w="11906" w:h="16838"/>
      <w:pgMar w:top="1440" w:right="1080" w:bottom="1440" w:left="1080"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华康简魏碑">
    <w:altName w:val="宋体"/>
    <w:panose1 w:val="00000000000000000000"/>
    <w:charset w:val="86"/>
    <w:family w:val="modern"/>
    <w:pitch w:val="default"/>
    <w:sig w:usb0="00000000" w:usb1="00000000" w:usb2="00000010" w:usb3="00000000" w:csb0="00040000" w:csb1="00000000"/>
  </w:font>
  <w:font w:name="文鼎CS楷体">
    <w:altName w:val="宋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2053" o:spid="_x0000_s2053"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文本框 4"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Da2JXhxAEAAGIDAAAOAAAAAAAAAAAAAAAAAC4CAABk&#10;cnMvZTJvRG9jLnhtbFBLAQItABQABgAIAAAAIQAMSvDu1gAAAAUBAAAPAAAAAAAAAAAAAAAAAB4E&#10;AABkcnMvZG93bnJldi54bWxQSwUGAAAAAAQABADzAAAAIQUAAAAA&#10;">
          <v:path/>
          <v:fill on="f" focussize="0,0"/>
          <v:stroke on="f" joinstyle="miter"/>
          <v:imagedata o:title=""/>
          <o:lock v:ext="edit"/>
          <v:textbox inset="0mm,0mm,0mm,0mm" style="mso-fit-shape-to-text:t;">
            <w:txbxContent>
              <w:p>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wordWrap w:val="0"/>
      <w:snapToGrid w:val="0"/>
      <w:spacing w:line="320" w:lineRule="exact"/>
      <w:jc w:val="left"/>
      <w:rPr>
        <w:rFonts w:ascii="宋体" w:hAnsi="宋体" w:cs="宋体"/>
        <w:b/>
        <w:color w:val="000000"/>
        <w:kern w:val="0"/>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1C1F39"/>
    <w:multiLevelType w:val="singleLevel"/>
    <w:tmpl w:val="AD1C1F39"/>
    <w:lvl w:ilvl="0" w:tentative="0">
      <w:start w:val="3"/>
      <w:numFmt w:val="chineseCounting"/>
      <w:suff w:val="space"/>
      <w:lvlText w:val="第%1章"/>
      <w:lvlJc w:val="left"/>
      <w:rPr>
        <w:rFonts w:hint="eastAsia"/>
      </w:rPr>
    </w:lvl>
  </w:abstractNum>
  <w:abstractNum w:abstractNumId="1">
    <w:nsid w:val="FB9CFA45"/>
    <w:multiLevelType w:val="singleLevel"/>
    <w:tmpl w:val="FB9CFA45"/>
    <w:lvl w:ilvl="0" w:tentative="0">
      <w:start w:val="3"/>
      <w:numFmt w:val="decimal"/>
      <w:suff w:val="nothing"/>
      <w:lvlText w:val="（%1）"/>
      <w:lvlJc w:val="left"/>
    </w:lvl>
  </w:abstractNum>
  <w:abstractNum w:abstractNumId="2">
    <w:nsid w:val="00000006"/>
    <w:multiLevelType w:val="multilevel"/>
    <w:tmpl w:val="00000006"/>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A"/>
    <w:multiLevelType w:val="multilevel"/>
    <w:tmpl w:val="0000000A"/>
    <w:lvl w:ilvl="0" w:tentative="0">
      <w:start w:val="1"/>
      <w:numFmt w:val="decimal"/>
      <w:lvlText w:val="%1、"/>
      <w:lvlJc w:val="left"/>
      <w:pPr>
        <w:tabs>
          <w:tab w:val="left" w:pos="972"/>
        </w:tabs>
        <w:ind w:left="1320" w:hanging="564"/>
      </w:pPr>
      <w:rPr>
        <w:rFonts w:hint="eastAsia"/>
      </w:rPr>
    </w:lvl>
    <w:lvl w:ilvl="1" w:tentative="0">
      <w:start w:val="1"/>
      <w:numFmt w:val="lowerLetter"/>
      <w:lvlText w:val="%2."/>
      <w:lvlJc w:val="left"/>
      <w:pPr>
        <w:tabs>
          <w:tab w:val="left" w:pos="1980"/>
        </w:tabs>
        <w:ind w:left="1980" w:hanging="360"/>
      </w:pPr>
    </w:lvl>
    <w:lvl w:ilvl="2" w:tentative="0">
      <w:start w:val="1"/>
      <w:numFmt w:val="lowerRoman"/>
      <w:lvlText w:val="%3."/>
      <w:lvlJc w:val="right"/>
      <w:pPr>
        <w:tabs>
          <w:tab w:val="left" w:pos="2700"/>
        </w:tabs>
        <w:ind w:left="2700" w:hanging="180"/>
      </w:pPr>
    </w:lvl>
    <w:lvl w:ilvl="3" w:tentative="0">
      <w:start w:val="1"/>
      <w:numFmt w:val="decimal"/>
      <w:lvlText w:val="%4."/>
      <w:lvlJc w:val="left"/>
      <w:pPr>
        <w:tabs>
          <w:tab w:val="left" w:pos="3420"/>
        </w:tabs>
        <w:ind w:left="3420" w:hanging="360"/>
      </w:pPr>
    </w:lvl>
    <w:lvl w:ilvl="4" w:tentative="0">
      <w:start w:val="1"/>
      <w:numFmt w:val="lowerLetter"/>
      <w:lvlText w:val="%5."/>
      <w:lvlJc w:val="left"/>
      <w:pPr>
        <w:tabs>
          <w:tab w:val="left" w:pos="4140"/>
        </w:tabs>
        <w:ind w:left="4140" w:hanging="360"/>
      </w:pPr>
    </w:lvl>
    <w:lvl w:ilvl="5" w:tentative="0">
      <w:start w:val="1"/>
      <w:numFmt w:val="lowerRoman"/>
      <w:lvlText w:val="%6."/>
      <w:lvlJc w:val="right"/>
      <w:pPr>
        <w:tabs>
          <w:tab w:val="left" w:pos="4860"/>
        </w:tabs>
        <w:ind w:left="4860" w:hanging="180"/>
      </w:pPr>
    </w:lvl>
    <w:lvl w:ilvl="6" w:tentative="0">
      <w:start w:val="1"/>
      <w:numFmt w:val="decimal"/>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abstractNum w:abstractNumId="4">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2"/>
      <w:lvlText w:val="%1.%2"/>
      <w:lvlJc w:val="left"/>
      <w:pPr>
        <w:tabs>
          <w:tab w:val="left" w:pos="1021"/>
        </w:tabs>
        <w:ind w:left="1021" w:hanging="596"/>
      </w:pPr>
      <w:rPr>
        <w:rFonts w:hint="default" w:ascii="Times New Roman" w:hAnsi="Times New Roman"/>
        <w:b/>
        <w:i w:val="0"/>
        <w:sz w:val="28"/>
      </w:rPr>
    </w:lvl>
    <w:lvl w:ilvl="2" w:tentative="0">
      <w:start w:val="1"/>
      <w:numFmt w:val="decimal"/>
      <w:pStyle w:val="4"/>
      <w:lvlText w:val="%1.%2.%3"/>
      <w:lvlJc w:val="left"/>
      <w:pPr>
        <w:tabs>
          <w:tab w:val="left" w:pos="1588"/>
        </w:tabs>
        <w:ind w:left="1588" w:hanging="737"/>
      </w:pPr>
      <w:rPr>
        <w:rFonts w:hint="default" w:ascii="Times New Roman" w:hAnsi="Times New Roman"/>
        <w:b/>
        <w:i w:val="0"/>
        <w:sz w:val="24"/>
      </w:rPr>
    </w:lvl>
    <w:lvl w:ilvl="3" w:tentative="0">
      <w:start w:val="1"/>
      <w:numFmt w:val="decimal"/>
      <w:pStyle w:val="5"/>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22B364E5"/>
    <w:multiLevelType w:val="multilevel"/>
    <w:tmpl w:val="22B364E5"/>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562339E0"/>
    <w:multiLevelType w:val="multilevel"/>
    <w:tmpl w:val="562339E0"/>
    <w:lvl w:ilvl="0" w:tentative="0">
      <w:start w:val="1"/>
      <w:numFmt w:val="chineseCountingThousand"/>
      <w:pStyle w:val="70"/>
      <w:suff w:val="nothing"/>
      <w:lvlText w:val="%1、"/>
      <w:lvlJc w:val="left"/>
      <w:pPr>
        <w:ind w:left="0" w:firstLine="0"/>
      </w:pPr>
      <w:rPr>
        <w:rFonts w:hint="eastAsia" w:eastAsia="楷体_GB2312"/>
        <w:b/>
        <w:i w:val="0"/>
        <w:sz w:val="32"/>
        <w:szCs w:val="32"/>
      </w:rPr>
    </w:lvl>
    <w:lvl w:ilvl="1" w:tentative="0">
      <w:start w:val="1"/>
      <w:numFmt w:val="decimal"/>
      <w:isLgl/>
      <w:suff w:val="space"/>
      <w:lvlText w:val="%1.%2 "/>
      <w:lvlJc w:val="left"/>
      <w:pPr>
        <w:ind w:left="0" w:firstLine="0"/>
      </w:pPr>
      <w:rPr>
        <w:rFonts w:hint="eastAsia" w:eastAsia="黑体"/>
        <w:b/>
        <w:i w:val="0"/>
        <w:sz w:val="30"/>
        <w:szCs w:val="30"/>
      </w:rPr>
    </w:lvl>
    <w:lvl w:ilvl="2" w:tentative="0">
      <w:start w:val="1"/>
      <w:numFmt w:val="decimal"/>
      <w:isLgl/>
      <w:suff w:val="space"/>
      <w:lvlText w:val="%1.%2.%3 "/>
      <w:lvlJc w:val="left"/>
      <w:pPr>
        <w:ind w:left="0" w:firstLine="0"/>
      </w:pPr>
      <w:rPr>
        <w:rFonts w:hint="eastAsia" w:eastAsia="黑体"/>
        <w:b/>
        <w:i w:val="0"/>
        <w:spacing w:val="-20"/>
        <w:sz w:val="30"/>
        <w:szCs w:val="30"/>
      </w:rPr>
    </w:lvl>
    <w:lvl w:ilvl="3" w:tentative="0">
      <w:start w:val="1"/>
      <w:numFmt w:val="decimal"/>
      <w:isLgl/>
      <w:suff w:val="space"/>
      <w:lvlText w:val="%1.%2.%3.%4 "/>
      <w:lvlJc w:val="left"/>
      <w:pPr>
        <w:ind w:left="0" w:firstLine="0"/>
      </w:pPr>
      <w:rPr>
        <w:rFonts w:hint="eastAsia"/>
      </w:rPr>
    </w:lvl>
    <w:lvl w:ilvl="4" w:tentative="0">
      <w:start w:val="1"/>
      <w:numFmt w:val="none"/>
      <w:suff w:val="nothing"/>
      <w:lvlText w:val=""/>
      <w:lvlJc w:val="left"/>
      <w:pPr>
        <w:ind w:left="-425" w:firstLine="0"/>
      </w:pPr>
      <w:rPr>
        <w:rFonts w:hint="eastAsia"/>
      </w:rPr>
    </w:lvl>
    <w:lvl w:ilvl="5" w:tentative="0">
      <w:start w:val="1"/>
      <w:numFmt w:val="none"/>
      <w:suff w:val="nothing"/>
      <w:lvlText w:val=""/>
      <w:lvlJc w:val="left"/>
      <w:pPr>
        <w:ind w:left="-425" w:firstLine="0"/>
      </w:pPr>
      <w:rPr>
        <w:rFonts w:hint="eastAsia"/>
      </w:rPr>
    </w:lvl>
    <w:lvl w:ilvl="6" w:tentative="0">
      <w:start w:val="1"/>
      <w:numFmt w:val="none"/>
      <w:suff w:val="nothing"/>
      <w:lvlText w:val=""/>
      <w:lvlJc w:val="left"/>
      <w:pPr>
        <w:ind w:left="-425" w:firstLine="0"/>
      </w:pPr>
      <w:rPr>
        <w:rFonts w:hint="eastAsia"/>
      </w:rPr>
    </w:lvl>
    <w:lvl w:ilvl="7" w:tentative="0">
      <w:start w:val="1"/>
      <w:numFmt w:val="none"/>
      <w:suff w:val="nothing"/>
      <w:lvlText w:val=""/>
      <w:lvlJc w:val="left"/>
      <w:pPr>
        <w:ind w:left="-425" w:firstLine="0"/>
      </w:pPr>
      <w:rPr>
        <w:rFonts w:hint="eastAsia"/>
      </w:rPr>
    </w:lvl>
    <w:lvl w:ilvl="8" w:tentative="0">
      <w:start w:val="1"/>
      <w:numFmt w:val="decimal"/>
      <w:pStyle w:val="8"/>
      <w:isLgl/>
      <w:suff w:val="nothing"/>
      <w:lvlText w:val="%9、"/>
      <w:lvlJc w:val="left"/>
      <w:pPr>
        <w:ind w:left="567" w:firstLine="0"/>
      </w:pPr>
      <w:rPr>
        <w:rFonts w:hint="eastAsia"/>
      </w:rPr>
    </w:lvl>
  </w:abstractNum>
  <w:abstractNum w:abstractNumId="7">
    <w:nsid w:val="59CDC5ED"/>
    <w:multiLevelType w:val="singleLevel"/>
    <w:tmpl w:val="59CDC5ED"/>
    <w:lvl w:ilvl="0" w:tentative="0">
      <w:start w:val="1"/>
      <w:numFmt w:val="chineseCounting"/>
      <w:suff w:val="nothing"/>
      <w:lvlText w:val="%1、"/>
      <w:lvlJc w:val="left"/>
    </w:lvl>
  </w:abstractNum>
  <w:num w:numId="1">
    <w:abstractNumId w:val="4"/>
  </w:num>
  <w:num w:numId="2">
    <w:abstractNumId w:val="6"/>
  </w:num>
  <w:num w:numId="3">
    <w:abstractNumId w:val="0"/>
  </w:num>
  <w:num w:numId="4">
    <w:abstractNumId w:val="1"/>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bordersDoNotSurroundHeader w:val="0"/>
  <w:bordersDoNotSurroundFooter w:val="0"/>
  <w:hideSpellingErrors/>
  <w:trackRevisions w:val="1"/>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87251"/>
    <w:rsid w:val="00002891"/>
    <w:rsid w:val="000029CE"/>
    <w:rsid w:val="0000306C"/>
    <w:rsid w:val="000053D8"/>
    <w:rsid w:val="00005A61"/>
    <w:rsid w:val="000119C6"/>
    <w:rsid w:val="00031F30"/>
    <w:rsid w:val="00032230"/>
    <w:rsid w:val="00033EED"/>
    <w:rsid w:val="00040A61"/>
    <w:rsid w:val="0004476A"/>
    <w:rsid w:val="00050A5D"/>
    <w:rsid w:val="00053C1E"/>
    <w:rsid w:val="00075428"/>
    <w:rsid w:val="0008055C"/>
    <w:rsid w:val="00090C56"/>
    <w:rsid w:val="0009208F"/>
    <w:rsid w:val="000967DF"/>
    <w:rsid w:val="000B4AE7"/>
    <w:rsid w:val="000C05B6"/>
    <w:rsid w:val="000D1E88"/>
    <w:rsid w:val="000D5797"/>
    <w:rsid w:val="000D68F7"/>
    <w:rsid w:val="000D69F4"/>
    <w:rsid w:val="000D7AF4"/>
    <w:rsid w:val="000E3999"/>
    <w:rsid w:val="000E6A36"/>
    <w:rsid w:val="00100E5E"/>
    <w:rsid w:val="00103A98"/>
    <w:rsid w:val="001052B6"/>
    <w:rsid w:val="00107474"/>
    <w:rsid w:val="00110CF9"/>
    <w:rsid w:val="0012070E"/>
    <w:rsid w:val="00122B0A"/>
    <w:rsid w:val="00122ED6"/>
    <w:rsid w:val="001272FB"/>
    <w:rsid w:val="00127F74"/>
    <w:rsid w:val="0013612C"/>
    <w:rsid w:val="001464C6"/>
    <w:rsid w:val="00154E10"/>
    <w:rsid w:val="0016414B"/>
    <w:rsid w:val="00167FFB"/>
    <w:rsid w:val="00170568"/>
    <w:rsid w:val="0017082D"/>
    <w:rsid w:val="001726E3"/>
    <w:rsid w:val="00177B94"/>
    <w:rsid w:val="0018160C"/>
    <w:rsid w:val="001830E8"/>
    <w:rsid w:val="00183A03"/>
    <w:rsid w:val="00186E64"/>
    <w:rsid w:val="0019241D"/>
    <w:rsid w:val="00196ABE"/>
    <w:rsid w:val="00196E1F"/>
    <w:rsid w:val="00196F74"/>
    <w:rsid w:val="001B3F9A"/>
    <w:rsid w:val="001C55BF"/>
    <w:rsid w:val="001C6701"/>
    <w:rsid w:val="001D203C"/>
    <w:rsid w:val="001D3672"/>
    <w:rsid w:val="001E5942"/>
    <w:rsid w:val="001E6763"/>
    <w:rsid w:val="001F01EE"/>
    <w:rsid w:val="001F77B1"/>
    <w:rsid w:val="00200D91"/>
    <w:rsid w:val="0020785D"/>
    <w:rsid w:val="00214BF9"/>
    <w:rsid w:val="00223F78"/>
    <w:rsid w:val="002324E3"/>
    <w:rsid w:val="00234A9E"/>
    <w:rsid w:val="00237903"/>
    <w:rsid w:val="00237C0C"/>
    <w:rsid w:val="00240035"/>
    <w:rsid w:val="00244E57"/>
    <w:rsid w:val="002506AE"/>
    <w:rsid w:val="00256329"/>
    <w:rsid w:val="00256AE5"/>
    <w:rsid w:val="002636E6"/>
    <w:rsid w:val="0026399D"/>
    <w:rsid w:val="00274933"/>
    <w:rsid w:val="002815EB"/>
    <w:rsid w:val="002972D6"/>
    <w:rsid w:val="002A15E3"/>
    <w:rsid w:val="002A18EF"/>
    <w:rsid w:val="002B108C"/>
    <w:rsid w:val="002C1108"/>
    <w:rsid w:val="002C17A3"/>
    <w:rsid w:val="002C59BC"/>
    <w:rsid w:val="002E04F9"/>
    <w:rsid w:val="002E2D0B"/>
    <w:rsid w:val="002F6F7E"/>
    <w:rsid w:val="003026FF"/>
    <w:rsid w:val="00305059"/>
    <w:rsid w:val="003223D7"/>
    <w:rsid w:val="00330846"/>
    <w:rsid w:val="0033375D"/>
    <w:rsid w:val="00347DF5"/>
    <w:rsid w:val="00347F7F"/>
    <w:rsid w:val="00363648"/>
    <w:rsid w:val="00371D02"/>
    <w:rsid w:val="0037338E"/>
    <w:rsid w:val="003813BB"/>
    <w:rsid w:val="003836E9"/>
    <w:rsid w:val="00385650"/>
    <w:rsid w:val="00397BBF"/>
    <w:rsid w:val="003A42A4"/>
    <w:rsid w:val="003B63F0"/>
    <w:rsid w:val="003C4AE5"/>
    <w:rsid w:val="003D0C2D"/>
    <w:rsid w:val="003D0DBB"/>
    <w:rsid w:val="003E0D97"/>
    <w:rsid w:val="003E6C6E"/>
    <w:rsid w:val="00403ACF"/>
    <w:rsid w:val="004077F4"/>
    <w:rsid w:val="00410BE2"/>
    <w:rsid w:val="0042239A"/>
    <w:rsid w:val="00424F4F"/>
    <w:rsid w:val="004314B0"/>
    <w:rsid w:val="00431E41"/>
    <w:rsid w:val="00433CFC"/>
    <w:rsid w:val="00433EC4"/>
    <w:rsid w:val="004420BD"/>
    <w:rsid w:val="00442840"/>
    <w:rsid w:val="00455014"/>
    <w:rsid w:val="00457121"/>
    <w:rsid w:val="00464D09"/>
    <w:rsid w:val="00471324"/>
    <w:rsid w:val="0047153C"/>
    <w:rsid w:val="004718E7"/>
    <w:rsid w:val="0047197A"/>
    <w:rsid w:val="0048059E"/>
    <w:rsid w:val="00483CD7"/>
    <w:rsid w:val="00485F53"/>
    <w:rsid w:val="004915F7"/>
    <w:rsid w:val="0049466D"/>
    <w:rsid w:val="004A0DE0"/>
    <w:rsid w:val="004A538D"/>
    <w:rsid w:val="004A7FE8"/>
    <w:rsid w:val="004B368D"/>
    <w:rsid w:val="004B502F"/>
    <w:rsid w:val="004C0B5E"/>
    <w:rsid w:val="004C5300"/>
    <w:rsid w:val="004C72E9"/>
    <w:rsid w:val="004D2C72"/>
    <w:rsid w:val="004D2DB3"/>
    <w:rsid w:val="004E2BE1"/>
    <w:rsid w:val="004E4150"/>
    <w:rsid w:val="004F4CD8"/>
    <w:rsid w:val="004F71B2"/>
    <w:rsid w:val="00510444"/>
    <w:rsid w:val="00510B58"/>
    <w:rsid w:val="00511E07"/>
    <w:rsid w:val="00512942"/>
    <w:rsid w:val="0053673D"/>
    <w:rsid w:val="0054665E"/>
    <w:rsid w:val="00554A8D"/>
    <w:rsid w:val="00560B54"/>
    <w:rsid w:val="005621D5"/>
    <w:rsid w:val="00565CD1"/>
    <w:rsid w:val="00575710"/>
    <w:rsid w:val="00576C57"/>
    <w:rsid w:val="00583AE3"/>
    <w:rsid w:val="00585FCE"/>
    <w:rsid w:val="005862E5"/>
    <w:rsid w:val="005943B7"/>
    <w:rsid w:val="005B1E2E"/>
    <w:rsid w:val="005B2F3D"/>
    <w:rsid w:val="005B4925"/>
    <w:rsid w:val="005C4864"/>
    <w:rsid w:val="005C7683"/>
    <w:rsid w:val="005D3F89"/>
    <w:rsid w:val="005D53DA"/>
    <w:rsid w:val="005E2556"/>
    <w:rsid w:val="005F1424"/>
    <w:rsid w:val="005F69BF"/>
    <w:rsid w:val="005F7EE1"/>
    <w:rsid w:val="00612185"/>
    <w:rsid w:val="00612ACB"/>
    <w:rsid w:val="00615FBB"/>
    <w:rsid w:val="00625DE8"/>
    <w:rsid w:val="0063129B"/>
    <w:rsid w:val="0063504D"/>
    <w:rsid w:val="006450FD"/>
    <w:rsid w:val="00647D08"/>
    <w:rsid w:val="00654EE9"/>
    <w:rsid w:val="0066528C"/>
    <w:rsid w:val="0067294F"/>
    <w:rsid w:val="00674C03"/>
    <w:rsid w:val="006827BE"/>
    <w:rsid w:val="00683022"/>
    <w:rsid w:val="006A640D"/>
    <w:rsid w:val="006A6A57"/>
    <w:rsid w:val="006B3703"/>
    <w:rsid w:val="006B3F71"/>
    <w:rsid w:val="006B7D97"/>
    <w:rsid w:val="006C6B11"/>
    <w:rsid w:val="006C6C68"/>
    <w:rsid w:val="006C7A08"/>
    <w:rsid w:val="006E2B2C"/>
    <w:rsid w:val="006E5F45"/>
    <w:rsid w:val="006F497A"/>
    <w:rsid w:val="006F524A"/>
    <w:rsid w:val="006F6822"/>
    <w:rsid w:val="00703725"/>
    <w:rsid w:val="007039EE"/>
    <w:rsid w:val="00711C24"/>
    <w:rsid w:val="00720902"/>
    <w:rsid w:val="0072550D"/>
    <w:rsid w:val="0073009A"/>
    <w:rsid w:val="0073302F"/>
    <w:rsid w:val="00736D0A"/>
    <w:rsid w:val="007439BE"/>
    <w:rsid w:val="00744A0F"/>
    <w:rsid w:val="00750C17"/>
    <w:rsid w:val="007510C6"/>
    <w:rsid w:val="007518CD"/>
    <w:rsid w:val="007639C1"/>
    <w:rsid w:val="007666D1"/>
    <w:rsid w:val="00785F52"/>
    <w:rsid w:val="00793FF6"/>
    <w:rsid w:val="007A074C"/>
    <w:rsid w:val="007A54F5"/>
    <w:rsid w:val="007B5E51"/>
    <w:rsid w:val="007B74F2"/>
    <w:rsid w:val="007C7E35"/>
    <w:rsid w:val="007D26EC"/>
    <w:rsid w:val="007E38F4"/>
    <w:rsid w:val="007E797E"/>
    <w:rsid w:val="007E7C67"/>
    <w:rsid w:val="007F38DB"/>
    <w:rsid w:val="008236B1"/>
    <w:rsid w:val="008340F6"/>
    <w:rsid w:val="00856D2E"/>
    <w:rsid w:val="00862B74"/>
    <w:rsid w:val="00865E0E"/>
    <w:rsid w:val="00866D68"/>
    <w:rsid w:val="008835B5"/>
    <w:rsid w:val="008917E0"/>
    <w:rsid w:val="00892083"/>
    <w:rsid w:val="008A116F"/>
    <w:rsid w:val="008A2ACD"/>
    <w:rsid w:val="008B0545"/>
    <w:rsid w:val="008B0911"/>
    <w:rsid w:val="008B7893"/>
    <w:rsid w:val="008C0EF4"/>
    <w:rsid w:val="008C5DBB"/>
    <w:rsid w:val="008C7466"/>
    <w:rsid w:val="008C7594"/>
    <w:rsid w:val="008C7DA7"/>
    <w:rsid w:val="008D1886"/>
    <w:rsid w:val="008E7C88"/>
    <w:rsid w:val="008E7E73"/>
    <w:rsid w:val="008F0AF5"/>
    <w:rsid w:val="008F7D88"/>
    <w:rsid w:val="008F7FDA"/>
    <w:rsid w:val="00914AF0"/>
    <w:rsid w:val="00917ECC"/>
    <w:rsid w:val="00923BDB"/>
    <w:rsid w:val="009308EF"/>
    <w:rsid w:val="0093655F"/>
    <w:rsid w:val="00952599"/>
    <w:rsid w:val="00953877"/>
    <w:rsid w:val="0095637B"/>
    <w:rsid w:val="00961426"/>
    <w:rsid w:val="00965ACF"/>
    <w:rsid w:val="00967D18"/>
    <w:rsid w:val="00970EEE"/>
    <w:rsid w:val="009745AB"/>
    <w:rsid w:val="00975F84"/>
    <w:rsid w:val="00977EA2"/>
    <w:rsid w:val="009836E7"/>
    <w:rsid w:val="009934CA"/>
    <w:rsid w:val="009A2E6E"/>
    <w:rsid w:val="009B1C22"/>
    <w:rsid w:val="009B3F18"/>
    <w:rsid w:val="009C20D1"/>
    <w:rsid w:val="009C427E"/>
    <w:rsid w:val="009C5BF1"/>
    <w:rsid w:val="009D06A8"/>
    <w:rsid w:val="009D4AFF"/>
    <w:rsid w:val="009D72E8"/>
    <w:rsid w:val="009D7C64"/>
    <w:rsid w:val="009E3568"/>
    <w:rsid w:val="009E4AF1"/>
    <w:rsid w:val="009E7FF7"/>
    <w:rsid w:val="009F2089"/>
    <w:rsid w:val="00A25ACB"/>
    <w:rsid w:val="00A372DC"/>
    <w:rsid w:val="00A4466C"/>
    <w:rsid w:val="00A46308"/>
    <w:rsid w:val="00A616B4"/>
    <w:rsid w:val="00A636C0"/>
    <w:rsid w:val="00A67281"/>
    <w:rsid w:val="00A67B3E"/>
    <w:rsid w:val="00A77534"/>
    <w:rsid w:val="00A83642"/>
    <w:rsid w:val="00A8472A"/>
    <w:rsid w:val="00A84AE2"/>
    <w:rsid w:val="00A853C8"/>
    <w:rsid w:val="00A85AA7"/>
    <w:rsid w:val="00A91750"/>
    <w:rsid w:val="00A936D5"/>
    <w:rsid w:val="00A94E2A"/>
    <w:rsid w:val="00A970CE"/>
    <w:rsid w:val="00A9723C"/>
    <w:rsid w:val="00A97956"/>
    <w:rsid w:val="00AA59AB"/>
    <w:rsid w:val="00AA5A7B"/>
    <w:rsid w:val="00AA5CA5"/>
    <w:rsid w:val="00AB4AED"/>
    <w:rsid w:val="00AB5889"/>
    <w:rsid w:val="00AC65E2"/>
    <w:rsid w:val="00AD2694"/>
    <w:rsid w:val="00AE6D08"/>
    <w:rsid w:val="00AE6FA6"/>
    <w:rsid w:val="00B00D3E"/>
    <w:rsid w:val="00B16ABC"/>
    <w:rsid w:val="00B16F3B"/>
    <w:rsid w:val="00B247D0"/>
    <w:rsid w:val="00B252F6"/>
    <w:rsid w:val="00B42890"/>
    <w:rsid w:val="00B455F7"/>
    <w:rsid w:val="00B54A90"/>
    <w:rsid w:val="00B66B28"/>
    <w:rsid w:val="00B72475"/>
    <w:rsid w:val="00B8540F"/>
    <w:rsid w:val="00B87790"/>
    <w:rsid w:val="00B944F9"/>
    <w:rsid w:val="00BA53C4"/>
    <w:rsid w:val="00BA6E06"/>
    <w:rsid w:val="00BB657F"/>
    <w:rsid w:val="00BC766B"/>
    <w:rsid w:val="00BD4F83"/>
    <w:rsid w:val="00BE4070"/>
    <w:rsid w:val="00BE72F8"/>
    <w:rsid w:val="00BF7F19"/>
    <w:rsid w:val="00C03A65"/>
    <w:rsid w:val="00C06EB8"/>
    <w:rsid w:val="00C14568"/>
    <w:rsid w:val="00C150F2"/>
    <w:rsid w:val="00C15F27"/>
    <w:rsid w:val="00C37707"/>
    <w:rsid w:val="00C4381D"/>
    <w:rsid w:val="00C51BCA"/>
    <w:rsid w:val="00C6202A"/>
    <w:rsid w:val="00C70BD0"/>
    <w:rsid w:val="00C710A7"/>
    <w:rsid w:val="00C87251"/>
    <w:rsid w:val="00C95673"/>
    <w:rsid w:val="00C968AB"/>
    <w:rsid w:val="00CC2458"/>
    <w:rsid w:val="00CC36DE"/>
    <w:rsid w:val="00CC5CFA"/>
    <w:rsid w:val="00CD2633"/>
    <w:rsid w:val="00CD2B0C"/>
    <w:rsid w:val="00CD57A1"/>
    <w:rsid w:val="00CE302A"/>
    <w:rsid w:val="00CE7AB7"/>
    <w:rsid w:val="00CF52C9"/>
    <w:rsid w:val="00CF7622"/>
    <w:rsid w:val="00D24ED2"/>
    <w:rsid w:val="00D50AF1"/>
    <w:rsid w:val="00D573A4"/>
    <w:rsid w:val="00D61A99"/>
    <w:rsid w:val="00D630C5"/>
    <w:rsid w:val="00D70591"/>
    <w:rsid w:val="00D754C4"/>
    <w:rsid w:val="00D76968"/>
    <w:rsid w:val="00D7758B"/>
    <w:rsid w:val="00D87C78"/>
    <w:rsid w:val="00DB2DA3"/>
    <w:rsid w:val="00DB487D"/>
    <w:rsid w:val="00DB4DD4"/>
    <w:rsid w:val="00DC0A03"/>
    <w:rsid w:val="00DC346A"/>
    <w:rsid w:val="00DC62BB"/>
    <w:rsid w:val="00DC695C"/>
    <w:rsid w:val="00DE3670"/>
    <w:rsid w:val="00DE46B4"/>
    <w:rsid w:val="00DF298A"/>
    <w:rsid w:val="00E06093"/>
    <w:rsid w:val="00E15669"/>
    <w:rsid w:val="00E16C3A"/>
    <w:rsid w:val="00E27599"/>
    <w:rsid w:val="00E27BF4"/>
    <w:rsid w:val="00E357AD"/>
    <w:rsid w:val="00E361D1"/>
    <w:rsid w:val="00E36730"/>
    <w:rsid w:val="00E42D0A"/>
    <w:rsid w:val="00E44764"/>
    <w:rsid w:val="00E53B41"/>
    <w:rsid w:val="00E56B9C"/>
    <w:rsid w:val="00E74651"/>
    <w:rsid w:val="00E80266"/>
    <w:rsid w:val="00E867F3"/>
    <w:rsid w:val="00EB4468"/>
    <w:rsid w:val="00EB60E3"/>
    <w:rsid w:val="00EB6F52"/>
    <w:rsid w:val="00EC3720"/>
    <w:rsid w:val="00ED2795"/>
    <w:rsid w:val="00ED305D"/>
    <w:rsid w:val="00ED7446"/>
    <w:rsid w:val="00EE1A69"/>
    <w:rsid w:val="00EE4D28"/>
    <w:rsid w:val="00EE545C"/>
    <w:rsid w:val="00EF6962"/>
    <w:rsid w:val="00EF6CE8"/>
    <w:rsid w:val="00F01383"/>
    <w:rsid w:val="00F01CF6"/>
    <w:rsid w:val="00F02B50"/>
    <w:rsid w:val="00F04404"/>
    <w:rsid w:val="00F157F8"/>
    <w:rsid w:val="00F21FB8"/>
    <w:rsid w:val="00F2502A"/>
    <w:rsid w:val="00F44907"/>
    <w:rsid w:val="00F61FDC"/>
    <w:rsid w:val="00F62BE1"/>
    <w:rsid w:val="00F70056"/>
    <w:rsid w:val="00F72637"/>
    <w:rsid w:val="00F77A8A"/>
    <w:rsid w:val="00F864CF"/>
    <w:rsid w:val="00F917DE"/>
    <w:rsid w:val="00F92D10"/>
    <w:rsid w:val="00F95C45"/>
    <w:rsid w:val="00FA132E"/>
    <w:rsid w:val="00FA2591"/>
    <w:rsid w:val="00FA456D"/>
    <w:rsid w:val="00FA689D"/>
    <w:rsid w:val="00FB57EB"/>
    <w:rsid w:val="00FC1E08"/>
    <w:rsid w:val="00FC717B"/>
    <w:rsid w:val="00FC7257"/>
    <w:rsid w:val="00FE1E3A"/>
    <w:rsid w:val="00FF5DB0"/>
    <w:rsid w:val="00FF6188"/>
    <w:rsid w:val="00FF7D11"/>
    <w:rsid w:val="00FF7D94"/>
    <w:rsid w:val="01720405"/>
    <w:rsid w:val="017F37EE"/>
    <w:rsid w:val="02244D88"/>
    <w:rsid w:val="02934BB5"/>
    <w:rsid w:val="02BA4FDB"/>
    <w:rsid w:val="02C13518"/>
    <w:rsid w:val="02D534BB"/>
    <w:rsid w:val="02DE43EC"/>
    <w:rsid w:val="02FF5853"/>
    <w:rsid w:val="033755AF"/>
    <w:rsid w:val="03451A0C"/>
    <w:rsid w:val="03B25BEA"/>
    <w:rsid w:val="044E43C7"/>
    <w:rsid w:val="044E5381"/>
    <w:rsid w:val="04651698"/>
    <w:rsid w:val="04BF62F2"/>
    <w:rsid w:val="0543529D"/>
    <w:rsid w:val="055B24EA"/>
    <w:rsid w:val="0608658A"/>
    <w:rsid w:val="0663041A"/>
    <w:rsid w:val="067D0CC6"/>
    <w:rsid w:val="06952C9A"/>
    <w:rsid w:val="06A52070"/>
    <w:rsid w:val="06AC4819"/>
    <w:rsid w:val="06DA1075"/>
    <w:rsid w:val="06E94ECA"/>
    <w:rsid w:val="07080FC4"/>
    <w:rsid w:val="072340D7"/>
    <w:rsid w:val="075117E6"/>
    <w:rsid w:val="07793B45"/>
    <w:rsid w:val="07B375C3"/>
    <w:rsid w:val="07E829E8"/>
    <w:rsid w:val="08060E11"/>
    <w:rsid w:val="0815060D"/>
    <w:rsid w:val="085237EC"/>
    <w:rsid w:val="08645B99"/>
    <w:rsid w:val="08DB1E81"/>
    <w:rsid w:val="09420046"/>
    <w:rsid w:val="0977384E"/>
    <w:rsid w:val="0A2D6AC3"/>
    <w:rsid w:val="0A5D62CA"/>
    <w:rsid w:val="0A631C4D"/>
    <w:rsid w:val="0A6C3F86"/>
    <w:rsid w:val="0AE37CBD"/>
    <w:rsid w:val="0AE87153"/>
    <w:rsid w:val="0B310385"/>
    <w:rsid w:val="0B4453B6"/>
    <w:rsid w:val="0B881FAD"/>
    <w:rsid w:val="0C2F5E50"/>
    <w:rsid w:val="0C372CA2"/>
    <w:rsid w:val="0C536A71"/>
    <w:rsid w:val="0C8F6A59"/>
    <w:rsid w:val="0C965E39"/>
    <w:rsid w:val="0CA855A2"/>
    <w:rsid w:val="0CB3418C"/>
    <w:rsid w:val="0CBD1525"/>
    <w:rsid w:val="0CBE37F1"/>
    <w:rsid w:val="0D0F2C3A"/>
    <w:rsid w:val="0D3D074B"/>
    <w:rsid w:val="0D4E04AF"/>
    <w:rsid w:val="0D537B9C"/>
    <w:rsid w:val="0D5F5250"/>
    <w:rsid w:val="0D827E25"/>
    <w:rsid w:val="0DA025FC"/>
    <w:rsid w:val="0DFF1C69"/>
    <w:rsid w:val="0E703991"/>
    <w:rsid w:val="0EBC2F4D"/>
    <w:rsid w:val="0EBC7C90"/>
    <w:rsid w:val="0F060E06"/>
    <w:rsid w:val="0F342B25"/>
    <w:rsid w:val="0F4E3606"/>
    <w:rsid w:val="0F6B083F"/>
    <w:rsid w:val="0F795FD9"/>
    <w:rsid w:val="0F8A2086"/>
    <w:rsid w:val="0FC91D7F"/>
    <w:rsid w:val="0FF31DA4"/>
    <w:rsid w:val="101820FE"/>
    <w:rsid w:val="10384837"/>
    <w:rsid w:val="10CB62FD"/>
    <w:rsid w:val="10E00F02"/>
    <w:rsid w:val="10F02ADE"/>
    <w:rsid w:val="11117BC0"/>
    <w:rsid w:val="114A3CC4"/>
    <w:rsid w:val="116F0ACB"/>
    <w:rsid w:val="11AE40DF"/>
    <w:rsid w:val="11D7076C"/>
    <w:rsid w:val="128760E4"/>
    <w:rsid w:val="12923D4D"/>
    <w:rsid w:val="12B00480"/>
    <w:rsid w:val="131C476B"/>
    <w:rsid w:val="1331629E"/>
    <w:rsid w:val="1340534B"/>
    <w:rsid w:val="13525BD9"/>
    <w:rsid w:val="135A7F1C"/>
    <w:rsid w:val="136E7FB7"/>
    <w:rsid w:val="13EA7DC3"/>
    <w:rsid w:val="143C510B"/>
    <w:rsid w:val="14427E1D"/>
    <w:rsid w:val="14C73591"/>
    <w:rsid w:val="14D10DCE"/>
    <w:rsid w:val="15122BCD"/>
    <w:rsid w:val="151C547D"/>
    <w:rsid w:val="15397521"/>
    <w:rsid w:val="157D259B"/>
    <w:rsid w:val="15DF6B3C"/>
    <w:rsid w:val="15F3567E"/>
    <w:rsid w:val="162F4A28"/>
    <w:rsid w:val="16314C41"/>
    <w:rsid w:val="164F500E"/>
    <w:rsid w:val="16505656"/>
    <w:rsid w:val="16577145"/>
    <w:rsid w:val="175E0276"/>
    <w:rsid w:val="17AB5C9E"/>
    <w:rsid w:val="17BD4AD4"/>
    <w:rsid w:val="17BF25BE"/>
    <w:rsid w:val="17D900D8"/>
    <w:rsid w:val="17F23CD0"/>
    <w:rsid w:val="17FA59E2"/>
    <w:rsid w:val="1860622A"/>
    <w:rsid w:val="1877337E"/>
    <w:rsid w:val="18D83A8F"/>
    <w:rsid w:val="18E23B6B"/>
    <w:rsid w:val="190C356D"/>
    <w:rsid w:val="195361EC"/>
    <w:rsid w:val="19896FEF"/>
    <w:rsid w:val="1995697B"/>
    <w:rsid w:val="1A135326"/>
    <w:rsid w:val="1A181D1F"/>
    <w:rsid w:val="1A4A27C3"/>
    <w:rsid w:val="1A994A97"/>
    <w:rsid w:val="1BCC4C6E"/>
    <w:rsid w:val="1C2E1119"/>
    <w:rsid w:val="1C3F48DE"/>
    <w:rsid w:val="1C5F17FE"/>
    <w:rsid w:val="1CA76F58"/>
    <w:rsid w:val="1CE53FFC"/>
    <w:rsid w:val="1CF55AC2"/>
    <w:rsid w:val="1D3F203A"/>
    <w:rsid w:val="1D5001F9"/>
    <w:rsid w:val="1D7377FD"/>
    <w:rsid w:val="1D884823"/>
    <w:rsid w:val="1D973B75"/>
    <w:rsid w:val="1DAD66C9"/>
    <w:rsid w:val="1E173172"/>
    <w:rsid w:val="1E723EAC"/>
    <w:rsid w:val="1EF43085"/>
    <w:rsid w:val="1F0E1CAC"/>
    <w:rsid w:val="1F406672"/>
    <w:rsid w:val="1F8A6340"/>
    <w:rsid w:val="1F9C1C78"/>
    <w:rsid w:val="1FC22A4E"/>
    <w:rsid w:val="201B7E9A"/>
    <w:rsid w:val="20390328"/>
    <w:rsid w:val="203F43E1"/>
    <w:rsid w:val="2080071B"/>
    <w:rsid w:val="20826929"/>
    <w:rsid w:val="208D6D97"/>
    <w:rsid w:val="209A6C32"/>
    <w:rsid w:val="20C3464F"/>
    <w:rsid w:val="20FF6917"/>
    <w:rsid w:val="21040EC9"/>
    <w:rsid w:val="212B62B1"/>
    <w:rsid w:val="21463A47"/>
    <w:rsid w:val="2164745E"/>
    <w:rsid w:val="218D6E43"/>
    <w:rsid w:val="219C0835"/>
    <w:rsid w:val="21C23B74"/>
    <w:rsid w:val="22012E47"/>
    <w:rsid w:val="230923B8"/>
    <w:rsid w:val="23283B77"/>
    <w:rsid w:val="23B42F23"/>
    <w:rsid w:val="23E6754F"/>
    <w:rsid w:val="23FD2ED0"/>
    <w:rsid w:val="240F32E1"/>
    <w:rsid w:val="244A3988"/>
    <w:rsid w:val="245F2221"/>
    <w:rsid w:val="248A14BF"/>
    <w:rsid w:val="24B915DB"/>
    <w:rsid w:val="24CA1833"/>
    <w:rsid w:val="24D1370B"/>
    <w:rsid w:val="252D5A2D"/>
    <w:rsid w:val="25974204"/>
    <w:rsid w:val="25D05A38"/>
    <w:rsid w:val="25E61D77"/>
    <w:rsid w:val="2696462B"/>
    <w:rsid w:val="276406C2"/>
    <w:rsid w:val="278A085D"/>
    <w:rsid w:val="284F4698"/>
    <w:rsid w:val="2858007D"/>
    <w:rsid w:val="28AF0194"/>
    <w:rsid w:val="28BE53CF"/>
    <w:rsid w:val="28BE6AE0"/>
    <w:rsid w:val="28C570A0"/>
    <w:rsid w:val="28FB4D6B"/>
    <w:rsid w:val="2932020B"/>
    <w:rsid w:val="297347BF"/>
    <w:rsid w:val="29A73003"/>
    <w:rsid w:val="29F44024"/>
    <w:rsid w:val="2A3A5DB4"/>
    <w:rsid w:val="2A620E65"/>
    <w:rsid w:val="2A6E3FC3"/>
    <w:rsid w:val="2A8C00F6"/>
    <w:rsid w:val="2ACA70EC"/>
    <w:rsid w:val="2ACB6EA5"/>
    <w:rsid w:val="2AE17021"/>
    <w:rsid w:val="2B2F4AED"/>
    <w:rsid w:val="2B410BEE"/>
    <w:rsid w:val="2B704CEF"/>
    <w:rsid w:val="2BFA5E18"/>
    <w:rsid w:val="2C160C2E"/>
    <w:rsid w:val="2C3F79C9"/>
    <w:rsid w:val="2C6D5670"/>
    <w:rsid w:val="2C892E03"/>
    <w:rsid w:val="2CA40FEC"/>
    <w:rsid w:val="2CC05057"/>
    <w:rsid w:val="2CD53D22"/>
    <w:rsid w:val="2CF730F6"/>
    <w:rsid w:val="2D26012D"/>
    <w:rsid w:val="2D36206D"/>
    <w:rsid w:val="2D8F6012"/>
    <w:rsid w:val="2D925F70"/>
    <w:rsid w:val="2DB7212C"/>
    <w:rsid w:val="2DBA213F"/>
    <w:rsid w:val="2DC83BE9"/>
    <w:rsid w:val="2DD13479"/>
    <w:rsid w:val="2DF31012"/>
    <w:rsid w:val="2E00340B"/>
    <w:rsid w:val="2E1C3E01"/>
    <w:rsid w:val="2E5070CD"/>
    <w:rsid w:val="2EE10406"/>
    <w:rsid w:val="2EEE6E03"/>
    <w:rsid w:val="2F153552"/>
    <w:rsid w:val="2F5C0794"/>
    <w:rsid w:val="2F954F8C"/>
    <w:rsid w:val="2FCA4F50"/>
    <w:rsid w:val="2FD13AB3"/>
    <w:rsid w:val="30096732"/>
    <w:rsid w:val="30113F18"/>
    <w:rsid w:val="306A609B"/>
    <w:rsid w:val="30F26272"/>
    <w:rsid w:val="30FC2956"/>
    <w:rsid w:val="31AD2A81"/>
    <w:rsid w:val="31AE6969"/>
    <w:rsid w:val="31BB02C6"/>
    <w:rsid w:val="31E84943"/>
    <w:rsid w:val="326D2AF0"/>
    <w:rsid w:val="32B65B42"/>
    <w:rsid w:val="33214488"/>
    <w:rsid w:val="33224E9A"/>
    <w:rsid w:val="3357609B"/>
    <w:rsid w:val="33A25A74"/>
    <w:rsid w:val="33F24EE4"/>
    <w:rsid w:val="344D344F"/>
    <w:rsid w:val="34702AF0"/>
    <w:rsid w:val="347C5BF5"/>
    <w:rsid w:val="349E19A5"/>
    <w:rsid w:val="34A66D67"/>
    <w:rsid w:val="34C92E53"/>
    <w:rsid w:val="34E2347E"/>
    <w:rsid w:val="359F12B4"/>
    <w:rsid w:val="35FD6036"/>
    <w:rsid w:val="36222FD3"/>
    <w:rsid w:val="362C4974"/>
    <w:rsid w:val="36D43746"/>
    <w:rsid w:val="36D67341"/>
    <w:rsid w:val="37004053"/>
    <w:rsid w:val="370E6DDC"/>
    <w:rsid w:val="374E2785"/>
    <w:rsid w:val="37897D08"/>
    <w:rsid w:val="37957082"/>
    <w:rsid w:val="37A1147F"/>
    <w:rsid w:val="37F40EB5"/>
    <w:rsid w:val="38054425"/>
    <w:rsid w:val="381A29B0"/>
    <w:rsid w:val="383515BB"/>
    <w:rsid w:val="38796762"/>
    <w:rsid w:val="38860938"/>
    <w:rsid w:val="38AB27BF"/>
    <w:rsid w:val="38C02358"/>
    <w:rsid w:val="38C143D5"/>
    <w:rsid w:val="38E57528"/>
    <w:rsid w:val="38E94BA6"/>
    <w:rsid w:val="39052908"/>
    <w:rsid w:val="392B6D42"/>
    <w:rsid w:val="39AD1278"/>
    <w:rsid w:val="39AD2A8A"/>
    <w:rsid w:val="3A052706"/>
    <w:rsid w:val="3A0D4DDD"/>
    <w:rsid w:val="3A481271"/>
    <w:rsid w:val="3A6E2EBD"/>
    <w:rsid w:val="3A7A2F3F"/>
    <w:rsid w:val="3A7E016E"/>
    <w:rsid w:val="3A8934A8"/>
    <w:rsid w:val="3AB55A5F"/>
    <w:rsid w:val="3AC87A10"/>
    <w:rsid w:val="3B063A3C"/>
    <w:rsid w:val="3B1A3268"/>
    <w:rsid w:val="3BA22B4A"/>
    <w:rsid w:val="3BE510CD"/>
    <w:rsid w:val="3C061538"/>
    <w:rsid w:val="3C065053"/>
    <w:rsid w:val="3CD6254B"/>
    <w:rsid w:val="3D1403A1"/>
    <w:rsid w:val="3D221EAC"/>
    <w:rsid w:val="3D690F94"/>
    <w:rsid w:val="3D732F03"/>
    <w:rsid w:val="3D80668F"/>
    <w:rsid w:val="3DA86D56"/>
    <w:rsid w:val="3DEE5C66"/>
    <w:rsid w:val="3E1E4380"/>
    <w:rsid w:val="3EAA7444"/>
    <w:rsid w:val="3EC43264"/>
    <w:rsid w:val="3EE6001C"/>
    <w:rsid w:val="3EE65D2D"/>
    <w:rsid w:val="3F1B7613"/>
    <w:rsid w:val="3F2638C2"/>
    <w:rsid w:val="40C52A49"/>
    <w:rsid w:val="4104640C"/>
    <w:rsid w:val="412A2855"/>
    <w:rsid w:val="41751C28"/>
    <w:rsid w:val="41A822B6"/>
    <w:rsid w:val="41AE4CFF"/>
    <w:rsid w:val="41DE2C4C"/>
    <w:rsid w:val="4214623D"/>
    <w:rsid w:val="42CE352F"/>
    <w:rsid w:val="42DA2530"/>
    <w:rsid w:val="438D0E10"/>
    <w:rsid w:val="43E549AA"/>
    <w:rsid w:val="44902D8B"/>
    <w:rsid w:val="44937A46"/>
    <w:rsid w:val="44CC6A08"/>
    <w:rsid w:val="44F53183"/>
    <w:rsid w:val="45096EB9"/>
    <w:rsid w:val="46020605"/>
    <w:rsid w:val="468D2392"/>
    <w:rsid w:val="46BD30E7"/>
    <w:rsid w:val="47354265"/>
    <w:rsid w:val="47602023"/>
    <w:rsid w:val="478A551F"/>
    <w:rsid w:val="47975854"/>
    <w:rsid w:val="47C55881"/>
    <w:rsid w:val="47FA488D"/>
    <w:rsid w:val="47FE2B59"/>
    <w:rsid w:val="4821444E"/>
    <w:rsid w:val="48317722"/>
    <w:rsid w:val="48995754"/>
    <w:rsid w:val="48A56862"/>
    <w:rsid w:val="48A81DC6"/>
    <w:rsid w:val="490D50EC"/>
    <w:rsid w:val="49420D15"/>
    <w:rsid w:val="4953265B"/>
    <w:rsid w:val="495E2105"/>
    <w:rsid w:val="49656300"/>
    <w:rsid w:val="49CE44BA"/>
    <w:rsid w:val="49F151BE"/>
    <w:rsid w:val="4A110C4F"/>
    <w:rsid w:val="4A1D6E4F"/>
    <w:rsid w:val="4A4C0DA4"/>
    <w:rsid w:val="4A5A2F46"/>
    <w:rsid w:val="4AAD7446"/>
    <w:rsid w:val="4B1533E1"/>
    <w:rsid w:val="4B5203E6"/>
    <w:rsid w:val="4B8170C6"/>
    <w:rsid w:val="4BDA6A65"/>
    <w:rsid w:val="4BE71A44"/>
    <w:rsid w:val="4BEE52F5"/>
    <w:rsid w:val="4C022E0D"/>
    <w:rsid w:val="4C276F03"/>
    <w:rsid w:val="4C8228D5"/>
    <w:rsid w:val="4CDB2B86"/>
    <w:rsid w:val="4CDE120E"/>
    <w:rsid w:val="4CE06102"/>
    <w:rsid w:val="4D0E5B99"/>
    <w:rsid w:val="4D176461"/>
    <w:rsid w:val="4D9E64BC"/>
    <w:rsid w:val="4DDF1140"/>
    <w:rsid w:val="4E077224"/>
    <w:rsid w:val="4E4C4B02"/>
    <w:rsid w:val="4E4E2651"/>
    <w:rsid w:val="4E8F1562"/>
    <w:rsid w:val="4EE81798"/>
    <w:rsid w:val="4F376C7E"/>
    <w:rsid w:val="4F6A676C"/>
    <w:rsid w:val="4F73628D"/>
    <w:rsid w:val="4F752445"/>
    <w:rsid w:val="4F8125DA"/>
    <w:rsid w:val="4FE37A9B"/>
    <w:rsid w:val="505B4302"/>
    <w:rsid w:val="5060086D"/>
    <w:rsid w:val="506C0653"/>
    <w:rsid w:val="507967C0"/>
    <w:rsid w:val="50852E8E"/>
    <w:rsid w:val="50A53CEA"/>
    <w:rsid w:val="50C126CF"/>
    <w:rsid w:val="510441DB"/>
    <w:rsid w:val="51131A75"/>
    <w:rsid w:val="5177302F"/>
    <w:rsid w:val="51E7726B"/>
    <w:rsid w:val="51ED10F0"/>
    <w:rsid w:val="5217338A"/>
    <w:rsid w:val="522912FF"/>
    <w:rsid w:val="524D2845"/>
    <w:rsid w:val="524D540B"/>
    <w:rsid w:val="527A351E"/>
    <w:rsid w:val="52CA0154"/>
    <w:rsid w:val="52E609B1"/>
    <w:rsid w:val="52F91F9B"/>
    <w:rsid w:val="53420E30"/>
    <w:rsid w:val="53A01B50"/>
    <w:rsid w:val="53F37E0D"/>
    <w:rsid w:val="545B3124"/>
    <w:rsid w:val="54857968"/>
    <w:rsid w:val="54C96C40"/>
    <w:rsid w:val="555B05CC"/>
    <w:rsid w:val="558E6D65"/>
    <w:rsid w:val="5677632A"/>
    <w:rsid w:val="56867464"/>
    <w:rsid w:val="575021CE"/>
    <w:rsid w:val="57915181"/>
    <w:rsid w:val="57A37408"/>
    <w:rsid w:val="57B573BE"/>
    <w:rsid w:val="57CD594D"/>
    <w:rsid w:val="581A0B68"/>
    <w:rsid w:val="581C300C"/>
    <w:rsid w:val="58292FAA"/>
    <w:rsid w:val="582975E7"/>
    <w:rsid w:val="58862A3B"/>
    <w:rsid w:val="58A957AC"/>
    <w:rsid w:val="58AF2E2C"/>
    <w:rsid w:val="58B971CF"/>
    <w:rsid w:val="58D51CCA"/>
    <w:rsid w:val="591C1FEA"/>
    <w:rsid w:val="593021C9"/>
    <w:rsid w:val="593540DC"/>
    <w:rsid w:val="598E16E2"/>
    <w:rsid w:val="59A056EA"/>
    <w:rsid w:val="59AF4E57"/>
    <w:rsid w:val="59BE37A9"/>
    <w:rsid w:val="59BF0D07"/>
    <w:rsid w:val="59EA2C69"/>
    <w:rsid w:val="5A2B00A0"/>
    <w:rsid w:val="5A660944"/>
    <w:rsid w:val="5A714CC6"/>
    <w:rsid w:val="5A987F59"/>
    <w:rsid w:val="5AD23E63"/>
    <w:rsid w:val="5AD55E19"/>
    <w:rsid w:val="5AD8721F"/>
    <w:rsid w:val="5AFD464E"/>
    <w:rsid w:val="5B000C91"/>
    <w:rsid w:val="5B0A494F"/>
    <w:rsid w:val="5B232931"/>
    <w:rsid w:val="5B476C8D"/>
    <w:rsid w:val="5B702498"/>
    <w:rsid w:val="5B8515A9"/>
    <w:rsid w:val="5B922C81"/>
    <w:rsid w:val="5BB25670"/>
    <w:rsid w:val="5BB34E55"/>
    <w:rsid w:val="5BBF33E9"/>
    <w:rsid w:val="5BEB268B"/>
    <w:rsid w:val="5C1C11DE"/>
    <w:rsid w:val="5C2801A8"/>
    <w:rsid w:val="5C293CFC"/>
    <w:rsid w:val="5C7521EB"/>
    <w:rsid w:val="5D1D03E1"/>
    <w:rsid w:val="5D3F6E9B"/>
    <w:rsid w:val="5D6B029C"/>
    <w:rsid w:val="5D755997"/>
    <w:rsid w:val="5DB06549"/>
    <w:rsid w:val="5DCA5A86"/>
    <w:rsid w:val="5DF8355C"/>
    <w:rsid w:val="5E3D5946"/>
    <w:rsid w:val="5E3F6413"/>
    <w:rsid w:val="5E602472"/>
    <w:rsid w:val="5E6F04F5"/>
    <w:rsid w:val="5E7B6723"/>
    <w:rsid w:val="5E846791"/>
    <w:rsid w:val="5F307088"/>
    <w:rsid w:val="5F49172D"/>
    <w:rsid w:val="5F5F1E00"/>
    <w:rsid w:val="5F721CAB"/>
    <w:rsid w:val="5FCD07AB"/>
    <w:rsid w:val="601A1238"/>
    <w:rsid w:val="6021190F"/>
    <w:rsid w:val="60670AA8"/>
    <w:rsid w:val="60FA27C2"/>
    <w:rsid w:val="6109214A"/>
    <w:rsid w:val="613D65B4"/>
    <w:rsid w:val="615008F1"/>
    <w:rsid w:val="618A3447"/>
    <w:rsid w:val="61EE68C4"/>
    <w:rsid w:val="620833FE"/>
    <w:rsid w:val="621837E6"/>
    <w:rsid w:val="623061FB"/>
    <w:rsid w:val="624A4060"/>
    <w:rsid w:val="625A6DF4"/>
    <w:rsid w:val="629E3475"/>
    <w:rsid w:val="62A262DB"/>
    <w:rsid w:val="62AF54A8"/>
    <w:rsid w:val="62B94A0E"/>
    <w:rsid w:val="62EB3A97"/>
    <w:rsid w:val="631D55EB"/>
    <w:rsid w:val="6351411B"/>
    <w:rsid w:val="637431A6"/>
    <w:rsid w:val="63D251CD"/>
    <w:rsid w:val="63EC7CEE"/>
    <w:rsid w:val="64542141"/>
    <w:rsid w:val="64BA2734"/>
    <w:rsid w:val="64E44D78"/>
    <w:rsid w:val="64E62F73"/>
    <w:rsid w:val="650D4860"/>
    <w:rsid w:val="6539298F"/>
    <w:rsid w:val="654A3A53"/>
    <w:rsid w:val="658C1C2E"/>
    <w:rsid w:val="659A484C"/>
    <w:rsid w:val="65D718D1"/>
    <w:rsid w:val="65E94554"/>
    <w:rsid w:val="662A0E8B"/>
    <w:rsid w:val="66314580"/>
    <w:rsid w:val="66621D1D"/>
    <w:rsid w:val="66A8359C"/>
    <w:rsid w:val="671D3D35"/>
    <w:rsid w:val="675D709D"/>
    <w:rsid w:val="67677860"/>
    <w:rsid w:val="67693C5A"/>
    <w:rsid w:val="686A3621"/>
    <w:rsid w:val="688C1F51"/>
    <w:rsid w:val="68C90947"/>
    <w:rsid w:val="68F97D2D"/>
    <w:rsid w:val="697215E8"/>
    <w:rsid w:val="69722BCF"/>
    <w:rsid w:val="69925FA8"/>
    <w:rsid w:val="69C377B5"/>
    <w:rsid w:val="69DD7C28"/>
    <w:rsid w:val="69EA5972"/>
    <w:rsid w:val="6A073F65"/>
    <w:rsid w:val="6A2621EE"/>
    <w:rsid w:val="6A4E3CE2"/>
    <w:rsid w:val="6A642EBC"/>
    <w:rsid w:val="6A8D150F"/>
    <w:rsid w:val="6A980792"/>
    <w:rsid w:val="6ABE54D9"/>
    <w:rsid w:val="6AEA1F5F"/>
    <w:rsid w:val="6AF703A5"/>
    <w:rsid w:val="6B040FE6"/>
    <w:rsid w:val="6B7F64F3"/>
    <w:rsid w:val="6BC55027"/>
    <w:rsid w:val="6C1A5C25"/>
    <w:rsid w:val="6C2B1157"/>
    <w:rsid w:val="6C4403F4"/>
    <w:rsid w:val="6C4E5DF7"/>
    <w:rsid w:val="6C88074F"/>
    <w:rsid w:val="6CFE17A2"/>
    <w:rsid w:val="6D2F32D2"/>
    <w:rsid w:val="6D5002C1"/>
    <w:rsid w:val="6D817876"/>
    <w:rsid w:val="6DA23041"/>
    <w:rsid w:val="6DC33CD4"/>
    <w:rsid w:val="6E091C7B"/>
    <w:rsid w:val="6E4F7E6F"/>
    <w:rsid w:val="6E7014B5"/>
    <w:rsid w:val="6E987528"/>
    <w:rsid w:val="6EA762CC"/>
    <w:rsid w:val="6ED206E0"/>
    <w:rsid w:val="6F187BB7"/>
    <w:rsid w:val="6F310AB4"/>
    <w:rsid w:val="6F4A7B99"/>
    <w:rsid w:val="6F9B5694"/>
    <w:rsid w:val="6FA92C96"/>
    <w:rsid w:val="702970E6"/>
    <w:rsid w:val="70694E36"/>
    <w:rsid w:val="7074300D"/>
    <w:rsid w:val="708268A0"/>
    <w:rsid w:val="709E7D50"/>
    <w:rsid w:val="70C134AB"/>
    <w:rsid w:val="70C276FE"/>
    <w:rsid w:val="70CC7327"/>
    <w:rsid w:val="70D450B1"/>
    <w:rsid w:val="70FF69C1"/>
    <w:rsid w:val="71054D98"/>
    <w:rsid w:val="71397BC5"/>
    <w:rsid w:val="717004C6"/>
    <w:rsid w:val="71854AEC"/>
    <w:rsid w:val="71993F5C"/>
    <w:rsid w:val="71F45F63"/>
    <w:rsid w:val="720108AC"/>
    <w:rsid w:val="720F579C"/>
    <w:rsid w:val="721944EA"/>
    <w:rsid w:val="7256619B"/>
    <w:rsid w:val="728441AA"/>
    <w:rsid w:val="72B1645C"/>
    <w:rsid w:val="72B468A2"/>
    <w:rsid w:val="73355D94"/>
    <w:rsid w:val="735D52C6"/>
    <w:rsid w:val="735E30D0"/>
    <w:rsid w:val="73A40574"/>
    <w:rsid w:val="741F6F47"/>
    <w:rsid w:val="7423471B"/>
    <w:rsid w:val="747D5496"/>
    <w:rsid w:val="748C5C53"/>
    <w:rsid w:val="749856AE"/>
    <w:rsid w:val="74FA6A22"/>
    <w:rsid w:val="757F1E74"/>
    <w:rsid w:val="75AC4B6D"/>
    <w:rsid w:val="75CC4398"/>
    <w:rsid w:val="7600123E"/>
    <w:rsid w:val="7621700F"/>
    <w:rsid w:val="766911F3"/>
    <w:rsid w:val="768B46E5"/>
    <w:rsid w:val="771B2D50"/>
    <w:rsid w:val="77525255"/>
    <w:rsid w:val="77817CAD"/>
    <w:rsid w:val="77916128"/>
    <w:rsid w:val="77C16B94"/>
    <w:rsid w:val="77CB4E7F"/>
    <w:rsid w:val="782A14FB"/>
    <w:rsid w:val="78636113"/>
    <w:rsid w:val="788C7FCA"/>
    <w:rsid w:val="78997C8B"/>
    <w:rsid w:val="78BD6025"/>
    <w:rsid w:val="7930736D"/>
    <w:rsid w:val="79390C56"/>
    <w:rsid w:val="796C724E"/>
    <w:rsid w:val="79710B8B"/>
    <w:rsid w:val="79744776"/>
    <w:rsid w:val="79A31FE8"/>
    <w:rsid w:val="79AE7A87"/>
    <w:rsid w:val="79E02AF3"/>
    <w:rsid w:val="7A020AF8"/>
    <w:rsid w:val="7A0B36A6"/>
    <w:rsid w:val="7A0F5D53"/>
    <w:rsid w:val="7A1D0264"/>
    <w:rsid w:val="7A783788"/>
    <w:rsid w:val="7AA1215E"/>
    <w:rsid w:val="7AC97A0D"/>
    <w:rsid w:val="7AF95E31"/>
    <w:rsid w:val="7B2028B2"/>
    <w:rsid w:val="7B5E294B"/>
    <w:rsid w:val="7B8D6573"/>
    <w:rsid w:val="7B974A00"/>
    <w:rsid w:val="7B9F508A"/>
    <w:rsid w:val="7BAC0396"/>
    <w:rsid w:val="7BF07E55"/>
    <w:rsid w:val="7C2F7DD7"/>
    <w:rsid w:val="7C634147"/>
    <w:rsid w:val="7CF52793"/>
    <w:rsid w:val="7CF914BC"/>
    <w:rsid w:val="7D1F2E72"/>
    <w:rsid w:val="7D491F3D"/>
    <w:rsid w:val="7D62460D"/>
    <w:rsid w:val="7D63423F"/>
    <w:rsid w:val="7D86546C"/>
    <w:rsid w:val="7D8753DC"/>
    <w:rsid w:val="7DAB4D04"/>
    <w:rsid w:val="7DBA5091"/>
    <w:rsid w:val="7E056B7C"/>
    <w:rsid w:val="7E5A37E1"/>
    <w:rsid w:val="7E6E204F"/>
    <w:rsid w:val="7ECF5362"/>
    <w:rsid w:val="7F0274A7"/>
    <w:rsid w:val="7FC22F12"/>
    <w:rsid w:val="7FDA68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nhideWhenUsed="0" w:uiPriority="1" w:semiHidden="0" w:name="heading 7"/>
    <w:lsdException w:qFormat="1"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99" w:semiHidden="0" w:name="toc 1"/>
    <w:lsdException w:qFormat="1" w:unhideWhenUsed="0" w:uiPriority="99" w:semiHidden="0" w:name="toc 2"/>
    <w:lsdException w:qFormat="1" w:uiPriority="99" w:semiHidden="0"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4"/>
    <w:qFormat/>
    <w:uiPriority w:val="99"/>
    <w:pPr>
      <w:keepNext/>
      <w:keepLines/>
      <w:adjustRightInd w:val="0"/>
      <w:spacing w:before="120" w:line="360" w:lineRule="auto"/>
      <w:ind w:left="284"/>
      <w:textAlignment w:val="baseline"/>
      <w:outlineLvl w:val="0"/>
    </w:pPr>
    <w:rPr>
      <w:rFonts w:eastAsia="黑体"/>
      <w:color w:val="000000"/>
      <w:kern w:val="44"/>
      <w:sz w:val="36"/>
      <w:szCs w:val="20"/>
    </w:rPr>
  </w:style>
  <w:style w:type="paragraph" w:styleId="2">
    <w:name w:val="heading 2"/>
    <w:basedOn w:val="1"/>
    <w:next w:val="1"/>
    <w:link w:val="45"/>
    <w:qFormat/>
    <w:uiPriority w:val="99"/>
    <w:pPr>
      <w:keepNext/>
      <w:numPr>
        <w:ilvl w:val="1"/>
        <w:numId w:val="1"/>
      </w:numPr>
      <w:adjustRightInd w:val="0"/>
      <w:spacing w:before="120" w:line="360" w:lineRule="auto"/>
      <w:textAlignment w:val="baseline"/>
      <w:outlineLvl w:val="1"/>
    </w:pPr>
    <w:rPr>
      <w:rFonts w:eastAsia="黑体"/>
      <w:b/>
      <w:kern w:val="0"/>
      <w:sz w:val="28"/>
      <w:szCs w:val="20"/>
    </w:rPr>
  </w:style>
  <w:style w:type="paragraph" w:styleId="4">
    <w:name w:val="heading 3"/>
    <w:basedOn w:val="1"/>
    <w:next w:val="1"/>
    <w:link w:val="46"/>
    <w:qFormat/>
    <w:uiPriority w:val="99"/>
    <w:pPr>
      <w:numPr>
        <w:ilvl w:val="2"/>
        <w:numId w:val="1"/>
      </w:numPr>
      <w:tabs>
        <w:tab w:val="left" w:pos="900"/>
      </w:tabs>
      <w:adjustRightInd w:val="0"/>
      <w:spacing w:before="120" w:line="360" w:lineRule="auto"/>
      <w:textAlignment w:val="baseline"/>
      <w:outlineLvl w:val="2"/>
    </w:pPr>
    <w:rPr>
      <w:rFonts w:eastAsia="黑体"/>
      <w:b/>
      <w:kern w:val="0"/>
      <w:sz w:val="28"/>
      <w:szCs w:val="20"/>
    </w:rPr>
  </w:style>
  <w:style w:type="paragraph" w:styleId="5">
    <w:name w:val="heading 4"/>
    <w:basedOn w:val="1"/>
    <w:next w:val="1"/>
    <w:link w:val="47"/>
    <w:qFormat/>
    <w:uiPriority w:val="99"/>
    <w:pPr>
      <w:numPr>
        <w:ilvl w:val="3"/>
        <w:numId w:val="1"/>
      </w:numPr>
      <w:adjustRightInd w:val="0"/>
      <w:spacing w:before="120" w:line="360" w:lineRule="auto"/>
      <w:textAlignment w:val="baseline"/>
      <w:outlineLvl w:val="3"/>
    </w:pPr>
    <w:rPr>
      <w:rFonts w:ascii="Arial" w:eastAsia="黑体"/>
      <w:kern w:val="0"/>
      <w:sz w:val="28"/>
      <w:szCs w:val="20"/>
    </w:rPr>
  </w:style>
  <w:style w:type="paragraph" w:styleId="6">
    <w:name w:val="heading 7"/>
    <w:basedOn w:val="1"/>
    <w:next w:val="1"/>
    <w:qFormat/>
    <w:uiPriority w:val="1"/>
    <w:pPr>
      <w:ind w:left="212"/>
      <w:outlineLvl w:val="6"/>
    </w:pPr>
    <w:rPr>
      <w:rFonts w:ascii="宋体" w:hAnsi="宋体" w:cs="宋体"/>
      <w:b/>
      <w:bCs/>
      <w:szCs w:val="21"/>
      <w:lang w:val="zh-CN" w:bidi="zh-CN"/>
    </w:rPr>
  </w:style>
  <w:style w:type="paragraph" w:styleId="7">
    <w:name w:val="heading 8"/>
    <w:basedOn w:val="1"/>
    <w:next w:val="1"/>
    <w:link w:val="76"/>
    <w:unhideWhenUsed/>
    <w:qFormat/>
    <w:uiPriority w:val="99"/>
    <w:pPr>
      <w:keepNext/>
      <w:keepLines/>
      <w:spacing w:before="240" w:after="64" w:line="320" w:lineRule="auto"/>
      <w:outlineLvl w:val="7"/>
    </w:pPr>
    <w:rPr>
      <w:rFonts w:asciiTheme="majorHAnsi" w:hAnsiTheme="majorHAnsi" w:eastAsiaTheme="majorEastAsia" w:cstheme="majorBidi"/>
      <w:sz w:val="24"/>
    </w:rPr>
  </w:style>
  <w:style w:type="paragraph" w:styleId="8">
    <w:name w:val="heading 9"/>
    <w:basedOn w:val="1"/>
    <w:next w:val="1"/>
    <w:link w:val="48"/>
    <w:qFormat/>
    <w:uiPriority w:val="99"/>
    <w:pPr>
      <w:numPr>
        <w:ilvl w:val="8"/>
        <w:numId w:val="2"/>
      </w:numPr>
      <w:outlineLvl w:val="8"/>
    </w:pPr>
    <w:rPr>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9">
    <w:name w:val="index 8"/>
    <w:basedOn w:val="1"/>
    <w:next w:val="1"/>
    <w:qFormat/>
    <w:uiPriority w:val="0"/>
    <w:pPr>
      <w:ind w:left="2940"/>
    </w:pPr>
  </w:style>
  <w:style w:type="paragraph" w:styleId="10">
    <w:name w:val="Document Map"/>
    <w:basedOn w:val="1"/>
    <w:link w:val="51"/>
    <w:qFormat/>
    <w:uiPriority w:val="99"/>
    <w:rPr>
      <w:rFonts w:ascii="宋体"/>
      <w:sz w:val="18"/>
      <w:szCs w:val="18"/>
    </w:rPr>
  </w:style>
  <w:style w:type="paragraph" w:styleId="11">
    <w:name w:val="annotation text"/>
    <w:basedOn w:val="1"/>
    <w:link w:val="49"/>
    <w:unhideWhenUsed/>
    <w:qFormat/>
    <w:uiPriority w:val="99"/>
    <w:pPr>
      <w:jc w:val="left"/>
    </w:pPr>
  </w:style>
  <w:style w:type="paragraph" w:styleId="12">
    <w:name w:val="Body Text"/>
    <w:basedOn w:val="1"/>
    <w:link w:val="52"/>
    <w:qFormat/>
    <w:uiPriority w:val="99"/>
    <w:pPr>
      <w:spacing w:after="120"/>
    </w:pPr>
  </w:style>
  <w:style w:type="paragraph" w:styleId="13">
    <w:name w:val="Body Text Indent"/>
    <w:basedOn w:val="1"/>
    <w:link w:val="53"/>
    <w:qFormat/>
    <w:uiPriority w:val="0"/>
    <w:pPr>
      <w:spacing w:line="200" w:lineRule="exact"/>
      <w:ind w:firstLine="301"/>
    </w:pPr>
    <w:rPr>
      <w:rFonts w:ascii="宋体" w:hAnsi="Courier New"/>
      <w:spacing w:val="-4"/>
      <w:sz w:val="18"/>
      <w:szCs w:val="20"/>
    </w:rPr>
  </w:style>
  <w:style w:type="paragraph" w:styleId="14">
    <w:name w:val="toc 3"/>
    <w:basedOn w:val="1"/>
    <w:next w:val="1"/>
    <w:unhideWhenUsed/>
    <w:qFormat/>
    <w:uiPriority w:val="99"/>
    <w:pPr>
      <w:widowControl/>
      <w:spacing w:after="100" w:line="276" w:lineRule="auto"/>
      <w:ind w:left="440"/>
      <w:jc w:val="left"/>
    </w:pPr>
    <w:rPr>
      <w:rFonts w:ascii="Calibri" w:hAnsi="Calibri"/>
      <w:kern w:val="0"/>
      <w:sz w:val="22"/>
      <w:szCs w:val="22"/>
    </w:rPr>
  </w:style>
  <w:style w:type="paragraph" w:styleId="15">
    <w:name w:val="Plain Text"/>
    <w:basedOn w:val="1"/>
    <w:next w:val="9"/>
    <w:link w:val="54"/>
    <w:qFormat/>
    <w:uiPriority w:val="0"/>
    <w:rPr>
      <w:rFonts w:ascii="宋体" w:hAnsi="Courier New"/>
      <w:szCs w:val="20"/>
    </w:rPr>
  </w:style>
  <w:style w:type="paragraph" w:styleId="16">
    <w:name w:val="Date"/>
    <w:basedOn w:val="1"/>
    <w:next w:val="1"/>
    <w:link w:val="55"/>
    <w:qFormat/>
    <w:uiPriority w:val="99"/>
  </w:style>
  <w:style w:type="paragraph" w:styleId="17">
    <w:name w:val="Body Text Indent 2"/>
    <w:basedOn w:val="1"/>
    <w:link w:val="56"/>
    <w:qFormat/>
    <w:uiPriority w:val="99"/>
    <w:pPr>
      <w:spacing w:after="120" w:line="480" w:lineRule="auto"/>
      <w:ind w:left="420" w:leftChars="200"/>
    </w:pPr>
  </w:style>
  <w:style w:type="paragraph" w:styleId="18">
    <w:name w:val="Balloon Text"/>
    <w:basedOn w:val="1"/>
    <w:link w:val="57"/>
    <w:qFormat/>
    <w:uiPriority w:val="0"/>
    <w:rPr>
      <w:sz w:val="18"/>
      <w:szCs w:val="18"/>
    </w:rPr>
  </w:style>
  <w:style w:type="paragraph" w:styleId="19">
    <w:name w:val="footer"/>
    <w:basedOn w:val="1"/>
    <w:link w:val="101"/>
    <w:unhideWhenUsed/>
    <w:qFormat/>
    <w:uiPriority w:val="99"/>
    <w:pPr>
      <w:tabs>
        <w:tab w:val="center" w:pos="4153"/>
        <w:tab w:val="right" w:pos="8306"/>
      </w:tabs>
      <w:snapToGrid w:val="0"/>
      <w:jc w:val="left"/>
    </w:pPr>
    <w:rPr>
      <w:sz w:val="18"/>
      <w:szCs w:val="18"/>
    </w:rPr>
  </w:style>
  <w:style w:type="paragraph" w:styleId="20">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99"/>
    <w:pPr>
      <w:spacing w:before="120" w:after="120"/>
      <w:jc w:val="left"/>
      <w:outlineLvl w:val="0"/>
    </w:pPr>
    <w:rPr>
      <w:b/>
      <w:color w:val="000000"/>
      <w:sz w:val="48"/>
      <w:szCs w:val="48"/>
    </w:rPr>
  </w:style>
  <w:style w:type="paragraph" w:styleId="22">
    <w:name w:val="toc 6"/>
    <w:basedOn w:val="1"/>
    <w:next w:val="1"/>
    <w:unhideWhenUsed/>
    <w:qFormat/>
    <w:uiPriority w:val="39"/>
    <w:pPr>
      <w:ind w:left="141" w:leftChars="67"/>
    </w:pPr>
    <w:rPr>
      <w:rFonts w:eastAsia="仿宋_GB2312"/>
      <w:sz w:val="32"/>
      <w:szCs w:val="32"/>
    </w:rPr>
  </w:style>
  <w:style w:type="paragraph" w:styleId="23">
    <w:name w:val="toc 2"/>
    <w:basedOn w:val="1"/>
    <w:next w:val="1"/>
    <w:qFormat/>
    <w:uiPriority w:val="99"/>
    <w:pPr>
      <w:tabs>
        <w:tab w:val="right" w:leader="dot" w:pos="9628"/>
      </w:tabs>
      <w:ind w:left="420" w:firstLine="120"/>
      <w:jc w:val="left"/>
    </w:pPr>
    <w:rPr>
      <w:smallCaps/>
      <w:sz w:val="20"/>
      <w:szCs w:val="20"/>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5">
    <w:name w:val="Title"/>
    <w:basedOn w:val="1"/>
    <w:next w:val="1"/>
    <w:link w:val="58"/>
    <w:qFormat/>
    <w:uiPriority w:val="99"/>
    <w:pPr>
      <w:spacing w:before="240" w:after="60"/>
      <w:jc w:val="center"/>
      <w:outlineLvl w:val="0"/>
    </w:pPr>
    <w:rPr>
      <w:rFonts w:ascii="Cambria" w:hAnsi="Cambria"/>
      <w:b/>
      <w:bCs/>
      <w:sz w:val="32"/>
      <w:szCs w:val="32"/>
    </w:rPr>
  </w:style>
  <w:style w:type="paragraph" w:styleId="26">
    <w:name w:val="annotation subject"/>
    <w:basedOn w:val="11"/>
    <w:next w:val="11"/>
    <w:link w:val="50"/>
    <w:semiHidden/>
    <w:qFormat/>
    <w:uiPriority w:val="99"/>
    <w:rPr>
      <w:b/>
      <w:bCs/>
    </w:rPr>
  </w:style>
  <w:style w:type="table" w:styleId="28">
    <w:name w:val="Table Grid"/>
    <w:basedOn w:val="2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99"/>
    <w:rPr>
      <w:rFonts w:cs="Times New Roman"/>
    </w:rPr>
  </w:style>
  <w:style w:type="character" w:styleId="31">
    <w:name w:val="page number"/>
    <w:basedOn w:val="29"/>
    <w:qFormat/>
    <w:uiPriority w:val="99"/>
  </w:style>
  <w:style w:type="character" w:styleId="32">
    <w:name w:val="FollowedHyperlink"/>
    <w:basedOn w:val="29"/>
    <w:unhideWhenUsed/>
    <w:qFormat/>
    <w:uiPriority w:val="99"/>
    <w:rPr>
      <w:color w:val="800080"/>
      <w:u w:val="none"/>
    </w:rPr>
  </w:style>
  <w:style w:type="character" w:styleId="33">
    <w:name w:val="Emphasis"/>
    <w:qFormat/>
    <w:uiPriority w:val="99"/>
    <w:rPr>
      <w:rFonts w:cs="Times New Roman"/>
    </w:rPr>
  </w:style>
  <w:style w:type="character" w:styleId="34">
    <w:name w:val="HTML Definition"/>
    <w:qFormat/>
    <w:uiPriority w:val="99"/>
    <w:rPr>
      <w:rFonts w:cs="Times New Roman"/>
    </w:rPr>
  </w:style>
  <w:style w:type="character" w:styleId="35">
    <w:name w:val="HTML Acronym"/>
    <w:qFormat/>
    <w:uiPriority w:val="99"/>
    <w:rPr>
      <w:rFonts w:cs="Times New Roman"/>
    </w:rPr>
  </w:style>
  <w:style w:type="character" w:styleId="36">
    <w:name w:val="HTML Variable"/>
    <w:qFormat/>
    <w:uiPriority w:val="99"/>
    <w:rPr>
      <w:rFonts w:cs="Times New Roman"/>
      <w:color w:val="FFFFFF"/>
      <w:u w:val="none"/>
      <w:shd w:val="clear" w:color="auto" w:fill="FF9933"/>
    </w:rPr>
  </w:style>
  <w:style w:type="character" w:styleId="37">
    <w:name w:val="Hyperlink"/>
    <w:basedOn w:val="29"/>
    <w:qFormat/>
    <w:uiPriority w:val="99"/>
    <w:rPr>
      <w:color w:val="0000FF"/>
      <w:u w:val="none"/>
    </w:rPr>
  </w:style>
  <w:style w:type="character" w:styleId="38">
    <w:name w:val="HTML Code"/>
    <w:qFormat/>
    <w:uiPriority w:val="99"/>
    <w:rPr>
      <w:rFonts w:ascii="Courier New" w:hAnsi="Courier New" w:cs="Times New Roman"/>
      <w:sz w:val="20"/>
    </w:rPr>
  </w:style>
  <w:style w:type="character" w:styleId="39">
    <w:name w:val="annotation reference"/>
    <w:semiHidden/>
    <w:qFormat/>
    <w:uiPriority w:val="99"/>
    <w:rPr>
      <w:sz w:val="21"/>
      <w:szCs w:val="21"/>
    </w:rPr>
  </w:style>
  <w:style w:type="character" w:styleId="40">
    <w:name w:val="HTML Cite"/>
    <w:qFormat/>
    <w:uiPriority w:val="99"/>
    <w:rPr>
      <w:rFonts w:cs="Times New Roman"/>
    </w:rPr>
  </w:style>
  <w:style w:type="paragraph" w:customStyle="1" w:styleId="41">
    <w:name w:val="footer1"/>
    <w:basedOn w:val="1"/>
    <w:qFormat/>
    <w:uiPriority w:val="0"/>
    <w:pPr>
      <w:tabs>
        <w:tab w:val="center" w:pos="4153"/>
        <w:tab w:val="right" w:pos="8306"/>
      </w:tabs>
      <w:snapToGrid w:val="0"/>
      <w:jc w:val="left"/>
    </w:pPr>
    <w:rPr>
      <w:rFonts w:ascii="Calibri" w:hAnsi="Calibri"/>
      <w:sz w:val="18"/>
    </w:rPr>
  </w:style>
  <w:style w:type="character" w:customStyle="1" w:styleId="42">
    <w:name w:val="页眉 Char"/>
    <w:basedOn w:val="29"/>
    <w:link w:val="20"/>
    <w:qFormat/>
    <w:uiPriority w:val="99"/>
    <w:rPr>
      <w:sz w:val="18"/>
      <w:szCs w:val="18"/>
    </w:rPr>
  </w:style>
  <w:style w:type="character" w:customStyle="1" w:styleId="43">
    <w:name w:val="页脚 Char"/>
    <w:basedOn w:val="29"/>
    <w:qFormat/>
    <w:uiPriority w:val="99"/>
    <w:rPr>
      <w:sz w:val="18"/>
      <w:szCs w:val="18"/>
    </w:rPr>
  </w:style>
  <w:style w:type="character" w:customStyle="1" w:styleId="44">
    <w:name w:val="标题 1 Char"/>
    <w:basedOn w:val="29"/>
    <w:link w:val="3"/>
    <w:qFormat/>
    <w:uiPriority w:val="99"/>
    <w:rPr>
      <w:rFonts w:ascii="Times New Roman" w:hAnsi="Times New Roman" w:eastAsia="黑体" w:cs="Times New Roman"/>
      <w:color w:val="000000"/>
      <w:kern w:val="44"/>
      <w:sz w:val="36"/>
      <w:szCs w:val="20"/>
    </w:rPr>
  </w:style>
  <w:style w:type="character" w:customStyle="1" w:styleId="45">
    <w:name w:val="标题 2 Char"/>
    <w:basedOn w:val="29"/>
    <w:link w:val="2"/>
    <w:qFormat/>
    <w:uiPriority w:val="99"/>
    <w:rPr>
      <w:rFonts w:ascii="Times New Roman" w:hAnsi="Times New Roman" w:eastAsia="黑体" w:cs="Times New Roman"/>
      <w:b/>
      <w:kern w:val="0"/>
      <w:sz w:val="28"/>
      <w:szCs w:val="20"/>
    </w:rPr>
  </w:style>
  <w:style w:type="character" w:customStyle="1" w:styleId="46">
    <w:name w:val="标题 3 Char"/>
    <w:basedOn w:val="29"/>
    <w:link w:val="4"/>
    <w:qFormat/>
    <w:uiPriority w:val="99"/>
    <w:rPr>
      <w:rFonts w:ascii="Times New Roman" w:hAnsi="Times New Roman" w:eastAsia="黑体" w:cs="Times New Roman"/>
      <w:b/>
      <w:kern w:val="0"/>
      <w:sz w:val="28"/>
      <w:szCs w:val="20"/>
    </w:rPr>
  </w:style>
  <w:style w:type="character" w:customStyle="1" w:styleId="47">
    <w:name w:val="标题 4 Char"/>
    <w:basedOn w:val="29"/>
    <w:link w:val="5"/>
    <w:qFormat/>
    <w:uiPriority w:val="99"/>
    <w:rPr>
      <w:rFonts w:ascii="Arial" w:hAnsi="Times New Roman" w:eastAsia="黑体" w:cs="Times New Roman"/>
      <w:kern w:val="0"/>
      <w:sz w:val="28"/>
      <w:szCs w:val="20"/>
    </w:rPr>
  </w:style>
  <w:style w:type="character" w:customStyle="1" w:styleId="48">
    <w:name w:val="标题 9 Char"/>
    <w:basedOn w:val="29"/>
    <w:link w:val="8"/>
    <w:qFormat/>
    <w:uiPriority w:val="99"/>
    <w:rPr>
      <w:rFonts w:ascii="Times New Roman" w:hAnsi="Times New Roman" w:eastAsia="宋体" w:cs="Times New Roman"/>
      <w:szCs w:val="21"/>
    </w:rPr>
  </w:style>
  <w:style w:type="character" w:customStyle="1" w:styleId="49">
    <w:name w:val="批注文字 Char"/>
    <w:basedOn w:val="29"/>
    <w:link w:val="11"/>
    <w:qFormat/>
    <w:uiPriority w:val="99"/>
    <w:rPr>
      <w:rFonts w:ascii="Times New Roman" w:hAnsi="Times New Roman" w:eastAsia="宋体" w:cs="Times New Roman"/>
      <w:szCs w:val="24"/>
    </w:rPr>
  </w:style>
  <w:style w:type="character" w:customStyle="1" w:styleId="50">
    <w:name w:val="批注主题 Char"/>
    <w:basedOn w:val="49"/>
    <w:link w:val="26"/>
    <w:semiHidden/>
    <w:qFormat/>
    <w:uiPriority w:val="99"/>
    <w:rPr>
      <w:rFonts w:ascii="Times New Roman" w:hAnsi="Times New Roman" w:eastAsia="宋体" w:cs="Times New Roman"/>
      <w:b/>
      <w:bCs/>
      <w:szCs w:val="24"/>
    </w:rPr>
  </w:style>
  <w:style w:type="character" w:customStyle="1" w:styleId="51">
    <w:name w:val="文档结构图 Char"/>
    <w:basedOn w:val="29"/>
    <w:link w:val="10"/>
    <w:qFormat/>
    <w:uiPriority w:val="99"/>
    <w:rPr>
      <w:rFonts w:ascii="宋体" w:hAnsi="Times New Roman" w:eastAsia="宋体" w:cs="Times New Roman"/>
      <w:sz w:val="18"/>
      <w:szCs w:val="18"/>
    </w:rPr>
  </w:style>
  <w:style w:type="character" w:customStyle="1" w:styleId="52">
    <w:name w:val="正文文本 Char"/>
    <w:basedOn w:val="29"/>
    <w:link w:val="12"/>
    <w:qFormat/>
    <w:uiPriority w:val="99"/>
    <w:rPr>
      <w:rFonts w:ascii="Times New Roman" w:hAnsi="Times New Roman" w:eastAsia="宋体" w:cs="Times New Roman"/>
      <w:szCs w:val="24"/>
    </w:rPr>
  </w:style>
  <w:style w:type="character" w:customStyle="1" w:styleId="53">
    <w:name w:val="正文文本缩进 Char"/>
    <w:basedOn w:val="29"/>
    <w:link w:val="13"/>
    <w:qFormat/>
    <w:uiPriority w:val="0"/>
    <w:rPr>
      <w:rFonts w:ascii="宋体" w:hAnsi="Courier New" w:eastAsia="宋体" w:cs="Times New Roman"/>
      <w:spacing w:val="-4"/>
      <w:sz w:val="18"/>
      <w:szCs w:val="20"/>
    </w:rPr>
  </w:style>
  <w:style w:type="character" w:customStyle="1" w:styleId="54">
    <w:name w:val="纯文本 Char"/>
    <w:basedOn w:val="29"/>
    <w:link w:val="15"/>
    <w:qFormat/>
    <w:uiPriority w:val="0"/>
    <w:rPr>
      <w:rFonts w:ascii="宋体" w:hAnsi="Courier New" w:eastAsia="宋体" w:cs="Times New Roman"/>
      <w:szCs w:val="20"/>
    </w:rPr>
  </w:style>
  <w:style w:type="character" w:customStyle="1" w:styleId="55">
    <w:name w:val="日期 Char"/>
    <w:basedOn w:val="29"/>
    <w:link w:val="16"/>
    <w:qFormat/>
    <w:uiPriority w:val="99"/>
    <w:rPr>
      <w:rFonts w:ascii="Times New Roman" w:hAnsi="Times New Roman" w:eastAsia="宋体" w:cs="Times New Roman"/>
      <w:szCs w:val="24"/>
    </w:rPr>
  </w:style>
  <w:style w:type="character" w:customStyle="1" w:styleId="56">
    <w:name w:val="正文文本缩进 2 Char"/>
    <w:basedOn w:val="29"/>
    <w:link w:val="17"/>
    <w:qFormat/>
    <w:uiPriority w:val="99"/>
    <w:rPr>
      <w:rFonts w:ascii="Times New Roman" w:hAnsi="Times New Roman" w:eastAsia="宋体" w:cs="Times New Roman"/>
      <w:szCs w:val="24"/>
    </w:rPr>
  </w:style>
  <w:style w:type="character" w:customStyle="1" w:styleId="57">
    <w:name w:val="批注框文本 Char"/>
    <w:basedOn w:val="29"/>
    <w:link w:val="18"/>
    <w:qFormat/>
    <w:uiPriority w:val="0"/>
    <w:rPr>
      <w:rFonts w:ascii="Times New Roman" w:hAnsi="Times New Roman" w:eastAsia="宋体" w:cs="Times New Roman"/>
      <w:sz w:val="18"/>
      <w:szCs w:val="18"/>
    </w:rPr>
  </w:style>
  <w:style w:type="character" w:customStyle="1" w:styleId="58">
    <w:name w:val="标题 Char"/>
    <w:basedOn w:val="29"/>
    <w:link w:val="25"/>
    <w:qFormat/>
    <w:uiPriority w:val="99"/>
    <w:rPr>
      <w:rFonts w:ascii="Cambria" w:hAnsi="Cambria" w:eastAsia="宋体" w:cs="Times New Roman"/>
      <w:b/>
      <w:bCs/>
      <w:sz w:val="32"/>
      <w:szCs w:val="32"/>
    </w:rPr>
  </w:style>
  <w:style w:type="paragraph" w:customStyle="1" w:styleId="59">
    <w:name w:val="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60">
    <w:name w:val="正文段"/>
    <w:basedOn w:val="1"/>
    <w:qFormat/>
    <w:uiPriority w:val="99"/>
    <w:pPr>
      <w:widowControl/>
      <w:snapToGrid w:val="0"/>
      <w:spacing w:afterLines="50"/>
      <w:ind w:firstLine="200" w:firstLineChars="200"/>
    </w:pPr>
    <w:rPr>
      <w:kern w:val="0"/>
      <w:sz w:val="24"/>
      <w:szCs w:val="20"/>
    </w:rPr>
  </w:style>
  <w:style w:type="paragraph" w:customStyle="1" w:styleId="61">
    <w:name w:val="Char Char Char Char Char Char Char"/>
    <w:basedOn w:val="1"/>
    <w:qFormat/>
    <w:uiPriority w:val="99"/>
    <w:rPr>
      <w:szCs w:val="21"/>
    </w:rPr>
  </w:style>
  <w:style w:type="paragraph" w:customStyle="1" w:styleId="62">
    <w:name w:val="Char"/>
    <w:basedOn w:val="1"/>
    <w:qFormat/>
    <w:uiPriority w:val="99"/>
    <w:rPr>
      <w:szCs w:val="21"/>
    </w:rPr>
  </w:style>
  <w:style w:type="paragraph" w:customStyle="1" w:styleId="63">
    <w:name w:val="Char Char Char1"/>
    <w:basedOn w:val="1"/>
    <w:qFormat/>
    <w:uiPriority w:val="99"/>
    <w:rPr>
      <w:rFonts w:ascii="Tahoma" w:hAnsi="Tahoma"/>
      <w:sz w:val="24"/>
      <w:szCs w:val="20"/>
    </w:rPr>
  </w:style>
  <w:style w:type="paragraph" w:customStyle="1" w:styleId="64">
    <w:name w:val="_Style 33"/>
    <w:basedOn w:val="3"/>
    <w:next w:val="1"/>
    <w:unhideWhenUsed/>
    <w:qFormat/>
    <w:uiPriority w:val="99"/>
    <w:pPr>
      <w:widowControl/>
      <w:adjustRightInd/>
      <w:spacing w:before="480" w:line="276" w:lineRule="auto"/>
      <w:ind w:left="0"/>
      <w:jc w:val="left"/>
      <w:textAlignment w:val="auto"/>
      <w:outlineLvl w:val="9"/>
    </w:pPr>
    <w:rPr>
      <w:rFonts w:ascii="Cambria" w:hAnsi="Cambria" w:eastAsia="宋体"/>
      <w:bCs/>
      <w:color w:val="365F91"/>
      <w:kern w:val="0"/>
      <w:szCs w:val="28"/>
    </w:rPr>
  </w:style>
  <w:style w:type="character" w:customStyle="1" w:styleId="65">
    <w:name w:val="纯文本 Char2"/>
    <w:qFormat/>
    <w:uiPriority w:val="99"/>
    <w:rPr>
      <w:rFonts w:ascii="宋体" w:hAnsi="Courier New" w:eastAsia="宋体"/>
      <w:kern w:val="2"/>
      <w:sz w:val="21"/>
      <w:lang w:val="en-US" w:eastAsia="zh-CN" w:bidi="ar-SA"/>
    </w:rPr>
  </w:style>
  <w:style w:type="paragraph" w:customStyle="1" w:styleId="66">
    <w:name w:val="p16"/>
    <w:basedOn w:val="1"/>
    <w:qFormat/>
    <w:uiPriority w:val="99"/>
    <w:pPr>
      <w:widowControl/>
    </w:pPr>
    <w:rPr>
      <w:rFonts w:ascii="宋体" w:hAnsi="宋体" w:cs="宋体"/>
      <w:kern w:val="0"/>
      <w:szCs w:val="21"/>
    </w:rPr>
  </w:style>
  <w:style w:type="paragraph" w:customStyle="1" w:styleId="67">
    <w:name w:val="列出段落1"/>
    <w:basedOn w:val="1"/>
    <w:unhideWhenUsed/>
    <w:qFormat/>
    <w:uiPriority w:val="99"/>
    <w:pPr>
      <w:ind w:firstLine="420" w:firstLineChars="200"/>
    </w:pPr>
  </w:style>
  <w:style w:type="character" w:customStyle="1" w:styleId="68">
    <w:name w:val="纯文本 Char1"/>
    <w:qFormat/>
    <w:uiPriority w:val="0"/>
    <w:rPr>
      <w:rFonts w:ascii="宋体" w:hAnsi="Courier New" w:eastAsia="宋体"/>
    </w:rPr>
  </w:style>
  <w:style w:type="paragraph" w:customStyle="1" w:styleId="69">
    <w:name w:val="正文1"/>
    <w:qFormat/>
    <w:uiPriority w:val="99"/>
    <w:pPr>
      <w:jc w:val="both"/>
    </w:pPr>
    <w:rPr>
      <w:rFonts w:ascii="Times New Roman" w:hAnsi="Times New Roman" w:eastAsia="宋体" w:cs="Times New Roman"/>
      <w:kern w:val="2"/>
      <w:sz w:val="21"/>
      <w:szCs w:val="21"/>
      <w:lang w:val="en-US" w:eastAsia="zh-CN" w:bidi="ar-SA"/>
    </w:rPr>
  </w:style>
  <w:style w:type="paragraph" w:customStyle="1" w:styleId="70">
    <w:name w:val="#"/>
    <w:basedOn w:val="1"/>
    <w:qFormat/>
    <w:uiPriority w:val="99"/>
    <w:pPr>
      <w:numPr>
        <w:ilvl w:val="0"/>
        <w:numId w:val="2"/>
      </w:numPr>
      <w:tabs>
        <w:tab w:val="left" w:pos="964"/>
      </w:tabs>
      <w:spacing w:line="360" w:lineRule="auto"/>
    </w:pPr>
    <w:rPr>
      <w:sz w:val="24"/>
    </w:rPr>
  </w:style>
  <w:style w:type="paragraph" w:customStyle="1" w:styleId="71">
    <w:name w:val="列出段落2"/>
    <w:basedOn w:val="1"/>
    <w:link w:val="72"/>
    <w:unhideWhenUsed/>
    <w:qFormat/>
    <w:uiPriority w:val="99"/>
    <w:pPr>
      <w:ind w:firstLine="420" w:firstLineChars="200"/>
    </w:pPr>
  </w:style>
  <w:style w:type="character" w:customStyle="1" w:styleId="72">
    <w:name w:val="列出段落 Char"/>
    <w:link w:val="71"/>
    <w:qFormat/>
    <w:uiPriority w:val="99"/>
    <w:rPr>
      <w:rFonts w:ascii="Times New Roman" w:hAnsi="Times New Roman" w:eastAsia="宋体" w:cs="Times New Roman"/>
      <w:szCs w:val="24"/>
    </w:rPr>
  </w:style>
  <w:style w:type="paragraph" w:customStyle="1" w:styleId="73">
    <w:name w:val="列出段落21"/>
    <w:basedOn w:val="1"/>
    <w:qFormat/>
    <w:uiPriority w:val="99"/>
    <w:pPr>
      <w:ind w:firstLine="420" w:firstLineChars="200"/>
    </w:pPr>
  </w:style>
  <w:style w:type="paragraph" w:styleId="7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75">
    <w:name w:val="List Paragraph"/>
    <w:basedOn w:val="1"/>
    <w:unhideWhenUsed/>
    <w:qFormat/>
    <w:uiPriority w:val="99"/>
    <w:pPr>
      <w:ind w:firstLine="420" w:firstLineChars="200"/>
    </w:pPr>
    <w:rPr>
      <w:rFonts w:asciiTheme="minorHAnsi" w:hAnsiTheme="minorHAnsi" w:eastAsiaTheme="minorEastAsia" w:cstheme="minorBidi"/>
    </w:rPr>
  </w:style>
  <w:style w:type="character" w:customStyle="1" w:styleId="76">
    <w:name w:val="标题 8 Char"/>
    <w:basedOn w:val="29"/>
    <w:link w:val="7"/>
    <w:qFormat/>
    <w:uiPriority w:val="99"/>
    <w:rPr>
      <w:rFonts w:asciiTheme="majorHAnsi" w:hAnsiTheme="majorHAnsi" w:eastAsiaTheme="majorEastAsia" w:cstheme="majorBidi"/>
      <w:sz w:val="24"/>
      <w:szCs w:val="24"/>
    </w:rPr>
  </w:style>
  <w:style w:type="paragraph" w:customStyle="1" w:styleId="77">
    <w:name w:val="_Style 1"/>
    <w:basedOn w:val="1"/>
    <w:qFormat/>
    <w:uiPriority w:val="99"/>
    <w:pPr>
      <w:ind w:firstLine="420" w:firstLineChars="200"/>
    </w:pPr>
  </w:style>
  <w:style w:type="character" w:customStyle="1" w:styleId="78">
    <w:name w:val="now1"/>
    <w:qFormat/>
    <w:uiPriority w:val="99"/>
    <w:rPr>
      <w:rFonts w:cs="Times New Roman"/>
    </w:rPr>
  </w:style>
  <w:style w:type="character" w:customStyle="1" w:styleId="79">
    <w:name w:val="now2"/>
    <w:qFormat/>
    <w:uiPriority w:val="99"/>
    <w:rPr>
      <w:rFonts w:cs="Times New Roman"/>
    </w:rPr>
  </w:style>
  <w:style w:type="character" w:customStyle="1" w:styleId="80">
    <w:name w:val="reason"/>
    <w:qFormat/>
    <w:uiPriority w:val="99"/>
    <w:rPr>
      <w:rFonts w:cs="Times New Roman"/>
      <w:color w:val="999999"/>
    </w:rPr>
  </w:style>
  <w:style w:type="character" w:customStyle="1" w:styleId="81">
    <w:name w:val="inq"/>
    <w:qFormat/>
    <w:uiPriority w:val="99"/>
    <w:rPr>
      <w:rFonts w:cs="Times New Roman"/>
      <w:color w:val="333333"/>
    </w:rPr>
  </w:style>
  <w:style w:type="character" w:customStyle="1" w:styleId="82">
    <w:name w:val="inq1"/>
    <w:qFormat/>
    <w:uiPriority w:val="99"/>
    <w:rPr>
      <w:rFonts w:cs="Times New Roman"/>
    </w:rPr>
  </w:style>
  <w:style w:type="character" w:customStyle="1" w:styleId="83">
    <w:name w:val="submit4"/>
    <w:qFormat/>
    <w:uiPriority w:val="99"/>
    <w:rPr>
      <w:rFonts w:cs="Times New Roman"/>
    </w:rPr>
  </w:style>
  <w:style w:type="character" w:customStyle="1" w:styleId="84">
    <w:name w:val="pl9"/>
    <w:qFormat/>
    <w:uiPriority w:val="99"/>
    <w:rPr>
      <w:rFonts w:cs="Times New Roman"/>
    </w:rPr>
  </w:style>
  <w:style w:type="character" w:customStyle="1" w:styleId="85">
    <w:name w:val="pl10"/>
    <w:qFormat/>
    <w:uiPriority w:val="99"/>
    <w:rPr>
      <w:rFonts w:cs="Times New Roman"/>
    </w:rPr>
  </w:style>
  <w:style w:type="character" w:customStyle="1" w:styleId="86">
    <w:name w:val="info"/>
    <w:qFormat/>
    <w:uiPriority w:val="99"/>
    <w:rPr>
      <w:rFonts w:cs="Times New Roman"/>
      <w:color w:val="666666"/>
    </w:rPr>
  </w:style>
  <w:style w:type="character" w:customStyle="1" w:styleId="87">
    <w:name w:val="up2"/>
    <w:qFormat/>
    <w:uiPriority w:val="99"/>
    <w:rPr>
      <w:rFonts w:cs="Times New Roman"/>
    </w:rPr>
  </w:style>
  <w:style w:type="character" w:customStyle="1" w:styleId="88">
    <w:name w:val="subject-rate2"/>
    <w:qFormat/>
    <w:uiPriority w:val="99"/>
    <w:rPr>
      <w:rFonts w:cs="Times New Roman"/>
      <w:color w:val="E09015"/>
    </w:rPr>
  </w:style>
  <w:style w:type="character" w:customStyle="1" w:styleId="89">
    <w:name w:val="up"/>
    <w:qFormat/>
    <w:uiPriority w:val="99"/>
    <w:rPr>
      <w:rFonts w:cs="Times New Roman"/>
    </w:rPr>
  </w:style>
  <w:style w:type="character" w:customStyle="1" w:styleId="90">
    <w:name w:val="now"/>
    <w:qFormat/>
    <w:uiPriority w:val="99"/>
    <w:rPr>
      <w:rFonts w:cs="Times New Roman"/>
    </w:rPr>
  </w:style>
  <w:style w:type="character" w:customStyle="1" w:styleId="91">
    <w:name w:val="submit"/>
    <w:qFormat/>
    <w:uiPriority w:val="99"/>
    <w:rPr>
      <w:rFonts w:cs="Times New Roman"/>
      <w:vanish/>
    </w:rPr>
  </w:style>
  <w:style w:type="character" w:customStyle="1" w:styleId="92">
    <w:name w:val="pl7"/>
    <w:qFormat/>
    <w:uiPriority w:val="99"/>
    <w:rPr>
      <w:rFonts w:cs="Times New Roman"/>
    </w:rPr>
  </w:style>
  <w:style w:type="character" w:customStyle="1" w:styleId="93">
    <w:name w:val="info12"/>
    <w:qFormat/>
    <w:uiPriority w:val="99"/>
    <w:rPr>
      <w:rFonts w:cs="Times New Roman"/>
      <w:color w:val="666666"/>
    </w:rPr>
  </w:style>
  <w:style w:type="character" w:customStyle="1" w:styleId="94">
    <w:name w:val="pl8"/>
    <w:qFormat/>
    <w:uiPriority w:val="99"/>
    <w:rPr>
      <w:rFonts w:cs="Times New Roman"/>
    </w:rPr>
  </w:style>
  <w:style w:type="paragraph" w:customStyle="1" w:styleId="95">
    <w:name w:val="列出段落3"/>
    <w:basedOn w:val="1"/>
    <w:qFormat/>
    <w:uiPriority w:val="99"/>
    <w:pPr>
      <w:spacing w:afterLines="50" w:line="560" w:lineRule="exact"/>
      <w:ind w:firstLine="420" w:firstLineChars="200"/>
      <w:jc w:val="center"/>
    </w:pPr>
    <w:rPr>
      <w:rFonts w:ascii="Calibri" w:hAnsi="Calibri"/>
      <w:szCs w:val="22"/>
    </w:rPr>
  </w:style>
  <w:style w:type="paragraph" w:customStyle="1" w:styleId="96">
    <w:name w:val="p15"/>
    <w:basedOn w:val="1"/>
    <w:qFormat/>
    <w:uiPriority w:val="0"/>
    <w:pPr>
      <w:widowControl/>
    </w:pPr>
    <w:rPr>
      <w:rFonts w:ascii="宋体" w:hAnsi="宋体" w:cs="宋体"/>
      <w:kern w:val="0"/>
      <w:sz w:val="20"/>
      <w:szCs w:val="20"/>
    </w:rPr>
  </w:style>
  <w:style w:type="paragraph" w:customStyle="1" w:styleId="97">
    <w:name w:val="Table Paragraph"/>
    <w:basedOn w:val="1"/>
    <w:qFormat/>
    <w:uiPriority w:val="1"/>
    <w:rPr>
      <w:rFonts w:ascii="宋体" w:hAnsi="宋体" w:cs="宋体"/>
      <w:lang w:val="zh-CN" w:bidi="zh-CN"/>
    </w:rPr>
  </w:style>
  <w:style w:type="paragraph" w:customStyle="1" w:styleId="98">
    <w:name w:val="样式2"/>
    <w:basedOn w:val="2"/>
    <w:qFormat/>
    <w:uiPriority w:val="0"/>
    <w:pPr>
      <w:spacing w:line="415" w:lineRule="auto"/>
      <w:jc w:val="center"/>
    </w:pPr>
    <w:rPr>
      <w:rFonts w:eastAsia="华文中宋"/>
      <w:sz w:val="36"/>
      <w:szCs w:val="36"/>
    </w:rPr>
  </w:style>
  <w:style w:type="paragraph" w:customStyle="1" w:styleId="99">
    <w:name w:val="_Style 95"/>
    <w:basedOn w:val="1"/>
    <w:next w:val="1"/>
    <w:qFormat/>
    <w:uiPriority w:val="0"/>
    <w:pPr>
      <w:pBdr>
        <w:bottom w:val="single" w:color="auto" w:sz="6" w:space="1"/>
      </w:pBdr>
      <w:jc w:val="center"/>
    </w:pPr>
    <w:rPr>
      <w:rFonts w:ascii="Arial"/>
      <w:vanish/>
      <w:sz w:val="16"/>
    </w:rPr>
  </w:style>
  <w:style w:type="paragraph" w:customStyle="1" w:styleId="100">
    <w:name w:val="_Style 96"/>
    <w:basedOn w:val="1"/>
    <w:next w:val="1"/>
    <w:qFormat/>
    <w:uiPriority w:val="0"/>
    <w:pPr>
      <w:pBdr>
        <w:top w:val="single" w:color="auto" w:sz="6" w:space="1"/>
      </w:pBdr>
      <w:jc w:val="center"/>
    </w:pPr>
    <w:rPr>
      <w:rFonts w:ascii="Arial"/>
      <w:vanish/>
      <w:sz w:val="16"/>
    </w:rPr>
  </w:style>
  <w:style w:type="character" w:customStyle="1" w:styleId="101">
    <w:name w:val="页脚 Char1"/>
    <w:basedOn w:val="29"/>
    <w:link w:val="19"/>
    <w:qFormat/>
    <w:uiPriority w:val="99"/>
    <w:rPr>
      <w:kern w:val="2"/>
      <w:sz w:val="18"/>
      <w:szCs w:val="18"/>
    </w:rPr>
  </w:style>
  <w:style w:type="character" w:customStyle="1" w:styleId="102">
    <w:name w:val="time"/>
    <w:basedOn w:val="29"/>
    <w:qFormat/>
    <w:uiPriority w:val="0"/>
    <w:rPr>
      <w:color w:val="999999"/>
    </w:rPr>
  </w:style>
  <w:style w:type="character" w:customStyle="1" w:styleId="103">
    <w:name w:val="first-child"/>
    <w:basedOn w:val="29"/>
    <w:qFormat/>
    <w:uiPriority w:val="0"/>
  </w:style>
  <w:style w:type="character" w:customStyle="1" w:styleId="104">
    <w:name w:val="dot"/>
    <w:basedOn w:val="29"/>
    <w:qFormat/>
    <w:uiPriority w:val="0"/>
  </w:style>
  <w:style w:type="character" w:customStyle="1" w:styleId="105">
    <w:name w:val="layui-layer-tabnow"/>
    <w:basedOn w:val="29"/>
    <w:qFormat/>
    <w:uiPriority w:val="0"/>
    <w:rPr>
      <w:bdr w:val="single" w:color="CCCCCC" w:sz="6" w:space="0"/>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3"/>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20931</Words>
  <Characters>22816</Characters>
  <Lines>2535</Lines>
  <Paragraphs>2430</Paragraphs>
  <TotalTime>17</TotalTime>
  <ScaleCrop>false</ScaleCrop>
  <LinksUpToDate>false</LinksUpToDate>
  <CharactersWithSpaces>41317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2020-09-25T08:30:00Z</dcterms:created>
  <dc:creator>NTKO</dc:creator>
  <cp:lastModifiedBy>12345678</cp:lastModifiedBy>
  <cp:lastPrinted>2019-09-29T02:27:00Z</cp:lastPrinted>
  <dcterms:modified xsi:type="dcterms:W3CDTF">2020-12-29T01:50:39Z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